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74F4">
      <w:pPr>
        <w:spacing w:line="360" w:lineRule="auto"/>
        <w:jc w:val="center"/>
        <w:rPr>
          <w:rFonts w:ascii="宋体" w:hAnsi="宋体" w:cs="宋体"/>
          <w:sz w:val="28"/>
          <w:szCs w:val="28"/>
        </w:rPr>
      </w:pPr>
      <w:bookmarkStart w:id="0" w:name="_Toc199"/>
      <w:bookmarkStart w:id="1" w:name="_Toc19419"/>
      <w:bookmarkStart w:id="2" w:name="_Toc5506"/>
      <w:bookmarkStart w:id="3" w:name="_Toc4999"/>
      <w:bookmarkStart w:id="4" w:name="_Toc22038"/>
      <w:bookmarkStart w:id="5" w:name="_Toc1256"/>
      <w:r>
        <w:rPr>
          <w:rFonts w:hint="eastAsia" w:ascii="宋体" w:hAnsi="宋体" w:cs="宋体"/>
        </w:rPr>
        <w:drawing>
          <wp:anchor distT="0" distB="0" distL="114300" distR="114300" simplePos="0" relativeHeight="251664384" behindDoc="0" locked="0" layoutInCell="1" allowOverlap="1">
            <wp:simplePos x="0" y="0"/>
            <wp:positionH relativeFrom="column">
              <wp:posOffset>27940</wp:posOffset>
            </wp:positionH>
            <wp:positionV relativeFrom="paragraph">
              <wp:posOffset>16510</wp:posOffset>
            </wp:positionV>
            <wp:extent cx="2103755" cy="522605"/>
            <wp:effectExtent l="0" t="0" r="10795" b="10795"/>
            <wp:wrapNone/>
            <wp:docPr id="11" name="图片 2" descr="2标志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2标志横"/>
                    <pic:cNvPicPr>
                      <a:picLocks noChangeAspect="1"/>
                    </pic:cNvPicPr>
                  </pic:nvPicPr>
                  <pic:blipFill>
                    <a:blip r:embed="rId14"/>
                    <a:stretch>
                      <a:fillRect/>
                    </a:stretch>
                  </pic:blipFill>
                  <pic:spPr>
                    <a:xfrm>
                      <a:off x="0" y="0"/>
                      <a:ext cx="2103755" cy="522605"/>
                    </a:xfrm>
                    <a:prstGeom prst="rect">
                      <a:avLst/>
                    </a:prstGeom>
                    <a:noFill/>
                    <a:ln>
                      <a:noFill/>
                    </a:ln>
                  </pic:spPr>
                </pic:pic>
              </a:graphicData>
            </a:graphic>
          </wp:anchor>
        </w:drawing>
      </w:r>
      <w:r>
        <w:rPr>
          <w:rFonts w:hint="eastAsia" w:ascii="宋体" w:hAnsi="宋体" w:cs="宋体"/>
          <w:sz w:val="28"/>
          <w:szCs w:val="28"/>
        </w:rPr>
        <w:t xml:space="preserve">  </w:t>
      </w:r>
    </w:p>
    <w:p w14:paraId="0EA6D045">
      <w:pPr>
        <w:spacing w:line="360" w:lineRule="auto"/>
        <w:ind w:firstLine="1560"/>
        <w:jc w:val="center"/>
        <w:rPr>
          <w:rFonts w:ascii="宋体" w:hAnsi="宋体" w:cs="宋体"/>
          <w:spacing w:val="70"/>
          <w:sz w:val="64"/>
          <w:szCs w:val="64"/>
        </w:rPr>
      </w:pPr>
    </w:p>
    <w:p w14:paraId="0BD73FF6">
      <w:pPr>
        <w:spacing w:line="360" w:lineRule="auto"/>
        <w:ind w:firstLine="1320"/>
        <w:jc w:val="center"/>
        <w:rPr>
          <w:rFonts w:ascii="宋体" w:hAnsi="宋体" w:cs="宋体"/>
          <w:spacing w:val="70"/>
          <w:sz w:val="52"/>
          <w:szCs w:val="52"/>
        </w:rPr>
      </w:pPr>
      <w:r>
        <w:rPr>
          <w:rFonts w:ascii="宋体" w:hAnsi="宋体" w:cs="宋体"/>
          <w:spacing w:val="70"/>
          <w:sz w:val="52"/>
          <w:szCs w:val="52"/>
        </w:rPr>
        <w:t>河南省生态环境监测和安全中心河南省空天地一体化环境信息监控系统(一期)2026年数据和运维服务项目</w:t>
      </w:r>
    </w:p>
    <w:p w14:paraId="78A5C36E">
      <w:pPr>
        <w:spacing w:line="360" w:lineRule="auto"/>
        <w:ind w:firstLine="1320"/>
        <w:jc w:val="center"/>
        <w:rPr>
          <w:rFonts w:ascii="宋体" w:hAnsi="宋体" w:cs="宋体"/>
          <w:spacing w:val="70"/>
          <w:sz w:val="52"/>
          <w:szCs w:val="52"/>
        </w:rPr>
      </w:pPr>
    </w:p>
    <w:p w14:paraId="31185304">
      <w:pPr>
        <w:spacing w:line="360" w:lineRule="auto"/>
        <w:ind w:firstLine="1560"/>
        <w:jc w:val="center"/>
        <w:rPr>
          <w:rFonts w:ascii="宋体" w:hAnsi="宋体" w:cs="宋体"/>
          <w:spacing w:val="70"/>
          <w:sz w:val="64"/>
          <w:szCs w:val="64"/>
        </w:rPr>
      </w:pPr>
      <w:r>
        <w:rPr>
          <w:rFonts w:hint="eastAsia" w:ascii="宋体" w:hAnsi="宋体" w:cs="宋体"/>
          <w:spacing w:val="70"/>
          <w:sz w:val="64"/>
          <w:szCs w:val="64"/>
        </w:rPr>
        <w:t>单一来源采购文件</w:t>
      </w:r>
    </w:p>
    <w:p w14:paraId="6196E8CD">
      <w:pPr>
        <w:spacing w:line="360" w:lineRule="auto"/>
        <w:ind w:firstLine="640"/>
        <w:jc w:val="center"/>
        <w:rPr>
          <w:rFonts w:ascii="宋体" w:hAnsi="宋体" w:cs="宋体"/>
          <w:sz w:val="32"/>
          <w:szCs w:val="32"/>
          <w:u w:val="single"/>
        </w:rPr>
      </w:pPr>
    </w:p>
    <w:p w14:paraId="418B8796">
      <w:pPr>
        <w:spacing w:line="360" w:lineRule="auto"/>
        <w:ind w:firstLine="560"/>
        <w:jc w:val="center"/>
        <w:rPr>
          <w:rFonts w:ascii="宋体" w:hAnsi="宋体" w:cs="宋体"/>
          <w:sz w:val="28"/>
          <w:szCs w:val="28"/>
        </w:rPr>
      </w:pPr>
    </w:p>
    <w:p w14:paraId="6B4A2973">
      <w:pPr>
        <w:spacing w:line="360" w:lineRule="auto"/>
        <w:ind w:firstLine="560"/>
        <w:rPr>
          <w:rFonts w:ascii="宋体" w:hAnsi="宋体" w:cs="宋体"/>
          <w:sz w:val="28"/>
          <w:szCs w:val="28"/>
        </w:rPr>
      </w:pPr>
    </w:p>
    <w:p w14:paraId="6FA26A84">
      <w:pPr>
        <w:pStyle w:val="35"/>
        <w:spacing w:line="360" w:lineRule="auto"/>
        <w:ind w:firstLine="1200"/>
        <w:rPr>
          <w:rFonts w:ascii="宋体" w:hAnsi="宋体" w:eastAsia="宋体" w:cs="宋体"/>
          <w:sz w:val="60"/>
          <w:szCs w:val="60"/>
        </w:rPr>
      </w:pPr>
    </w:p>
    <w:p w14:paraId="620A9CFE">
      <w:pPr>
        <w:spacing w:line="360" w:lineRule="auto"/>
        <w:ind w:left="1680" w:hanging="1680" w:hangingChars="800"/>
        <w:jc w:val="left"/>
        <w:rPr>
          <w:rFonts w:ascii="宋体" w:hAnsi="宋体" w:cs="宋体"/>
          <w:color w:val="0000FF"/>
          <w:sz w:val="32"/>
          <w:szCs w:val="32"/>
          <w:highlight w:val="cyan"/>
        </w:rPr>
      </w:pPr>
      <w:r>
        <w:rPr>
          <w:rFonts w:hint="eastAsia"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527685</wp:posOffset>
                </wp:positionH>
                <wp:positionV relativeFrom="paragraph">
                  <wp:posOffset>12700</wp:posOffset>
                </wp:positionV>
                <wp:extent cx="4123055" cy="0"/>
                <wp:effectExtent l="0" t="19050" r="10795" b="1905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38100">
                          <a:solidFill>
                            <a:srgbClr val="808080"/>
                          </a:solidFill>
                          <a:round/>
                        </a:ln>
                        <a:effectLst/>
                      </wps:spPr>
                      <wps:bodyPr/>
                    </wps:wsp>
                  </a:graphicData>
                </a:graphic>
              </wp:anchor>
            </w:drawing>
          </mc:Choice>
          <mc:Fallback>
            <w:pict>
              <v:shape id="_x0000_s1026" o:spid="_x0000_s1026" o:spt="32" type="#_x0000_t32" style="position:absolute;left:0pt;margin-left:41.55pt;margin-top:1pt;height:0pt;width:324.65pt;z-index:251666432;mso-width-relative:page;mso-height-relative:page;" filled="f" stroked="t" coordsize="21600,21600" o:gfxdata="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kjF0wAAAAYBAAAPAAAAAAAAAAEAIAAAACIAAABkcnMvZG93bnJldi54bWxQ&#10;SwECFAAUAAAACACHTuJAxuIXbfwBAADNAwAADgAAAAAAAAABACAAAAAiAQAAZHJzL2Uyb0RvYy54&#10;bWxQSwUGAAAAAAYABgBZAQAAkAUAAAAA&#10;">
                <v:fill on="f" focussize="0,0"/>
                <v:stroke weight="3pt" color="#808080" joinstyle="round"/>
                <v:imagedata o:title=""/>
                <o:lock v:ext="edit" aspectratio="f"/>
              </v:shape>
            </w:pict>
          </mc:Fallback>
        </mc:AlternateContent>
      </w:r>
      <w:r>
        <w:rPr>
          <w:rFonts w:hint="eastAsia" w:ascii="宋体" w:hAnsi="宋体" w:cs="宋体"/>
          <w:sz w:val="32"/>
          <w:szCs w:val="32"/>
        </w:rPr>
        <w:t xml:space="preserve">     采购编号：豫财单一采购-2026-3</w:t>
      </w:r>
    </w:p>
    <w:p w14:paraId="544D767B">
      <w:pPr>
        <w:spacing w:line="360" w:lineRule="auto"/>
        <w:jc w:val="left"/>
        <w:rPr>
          <w:rFonts w:ascii="宋体" w:hAnsi="宋体" w:cs="宋体"/>
          <w:sz w:val="32"/>
          <w:szCs w:val="32"/>
        </w:rPr>
      </w:pPr>
      <w:r>
        <w:rPr>
          <w:rFonts w:hint="eastAsia"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525780</wp:posOffset>
                </wp:positionH>
                <wp:positionV relativeFrom="paragraph">
                  <wp:posOffset>8890</wp:posOffset>
                </wp:positionV>
                <wp:extent cx="4123055" cy="0"/>
                <wp:effectExtent l="0" t="9525" r="10795" b="952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19050">
                          <a:solidFill>
                            <a:srgbClr val="808080"/>
                          </a:solidFill>
                          <a:round/>
                        </a:ln>
                        <a:effectLst/>
                      </wps:spPr>
                      <wps:bodyPr/>
                    </wps:wsp>
                  </a:graphicData>
                </a:graphic>
              </wp:anchor>
            </w:drawing>
          </mc:Choice>
          <mc:Fallback>
            <w:pict>
              <v:shape id="_x0000_s1026" o:spid="_x0000_s1026" o:spt="32" type="#_x0000_t32" style="position:absolute;left:0pt;margin-left:41.4pt;margin-top:0.7pt;height:0pt;width:324.65pt;z-index:251667456;mso-width-relative:page;mso-height-relative:page;" filled="f" stroked="t" coordsize="21600,21600" o:gfxdata="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AktW0wAAAAYBAAAPAAAAAAAAAAEAIAAAACIAAABkcnMvZG93bnJldi54bWxQ&#10;SwECFAAUAAAACACHTuJA1pnkPfwBAADNAwAADgAAAAAAAAABACAAAAAiAQAAZHJzL2Uyb0RvYy54&#10;bWxQSwUGAAAAAAYABgBZAQAAkAUAAAAA&#10;">
                <v:fill on="f" focussize="0,0"/>
                <v:stroke weight="1.5pt" color="#808080" joinstyle="round"/>
                <v:imagedata o:title=""/>
                <o:lock v:ext="edit" aspectratio="f"/>
              </v:shape>
            </w:pict>
          </mc:Fallback>
        </mc:AlternateContent>
      </w:r>
      <w:r>
        <w:rPr>
          <w:rFonts w:hint="eastAsia" w:ascii="宋体" w:hAnsi="宋体" w:cs="宋体"/>
          <w:sz w:val="32"/>
          <w:szCs w:val="32"/>
        </w:rPr>
        <w:t xml:space="preserve">     采 购 人：河南省生态环境监测和安全中心</w:t>
      </w:r>
    </w:p>
    <w:p w14:paraId="2FD3CB1E">
      <w:pPr>
        <w:spacing w:line="360" w:lineRule="auto"/>
        <w:jc w:val="left"/>
        <w:rPr>
          <w:rFonts w:ascii="宋体" w:hAnsi="宋体" w:cs="宋体"/>
          <w:sz w:val="32"/>
          <w:szCs w:val="32"/>
        </w:rPr>
      </w:pPr>
      <w:r>
        <w:rPr>
          <w:rFonts w:hint="eastAsia" w:ascii="宋体" w:hAnsi="宋体" w:cs="宋体"/>
        </w:rPr>
        <mc:AlternateContent>
          <mc:Choice Requires="wps">
            <w:drawing>
              <wp:anchor distT="0" distB="0" distL="114300" distR="114300" simplePos="0" relativeHeight="251668480" behindDoc="0" locked="0" layoutInCell="1" allowOverlap="1">
                <wp:simplePos x="0" y="0"/>
                <wp:positionH relativeFrom="column">
                  <wp:posOffset>522605</wp:posOffset>
                </wp:positionH>
                <wp:positionV relativeFrom="paragraph">
                  <wp:posOffset>2540</wp:posOffset>
                </wp:positionV>
                <wp:extent cx="4123055" cy="0"/>
                <wp:effectExtent l="0" t="9525" r="10795" b="9525"/>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19050">
                          <a:solidFill>
                            <a:srgbClr val="808080"/>
                          </a:solidFill>
                          <a:round/>
                        </a:ln>
                        <a:effectLst/>
                      </wps:spPr>
                      <wps:bodyPr/>
                    </wps:wsp>
                  </a:graphicData>
                </a:graphic>
              </wp:anchor>
            </w:drawing>
          </mc:Choice>
          <mc:Fallback>
            <w:pict>
              <v:shape id="_x0000_s1026" o:spid="_x0000_s1026" o:spt="32" type="#_x0000_t32" style="position:absolute;left:0pt;margin-left:41.15pt;margin-top:0.2pt;height:0pt;width:324.65pt;z-index:251668480;mso-width-relative:page;mso-height-relative:page;" filled="f" stroked="t" coordsize="21600,21600" o:gfxdata="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lqCD0wAAAAQBAAAPAAAAAAAAAAEAIAAAACIAAABkcnMvZG93bnJldi54bWxQ&#10;SwECFAAUAAAACACHTuJAyc/wjPwBAADNAwAADgAAAAAAAAABACAAAAAiAQAAZHJzL2Uyb0RvYy54&#10;bWxQSwUGAAAAAAYABgBZAQAAkAUAAAAA&#10;">
                <v:fill on="f" focussize="0,0"/>
                <v:stroke weight="1.5pt" color="#808080" joinstyle="round"/>
                <v:imagedata o:title=""/>
                <o:lock v:ext="edit" aspectratio="f"/>
              </v:shape>
            </w:pict>
          </mc:Fallback>
        </mc:AlternateContent>
      </w:r>
      <w:r>
        <w:rPr>
          <w:rFonts w:hint="eastAsia" w:ascii="宋体" w:hAnsi="宋体" w:cs="宋体"/>
          <w:sz w:val="32"/>
          <w:szCs w:val="32"/>
        </w:rPr>
        <w:t xml:space="preserve">     代理机构：方大国际工程咨询股份有限公司</w:t>
      </w:r>
    </w:p>
    <w:p w14:paraId="64CF2BED">
      <w:pPr>
        <w:spacing w:line="360" w:lineRule="auto"/>
        <w:jc w:val="left"/>
        <w:rPr>
          <w:rFonts w:ascii="宋体" w:hAnsi="宋体" w:cs="宋体"/>
          <w:sz w:val="32"/>
          <w:szCs w:val="32"/>
        </w:rPr>
      </w:pPr>
      <w:r>
        <w:rPr>
          <w:rFonts w:hint="eastAsia" w:ascii="宋体" w:hAnsi="宋体" w:cs="宋体"/>
        </w:rPr>
        <mc:AlternateContent>
          <mc:Choice Requires="wps">
            <w:drawing>
              <wp:anchor distT="0" distB="0" distL="114300" distR="114300" simplePos="0" relativeHeight="251670528" behindDoc="0" locked="0" layoutInCell="1" allowOverlap="1">
                <wp:simplePos x="0" y="0"/>
                <wp:positionH relativeFrom="column">
                  <wp:posOffset>522605</wp:posOffset>
                </wp:positionH>
                <wp:positionV relativeFrom="paragraph">
                  <wp:posOffset>13335</wp:posOffset>
                </wp:positionV>
                <wp:extent cx="4123055" cy="0"/>
                <wp:effectExtent l="0" t="9525" r="10795" b="952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19050">
                          <a:solidFill>
                            <a:srgbClr val="808080"/>
                          </a:solidFill>
                          <a:round/>
                        </a:ln>
                        <a:effectLst/>
                      </wps:spPr>
                      <wps:bodyPr/>
                    </wps:wsp>
                  </a:graphicData>
                </a:graphic>
              </wp:anchor>
            </w:drawing>
          </mc:Choice>
          <mc:Fallback>
            <w:pict>
              <v:shape id="_x0000_s1026" o:spid="_x0000_s1026" o:spt="32" type="#_x0000_t32" style="position:absolute;left:0pt;margin-left:41.15pt;margin-top:1.05pt;height:0pt;width:324.65pt;z-index:251670528;mso-width-relative:page;mso-height-relative:page;" filled="f" stroked="t" coordsize="21600,21600" o:gfxdata="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BR7vtQAAAAGAQAADwAAAAAAAAABACAAAAAiAAAAZHJzL2Rvd25yZXYueG1s&#10;UEsBAhQAFAAAAAgAh07iQAMALFX8AQAAzQMAAA4AAAAAAAAAAQAgAAAAIwEAAGRycy9lMm9Eb2Mu&#10;eG1sUEsFBgAAAAAGAAYAWQEAAJEFAAAAAA==&#10;">
                <v:fill on="f" focussize="0,0"/>
                <v:stroke weight="1.5pt" color="#808080" joinstyle="round"/>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669504" behindDoc="0" locked="0" layoutInCell="1" allowOverlap="1">
                <wp:simplePos x="0" y="0"/>
                <wp:positionH relativeFrom="column">
                  <wp:posOffset>521335</wp:posOffset>
                </wp:positionH>
                <wp:positionV relativeFrom="paragraph">
                  <wp:posOffset>458470</wp:posOffset>
                </wp:positionV>
                <wp:extent cx="4123055" cy="0"/>
                <wp:effectExtent l="0" t="19050" r="1079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4123055" cy="0"/>
                        </a:xfrm>
                        <a:prstGeom prst="straightConnector1">
                          <a:avLst/>
                        </a:prstGeom>
                        <a:noFill/>
                        <a:ln w="38100">
                          <a:solidFill>
                            <a:srgbClr val="808080"/>
                          </a:solidFill>
                          <a:round/>
                        </a:ln>
                        <a:effectLst/>
                      </wps:spPr>
                      <wps:bodyPr/>
                    </wps:wsp>
                  </a:graphicData>
                </a:graphic>
              </wp:anchor>
            </w:drawing>
          </mc:Choice>
          <mc:Fallback>
            <w:pict>
              <v:shape id="_x0000_s1026" o:spid="_x0000_s1026" o:spt="32" type="#_x0000_t32" style="position:absolute;left:0pt;margin-left:41.05pt;margin-top:36.1pt;height:0pt;width:324.65pt;z-index:251669504;mso-width-relative:page;mso-height-relative:page;" filled="f" stroked="t" coordsize="21600,21600" o:gfxdata="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kth6nWAAAACAEAAA8AAAAAAAAAAQAgAAAAIgAAAGRycy9kb3ducmV2Lnht&#10;bFBLAQIUABQAAAAIAIdO4kBs0Ya8+wEAAM0DAAAOAAAAAAAAAAEAIAAAACUBAABkcnMvZTJvRG9j&#10;LnhtbFBLBQYAAAAABgAGAFkBAACSBQAAAAA=&#10;">
                <v:fill on="f" focussize="0,0"/>
                <v:stroke weight="3pt" color="#808080" joinstyle="round"/>
                <v:imagedata o:title=""/>
                <o:lock v:ext="edit" aspectratio="f"/>
              </v:shape>
            </w:pict>
          </mc:Fallback>
        </mc:AlternateContent>
      </w:r>
      <w:r>
        <w:rPr>
          <w:rFonts w:hint="eastAsia" w:ascii="宋体" w:hAnsi="宋体" w:cs="宋体"/>
          <w:sz w:val="32"/>
          <w:szCs w:val="32"/>
        </w:rPr>
        <w:t xml:space="preserve">     日    期：二 〇 二 </w:t>
      </w:r>
      <w:r>
        <w:rPr>
          <w:rFonts w:hint="eastAsia" w:ascii="宋体" w:hAnsi="宋体" w:cs="宋体"/>
          <w:sz w:val="32"/>
          <w:szCs w:val="32"/>
          <w:lang w:val="en-US" w:eastAsia="zh-CN"/>
        </w:rPr>
        <w:t>六</w:t>
      </w:r>
      <w:r>
        <w:rPr>
          <w:rFonts w:hint="eastAsia" w:ascii="宋体" w:hAnsi="宋体" w:cs="宋体"/>
          <w:sz w:val="32"/>
          <w:szCs w:val="32"/>
        </w:rPr>
        <w:t xml:space="preserve"> 年 </w:t>
      </w:r>
      <w:r>
        <w:rPr>
          <w:rFonts w:hint="eastAsia" w:ascii="宋体" w:hAnsi="宋体" w:cs="宋体"/>
          <w:sz w:val="32"/>
          <w:szCs w:val="32"/>
          <w:lang w:val="en-US" w:eastAsia="zh-CN"/>
        </w:rPr>
        <w:t>一</w:t>
      </w:r>
      <w:r>
        <w:rPr>
          <w:rFonts w:hint="eastAsia" w:ascii="宋体" w:hAnsi="宋体" w:cs="宋体"/>
          <w:sz w:val="32"/>
          <w:szCs w:val="32"/>
        </w:rPr>
        <w:t xml:space="preserve"> 月</w:t>
      </w:r>
    </w:p>
    <w:p w14:paraId="69B9E0A5">
      <w:pPr>
        <w:spacing w:line="360" w:lineRule="auto"/>
        <w:ind w:firstLine="640"/>
        <w:jc w:val="left"/>
        <w:rPr>
          <w:rFonts w:ascii="宋体" w:hAnsi="宋体" w:cs="宋体"/>
          <w:color w:val="000000" w:themeColor="text1"/>
          <w:sz w:val="32"/>
          <w:szCs w:val="32"/>
          <w14:textFill>
            <w14:solidFill>
              <w14:schemeClr w14:val="tx1"/>
            </w14:solidFill>
          </w14:textFill>
        </w:rPr>
      </w:pPr>
    </w:p>
    <w:p w14:paraId="5CBB236B">
      <w:pPr>
        <w:spacing w:line="360" w:lineRule="auto"/>
        <w:jc w:val="left"/>
        <w:rPr>
          <w:rFonts w:ascii="宋体" w:hAnsi="宋体" w:cs="宋体"/>
          <w:sz w:val="32"/>
          <w:szCs w:val="32"/>
        </w:rPr>
      </w:pPr>
      <w:r>
        <w:rPr>
          <w:rFonts w:hint="eastAsia" w:ascii="宋体" w:hAnsi="宋体" w:cs="宋体"/>
        </w:rPr>
        <w:drawing>
          <wp:anchor distT="0" distB="0" distL="114300" distR="114300" simplePos="0" relativeHeight="251665408" behindDoc="1" locked="0" layoutInCell="1" allowOverlap="1">
            <wp:simplePos x="0" y="0"/>
            <wp:positionH relativeFrom="column">
              <wp:posOffset>-720090</wp:posOffset>
            </wp:positionH>
            <wp:positionV relativeFrom="paragraph">
              <wp:posOffset>464185</wp:posOffset>
            </wp:positionV>
            <wp:extent cx="7962265" cy="767080"/>
            <wp:effectExtent l="0" t="0" r="635" b="13970"/>
            <wp:wrapThrough wrapText="bothSides">
              <wp:wrapPolygon>
                <wp:start x="16951" y="0"/>
                <wp:lineTo x="16330" y="8583"/>
                <wp:lineTo x="0" y="10192"/>
                <wp:lineTo x="0" y="20921"/>
                <wp:lineTo x="21550" y="20921"/>
                <wp:lineTo x="21550" y="10192"/>
                <wp:lineTo x="17829" y="8583"/>
                <wp:lineTo x="17209" y="0"/>
                <wp:lineTo x="16951" y="0"/>
              </wp:wrapPolygon>
            </wp:wrapThrough>
            <wp:docPr id="1" name="图片 1"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
                    <pic:cNvPicPr>
                      <a:picLocks noChangeAspect="1"/>
                    </pic:cNvPicPr>
                  </pic:nvPicPr>
                  <pic:blipFill>
                    <a:blip r:embed="rId15"/>
                    <a:stretch>
                      <a:fillRect/>
                    </a:stretch>
                  </pic:blipFill>
                  <pic:spPr>
                    <a:xfrm>
                      <a:off x="0" y="0"/>
                      <a:ext cx="7962265" cy="767080"/>
                    </a:xfrm>
                    <a:prstGeom prst="rect">
                      <a:avLst/>
                    </a:prstGeom>
                    <a:noFill/>
                    <a:ln>
                      <a:noFill/>
                    </a:ln>
                  </pic:spPr>
                </pic:pic>
              </a:graphicData>
            </a:graphic>
          </wp:anchor>
        </w:drawing>
      </w:r>
    </w:p>
    <w:p w14:paraId="36471366">
      <w:pPr>
        <w:pStyle w:val="33"/>
        <w:spacing w:line="360" w:lineRule="auto"/>
        <w:rPr>
          <w:rFonts w:ascii="宋体" w:hAnsi="宋体" w:eastAsia="宋体" w:cs="宋体"/>
          <w:color w:val="auto"/>
          <w:sz w:val="32"/>
          <w:szCs w:val="32"/>
        </w:rPr>
        <w:sectPr>
          <w:headerReference r:id="rId3" w:type="default"/>
          <w:footerReference r:id="rId4" w:type="default"/>
          <w:pgSz w:w="11905" w:h="16838"/>
          <w:pgMar w:top="1134" w:right="1134" w:bottom="1134" w:left="1134" w:header="850" w:footer="992" w:gutter="0"/>
          <w:cols w:space="0" w:num="1"/>
          <w:docGrid w:type="lines" w:linePitch="317" w:charSpace="0"/>
        </w:sectPr>
      </w:pPr>
    </w:p>
    <w:p w14:paraId="50C0FBE7">
      <w:pPr>
        <w:pStyle w:val="39"/>
        <w:spacing w:before="0" w:line="360" w:lineRule="auto"/>
        <w:ind w:firstLine="562"/>
        <w:jc w:val="center"/>
        <w:rPr>
          <w:rFonts w:ascii="宋体" w:hAnsi="宋体" w:cs="宋体"/>
          <w:color w:val="auto"/>
        </w:rPr>
      </w:pPr>
      <w:bookmarkStart w:id="6" w:name="_Toc4215"/>
      <w:bookmarkStart w:id="7" w:name="_Toc28695"/>
      <w:bookmarkStart w:id="8" w:name="_Toc20556"/>
      <w:bookmarkStart w:id="9" w:name="_Toc22141"/>
      <w:bookmarkStart w:id="10" w:name="_Toc8929"/>
      <w:bookmarkStart w:id="11" w:name="_Toc29098"/>
      <w:bookmarkStart w:id="12" w:name="_Toc11019"/>
      <w:bookmarkStart w:id="13" w:name="_Toc19634"/>
      <w:bookmarkStart w:id="14" w:name="_Toc18332"/>
      <w:r>
        <w:rPr>
          <w:rFonts w:hint="eastAsia" w:ascii="宋体" w:hAnsi="宋体" w:cs="宋体"/>
          <w:color w:val="auto"/>
          <w:lang w:val="zh-CN"/>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1CAE0BB5">
      <w:pPr>
        <w:pStyle w:val="18"/>
        <w:tabs>
          <w:tab w:val="right" w:leader="dot" w:pos="9638"/>
          <w:tab w:val="clear" w:pos="8296"/>
        </w:tabs>
        <w:ind w:firstLine="480" w:firstLineChars="200"/>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fldChar w:fldCharType="begin"/>
      </w:r>
      <w:r>
        <w:instrText xml:space="preserve"> HYPERLINK \l "_Toc4247" </w:instrText>
      </w:r>
      <w:r>
        <w:fldChar w:fldCharType="separate"/>
      </w:r>
      <w:r>
        <w:rPr>
          <w:rFonts w:hint="eastAsia" w:ascii="宋体" w:hAnsi="宋体" w:cs="宋体"/>
          <w:szCs w:val="30"/>
        </w:rPr>
        <w:t>第一部分 单一来源采购邀请函</w:t>
      </w:r>
      <w:r>
        <w:tab/>
      </w:r>
      <w:r>
        <w:fldChar w:fldCharType="begin"/>
      </w:r>
      <w:r>
        <w:instrText xml:space="preserve"> PAGEREF _Toc4247 \h </w:instrText>
      </w:r>
      <w:r>
        <w:fldChar w:fldCharType="separate"/>
      </w:r>
      <w:r>
        <w:t>3</w:t>
      </w:r>
      <w:r>
        <w:fldChar w:fldCharType="end"/>
      </w:r>
      <w:r>
        <w:fldChar w:fldCharType="end"/>
      </w:r>
    </w:p>
    <w:p w14:paraId="5F42C4C1">
      <w:pPr>
        <w:pStyle w:val="18"/>
        <w:tabs>
          <w:tab w:val="right" w:leader="dot" w:pos="9638"/>
          <w:tab w:val="clear" w:pos="8296"/>
        </w:tabs>
        <w:ind w:firstLine="440"/>
      </w:pPr>
      <w:r>
        <w:fldChar w:fldCharType="begin"/>
      </w:r>
      <w:r>
        <w:instrText xml:space="preserve"> HYPERLINK \l "_Toc1404" </w:instrText>
      </w:r>
      <w:r>
        <w:fldChar w:fldCharType="separate"/>
      </w:r>
      <w:r>
        <w:rPr>
          <w:rFonts w:hint="eastAsia" w:ascii="宋体" w:hAnsi="宋体" w:cs="宋体"/>
          <w:szCs w:val="30"/>
        </w:rPr>
        <w:t>第二部分 供应商须知</w:t>
      </w:r>
      <w:r>
        <w:tab/>
      </w:r>
      <w:r>
        <w:fldChar w:fldCharType="begin"/>
      </w:r>
      <w:r>
        <w:instrText xml:space="preserve"> PAGEREF _Toc1404 \h </w:instrText>
      </w:r>
      <w:r>
        <w:fldChar w:fldCharType="separate"/>
      </w:r>
      <w:r>
        <w:t>5</w:t>
      </w:r>
      <w:r>
        <w:fldChar w:fldCharType="end"/>
      </w:r>
      <w:r>
        <w:fldChar w:fldCharType="end"/>
      </w:r>
    </w:p>
    <w:p w14:paraId="02EAA7D0">
      <w:pPr>
        <w:pStyle w:val="18"/>
        <w:tabs>
          <w:tab w:val="right" w:leader="dot" w:pos="9638"/>
          <w:tab w:val="clear" w:pos="8296"/>
        </w:tabs>
        <w:ind w:firstLine="440"/>
      </w:pPr>
      <w:r>
        <w:fldChar w:fldCharType="begin"/>
      </w:r>
      <w:r>
        <w:instrText xml:space="preserve"> HYPERLINK \l "_Toc12047" </w:instrText>
      </w:r>
      <w:r>
        <w:fldChar w:fldCharType="separate"/>
      </w:r>
      <w:r>
        <w:rPr>
          <w:rFonts w:hint="eastAsia" w:ascii="宋体" w:hAnsi="宋体" w:cs="宋体"/>
          <w:bCs/>
          <w:szCs w:val="30"/>
        </w:rPr>
        <w:t>第三部分 合同条款</w:t>
      </w:r>
      <w:r>
        <w:tab/>
      </w:r>
      <w:r>
        <w:fldChar w:fldCharType="begin"/>
      </w:r>
      <w:r>
        <w:instrText xml:space="preserve"> PAGEREF _Toc12047 \h </w:instrText>
      </w:r>
      <w:r>
        <w:fldChar w:fldCharType="separate"/>
      </w:r>
      <w:r>
        <w:t>14</w:t>
      </w:r>
      <w:r>
        <w:fldChar w:fldCharType="end"/>
      </w:r>
      <w:r>
        <w:fldChar w:fldCharType="end"/>
      </w:r>
    </w:p>
    <w:p w14:paraId="59D66376">
      <w:pPr>
        <w:pStyle w:val="18"/>
        <w:tabs>
          <w:tab w:val="right" w:leader="dot" w:pos="9638"/>
          <w:tab w:val="clear" w:pos="8296"/>
        </w:tabs>
        <w:ind w:firstLine="440"/>
      </w:pPr>
      <w:r>
        <w:fldChar w:fldCharType="begin"/>
      </w:r>
      <w:r>
        <w:instrText xml:space="preserve"> HYPERLINK \l "_Toc27327" </w:instrText>
      </w:r>
      <w:r>
        <w:fldChar w:fldCharType="separate"/>
      </w:r>
      <w:r>
        <w:rPr>
          <w:rFonts w:hint="eastAsia" w:ascii="宋体" w:hAnsi="宋体" w:cs="宋体"/>
          <w:bCs/>
          <w:szCs w:val="30"/>
        </w:rPr>
        <w:t>第四部分 采购人需求</w:t>
      </w:r>
      <w:r>
        <w:tab/>
      </w:r>
      <w:r>
        <w:fldChar w:fldCharType="begin"/>
      </w:r>
      <w:r>
        <w:instrText xml:space="preserve"> PAGEREF _Toc27327 \h </w:instrText>
      </w:r>
      <w:r>
        <w:fldChar w:fldCharType="separate"/>
      </w:r>
      <w:r>
        <w:t>18</w:t>
      </w:r>
      <w:r>
        <w:fldChar w:fldCharType="end"/>
      </w:r>
      <w:r>
        <w:fldChar w:fldCharType="end"/>
      </w:r>
    </w:p>
    <w:p w14:paraId="7E0085FD">
      <w:pPr>
        <w:pStyle w:val="18"/>
        <w:tabs>
          <w:tab w:val="right" w:leader="dot" w:pos="9638"/>
          <w:tab w:val="clear" w:pos="8296"/>
        </w:tabs>
        <w:ind w:firstLine="440"/>
      </w:pPr>
      <w:r>
        <w:fldChar w:fldCharType="begin"/>
      </w:r>
      <w:r>
        <w:instrText xml:space="preserve"> HYPERLINK \l "_Toc21968" </w:instrText>
      </w:r>
      <w:r>
        <w:fldChar w:fldCharType="separate"/>
      </w:r>
      <w:r>
        <w:rPr>
          <w:rFonts w:hint="eastAsia" w:ascii="宋体" w:hAnsi="宋体" w:cs="宋体"/>
          <w:bCs/>
          <w:szCs w:val="30"/>
        </w:rPr>
        <w:t>第五部分 单一来源采购评审原则及成交办法</w:t>
      </w:r>
      <w:r>
        <w:tab/>
      </w:r>
      <w:r>
        <w:fldChar w:fldCharType="begin"/>
      </w:r>
      <w:r>
        <w:instrText xml:space="preserve"> PAGEREF _Toc21968 \h </w:instrText>
      </w:r>
      <w:r>
        <w:fldChar w:fldCharType="separate"/>
      </w:r>
      <w:r>
        <w:t>19</w:t>
      </w:r>
      <w:r>
        <w:fldChar w:fldCharType="end"/>
      </w:r>
      <w:r>
        <w:fldChar w:fldCharType="end"/>
      </w:r>
    </w:p>
    <w:p w14:paraId="1827CA20">
      <w:pPr>
        <w:pStyle w:val="18"/>
        <w:tabs>
          <w:tab w:val="right" w:leader="dot" w:pos="9638"/>
          <w:tab w:val="clear" w:pos="8296"/>
        </w:tabs>
        <w:ind w:firstLine="440"/>
      </w:pPr>
      <w:r>
        <w:fldChar w:fldCharType="begin"/>
      </w:r>
      <w:r>
        <w:instrText xml:space="preserve"> HYPERLINK \l "_Toc12795" </w:instrText>
      </w:r>
      <w:r>
        <w:fldChar w:fldCharType="separate"/>
      </w:r>
      <w:r>
        <w:rPr>
          <w:rFonts w:hint="eastAsia" w:ascii="宋体" w:hAnsi="宋体" w:cs="宋体"/>
          <w:bCs/>
          <w:szCs w:val="30"/>
        </w:rPr>
        <w:t>第六部分 响应文件格式</w:t>
      </w:r>
      <w:r>
        <w:tab/>
      </w:r>
      <w:r>
        <w:fldChar w:fldCharType="begin"/>
      </w:r>
      <w:r>
        <w:instrText xml:space="preserve"> PAGEREF _Toc12795 \h </w:instrText>
      </w:r>
      <w:r>
        <w:fldChar w:fldCharType="separate"/>
      </w:r>
      <w:r>
        <w:t>20</w:t>
      </w:r>
      <w:r>
        <w:fldChar w:fldCharType="end"/>
      </w:r>
      <w:r>
        <w:fldChar w:fldCharType="end"/>
      </w:r>
    </w:p>
    <w:p w14:paraId="7BEB5AF7">
      <w:pPr>
        <w:pStyle w:val="19"/>
        <w:tabs>
          <w:tab w:val="right" w:leader="dot" w:pos="9638"/>
        </w:tabs>
        <w:ind w:firstLine="440"/>
      </w:pPr>
      <w:r>
        <w:fldChar w:fldCharType="begin"/>
      </w:r>
      <w:r>
        <w:instrText xml:space="preserve"> HYPERLINK \l "_Toc5095" </w:instrText>
      </w:r>
      <w:r>
        <w:fldChar w:fldCharType="separate"/>
      </w:r>
      <w:r>
        <w:rPr>
          <w:rFonts w:hint="eastAsia" w:ascii="宋体" w:hAnsi="宋体" w:cs="宋体"/>
          <w:bCs/>
          <w:szCs w:val="32"/>
        </w:rPr>
        <w:t>一、响应函及响应函附录</w:t>
      </w:r>
      <w:r>
        <w:tab/>
      </w:r>
      <w:r>
        <w:fldChar w:fldCharType="begin"/>
      </w:r>
      <w:r>
        <w:instrText xml:space="preserve"> PAGEREF _Toc5095 \h </w:instrText>
      </w:r>
      <w:r>
        <w:fldChar w:fldCharType="separate"/>
      </w:r>
      <w:r>
        <w:t>23</w:t>
      </w:r>
      <w:r>
        <w:fldChar w:fldCharType="end"/>
      </w:r>
      <w:r>
        <w:fldChar w:fldCharType="end"/>
      </w:r>
    </w:p>
    <w:p w14:paraId="5AC43F5A">
      <w:pPr>
        <w:pStyle w:val="19"/>
        <w:tabs>
          <w:tab w:val="right" w:leader="dot" w:pos="9638"/>
        </w:tabs>
        <w:ind w:firstLine="440"/>
      </w:pPr>
      <w:r>
        <w:fldChar w:fldCharType="begin"/>
      </w:r>
      <w:r>
        <w:instrText xml:space="preserve"> HYPERLINK \l "_Toc24655" </w:instrText>
      </w:r>
      <w:r>
        <w:fldChar w:fldCharType="separate"/>
      </w:r>
      <w:r>
        <w:rPr>
          <w:rFonts w:hint="eastAsia" w:ascii="宋体" w:hAnsi="宋体" w:cs="宋体"/>
          <w:bCs/>
          <w:szCs w:val="32"/>
        </w:rPr>
        <w:t>二、法定代表人身份证明</w:t>
      </w:r>
      <w:r>
        <w:tab/>
      </w:r>
      <w:r>
        <w:fldChar w:fldCharType="begin"/>
      </w:r>
      <w:r>
        <w:instrText xml:space="preserve"> PAGEREF _Toc24655 \h </w:instrText>
      </w:r>
      <w:r>
        <w:fldChar w:fldCharType="separate"/>
      </w:r>
      <w:r>
        <w:t>25</w:t>
      </w:r>
      <w:r>
        <w:fldChar w:fldCharType="end"/>
      </w:r>
      <w:r>
        <w:fldChar w:fldCharType="end"/>
      </w:r>
    </w:p>
    <w:p w14:paraId="65789EF7">
      <w:pPr>
        <w:pStyle w:val="19"/>
        <w:tabs>
          <w:tab w:val="right" w:leader="dot" w:pos="9638"/>
        </w:tabs>
        <w:ind w:firstLine="440"/>
      </w:pPr>
      <w:r>
        <w:fldChar w:fldCharType="begin"/>
      </w:r>
      <w:r>
        <w:instrText xml:space="preserve"> HYPERLINK \l "_Toc13471" </w:instrText>
      </w:r>
      <w:r>
        <w:fldChar w:fldCharType="separate"/>
      </w:r>
      <w:r>
        <w:rPr>
          <w:rFonts w:hint="eastAsia" w:ascii="宋体" w:hAnsi="宋体" w:cs="宋体"/>
          <w:bCs/>
          <w:szCs w:val="32"/>
        </w:rPr>
        <w:t>三、授权委托书</w:t>
      </w:r>
      <w:r>
        <w:tab/>
      </w:r>
      <w:r>
        <w:fldChar w:fldCharType="begin"/>
      </w:r>
      <w:r>
        <w:instrText xml:space="preserve"> PAGEREF _Toc13471 \h </w:instrText>
      </w:r>
      <w:r>
        <w:fldChar w:fldCharType="separate"/>
      </w:r>
      <w:r>
        <w:t>26</w:t>
      </w:r>
      <w:r>
        <w:fldChar w:fldCharType="end"/>
      </w:r>
      <w:r>
        <w:fldChar w:fldCharType="end"/>
      </w:r>
    </w:p>
    <w:p w14:paraId="21167297">
      <w:pPr>
        <w:pStyle w:val="19"/>
        <w:tabs>
          <w:tab w:val="right" w:leader="dot" w:pos="9638"/>
        </w:tabs>
        <w:ind w:firstLine="440"/>
      </w:pPr>
      <w:r>
        <w:fldChar w:fldCharType="begin"/>
      </w:r>
      <w:r>
        <w:instrText xml:space="preserve"> HYPERLINK \l "_Toc28374" </w:instrText>
      </w:r>
      <w:r>
        <w:fldChar w:fldCharType="separate"/>
      </w:r>
      <w:r>
        <w:rPr>
          <w:rFonts w:hint="eastAsia" w:ascii="宋体" w:hAnsi="宋体" w:cs="宋体"/>
          <w:bCs/>
          <w:szCs w:val="32"/>
        </w:rPr>
        <w:t>四、商务偏差表</w:t>
      </w:r>
      <w:r>
        <w:tab/>
      </w:r>
      <w:r>
        <w:fldChar w:fldCharType="begin"/>
      </w:r>
      <w:r>
        <w:instrText xml:space="preserve"> PAGEREF _Toc28374 \h </w:instrText>
      </w:r>
      <w:r>
        <w:fldChar w:fldCharType="separate"/>
      </w:r>
      <w:r>
        <w:t>27</w:t>
      </w:r>
      <w:r>
        <w:fldChar w:fldCharType="end"/>
      </w:r>
      <w:r>
        <w:fldChar w:fldCharType="end"/>
      </w:r>
    </w:p>
    <w:p w14:paraId="689D4381">
      <w:pPr>
        <w:pStyle w:val="19"/>
        <w:tabs>
          <w:tab w:val="right" w:leader="dot" w:pos="9638"/>
        </w:tabs>
        <w:ind w:firstLine="440"/>
      </w:pPr>
      <w:r>
        <w:fldChar w:fldCharType="begin"/>
      </w:r>
      <w:r>
        <w:instrText xml:space="preserve"> HYPERLINK \l "_Toc2988" </w:instrText>
      </w:r>
      <w:r>
        <w:fldChar w:fldCharType="separate"/>
      </w:r>
      <w:r>
        <w:rPr>
          <w:rFonts w:hint="eastAsia" w:ascii="宋体" w:hAnsi="宋体" w:cs="宋体"/>
          <w:bCs/>
          <w:szCs w:val="32"/>
        </w:rPr>
        <w:t>五、资格审查资料</w:t>
      </w:r>
      <w:r>
        <w:tab/>
      </w:r>
      <w:r>
        <w:fldChar w:fldCharType="begin"/>
      </w:r>
      <w:r>
        <w:instrText xml:space="preserve"> PAGEREF _Toc2988 \h </w:instrText>
      </w:r>
      <w:r>
        <w:fldChar w:fldCharType="separate"/>
      </w:r>
      <w:r>
        <w:t>28</w:t>
      </w:r>
      <w:r>
        <w:fldChar w:fldCharType="end"/>
      </w:r>
      <w:r>
        <w:fldChar w:fldCharType="end"/>
      </w:r>
    </w:p>
    <w:p w14:paraId="360992C0">
      <w:pPr>
        <w:pStyle w:val="12"/>
        <w:tabs>
          <w:tab w:val="right" w:leader="dot" w:pos="9638"/>
        </w:tabs>
        <w:ind w:firstLine="440"/>
      </w:pPr>
      <w:r>
        <w:fldChar w:fldCharType="begin"/>
      </w:r>
      <w:r>
        <w:instrText xml:space="preserve"> HYPERLINK \l "_Toc16366" </w:instrText>
      </w:r>
      <w:r>
        <w:fldChar w:fldCharType="separate"/>
      </w:r>
      <w:r>
        <w:rPr>
          <w:rFonts w:hint="eastAsia" w:ascii="宋体" w:hAnsi="宋体" w:cs="宋体"/>
          <w:bCs/>
        </w:rPr>
        <w:t>（一）营业执照等证明材料</w:t>
      </w:r>
      <w:r>
        <w:tab/>
      </w:r>
      <w:r>
        <w:fldChar w:fldCharType="begin"/>
      </w:r>
      <w:r>
        <w:instrText xml:space="preserve"> PAGEREF _Toc16366 \h </w:instrText>
      </w:r>
      <w:r>
        <w:fldChar w:fldCharType="separate"/>
      </w:r>
      <w:r>
        <w:t>28</w:t>
      </w:r>
      <w:r>
        <w:fldChar w:fldCharType="end"/>
      </w:r>
      <w:r>
        <w:fldChar w:fldCharType="end"/>
      </w:r>
    </w:p>
    <w:p w14:paraId="7F29E590">
      <w:pPr>
        <w:pStyle w:val="12"/>
        <w:tabs>
          <w:tab w:val="right" w:leader="dot" w:pos="9638"/>
        </w:tabs>
        <w:ind w:firstLine="440"/>
      </w:pPr>
      <w:r>
        <w:fldChar w:fldCharType="begin"/>
      </w:r>
      <w:r>
        <w:instrText xml:space="preserve"> HYPERLINK \l "_Toc31565" </w:instrText>
      </w:r>
      <w:r>
        <w:fldChar w:fldCharType="separate"/>
      </w:r>
      <w:r>
        <w:rPr>
          <w:rFonts w:hint="eastAsia" w:ascii="宋体" w:hAnsi="宋体" w:cs="宋体"/>
          <w:bCs/>
        </w:rPr>
        <w:t>（二）近年财务状况</w:t>
      </w:r>
      <w:r>
        <w:tab/>
      </w:r>
      <w:r>
        <w:fldChar w:fldCharType="begin"/>
      </w:r>
      <w:r>
        <w:instrText xml:space="preserve"> PAGEREF _Toc31565 \h </w:instrText>
      </w:r>
      <w:r>
        <w:fldChar w:fldCharType="separate"/>
      </w:r>
      <w:r>
        <w:t>28</w:t>
      </w:r>
      <w:r>
        <w:fldChar w:fldCharType="end"/>
      </w:r>
      <w:r>
        <w:fldChar w:fldCharType="end"/>
      </w:r>
    </w:p>
    <w:p w14:paraId="7C6F99A7">
      <w:pPr>
        <w:pStyle w:val="12"/>
        <w:tabs>
          <w:tab w:val="right" w:leader="dot" w:pos="9638"/>
        </w:tabs>
        <w:ind w:firstLine="440"/>
      </w:pPr>
      <w:r>
        <w:fldChar w:fldCharType="begin"/>
      </w:r>
      <w:r>
        <w:instrText xml:space="preserve"> HYPERLINK \l "_Toc5997" </w:instrText>
      </w:r>
      <w:r>
        <w:fldChar w:fldCharType="separate"/>
      </w:r>
      <w:r>
        <w:rPr>
          <w:rFonts w:hint="eastAsia" w:ascii="宋体" w:hAnsi="宋体" w:cs="宋体"/>
          <w:bCs/>
        </w:rPr>
        <w:t>（三）依法纳税及社保证明材料</w:t>
      </w:r>
      <w:r>
        <w:tab/>
      </w:r>
      <w:r>
        <w:fldChar w:fldCharType="begin"/>
      </w:r>
      <w:r>
        <w:instrText xml:space="preserve"> PAGEREF _Toc5997 \h </w:instrText>
      </w:r>
      <w:r>
        <w:fldChar w:fldCharType="separate"/>
      </w:r>
      <w:r>
        <w:t>28</w:t>
      </w:r>
      <w:r>
        <w:fldChar w:fldCharType="end"/>
      </w:r>
      <w:r>
        <w:fldChar w:fldCharType="end"/>
      </w:r>
    </w:p>
    <w:p w14:paraId="158E68E9">
      <w:pPr>
        <w:pStyle w:val="12"/>
        <w:tabs>
          <w:tab w:val="right" w:leader="dot" w:pos="9638"/>
        </w:tabs>
        <w:ind w:firstLine="440"/>
      </w:pPr>
      <w:r>
        <w:fldChar w:fldCharType="begin"/>
      </w:r>
      <w:r>
        <w:instrText xml:space="preserve"> HYPERLINK \l "_Toc5188" </w:instrText>
      </w:r>
      <w:r>
        <w:fldChar w:fldCharType="separate"/>
      </w:r>
      <w:r>
        <w:rPr>
          <w:rFonts w:hint="eastAsia" w:ascii="宋体" w:hAnsi="宋体" w:cs="宋体"/>
          <w:bCs/>
        </w:rPr>
        <w:t>（四</w:t>
      </w:r>
      <w:r>
        <w:rPr>
          <w:rFonts w:hint="eastAsia" w:ascii="宋体" w:hAnsi="宋体" w:cs="宋体"/>
          <w:bCs/>
          <w:highlight w:val="none"/>
        </w:rPr>
        <w:t>）具备履行合同所必需的设备和专业技术能力</w:t>
      </w:r>
      <w:r>
        <w:rPr>
          <w:highlight w:val="none"/>
        </w:rPr>
        <w:tab/>
      </w:r>
      <w:r>
        <w:rPr>
          <w:highlight w:val="none"/>
        </w:rPr>
        <w:fldChar w:fldCharType="begin"/>
      </w:r>
      <w:r>
        <w:rPr>
          <w:highlight w:val="none"/>
        </w:rPr>
        <w:instrText xml:space="preserve"> PAGEREF _Toc5188 \h </w:instrText>
      </w:r>
      <w:r>
        <w:rPr>
          <w:highlight w:val="none"/>
        </w:rPr>
        <w:fldChar w:fldCharType="separate"/>
      </w:r>
      <w:r>
        <w:rPr>
          <w:highlight w:val="none"/>
        </w:rPr>
        <w:t>28</w:t>
      </w:r>
      <w:r>
        <w:rPr>
          <w:highlight w:val="none"/>
        </w:rPr>
        <w:fldChar w:fldCharType="end"/>
      </w:r>
      <w:r>
        <w:fldChar w:fldCharType="end"/>
      </w:r>
    </w:p>
    <w:p w14:paraId="4445CA0B">
      <w:pPr>
        <w:pStyle w:val="12"/>
        <w:tabs>
          <w:tab w:val="right" w:leader="dot" w:pos="9638"/>
        </w:tabs>
        <w:ind w:firstLine="440"/>
      </w:pPr>
      <w:r>
        <w:fldChar w:fldCharType="begin"/>
      </w:r>
      <w:r>
        <w:instrText xml:space="preserve"> HYPERLINK \l "_Toc13902" </w:instrText>
      </w:r>
      <w:r>
        <w:fldChar w:fldCharType="separate"/>
      </w:r>
      <w:r>
        <w:rPr>
          <w:rFonts w:hint="eastAsia" w:ascii="宋体" w:hAnsi="宋体" w:cs="宋体"/>
          <w:bCs/>
        </w:rPr>
        <w:t>（五）参加政府采购活动前3年内在经营活动中没有重大违法记录的书面声明</w:t>
      </w:r>
      <w:r>
        <w:tab/>
      </w:r>
      <w:r>
        <w:fldChar w:fldCharType="begin"/>
      </w:r>
      <w:r>
        <w:instrText xml:space="preserve"> PAGEREF _Toc13902 \h </w:instrText>
      </w:r>
      <w:r>
        <w:fldChar w:fldCharType="separate"/>
      </w:r>
      <w:r>
        <w:t>28</w:t>
      </w:r>
      <w:r>
        <w:fldChar w:fldCharType="end"/>
      </w:r>
      <w:r>
        <w:fldChar w:fldCharType="end"/>
      </w:r>
    </w:p>
    <w:p w14:paraId="10DD461D">
      <w:pPr>
        <w:pStyle w:val="19"/>
        <w:tabs>
          <w:tab w:val="right" w:leader="dot" w:pos="9638"/>
        </w:tabs>
        <w:ind w:firstLine="440"/>
      </w:pPr>
      <w:r>
        <w:fldChar w:fldCharType="begin"/>
      </w:r>
      <w:r>
        <w:instrText xml:space="preserve"> HYPERLINK \l "_Toc8687" </w:instrText>
      </w:r>
      <w:r>
        <w:fldChar w:fldCharType="separate"/>
      </w:r>
      <w:r>
        <w:rPr>
          <w:rFonts w:hint="eastAsia" w:ascii="宋体" w:hAnsi="宋体" w:cs="宋体"/>
          <w:bCs/>
          <w:szCs w:val="32"/>
        </w:rPr>
        <w:t>六、服务方案</w:t>
      </w:r>
      <w:r>
        <w:tab/>
      </w:r>
      <w:r>
        <w:fldChar w:fldCharType="begin"/>
      </w:r>
      <w:r>
        <w:instrText xml:space="preserve"> PAGEREF _Toc8687 \h </w:instrText>
      </w:r>
      <w:r>
        <w:fldChar w:fldCharType="separate"/>
      </w:r>
      <w:r>
        <w:t>29</w:t>
      </w:r>
      <w:r>
        <w:fldChar w:fldCharType="end"/>
      </w:r>
      <w:r>
        <w:fldChar w:fldCharType="end"/>
      </w:r>
    </w:p>
    <w:p w14:paraId="1336BCCA">
      <w:pPr>
        <w:pStyle w:val="19"/>
        <w:tabs>
          <w:tab w:val="right" w:leader="dot" w:pos="9638"/>
        </w:tabs>
        <w:ind w:firstLine="440"/>
      </w:pPr>
      <w:r>
        <w:fldChar w:fldCharType="begin"/>
      </w:r>
      <w:r>
        <w:instrText xml:space="preserve"> HYPERLINK \l "_Toc22397" </w:instrText>
      </w:r>
      <w:r>
        <w:fldChar w:fldCharType="separate"/>
      </w:r>
      <w:r>
        <w:rPr>
          <w:rFonts w:hint="eastAsia" w:ascii="宋体" w:hAnsi="宋体" w:cs="宋体"/>
          <w:bCs/>
          <w:szCs w:val="32"/>
        </w:rPr>
        <w:t>七、其他材料</w:t>
      </w:r>
      <w:r>
        <w:tab/>
      </w:r>
      <w:r>
        <w:fldChar w:fldCharType="begin"/>
      </w:r>
      <w:r>
        <w:instrText xml:space="preserve"> PAGEREF _Toc22397 \h </w:instrText>
      </w:r>
      <w:r>
        <w:fldChar w:fldCharType="separate"/>
      </w:r>
      <w:r>
        <w:t>30</w:t>
      </w:r>
      <w:r>
        <w:fldChar w:fldCharType="end"/>
      </w:r>
      <w:r>
        <w:fldChar w:fldCharType="end"/>
      </w:r>
    </w:p>
    <w:p w14:paraId="347B225E">
      <w:pPr>
        <w:spacing w:line="360" w:lineRule="auto"/>
        <w:ind w:firstLine="420" w:firstLineChars="200"/>
        <w:rPr>
          <w:rFonts w:ascii="宋体" w:hAnsi="宋体" w:cs="宋体"/>
          <w:sz w:val="24"/>
        </w:rPr>
      </w:pPr>
      <w:r>
        <w:rPr>
          <w:rFonts w:hint="eastAsia" w:ascii="宋体" w:hAnsi="宋体" w:cs="宋体"/>
        </w:rPr>
        <w:fldChar w:fldCharType="end"/>
      </w:r>
    </w:p>
    <w:p w14:paraId="37FFC400">
      <w:pPr>
        <w:spacing w:line="360" w:lineRule="auto"/>
        <w:ind w:firstLine="600"/>
        <w:rPr>
          <w:rFonts w:ascii="宋体" w:hAnsi="宋体" w:cs="宋体"/>
          <w:bCs/>
          <w:sz w:val="30"/>
          <w:szCs w:val="30"/>
        </w:rPr>
        <w:sectPr>
          <w:headerReference r:id="rId5" w:type="default"/>
          <w:footerReference r:id="rId6" w:type="default"/>
          <w:pgSz w:w="11906" w:h="16838"/>
          <w:pgMar w:top="1134" w:right="1134" w:bottom="1134" w:left="1134" w:header="851" w:footer="992" w:gutter="0"/>
          <w:cols w:space="0" w:num="1"/>
          <w:titlePg/>
          <w:docGrid w:linePitch="312" w:charSpace="0"/>
        </w:sectPr>
      </w:pPr>
      <w:bookmarkStart w:id="15" w:name="_Toc21501"/>
      <w:bookmarkStart w:id="16" w:name="_Toc18535"/>
      <w:bookmarkStart w:id="17" w:name="_Toc27687"/>
      <w:bookmarkStart w:id="18" w:name="_Toc7907"/>
      <w:bookmarkStart w:id="19" w:name="_Toc805"/>
      <w:bookmarkStart w:id="20" w:name="_Toc10940"/>
      <w:bookmarkStart w:id="21" w:name="_Toc20189"/>
      <w:bookmarkStart w:id="22" w:name="_Toc29261"/>
      <w:bookmarkStart w:id="23" w:name="OLE_LINK12"/>
      <w:bookmarkStart w:id="24" w:name="OLE_LINK24"/>
    </w:p>
    <w:p w14:paraId="0599F7CE">
      <w:pPr>
        <w:spacing w:line="360" w:lineRule="auto"/>
        <w:ind w:firstLine="602"/>
        <w:jc w:val="center"/>
        <w:outlineLvl w:val="0"/>
        <w:rPr>
          <w:rFonts w:ascii="宋体" w:hAnsi="宋体" w:cs="宋体"/>
          <w:b/>
          <w:sz w:val="30"/>
          <w:szCs w:val="30"/>
        </w:rPr>
      </w:pPr>
      <w:bookmarkStart w:id="25" w:name="_Toc30885"/>
      <w:bookmarkStart w:id="26" w:name="_Toc4247"/>
      <w:r>
        <w:rPr>
          <w:rFonts w:hint="eastAsia" w:ascii="宋体" w:hAnsi="宋体" w:cs="宋体"/>
          <w:b/>
          <w:sz w:val="30"/>
          <w:szCs w:val="30"/>
        </w:rPr>
        <w:t xml:space="preserve">第一部分 </w:t>
      </w:r>
      <w:bookmarkEnd w:id="15"/>
      <w:bookmarkEnd w:id="16"/>
      <w:bookmarkEnd w:id="17"/>
      <w:bookmarkEnd w:id="18"/>
      <w:bookmarkEnd w:id="19"/>
      <w:bookmarkEnd w:id="20"/>
      <w:bookmarkEnd w:id="21"/>
      <w:bookmarkEnd w:id="22"/>
      <w:bookmarkEnd w:id="25"/>
      <w:r>
        <w:rPr>
          <w:rFonts w:hint="eastAsia" w:ascii="宋体" w:hAnsi="宋体" w:cs="宋体"/>
          <w:b/>
          <w:sz w:val="30"/>
          <w:szCs w:val="30"/>
        </w:rPr>
        <w:t>单一来源采购邀请函</w:t>
      </w:r>
      <w:bookmarkEnd w:id="26"/>
    </w:p>
    <w:bookmarkEnd w:id="23"/>
    <w:bookmarkEnd w:id="24"/>
    <w:p w14:paraId="6311317B">
      <w:pPr>
        <w:spacing w:line="360" w:lineRule="auto"/>
        <w:ind w:firstLine="643"/>
        <w:jc w:val="center"/>
        <w:rPr>
          <w:rFonts w:ascii="宋体" w:hAnsi="宋体" w:cs="宋体"/>
          <w:b/>
          <w:bCs/>
          <w:sz w:val="32"/>
          <w:szCs w:val="32"/>
        </w:rPr>
      </w:pPr>
      <w:r>
        <w:rPr>
          <w:rFonts w:hint="eastAsia" w:ascii="宋体" w:hAnsi="宋体" w:cs="宋体"/>
          <w:b/>
          <w:bCs/>
          <w:sz w:val="32"/>
          <w:szCs w:val="32"/>
        </w:rPr>
        <w:t>河南省生态环境监测和安全中心河南省空天地一体化环境信息监控系统(一期)2026年数据和运维服务项目</w:t>
      </w:r>
    </w:p>
    <w:p w14:paraId="558F411C">
      <w:pPr>
        <w:spacing w:line="360" w:lineRule="auto"/>
        <w:ind w:firstLine="643"/>
        <w:jc w:val="center"/>
        <w:rPr>
          <w:rFonts w:ascii="宋体" w:hAnsi="宋体" w:cs="宋体"/>
          <w:b/>
          <w:bCs/>
          <w:sz w:val="32"/>
          <w:szCs w:val="32"/>
        </w:rPr>
      </w:pPr>
      <w:r>
        <w:rPr>
          <w:rFonts w:hint="eastAsia" w:ascii="宋体" w:hAnsi="宋体" w:cs="宋体"/>
          <w:b/>
          <w:bCs/>
          <w:sz w:val="32"/>
          <w:szCs w:val="32"/>
        </w:rPr>
        <w:t>单一来源采购邀请函</w:t>
      </w:r>
    </w:p>
    <w:p w14:paraId="7698D230">
      <w:pPr>
        <w:spacing w:line="360" w:lineRule="auto"/>
        <w:ind w:firstLine="0" w:firstLineChars="0"/>
        <w:rPr>
          <w:rFonts w:hint="eastAsia" w:ascii="宋体" w:hAnsi="宋体" w:eastAsia="宋体" w:cs="宋体"/>
          <w:sz w:val="24"/>
          <w:lang w:eastAsia="zh-CN"/>
        </w:rPr>
      </w:pPr>
      <w:r>
        <w:rPr>
          <w:rFonts w:hint="eastAsia" w:ascii="宋体" w:hAnsi="宋体" w:cs="宋体"/>
          <w:sz w:val="24"/>
          <w:lang w:eastAsia="zh-CN"/>
        </w:rPr>
        <w:t>致：中国电子科技集团公司第二十七研究所</w:t>
      </w:r>
    </w:p>
    <w:p w14:paraId="681A8C19">
      <w:pPr>
        <w:spacing w:line="360" w:lineRule="auto"/>
        <w:ind w:firstLine="480" w:firstLineChars="200"/>
        <w:rPr>
          <w:rFonts w:ascii="宋体" w:hAnsi="宋体" w:cs="宋体"/>
          <w:sz w:val="24"/>
        </w:rPr>
      </w:pPr>
      <w:r>
        <w:rPr>
          <w:rFonts w:hint="eastAsia" w:ascii="宋体" w:hAnsi="宋体" w:cs="宋体"/>
          <w:sz w:val="24"/>
        </w:rPr>
        <w:t>方大国际工程咨询股份有限公司受河南省生态环境监测和安全中心的委托，就河南省生态环境监测和安全中心河南省空天地一体化环境信息监控系统(一期)2026年数据和运维服务项目进行单一来源采购。现邀请如下：</w:t>
      </w:r>
    </w:p>
    <w:p w14:paraId="6E91EF37">
      <w:pPr>
        <w:numPr>
          <w:ilvl w:val="0"/>
          <w:numId w:val="1"/>
        </w:numPr>
        <w:spacing w:line="360" w:lineRule="auto"/>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项目基本情况</w:t>
      </w:r>
    </w:p>
    <w:p w14:paraId="3D3C3EE5">
      <w:pPr>
        <w:numPr>
          <w:ilvl w:val="-1"/>
          <w:numId w:val="0"/>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采购项目名称：河南省生态环境监测和安全中心河南省空天地一体化环境信息监控系统(一期)2026年数据和运维服务项目</w:t>
      </w:r>
    </w:p>
    <w:p w14:paraId="0BEC81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采购项目编号：豫财单一采购-2026-3</w:t>
      </w:r>
    </w:p>
    <w:p w14:paraId="25E73E65">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项目预算金额：150万元</w:t>
      </w:r>
    </w:p>
    <w:p w14:paraId="51DB47F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、采购需求（包括目标、标准、数量、规格、服务要求、验收标准等）</w:t>
      </w:r>
    </w:p>
    <w:p w14:paraId="716818C8">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eastAsia="zh-CN"/>
        </w:rPr>
        <w:t>本项目不划分</w:t>
      </w:r>
      <w:r>
        <w:rPr>
          <w:rFonts w:hint="eastAsia" w:ascii="宋体" w:hAnsi="宋体" w:cs="宋体"/>
          <w:sz w:val="24"/>
          <w:highlight w:val="none"/>
          <w:lang w:val="en-US" w:eastAsia="zh-CN"/>
        </w:rPr>
        <w:t>包，不接受分包和转包。</w:t>
      </w:r>
    </w:p>
    <w:p w14:paraId="2EE26EAC">
      <w:pPr>
        <w:spacing w:line="360" w:lineRule="auto"/>
        <w:ind w:firstLine="480" w:firstLineChars="200"/>
        <w:rPr>
          <w:rFonts w:ascii="宋体" w:hAnsi="宋体" w:cs="宋体"/>
          <w:sz w:val="24"/>
        </w:rPr>
      </w:pPr>
      <w:r>
        <w:rPr>
          <w:rFonts w:hint="eastAsia" w:ascii="宋体" w:hAnsi="宋体" w:cs="宋体"/>
          <w:sz w:val="24"/>
          <w:highlight w:val="none"/>
          <w:lang w:val="en-US" w:eastAsia="zh-CN"/>
        </w:rPr>
        <w:t>2.</w:t>
      </w:r>
      <w:r>
        <w:rPr>
          <w:rFonts w:hint="eastAsia" w:ascii="宋体" w:hAnsi="宋体" w:cs="宋体"/>
          <w:sz w:val="24"/>
          <w:highlight w:val="none"/>
        </w:rPr>
        <w:t>采购内容：开展卫星遥感系统运行维护，保障系统正常运行。接收和获取卫星遥感数据，提供河南省秸秆焚烧、黄河流域风险源、污染地块、南水北调水源地、</w:t>
      </w:r>
      <w:r>
        <w:rPr>
          <w:rFonts w:hint="eastAsia" w:ascii="宋体" w:hAnsi="宋体" w:cs="宋体"/>
          <w:sz w:val="24"/>
        </w:rPr>
        <w:t>臭氧热点网格等卫星遥感监测服务，为环境污染防治攻坚工作提供数据支撑。</w:t>
      </w:r>
    </w:p>
    <w:p w14:paraId="2B35BCDE">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.服务地点：河南省郑州市郑东新区学理路 10 号</w:t>
      </w:r>
      <w:r>
        <w:rPr>
          <w:rFonts w:hint="eastAsia" w:ascii="宋体" w:hAnsi="宋体" w:cs="宋体"/>
          <w:sz w:val="24"/>
          <w:lang w:eastAsia="zh-CN"/>
        </w:rPr>
        <w:t>。</w:t>
      </w:r>
    </w:p>
    <w:p w14:paraId="38463B8D">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highlight w:val="none"/>
        </w:rPr>
        <w:t>服务期限：</w:t>
      </w:r>
      <w:r>
        <w:rPr>
          <w:rFonts w:hint="eastAsia" w:ascii="宋体" w:hAnsi="宋体" w:cs="宋体"/>
          <w:sz w:val="24"/>
          <w:highlight w:val="none"/>
          <w:lang w:val="en-US" w:eastAsia="zh-CN"/>
        </w:rPr>
        <w:t>1</w:t>
      </w:r>
      <w:r>
        <w:rPr>
          <w:rFonts w:hint="eastAsia" w:ascii="宋体" w:hAnsi="宋体" w:cs="宋体"/>
          <w:sz w:val="24"/>
          <w:highlight w:val="none"/>
        </w:rPr>
        <w:t>年（202</w:t>
      </w:r>
      <w:r>
        <w:rPr>
          <w:rFonts w:hint="eastAsia" w:ascii="宋体" w:hAnsi="宋体" w:cs="宋体"/>
          <w:sz w:val="24"/>
          <w:highlight w:val="none"/>
          <w:lang w:val="en-US" w:eastAsia="zh-CN"/>
        </w:rPr>
        <w:t>6</w:t>
      </w:r>
      <w:r>
        <w:rPr>
          <w:rFonts w:hint="eastAsia" w:ascii="宋体" w:hAnsi="宋体" w:cs="宋体"/>
          <w:sz w:val="24"/>
          <w:highlight w:val="none"/>
        </w:rPr>
        <w:t>年1月2</w:t>
      </w:r>
      <w:r>
        <w:rPr>
          <w:rFonts w:hint="eastAsia" w:ascii="宋体" w:hAnsi="宋体" w:cs="宋体"/>
          <w:sz w:val="24"/>
          <w:highlight w:val="none"/>
          <w:lang w:val="en-US" w:eastAsia="zh-CN"/>
        </w:rPr>
        <w:t>5</w:t>
      </w:r>
      <w:r>
        <w:rPr>
          <w:rFonts w:hint="eastAsia" w:ascii="宋体" w:hAnsi="宋体" w:cs="宋体"/>
          <w:sz w:val="24"/>
          <w:highlight w:val="none"/>
        </w:rPr>
        <w:t>日-202</w:t>
      </w:r>
      <w:r>
        <w:rPr>
          <w:rFonts w:hint="eastAsia" w:ascii="宋体" w:hAnsi="宋体" w:cs="宋体"/>
          <w:sz w:val="24"/>
          <w:highlight w:val="none"/>
          <w:lang w:val="en-US" w:eastAsia="zh-CN"/>
        </w:rPr>
        <w:t>7</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eastAsia="zh-CN"/>
        </w:rPr>
        <w:t>。</w:t>
      </w:r>
    </w:p>
    <w:p w14:paraId="6B47284F">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 xml:space="preserve">.服务质量：符合国家或行业规定的合格标准，满足采购人要求。 </w:t>
      </w:r>
    </w:p>
    <w:p w14:paraId="15D72227">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6.本项目是否接受联合体：否。</w:t>
      </w:r>
    </w:p>
    <w:p w14:paraId="6A09AC72">
      <w:pPr>
        <w:spacing w:line="360" w:lineRule="auto"/>
        <w:rPr>
          <w:rFonts w:ascii="宋体" w:hAnsi="宋体" w:cs="宋体"/>
          <w:sz w:val="24"/>
        </w:rPr>
      </w:pPr>
      <w:r>
        <w:rPr>
          <w:rFonts w:hint="eastAsia" w:ascii="宋体" w:hAnsi="宋体" w:cs="宋体"/>
          <w:sz w:val="24"/>
          <w:lang w:eastAsia="zh-CN"/>
        </w:rPr>
        <w:t>三</w:t>
      </w:r>
      <w:r>
        <w:rPr>
          <w:rFonts w:hint="eastAsia" w:ascii="宋体" w:hAnsi="宋体" w:cs="宋体"/>
          <w:sz w:val="24"/>
        </w:rPr>
        <w:t>、供应商资格要求：</w:t>
      </w:r>
    </w:p>
    <w:p w14:paraId="3030E604">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858A583">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6A006738">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00D0E697">
      <w:pPr>
        <w:spacing w:line="360" w:lineRule="auto"/>
        <w:ind w:firstLine="480" w:firstLineChars="200"/>
        <w:rPr>
          <w:rFonts w:ascii="宋体" w:hAnsi="宋体" w:cs="宋体"/>
          <w:sz w:val="24"/>
        </w:rPr>
      </w:pPr>
      <w:r>
        <w:rPr>
          <w:rFonts w:hint="eastAsia" w:ascii="宋体" w:hAnsi="宋体" w:cs="宋体"/>
          <w:sz w:val="24"/>
          <w:highlight w:val="none"/>
        </w:rPr>
        <w:t>（3）具有履行合同所必需的设备和专业技术能力；</w:t>
      </w:r>
    </w:p>
    <w:p w14:paraId="3347DF6C">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3686ED6F">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3CB360C4">
      <w:pPr>
        <w:spacing w:line="360" w:lineRule="auto"/>
        <w:ind w:firstLine="480" w:firstLineChars="200"/>
        <w:rPr>
          <w:rFonts w:ascii="宋体" w:hAnsi="宋体" w:cs="宋体"/>
          <w:sz w:val="24"/>
        </w:rPr>
      </w:pPr>
      <w:r>
        <w:rPr>
          <w:rFonts w:hint="eastAsia" w:ascii="宋体" w:hAnsi="宋体" w:cs="宋体"/>
          <w:sz w:val="24"/>
        </w:rPr>
        <w:t xml:space="preserve">（6）法律、行政法规规定的其他条件。 </w:t>
      </w:r>
    </w:p>
    <w:p w14:paraId="10E0887C">
      <w:pPr>
        <w:spacing w:line="360" w:lineRule="auto"/>
        <w:rPr>
          <w:rFonts w:ascii="宋体" w:hAnsi="宋体" w:cs="宋体"/>
          <w:sz w:val="24"/>
        </w:rPr>
      </w:pPr>
      <w:r>
        <w:rPr>
          <w:rFonts w:hint="eastAsia" w:ascii="宋体" w:hAnsi="宋体" w:cs="宋体"/>
          <w:sz w:val="24"/>
          <w:lang w:eastAsia="zh-CN"/>
        </w:rPr>
        <w:t>四</w:t>
      </w:r>
      <w:r>
        <w:rPr>
          <w:rFonts w:hint="eastAsia" w:ascii="宋体" w:hAnsi="宋体" w:cs="宋体"/>
          <w:sz w:val="24"/>
        </w:rPr>
        <w:t xml:space="preserve">、获取单一来源文件 </w:t>
      </w:r>
    </w:p>
    <w:p w14:paraId="7DAA70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日09时00分至202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 xml:space="preserve">日17时00分（北京时间，法定节假日除外。） </w:t>
      </w:r>
    </w:p>
    <w:p w14:paraId="17BD3B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2.地点：方大国际工程咨询股份有限公司（郑州市郑东新区康宁街与普济路交会处德威广场12层）； </w:t>
      </w:r>
    </w:p>
    <w:p w14:paraId="4F2A0F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3.方式：供应商可通过现场或电子邮件方式获取采购文件。</w:t>
      </w:r>
    </w:p>
    <w:p w14:paraId="6F03C5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（1）现场领取：供应商须携带授权委托书及被委托人身份证</w:t>
      </w:r>
      <w:r>
        <w:rPr>
          <w:rFonts w:hint="eastAsia" w:ascii="宋体" w:hAnsi="宋体" w:cs="宋体"/>
          <w:color w:val="auto"/>
          <w:sz w:val="24"/>
          <w:highlight w:val="none"/>
          <w:lang w:eastAsia="zh-CN"/>
        </w:rPr>
        <w:t>领取</w:t>
      </w:r>
      <w:r>
        <w:rPr>
          <w:rFonts w:hint="eastAsia" w:ascii="宋体" w:hAnsi="宋体" w:cs="宋体"/>
          <w:color w:val="auto"/>
          <w:sz w:val="24"/>
          <w:highlight w:val="none"/>
        </w:rPr>
        <w:t>采购文件；</w:t>
      </w:r>
    </w:p>
    <w:p w14:paraId="2BC1DC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（2）电子邮件方式：供应商将授权委托书及被委托人身份证扫描件发送至采购代理机构电子邮箱（fdzxzb001@163.com），代理机构收到邮件并审核合格后，将采购文件电子版发送至供应商邮箱； </w:t>
      </w:r>
    </w:p>
    <w:p w14:paraId="516A7BD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五</w:t>
      </w:r>
      <w:r>
        <w:rPr>
          <w:rFonts w:hint="eastAsia" w:ascii="宋体" w:hAnsi="宋体" w:cs="宋体"/>
          <w:color w:val="auto"/>
          <w:sz w:val="24"/>
          <w:highlight w:val="none"/>
        </w:rPr>
        <w:t xml:space="preserve">、响应文件提交的截止时间及地点 </w:t>
      </w:r>
    </w:p>
    <w:p w14:paraId="54C2A9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r>
        <w:rPr>
          <w:rFonts w:hint="eastAsia" w:ascii="宋体" w:hAnsi="宋体" w:cs="宋体"/>
          <w:color w:val="auto"/>
          <w:sz w:val="24"/>
        </w:rPr>
        <w:t>；</w:t>
      </w:r>
      <w:r>
        <w:rPr>
          <w:rFonts w:hint="eastAsia" w:ascii="宋体" w:hAnsi="宋体" w:cs="宋体"/>
          <w:color w:val="auto"/>
          <w:sz w:val="24"/>
          <w:highlight w:val="none"/>
        </w:rPr>
        <w:t xml:space="preserve"> </w:t>
      </w:r>
    </w:p>
    <w:p w14:paraId="37D68A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2.地点：郑州市郑东新区康宁街与普济路交会处德威广场12层方大国际工程咨询股份有限公司开标室。</w:t>
      </w:r>
    </w:p>
    <w:p w14:paraId="4CC4A20E">
      <w:pPr>
        <w:widowControl/>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单一来源公示</w:t>
      </w:r>
      <w:r>
        <w:rPr>
          <w:rFonts w:hint="eastAsia" w:ascii="宋体" w:hAnsi="宋体" w:cs="宋体"/>
          <w:color w:val="auto"/>
          <w:sz w:val="24"/>
          <w:highlight w:val="none"/>
        </w:rPr>
        <w:t>的媒介及期限</w:t>
      </w:r>
    </w:p>
    <w:p w14:paraId="24142B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w:t>
      </w:r>
      <w:r>
        <w:rPr>
          <w:rFonts w:hint="eastAsia" w:ascii="宋体" w:hAnsi="宋体" w:cs="宋体"/>
          <w:color w:val="auto"/>
          <w:sz w:val="24"/>
          <w:highlight w:val="none"/>
          <w:lang w:val="en-US" w:eastAsia="zh-CN"/>
        </w:rPr>
        <w:t>单一来源公示</w:t>
      </w:r>
      <w:r>
        <w:rPr>
          <w:rFonts w:hint="eastAsia" w:ascii="宋体" w:hAnsi="宋体" w:cs="宋体"/>
          <w:color w:val="auto"/>
          <w:sz w:val="24"/>
          <w:highlight w:val="none"/>
        </w:rPr>
        <w:t>在《中国招标投标公共服务平台》、《河南招标采购综合网》上发布，</w:t>
      </w:r>
      <w:r>
        <w:rPr>
          <w:rFonts w:hint="eastAsia" w:ascii="宋体" w:hAnsi="宋体" w:cs="宋体"/>
          <w:color w:val="auto"/>
          <w:sz w:val="24"/>
          <w:highlight w:val="none"/>
          <w:lang w:val="en-US" w:eastAsia="zh-CN"/>
        </w:rPr>
        <w:t>单一来源公示</w:t>
      </w:r>
      <w:r>
        <w:rPr>
          <w:rFonts w:hint="eastAsia" w:ascii="宋体" w:hAnsi="宋体" w:cs="宋体"/>
          <w:color w:val="auto"/>
          <w:sz w:val="24"/>
          <w:highlight w:val="none"/>
        </w:rPr>
        <w:t>期限为</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个工作日。</w:t>
      </w:r>
    </w:p>
    <w:p w14:paraId="0C98B2C9">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 xml:space="preserve">、联系方式 </w:t>
      </w:r>
    </w:p>
    <w:p w14:paraId="5D7C1291">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1.名称：河南省生态环境监测和安全中心</w:t>
      </w:r>
    </w:p>
    <w:p w14:paraId="2E051B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地址：郑州市郑东新区学理路10号</w:t>
      </w:r>
    </w:p>
    <w:p w14:paraId="0429C22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赵先生</w:t>
      </w:r>
    </w:p>
    <w:p w14:paraId="3093DFEF">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0371-66309341</w:t>
      </w:r>
    </w:p>
    <w:p w14:paraId="193EEE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3.采购代理机构：方大国际工程咨询股份有限公司</w:t>
      </w:r>
    </w:p>
    <w:p w14:paraId="288E7E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地址：郑州市郑东新区康宁街与普济路交会处德威广场12层</w:t>
      </w:r>
    </w:p>
    <w:p w14:paraId="5DCE1F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联系人：杜创业、郭闪闪</w:t>
      </w:r>
    </w:p>
    <w:p w14:paraId="515411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联系方式：0371-85967760、0371-86120322、0371-85969785</w:t>
      </w:r>
    </w:p>
    <w:p w14:paraId="6E1B36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4.项目联系人：杜创业、郭闪闪</w:t>
      </w:r>
    </w:p>
    <w:p w14:paraId="03CF23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项目联系方式：0371-85967760、0371-86120322、0371-85969785</w:t>
      </w:r>
    </w:p>
    <w:p w14:paraId="05AD634A">
      <w:pPr>
        <w:spacing w:line="360" w:lineRule="auto"/>
        <w:ind w:firstLine="602"/>
        <w:rPr>
          <w:rFonts w:ascii="宋体" w:hAnsi="宋体" w:cs="宋体"/>
          <w:b/>
          <w:sz w:val="30"/>
          <w:szCs w:val="30"/>
        </w:rPr>
      </w:pPr>
      <w:bookmarkStart w:id="27" w:name="_Toc18934"/>
      <w:bookmarkStart w:id="28" w:name="_Toc31344"/>
      <w:bookmarkStart w:id="29" w:name="_Toc30126"/>
      <w:bookmarkStart w:id="30" w:name="_Toc18349"/>
      <w:bookmarkStart w:id="31" w:name="_Toc2799"/>
      <w:bookmarkStart w:id="32" w:name="_Toc8063"/>
      <w:bookmarkStart w:id="33" w:name="_Toc8585"/>
      <w:bookmarkStart w:id="34" w:name="_Toc32353"/>
      <w:r>
        <w:rPr>
          <w:rFonts w:hint="eastAsia" w:ascii="宋体" w:hAnsi="宋体" w:cs="宋体"/>
          <w:b/>
          <w:sz w:val="30"/>
          <w:szCs w:val="30"/>
        </w:rPr>
        <w:br w:type="page"/>
      </w:r>
    </w:p>
    <w:p w14:paraId="0463C086">
      <w:pPr>
        <w:spacing w:line="360" w:lineRule="auto"/>
        <w:ind w:firstLine="602"/>
        <w:jc w:val="center"/>
        <w:outlineLvl w:val="0"/>
        <w:rPr>
          <w:rFonts w:ascii="宋体" w:hAnsi="宋体" w:cs="宋体"/>
          <w:bCs/>
          <w:sz w:val="30"/>
          <w:szCs w:val="30"/>
        </w:rPr>
      </w:pPr>
      <w:bookmarkStart w:id="35" w:name="_Toc1404"/>
      <w:r>
        <w:rPr>
          <w:rFonts w:hint="eastAsia" w:ascii="宋体" w:hAnsi="宋体" w:cs="宋体"/>
          <w:b/>
          <w:sz w:val="30"/>
          <w:szCs w:val="30"/>
        </w:rPr>
        <w:t xml:space="preserve">第二部分 </w:t>
      </w:r>
      <w:bookmarkStart w:id="36" w:name="_Toc182192931"/>
      <w:r>
        <w:rPr>
          <w:rFonts w:hint="eastAsia" w:ascii="宋体" w:hAnsi="宋体" w:cs="宋体"/>
          <w:b/>
          <w:sz w:val="30"/>
          <w:szCs w:val="30"/>
        </w:rPr>
        <w:t>供应商须知</w:t>
      </w:r>
      <w:bookmarkEnd w:id="27"/>
      <w:bookmarkEnd w:id="28"/>
      <w:bookmarkEnd w:id="29"/>
      <w:bookmarkEnd w:id="30"/>
      <w:bookmarkEnd w:id="31"/>
      <w:bookmarkEnd w:id="32"/>
      <w:bookmarkEnd w:id="33"/>
      <w:bookmarkEnd w:id="34"/>
      <w:bookmarkEnd w:id="35"/>
      <w:bookmarkEnd w:id="36"/>
    </w:p>
    <w:p w14:paraId="4AC4D95E">
      <w:pPr>
        <w:keepNext/>
        <w:keepLines/>
        <w:spacing w:line="360" w:lineRule="auto"/>
        <w:ind w:firstLine="562"/>
        <w:jc w:val="center"/>
        <w:rPr>
          <w:rFonts w:ascii="宋体" w:hAnsi="宋体" w:cs="宋体"/>
          <w:b/>
          <w:bCs/>
          <w:sz w:val="28"/>
          <w:szCs w:val="28"/>
        </w:rPr>
      </w:pPr>
      <w:r>
        <w:rPr>
          <w:rFonts w:hint="eastAsia" w:ascii="宋体" w:hAnsi="宋体" w:cs="宋体"/>
          <w:b/>
          <w:bCs/>
          <w:sz w:val="28"/>
          <w:szCs w:val="28"/>
        </w:rPr>
        <w:t>供应商须知前附表</w:t>
      </w:r>
    </w:p>
    <w:tbl>
      <w:tblPr>
        <w:tblStyle w:val="2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63"/>
        <w:gridCol w:w="7009"/>
      </w:tblGrid>
      <w:tr w14:paraId="097B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2FE8D023">
            <w:pPr>
              <w:spacing w:line="360" w:lineRule="auto"/>
              <w:ind w:firstLine="482"/>
              <w:jc w:val="center"/>
              <w:rPr>
                <w:rFonts w:ascii="宋体" w:hAnsi="宋体" w:cs="宋体"/>
                <w:b/>
                <w:sz w:val="24"/>
              </w:rPr>
            </w:pPr>
            <w:r>
              <w:rPr>
                <w:rFonts w:hint="eastAsia" w:ascii="宋体" w:hAnsi="宋体" w:cs="宋体"/>
                <w:b/>
                <w:sz w:val="24"/>
              </w:rPr>
              <w:t>序号</w:t>
            </w:r>
          </w:p>
        </w:tc>
        <w:tc>
          <w:tcPr>
            <w:tcW w:w="1963" w:type="dxa"/>
            <w:vAlign w:val="center"/>
          </w:tcPr>
          <w:p w14:paraId="53A0262A">
            <w:pPr>
              <w:spacing w:line="360" w:lineRule="auto"/>
              <w:ind w:firstLine="482"/>
              <w:jc w:val="center"/>
              <w:rPr>
                <w:rFonts w:ascii="宋体" w:hAnsi="宋体" w:cs="宋体"/>
                <w:b/>
                <w:sz w:val="24"/>
              </w:rPr>
            </w:pPr>
            <w:r>
              <w:rPr>
                <w:rFonts w:hint="eastAsia" w:ascii="宋体" w:hAnsi="宋体" w:cs="宋体"/>
                <w:b/>
                <w:sz w:val="24"/>
              </w:rPr>
              <w:t>名 称</w:t>
            </w:r>
          </w:p>
        </w:tc>
        <w:tc>
          <w:tcPr>
            <w:tcW w:w="7009" w:type="dxa"/>
            <w:vAlign w:val="center"/>
          </w:tcPr>
          <w:p w14:paraId="412DC9E9">
            <w:pPr>
              <w:spacing w:line="360" w:lineRule="auto"/>
              <w:ind w:firstLine="482"/>
              <w:jc w:val="center"/>
              <w:rPr>
                <w:rFonts w:ascii="宋体" w:hAnsi="宋体" w:cs="宋体"/>
                <w:b/>
                <w:sz w:val="24"/>
              </w:rPr>
            </w:pPr>
            <w:r>
              <w:rPr>
                <w:rFonts w:hint="eastAsia" w:ascii="宋体" w:hAnsi="宋体" w:cs="宋体"/>
                <w:b/>
                <w:sz w:val="24"/>
              </w:rPr>
              <w:t>内   容</w:t>
            </w:r>
          </w:p>
        </w:tc>
      </w:tr>
      <w:tr w14:paraId="066F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467FB779">
            <w:pPr>
              <w:spacing w:line="360" w:lineRule="auto"/>
              <w:jc w:val="center"/>
              <w:rPr>
                <w:rFonts w:ascii="宋体" w:hAnsi="宋体" w:cs="宋体"/>
                <w:b/>
                <w:sz w:val="24"/>
              </w:rPr>
            </w:pPr>
            <w:r>
              <w:rPr>
                <w:rFonts w:hint="eastAsia" w:ascii="宋体" w:hAnsi="宋体" w:cs="宋体"/>
                <w:bCs/>
                <w:sz w:val="24"/>
              </w:rPr>
              <w:t>1</w:t>
            </w:r>
          </w:p>
        </w:tc>
        <w:tc>
          <w:tcPr>
            <w:tcW w:w="1963" w:type="dxa"/>
            <w:vAlign w:val="center"/>
          </w:tcPr>
          <w:p w14:paraId="34B6C62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7009" w:type="dxa"/>
            <w:vAlign w:val="center"/>
          </w:tcPr>
          <w:p w14:paraId="4811D2C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项目名称：河南省生态环境监测和安全中心河南省空天地一体化环境信息监控系统(一期)2026年数据和运维服务项目</w:t>
            </w:r>
          </w:p>
          <w:p w14:paraId="7BCDD0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采购编号：豫财单一采购-2026-3</w:t>
            </w:r>
          </w:p>
        </w:tc>
      </w:tr>
      <w:tr w14:paraId="08C1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752DC1F8">
            <w:pPr>
              <w:spacing w:line="360" w:lineRule="auto"/>
              <w:jc w:val="center"/>
              <w:rPr>
                <w:rFonts w:ascii="宋体" w:hAnsi="宋体" w:cs="宋体"/>
                <w:sz w:val="24"/>
              </w:rPr>
            </w:pPr>
            <w:r>
              <w:rPr>
                <w:rFonts w:hint="eastAsia" w:ascii="宋体" w:hAnsi="宋体" w:cs="宋体"/>
                <w:sz w:val="24"/>
              </w:rPr>
              <w:t>1.2.1</w:t>
            </w:r>
          </w:p>
        </w:tc>
        <w:tc>
          <w:tcPr>
            <w:tcW w:w="1963" w:type="dxa"/>
            <w:vAlign w:val="center"/>
          </w:tcPr>
          <w:p w14:paraId="493184E3">
            <w:pPr>
              <w:snapToGrid w:val="0"/>
              <w:spacing w:line="360" w:lineRule="auto"/>
              <w:jc w:val="center"/>
              <w:rPr>
                <w:rFonts w:ascii="宋体" w:hAnsi="宋体" w:cs="宋体"/>
                <w:color w:val="auto"/>
                <w:sz w:val="24"/>
              </w:rPr>
            </w:pPr>
            <w:r>
              <w:rPr>
                <w:rFonts w:hint="eastAsia" w:ascii="宋体" w:hAnsi="宋体" w:cs="宋体"/>
                <w:color w:val="auto"/>
                <w:sz w:val="24"/>
              </w:rPr>
              <w:t>采购人</w:t>
            </w:r>
          </w:p>
        </w:tc>
        <w:tc>
          <w:tcPr>
            <w:tcW w:w="7009" w:type="dxa"/>
            <w:vAlign w:val="center"/>
          </w:tcPr>
          <w:p w14:paraId="16237EC6">
            <w:pPr>
              <w:spacing w:line="360" w:lineRule="auto"/>
              <w:rPr>
                <w:rFonts w:ascii="宋体" w:hAnsi="宋体" w:cs="宋体"/>
                <w:color w:val="auto"/>
                <w:sz w:val="24"/>
              </w:rPr>
            </w:pPr>
            <w:r>
              <w:rPr>
                <w:rFonts w:hint="eastAsia" w:ascii="宋体" w:hAnsi="宋体" w:cs="宋体"/>
                <w:color w:val="auto"/>
                <w:sz w:val="24"/>
              </w:rPr>
              <w:t>名称：河南省生态环境监测和安全中心</w:t>
            </w:r>
          </w:p>
          <w:p w14:paraId="53FF5EA0">
            <w:pPr>
              <w:spacing w:line="360" w:lineRule="auto"/>
              <w:rPr>
                <w:rFonts w:ascii="宋体" w:hAnsi="宋体" w:cs="宋体"/>
                <w:color w:val="auto"/>
                <w:sz w:val="24"/>
              </w:rPr>
            </w:pPr>
            <w:r>
              <w:rPr>
                <w:rFonts w:hint="eastAsia" w:ascii="宋体" w:hAnsi="宋体" w:cs="宋体"/>
                <w:color w:val="auto"/>
                <w:sz w:val="24"/>
              </w:rPr>
              <w:t>地址：郑州市郑东新区学理路10号</w:t>
            </w:r>
          </w:p>
          <w:p w14:paraId="6A2BCA23">
            <w:pPr>
              <w:spacing w:line="360" w:lineRule="auto"/>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eastAsia="zh-CN"/>
              </w:rPr>
              <w:t>赵先生</w:t>
            </w:r>
          </w:p>
          <w:p w14:paraId="04487FBA">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联系方式：</w:t>
            </w:r>
            <w:r>
              <w:rPr>
                <w:rFonts w:hint="eastAsia" w:ascii="宋体" w:hAnsi="宋体" w:cs="宋体"/>
                <w:color w:val="auto"/>
                <w:sz w:val="24"/>
                <w:lang w:val="en-US" w:eastAsia="zh-CN"/>
              </w:rPr>
              <w:t>0371-66309341</w:t>
            </w:r>
          </w:p>
        </w:tc>
      </w:tr>
      <w:tr w14:paraId="6775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85" w:type="dxa"/>
            <w:vAlign w:val="center"/>
          </w:tcPr>
          <w:p w14:paraId="6C18CECC">
            <w:pPr>
              <w:spacing w:line="360" w:lineRule="auto"/>
              <w:jc w:val="center"/>
              <w:rPr>
                <w:rFonts w:ascii="宋体" w:hAnsi="宋体" w:cs="宋体"/>
                <w:sz w:val="24"/>
              </w:rPr>
            </w:pPr>
            <w:r>
              <w:rPr>
                <w:rFonts w:hint="eastAsia" w:ascii="宋体" w:hAnsi="宋体" w:cs="宋体"/>
                <w:sz w:val="24"/>
              </w:rPr>
              <w:t>1.2.2</w:t>
            </w:r>
          </w:p>
        </w:tc>
        <w:tc>
          <w:tcPr>
            <w:tcW w:w="1963" w:type="dxa"/>
            <w:vAlign w:val="center"/>
          </w:tcPr>
          <w:p w14:paraId="336CE8CF">
            <w:pPr>
              <w:snapToGrid w:val="0"/>
              <w:spacing w:line="360" w:lineRule="auto"/>
              <w:jc w:val="center"/>
              <w:rPr>
                <w:rFonts w:ascii="宋体" w:hAnsi="宋体" w:cs="宋体"/>
                <w:sz w:val="24"/>
              </w:rPr>
            </w:pPr>
            <w:r>
              <w:rPr>
                <w:rFonts w:hint="eastAsia" w:ascii="宋体" w:hAnsi="宋体" w:cs="宋体"/>
                <w:sz w:val="24"/>
              </w:rPr>
              <w:t>采购代理机构</w:t>
            </w:r>
          </w:p>
        </w:tc>
        <w:tc>
          <w:tcPr>
            <w:tcW w:w="7009" w:type="dxa"/>
            <w:vAlign w:val="center"/>
          </w:tcPr>
          <w:p w14:paraId="2D6E7ADA">
            <w:pPr>
              <w:snapToGrid w:val="0"/>
              <w:spacing w:line="360" w:lineRule="auto"/>
              <w:rPr>
                <w:rFonts w:ascii="宋体" w:hAnsi="宋体" w:cs="宋体"/>
                <w:sz w:val="24"/>
              </w:rPr>
            </w:pPr>
            <w:r>
              <w:rPr>
                <w:rFonts w:hint="eastAsia" w:ascii="宋体" w:hAnsi="宋体" w:cs="宋体"/>
                <w:sz w:val="24"/>
              </w:rPr>
              <w:t xml:space="preserve">名称：方大国际工程咨询股份有限公司 </w:t>
            </w:r>
          </w:p>
          <w:p w14:paraId="3B92D467">
            <w:pPr>
              <w:snapToGrid w:val="0"/>
              <w:spacing w:line="360" w:lineRule="auto"/>
              <w:rPr>
                <w:rFonts w:ascii="宋体" w:hAnsi="宋体" w:cs="宋体"/>
                <w:sz w:val="24"/>
              </w:rPr>
            </w:pPr>
            <w:r>
              <w:rPr>
                <w:rFonts w:hint="eastAsia" w:ascii="宋体" w:hAnsi="宋体" w:cs="宋体"/>
                <w:sz w:val="24"/>
              </w:rPr>
              <w:t xml:space="preserve">地址：郑州市郑东新区康宁街与普济路交会处德威广场12层 </w:t>
            </w:r>
          </w:p>
          <w:p w14:paraId="73129E3D">
            <w:pPr>
              <w:snapToGrid w:val="0"/>
              <w:spacing w:line="360" w:lineRule="auto"/>
              <w:rPr>
                <w:rFonts w:ascii="宋体" w:hAnsi="宋体" w:cs="宋体"/>
                <w:sz w:val="24"/>
              </w:rPr>
            </w:pPr>
            <w:r>
              <w:rPr>
                <w:rFonts w:hint="eastAsia" w:ascii="宋体" w:hAnsi="宋体" w:cs="宋体"/>
                <w:sz w:val="24"/>
              </w:rPr>
              <w:t>联系人：杜创业、郭闪闪</w:t>
            </w:r>
          </w:p>
          <w:p w14:paraId="75969EF7">
            <w:pPr>
              <w:snapToGrid w:val="0"/>
              <w:spacing w:line="360" w:lineRule="auto"/>
              <w:rPr>
                <w:rFonts w:ascii="宋体" w:hAnsi="宋体" w:cs="宋体"/>
                <w:sz w:val="24"/>
              </w:rPr>
            </w:pPr>
            <w:r>
              <w:rPr>
                <w:rFonts w:hint="eastAsia" w:ascii="宋体" w:hAnsi="宋体" w:cs="宋体"/>
                <w:sz w:val="24"/>
              </w:rPr>
              <w:t xml:space="preserve">联系方式：0371-85967760、0371-86120322、0371-85969785 </w:t>
            </w:r>
          </w:p>
        </w:tc>
      </w:tr>
      <w:tr w14:paraId="298A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85" w:type="dxa"/>
            <w:vAlign w:val="center"/>
          </w:tcPr>
          <w:p w14:paraId="57DFCFCD">
            <w:pPr>
              <w:spacing w:line="360" w:lineRule="auto"/>
              <w:jc w:val="center"/>
              <w:rPr>
                <w:rFonts w:ascii="宋体" w:hAnsi="宋体" w:cs="宋体"/>
                <w:sz w:val="24"/>
              </w:rPr>
            </w:pPr>
            <w:r>
              <w:rPr>
                <w:rFonts w:hint="eastAsia" w:ascii="宋体" w:hAnsi="宋体" w:cs="宋体"/>
                <w:sz w:val="24"/>
              </w:rPr>
              <w:t>1.2.5</w:t>
            </w:r>
          </w:p>
        </w:tc>
        <w:tc>
          <w:tcPr>
            <w:tcW w:w="1963" w:type="dxa"/>
            <w:vAlign w:val="center"/>
          </w:tcPr>
          <w:p w14:paraId="7FD7E339">
            <w:pPr>
              <w:snapToGrid w:val="0"/>
              <w:spacing w:line="360" w:lineRule="auto"/>
              <w:jc w:val="center"/>
              <w:rPr>
                <w:rFonts w:ascii="宋体" w:hAnsi="宋体" w:cs="宋体"/>
                <w:sz w:val="24"/>
              </w:rPr>
            </w:pPr>
            <w:r>
              <w:rPr>
                <w:rFonts w:hint="eastAsia" w:ascii="宋体" w:hAnsi="宋体" w:cs="宋体"/>
                <w:sz w:val="24"/>
              </w:rPr>
              <w:t>资金来源及落实情况</w:t>
            </w:r>
          </w:p>
        </w:tc>
        <w:tc>
          <w:tcPr>
            <w:tcW w:w="7009" w:type="dxa"/>
            <w:vAlign w:val="center"/>
          </w:tcPr>
          <w:p w14:paraId="149E681B">
            <w:pPr>
              <w:snapToGrid w:val="0"/>
              <w:spacing w:line="360" w:lineRule="auto"/>
              <w:rPr>
                <w:rFonts w:ascii="宋体" w:hAnsi="宋体" w:cs="宋体"/>
                <w:sz w:val="24"/>
              </w:rPr>
            </w:pPr>
            <w:r>
              <w:rPr>
                <w:rFonts w:hint="eastAsia" w:ascii="宋体" w:hAnsi="宋体" w:cs="宋体"/>
                <w:sz w:val="24"/>
              </w:rPr>
              <w:t>财政资金、已落实</w:t>
            </w:r>
          </w:p>
        </w:tc>
      </w:tr>
      <w:tr w14:paraId="4877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85" w:type="dxa"/>
            <w:vAlign w:val="center"/>
          </w:tcPr>
          <w:p w14:paraId="1FEA33FC">
            <w:pPr>
              <w:spacing w:line="360" w:lineRule="auto"/>
              <w:jc w:val="center"/>
              <w:rPr>
                <w:rFonts w:ascii="宋体" w:hAnsi="宋体" w:cs="宋体"/>
                <w:sz w:val="24"/>
              </w:rPr>
            </w:pPr>
            <w:r>
              <w:rPr>
                <w:rFonts w:hint="eastAsia" w:ascii="宋体" w:hAnsi="宋体" w:cs="宋体"/>
                <w:sz w:val="24"/>
              </w:rPr>
              <w:t>1.2.6</w:t>
            </w:r>
          </w:p>
        </w:tc>
        <w:tc>
          <w:tcPr>
            <w:tcW w:w="1963" w:type="dxa"/>
            <w:vAlign w:val="center"/>
          </w:tcPr>
          <w:p w14:paraId="7F27E543">
            <w:pPr>
              <w:spacing w:line="360" w:lineRule="auto"/>
              <w:jc w:val="center"/>
              <w:rPr>
                <w:rFonts w:ascii="宋体" w:hAnsi="宋体" w:cs="宋体"/>
                <w:sz w:val="24"/>
              </w:rPr>
            </w:pPr>
            <w:r>
              <w:rPr>
                <w:rFonts w:hint="eastAsia" w:ascii="宋体" w:hAnsi="宋体" w:cs="宋体"/>
                <w:sz w:val="24"/>
              </w:rPr>
              <w:t>服务地点</w:t>
            </w:r>
          </w:p>
        </w:tc>
        <w:tc>
          <w:tcPr>
            <w:tcW w:w="7009" w:type="dxa"/>
            <w:vAlign w:val="center"/>
          </w:tcPr>
          <w:p w14:paraId="387C71BA">
            <w:pPr>
              <w:widowControl/>
              <w:spacing w:line="360" w:lineRule="auto"/>
              <w:rPr>
                <w:rFonts w:ascii="宋体" w:hAnsi="宋体" w:cs="宋体"/>
                <w:kern w:val="0"/>
                <w:sz w:val="24"/>
                <w:lang w:bidi="ar"/>
              </w:rPr>
            </w:pPr>
            <w:r>
              <w:rPr>
                <w:rFonts w:hint="eastAsia" w:ascii="宋体" w:hAnsi="宋体" w:cs="宋体"/>
                <w:sz w:val="24"/>
              </w:rPr>
              <w:t>采购人指定地点</w:t>
            </w:r>
          </w:p>
        </w:tc>
      </w:tr>
      <w:tr w14:paraId="1147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85" w:type="dxa"/>
            <w:vAlign w:val="center"/>
          </w:tcPr>
          <w:p w14:paraId="4A0AEA66">
            <w:pPr>
              <w:spacing w:line="360" w:lineRule="auto"/>
              <w:jc w:val="center"/>
              <w:rPr>
                <w:rFonts w:ascii="宋体" w:hAnsi="宋体" w:cs="宋体"/>
                <w:sz w:val="24"/>
              </w:rPr>
            </w:pPr>
            <w:r>
              <w:rPr>
                <w:rFonts w:hint="eastAsia" w:ascii="宋体" w:hAnsi="宋体" w:cs="宋体"/>
                <w:sz w:val="24"/>
              </w:rPr>
              <w:t>1.2.7</w:t>
            </w:r>
          </w:p>
        </w:tc>
        <w:tc>
          <w:tcPr>
            <w:tcW w:w="1963" w:type="dxa"/>
            <w:vAlign w:val="center"/>
          </w:tcPr>
          <w:p w14:paraId="7A8A7FAB">
            <w:pPr>
              <w:spacing w:line="360" w:lineRule="auto"/>
              <w:jc w:val="center"/>
              <w:rPr>
                <w:rFonts w:ascii="宋体" w:hAnsi="宋体" w:cs="宋体"/>
                <w:sz w:val="24"/>
              </w:rPr>
            </w:pPr>
            <w:r>
              <w:rPr>
                <w:rFonts w:hint="eastAsia" w:ascii="宋体" w:hAnsi="宋体" w:cs="宋体"/>
                <w:sz w:val="24"/>
              </w:rPr>
              <w:t>服务质量</w:t>
            </w:r>
          </w:p>
        </w:tc>
        <w:tc>
          <w:tcPr>
            <w:tcW w:w="7009" w:type="dxa"/>
            <w:vAlign w:val="center"/>
          </w:tcPr>
          <w:p w14:paraId="30A7BBD7">
            <w:pPr>
              <w:spacing w:line="360" w:lineRule="auto"/>
              <w:rPr>
                <w:rFonts w:ascii="宋体" w:hAnsi="宋体" w:cs="宋体"/>
                <w:sz w:val="24"/>
              </w:rPr>
            </w:pPr>
            <w:r>
              <w:rPr>
                <w:rFonts w:hint="eastAsia" w:ascii="宋体" w:hAnsi="宋体" w:cs="宋体"/>
                <w:sz w:val="24"/>
              </w:rPr>
              <w:t>符合国家或行业规定的合格标准，满足采购人要求</w:t>
            </w:r>
          </w:p>
        </w:tc>
      </w:tr>
      <w:tr w14:paraId="3E6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85" w:type="dxa"/>
            <w:vAlign w:val="center"/>
          </w:tcPr>
          <w:p w14:paraId="0B761A6A">
            <w:pPr>
              <w:spacing w:line="360" w:lineRule="auto"/>
              <w:jc w:val="center"/>
              <w:rPr>
                <w:rFonts w:ascii="宋体" w:hAnsi="宋体" w:cs="宋体"/>
                <w:sz w:val="24"/>
              </w:rPr>
            </w:pPr>
            <w:r>
              <w:rPr>
                <w:rFonts w:hint="eastAsia" w:ascii="宋体" w:hAnsi="宋体" w:cs="宋体"/>
                <w:sz w:val="24"/>
              </w:rPr>
              <w:t>1.2.8</w:t>
            </w:r>
          </w:p>
        </w:tc>
        <w:tc>
          <w:tcPr>
            <w:tcW w:w="1963" w:type="dxa"/>
            <w:vAlign w:val="center"/>
          </w:tcPr>
          <w:p w14:paraId="027E841B">
            <w:pPr>
              <w:spacing w:line="360" w:lineRule="auto"/>
              <w:jc w:val="center"/>
              <w:rPr>
                <w:rFonts w:ascii="宋体" w:hAnsi="宋体" w:cs="宋体"/>
                <w:sz w:val="24"/>
                <w:highlight w:val="none"/>
              </w:rPr>
            </w:pPr>
            <w:r>
              <w:rPr>
                <w:rFonts w:hint="eastAsia" w:ascii="宋体" w:hAnsi="宋体" w:cs="宋体"/>
                <w:sz w:val="24"/>
                <w:highlight w:val="none"/>
              </w:rPr>
              <w:t>服务期限</w:t>
            </w:r>
          </w:p>
        </w:tc>
        <w:tc>
          <w:tcPr>
            <w:tcW w:w="7009" w:type="dxa"/>
            <w:vAlign w:val="center"/>
          </w:tcPr>
          <w:p w14:paraId="64DA8966">
            <w:pPr>
              <w:spacing w:line="360" w:lineRule="auto"/>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年（202</w:t>
            </w:r>
            <w:r>
              <w:rPr>
                <w:rFonts w:hint="eastAsia" w:ascii="宋体" w:hAnsi="宋体" w:cs="宋体"/>
                <w:sz w:val="24"/>
                <w:highlight w:val="none"/>
                <w:lang w:val="en-US" w:eastAsia="zh-CN"/>
              </w:rPr>
              <w:t>6</w:t>
            </w:r>
            <w:r>
              <w:rPr>
                <w:rFonts w:hint="eastAsia" w:ascii="宋体" w:hAnsi="宋体" w:cs="宋体"/>
                <w:sz w:val="24"/>
                <w:highlight w:val="none"/>
              </w:rPr>
              <w:t>年1月2</w:t>
            </w:r>
            <w:r>
              <w:rPr>
                <w:rFonts w:hint="eastAsia" w:ascii="宋体" w:hAnsi="宋体" w:cs="宋体"/>
                <w:sz w:val="24"/>
                <w:highlight w:val="none"/>
                <w:lang w:val="en-US" w:eastAsia="zh-CN"/>
              </w:rPr>
              <w:t>5</w:t>
            </w:r>
            <w:r>
              <w:rPr>
                <w:rFonts w:hint="eastAsia" w:ascii="宋体" w:hAnsi="宋体" w:cs="宋体"/>
                <w:sz w:val="24"/>
                <w:highlight w:val="none"/>
              </w:rPr>
              <w:t>日-202</w:t>
            </w:r>
            <w:r>
              <w:rPr>
                <w:rFonts w:hint="eastAsia" w:ascii="宋体" w:hAnsi="宋体" w:cs="宋体"/>
                <w:sz w:val="24"/>
                <w:highlight w:val="none"/>
                <w:lang w:val="en-US" w:eastAsia="zh-CN"/>
              </w:rPr>
              <w:t>7</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p>
        </w:tc>
      </w:tr>
      <w:tr w14:paraId="1D65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85" w:type="dxa"/>
            <w:vAlign w:val="center"/>
          </w:tcPr>
          <w:p w14:paraId="3847EFEF">
            <w:pPr>
              <w:spacing w:line="360" w:lineRule="auto"/>
              <w:jc w:val="center"/>
              <w:rPr>
                <w:rFonts w:ascii="宋体" w:hAnsi="宋体" w:cs="宋体"/>
                <w:sz w:val="24"/>
              </w:rPr>
            </w:pPr>
            <w:r>
              <w:rPr>
                <w:rFonts w:hint="eastAsia" w:ascii="宋体" w:hAnsi="宋体" w:cs="宋体"/>
                <w:sz w:val="24"/>
              </w:rPr>
              <w:t>1.3</w:t>
            </w:r>
          </w:p>
        </w:tc>
        <w:tc>
          <w:tcPr>
            <w:tcW w:w="1963" w:type="dxa"/>
            <w:vAlign w:val="center"/>
          </w:tcPr>
          <w:p w14:paraId="2657F4F0">
            <w:pPr>
              <w:spacing w:line="360" w:lineRule="auto"/>
              <w:jc w:val="center"/>
              <w:rPr>
                <w:rFonts w:ascii="宋体" w:hAnsi="宋体" w:cs="宋体"/>
                <w:sz w:val="24"/>
              </w:rPr>
            </w:pPr>
            <w:r>
              <w:rPr>
                <w:rFonts w:hint="eastAsia" w:ascii="宋体" w:hAnsi="宋体" w:cs="宋体"/>
                <w:sz w:val="24"/>
              </w:rPr>
              <w:t>供应商资格要求</w:t>
            </w:r>
          </w:p>
        </w:tc>
        <w:tc>
          <w:tcPr>
            <w:tcW w:w="7009" w:type="dxa"/>
            <w:vAlign w:val="center"/>
          </w:tcPr>
          <w:p w14:paraId="2DA28DBC">
            <w:pPr>
              <w:spacing w:line="360" w:lineRule="auto"/>
              <w:rPr>
                <w:rFonts w:ascii="宋体" w:hAnsi="宋体" w:cs="宋体"/>
                <w:sz w:val="24"/>
              </w:rPr>
            </w:pPr>
            <w:r>
              <w:rPr>
                <w:rFonts w:hint="eastAsia" w:ascii="宋体" w:hAnsi="宋体" w:cs="宋体"/>
                <w:sz w:val="24"/>
              </w:rPr>
              <w:t>1.满足《中华人民共和国政府采购法》第二十二条规定；</w:t>
            </w:r>
          </w:p>
          <w:p w14:paraId="10E61194">
            <w:pPr>
              <w:spacing w:line="360" w:lineRule="auto"/>
              <w:rPr>
                <w:rFonts w:ascii="宋体" w:hAnsi="宋体" w:cs="宋体"/>
                <w:sz w:val="24"/>
              </w:rPr>
            </w:pPr>
            <w:r>
              <w:rPr>
                <w:rFonts w:hint="eastAsia" w:ascii="宋体" w:hAnsi="宋体" w:cs="宋体"/>
                <w:sz w:val="24"/>
              </w:rPr>
              <w:t>（1）具有独立承担民事责任的能力；</w:t>
            </w:r>
          </w:p>
          <w:p w14:paraId="05F597A5">
            <w:pPr>
              <w:spacing w:line="360" w:lineRule="auto"/>
              <w:rPr>
                <w:rFonts w:ascii="宋体" w:hAnsi="宋体" w:cs="宋体"/>
                <w:sz w:val="24"/>
              </w:rPr>
            </w:pPr>
            <w:r>
              <w:rPr>
                <w:rFonts w:hint="eastAsia" w:ascii="宋体" w:hAnsi="宋体" w:cs="宋体"/>
                <w:sz w:val="24"/>
              </w:rPr>
              <w:t>（2）具有良好的商业信誉和健全的财务会计制度；</w:t>
            </w:r>
          </w:p>
          <w:p w14:paraId="5DC5D8DD">
            <w:pPr>
              <w:spacing w:line="360" w:lineRule="auto"/>
              <w:rPr>
                <w:rFonts w:ascii="宋体" w:hAnsi="宋体" w:cs="宋体"/>
                <w:sz w:val="24"/>
              </w:rPr>
            </w:pPr>
            <w:r>
              <w:rPr>
                <w:rFonts w:hint="eastAsia" w:ascii="宋体" w:hAnsi="宋体" w:cs="宋体"/>
                <w:sz w:val="24"/>
              </w:rPr>
              <w:t>（3）具有履行合同所必需的设备和专业技术能力；</w:t>
            </w:r>
          </w:p>
          <w:p w14:paraId="0049CCCD">
            <w:pPr>
              <w:spacing w:line="360" w:lineRule="auto"/>
              <w:rPr>
                <w:rFonts w:ascii="宋体" w:hAnsi="宋体" w:cs="宋体"/>
                <w:sz w:val="24"/>
              </w:rPr>
            </w:pPr>
            <w:r>
              <w:rPr>
                <w:rFonts w:hint="eastAsia" w:ascii="宋体" w:hAnsi="宋体" w:cs="宋体"/>
                <w:sz w:val="24"/>
              </w:rPr>
              <w:t>（4）有依法缴纳税收和社会保障资金的良好记录；</w:t>
            </w:r>
          </w:p>
          <w:p w14:paraId="21C185A4">
            <w:pPr>
              <w:spacing w:line="360" w:lineRule="auto"/>
              <w:rPr>
                <w:rFonts w:ascii="宋体" w:hAnsi="宋体" w:cs="宋体"/>
                <w:sz w:val="24"/>
              </w:rPr>
            </w:pPr>
            <w:r>
              <w:rPr>
                <w:rFonts w:hint="eastAsia" w:ascii="宋体" w:hAnsi="宋体" w:cs="宋体"/>
                <w:sz w:val="24"/>
              </w:rPr>
              <w:t>（5）参加政府采购活动前三年内，在经营活动中没有重大违法记录；</w:t>
            </w:r>
          </w:p>
          <w:p w14:paraId="0E649BF8">
            <w:pPr>
              <w:spacing w:line="360" w:lineRule="auto"/>
              <w:rPr>
                <w:rFonts w:ascii="宋体" w:hAnsi="宋体" w:cs="宋体"/>
                <w:sz w:val="24"/>
              </w:rPr>
            </w:pPr>
            <w:r>
              <w:rPr>
                <w:rFonts w:hint="eastAsia" w:ascii="宋体" w:hAnsi="宋体" w:cs="宋体"/>
                <w:sz w:val="24"/>
              </w:rPr>
              <w:t xml:space="preserve">（6）法律、行政法规规定的其他条件。 </w:t>
            </w:r>
          </w:p>
        </w:tc>
      </w:tr>
      <w:tr w14:paraId="5332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85" w:type="dxa"/>
            <w:vAlign w:val="center"/>
          </w:tcPr>
          <w:p w14:paraId="5BC645A8">
            <w:pPr>
              <w:spacing w:line="360" w:lineRule="auto"/>
              <w:jc w:val="center"/>
              <w:rPr>
                <w:rFonts w:ascii="宋体" w:hAnsi="宋体" w:cs="宋体"/>
                <w:sz w:val="24"/>
              </w:rPr>
            </w:pPr>
            <w:r>
              <w:rPr>
                <w:rFonts w:hint="eastAsia" w:ascii="宋体" w:hAnsi="宋体" w:cs="宋体"/>
                <w:sz w:val="24"/>
              </w:rPr>
              <w:t>2.1</w:t>
            </w:r>
          </w:p>
        </w:tc>
        <w:tc>
          <w:tcPr>
            <w:tcW w:w="1963" w:type="dxa"/>
            <w:vAlign w:val="center"/>
          </w:tcPr>
          <w:p w14:paraId="6FA86701">
            <w:pPr>
              <w:spacing w:line="360" w:lineRule="auto"/>
              <w:jc w:val="center"/>
              <w:rPr>
                <w:rFonts w:ascii="宋体" w:hAnsi="宋体" w:cs="宋体"/>
                <w:sz w:val="24"/>
              </w:rPr>
            </w:pPr>
            <w:r>
              <w:rPr>
                <w:rFonts w:hint="eastAsia" w:ascii="宋体" w:hAnsi="宋体" w:cs="宋体"/>
                <w:sz w:val="24"/>
              </w:rPr>
              <w:t>构成单一来源采购文件的其它材料</w:t>
            </w:r>
          </w:p>
        </w:tc>
        <w:tc>
          <w:tcPr>
            <w:tcW w:w="7009" w:type="dxa"/>
            <w:vAlign w:val="center"/>
          </w:tcPr>
          <w:p w14:paraId="037FC96A">
            <w:pPr>
              <w:spacing w:line="360" w:lineRule="auto"/>
              <w:rPr>
                <w:rFonts w:ascii="宋体" w:hAnsi="宋体" w:cs="宋体"/>
                <w:sz w:val="24"/>
              </w:rPr>
            </w:pPr>
            <w:r>
              <w:rPr>
                <w:rFonts w:hint="eastAsia" w:ascii="宋体" w:hAnsi="宋体" w:cs="宋体"/>
                <w:sz w:val="24"/>
              </w:rPr>
              <w:t>澄清文件、补充通知（如有）</w:t>
            </w:r>
          </w:p>
        </w:tc>
      </w:tr>
      <w:tr w14:paraId="3C67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85" w:type="dxa"/>
            <w:vAlign w:val="center"/>
          </w:tcPr>
          <w:p w14:paraId="0A9D44E6">
            <w:pPr>
              <w:spacing w:line="360" w:lineRule="auto"/>
              <w:jc w:val="center"/>
              <w:rPr>
                <w:rFonts w:ascii="宋体" w:hAnsi="宋体" w:cs="宋体"/>
                <w:sz w:val="24"/>
              </w:rPr>
            </w:pPr>
            <w:r>
              <w:rPr>
                <w:rFonts w:hint="eastAsia" w:ascii="宋体" w:hAnsi="宋体" w:cs="宋体"/>
                <w:sz w:val="24"/>
              </w:rPr>
              <w:t>2.2</w:t>
            </w:r>
          </w:p>
        </w:tc>
        <w:tc>
          <w:tcPr>
            <w:tcW w:w="1963" w:type="dxa"/>
            <w:vAlign w:val="center"/>
          </w:tcPr>
          <w:p w14:paraId="6E0412E9">
            <w:pPr>
              <w:spacing w:line="360" w:lineRule="auto"/>
              <w:jc w:val="center"/>
              <w:rPr>
                <w:rFonts w:ascii="宋体" w:hAnsi="宋体" w:cs="宋体"/>
                <w:sz w:val="24"/>
              </w:rPr>
            </w:pPr>
            <w:r>
              <w:rPr>
                <w:rFonts w:hint="eastAsia" w:ascii="宋体" w:hAnsi="宋体" w:cs="宋体"/>
                <w:sz w:val="24"/>
              </w:rPr>
              <w:t>投标货币</w:t>
            </w:r>
          </w:p>
        </w:tc>
        <w:tc>
          <w:tcPr>
            <w:tcW w:w="7009" w:type="dxa"/>
            <w:vAlign w:val="center"/>
          </w:tcPr>
          <w:p w14:paraId="02A02B02">
            <w:pPr>
              <w:spacing w:line="360" w:lineRule="auto"/>
              <w:rPr>
                <w:rFonts w:ascii="宋体" w:hAnsi="宋体" w:cs="宋体"/>
                <w:sz w:val="24"/>
              </w:rPr>
            </w:pPr>
            <w:r>
              <w:rPr>
                <w:rFonts w:hint="eastAsia" w:ascii="宋体" w:hAnsi="宋体" w:cs="宋体"/>
                <w:sz w:val="24"/>
              </w:rPr>
              <w:t>人民币</w:t>
            </w:r>
          </w:p>
        </w:tc>
      </w:tr>
      <w:tr w14:paraId="79FE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85" w:type="dxa"/>
            <w:vAlign w:val="center"/>
          </w:tcPr>
          <w:p w14:paraId="73EE5AFD">
            <w:pPr>
              <w:spacing w:line="360" w:lineRule="auto"/>
              <w:jc w:val="center"/>
              <w:rPr>
                <w:rFonts w:ascii="宋体" w:hAnsi="宋体" w:cs="宋体"/>
                <w:sz w:val="24"/>
              </w:rPr>
            </w:pPr>
            <w:r>
              <w:rPr>
                <w:rFonts w:hint="eastAsia" w:ascii="宋体" w:hAnsi="宋体" w:cs="宋体"/>
                <w:sz w:val="24"/>
              </w:rPr>
              <w:t>3.1</w:t>
            </w:r>
          </w:p>
        </w:tc>
        <w:tc>
          <w:tcPr>
            <w:tcW w:w="1963" w:type="dxa"/>
            <w:vAlign w:val="center"/>
          </w:tcPr>
          <w:p w14:paraId="369D1F92">
            <w:pPr>
              <w:spacing w:line="360" w:lineRule="auto"/>
              <w:jc w:val="center"/>
              <w:rPr>
                <w:rFonts w:ascii="宋体" w:hAnsi="宋体" w:cs="宋体"/>
                <w:sz w:val="24"/>
              </w:rPr>
            </w:pPr>
            <w:r>
              <w:rPr>
                <w:rFonts w:hint="eastAsia" w:ascii="宋体" w:hAnsi="宋体" w:cs="宋体"/>
                <w:sz w:val="24"/>
              </w:rPr>
              <w:t>构成响应文件的其它资料</w:t>
            </w:r>
          </w:p>
        </w:tc>
        <w:tc>
          <w:tcPr>
            <w:tcW w:w="7009" w:type="dxa"/>
            <w:vAlign w:val="center"/>
          </w:tcPr>
          <w:p w14:paraId="68227670">
            <w:pPr>
              <w:spacing w:line="360" w:lineRule="auto"/>
              <w:rPr>
                <w:rFonts w:ascii="宋体" w:hAnsi="宋体" w:cs="宋体"/>
                <w:sz w:val="24"/>
              </w:rPr>
            </w:pPr>
            <w:r>
              <w:rPr>
                <w:rFonts w:hint="eastAsia" w:ascii="宋体" w:hAnsi="宋体" w:cs="宋体"/>
                <w:sz w:val="24"/>
              </w:rPr>
              <w:t>供应商认为需要补充的其它材料</w:t>
            </w:r>
          </w:p>
        </w:tc>
      </w:tr>
      <w:tr w14:paraId="311C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5" w:type="dxa"/>
            <w:vAlign w:val="center"/>
          </w:tcPr>
          <w:p w14:paraId="5596AE7B">
            <w:pPr>
              <w:spacing w:line="360" w:lineRule="auto"/>
              <w:jc w:val="center"/>
              <w:rPr>
                <w:rFonts w:ascii="宋体" w:hAnsi="宋体" w:cs="宋体"/>
                <w:sz w:val="24"/>
              </w:rPr>
            </w:pPr>
            <w:r>
              <w:rPr>
                <w:rFonts w:hint="eastAsia" w:ascii="宋体" w:hAnsi="宋体" w:cs="宋体"/>
                <w:sz w:val="24"/>
              </w:rPr>
              <w:t>3.2</w:t>
            </w:r>
          </w:p>
        </w:tc>
        <w:tc>
          <w:tcPr>
            <w:tcW w:w="1963" w:type="dxa"/>
            <w:vAlign w:val="center"/>
          </w:tcPr>
          <w:p w14:paraId="497DD141">
            <w:pPr>
              <w:spacing w:line="360" w:lineRule="auto"/>
              <w:jc w:val="center"/>
              <w:rPr>
                <w:rFonts w:ascii="宋体" w:hAnsi="宋体" w:cs="宋体"/>
                <w:sz w:val="24"/>
              </w:rPr>
            </w:pPr>
            <w:r>
              <w:rPr>
                <w:rFonts w:hint="eastAsia" w:ascii="宋体" w:hAnsi="宋体" w:cs="宋体"/>
                <w:sz w:val="24"/>
              </w:rPr>
              <w:t>响应报价</w:t>
            </w:r>
          </w:p>
        </w:tc>
        <w:tc>
          <w:tcPr>
            <w:tcW w:w="7009" w:type="dxa"/>
            <w:vAlign w:val="center"/>
          </w:tcPr>
          <w:p w14:paraId="099F07F7">
            <w:pPr>
              <w:spacing w:line="360" w:lineRule="auto"/>
              <w:rPr>
                <w:rFonts w:ascii="宋体" w:hAnsi="宋体" w:cs="宋体"/>
                <w:sz w:val="24"/>
              </w:rPr>
            </w:pPr>
            <w:r>
              <w:rPr>
                <w:rFonts w:hint="eastAsia" w:ascii="宋体" w:hAnsi="宋体" w:cs="宋体"/>
                <w:sz w:val="24"/>
              </w:rPr>
              <w:t>不得超过本项目的项目预算金额。</w:t>
            </w:r>
          </w:p>
        </w:tc>
      </w:tr>
      <w:tr w14:paraId="6781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5" w:type="dxa"/>
            <w:vAlign w:val="center"/>
          </w:tcPr>
          <w:p w14:paraId="06AB4910">
            <w:pPr>
              <w:spacing w:line="360" w:lineRule="auto"/>
              <w:jc w:val="center"/>
              <w:rPr>
                <w:rFonts w:ascii="宋体" w:hAnsi="宋体" w:cs="宋体"/>
                <w:sz w:val="24"/>
              </w:rPr>
            </w:pPr>
            <w:r>
              <w:rPr>
                <w:rFonts w:hint="eastAsia" w:ascii="宋体" w:hAnsi="宋体" w:cs="宋体"/>
                <w:sz w:val="24"/>
              </w:rPr>
              <w:t>3.3</w:t>
            </w:r>
          </w:p>
        </w:tc>
        <w:tc>
          <w:tcPr>
            <w:tcW w:w="1963" w:type="dxa"/>
            <w:vAlign w:val="center"/>
          </w:tcPr>
          <w:p w14:paraId="64943EDD">
            <w:pPr>
              <w:spacing w:line="360" w:lineRule="auto"/>
              <w:jc w:val="center"/>
              <w:rPr>
                <w:rFonts w:ascii="宋体" w:hAnsi="宋体" w:cs="宋体"/>
                <w:sz w:val="24"/>
              </w:rPr>
            </w:pPr>
            <w:r>
              <w:rPr>
                <w:rFonts w:hint="eastAsia" w:ascii="宋体" w:hAnsi="宋体" w:cs="宋体"/>
                <w:sz w:val="24"/>
              </w:rPr>
              <w:t>响应有效期</w:t>
            </w:r>
          </w:p>
        </w:tc>
        <w:tc>
          <w:tcPr>
            <w:tcW w:w="7009" w:type="dxa"/>
            <w:vAlign w:val="center"/>
          </w:tcPr>
          <w:p w14:paraId="3E0862FE">
            <w:pPr>
              <w:spacing w:line="360" w:lineRule="auto"/>
              <w:rPr>
                <w:rFonts w:ascii="宋体" w:hAnsi="宋体" w:cs="宋体"/>
                <w:sz w:val="24"/>
              </w:rPr>
            </w:pPr>
            <w:r>
              <w:rPr>
                <w:rFonts w:hint="eastAsia" w:ascii="宋体" w:hAnsi="宋体" w:cs="宋体"/>
                <w:sz w:val="24"/>
              </w:rPr>
              <w:t>响应文件截止之日起60日历天</w:t>
            </w:r>
          </w:p>
        </w:tc>
      </w:tr>
      <w:tr w14:paraId="65D1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5" w:type="dxa"/>
            <w:vAlign w:val="center"/>
          </w:tcPr>
          <w:p w14:paraId="2B2B5EE9">
            <w:pPr>
              <w:spacing w:line="360" w:lineRule="auto"/>
              <w:jc w:val="center"/>
              <w:rPr>
                <w:rFonts w:ascii="宋体" w:hAnsi="宋体" w:cs="宋体"/>
                <w:sz w:val="24"/>
              </w:rPr>
            </w:pPr>
            <w:r>
              <w:rPr>
                <w:rFonts w:hint="eastAsia" w:ascii="宋体" w:hAnsi="宋体" w:cs="宋体"/>
                <w:sz w:val="24"/>
              </w:rPr>
              <w:t>3.4</w:t>
            </w:r>
          </w:p>
        </w:tc>
        <w:tc>
          <w:tcPr>
            <w:tcW w:w="1963" w:type="dxa"/>
            <w:vAlign w:val="center"/>
          </w:tcPr>
          <w:p w14:paraId="4C4AF7D8">
            <w:pPr>
              <w:spacing w:line="360" w:lineRule="auto"/>
              <w:jc w:val="center"/>
              <w:rPr>
                <w:rFonts w:ascii="宋体" w:hAnsi="宋体" w:cs="宋体"/>
                <w:sz w:val="24"/>
              </w:rPr>
            </w:pPr>
            <w:r>
              <w:rPr>
                <w:rFonts w:hint="eastAsia" w:ascii="宋体" w:hAnsi="宋体" w:cs="宋体"/>
                <w:sz w:val="24"/>
              </w:rPr>
              <w:t>响应保证金</w:t>
            </w:r>
          </w:p>
        </w:tc>
        <w:tc>
          <w:tcPr>
            <w:tcW w:w="7009" w:type="dxa"/>
            <w:vAlign w:val="center"/>
          </w:tcPr>
          <w:p w14:paraId="7E7A8DB3">
            <w:pPr>
              <w:spacing w:line="360" w:lineRule="auto"/>
              <w:ind w:firstLine="504"/>
              <w:rPr>
                <w:rFonts w:ascii="宋体" w:hAnsi="宋体" w:cs="宋体"/>
                <w:sz w:val="24"/>
              </w:rPr>
            </w:pPr>
            <w:r>
              <w:rPr>
                <w:rFonts w:hint="eastAsia" w:ascii="宋体" w:hAnsi="宋体" w:cs="宋体"/>
                <w:spacing w:val="6"/>
                <w:sz w:val="24"/>
              </w:rPr>
              <w:t>不收取</w:t>
            </w:r>
          </w:p>
        </w:tc>
      </w:tr>
      <w:tr w14:paraId="0406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0E4A2F20">
            <w:pPr>
              <w:spacing w:line="360" w:lineRule="auto"/>
              <w:jc w:val="center"/>
              <w:rPr>
                <w:rFonts w:ascii="宋体" w:hAnsi="宋体" w:cs="宋体"/>
                <w:sz w:val="24"/>
              </w:rPr>
            </w:pPr>
            <w:r>
              <w:rPr>
                <w:rFonts w:hint="eastAsia" w:ascii="宋体" w:hAnsi="宋体" w:cs="宋体"/>
                <w:sz w:val="24"/>
              </w:rPr>
              <w:t>3.5</w:t>
            </w:r>
          </w:p>
        </w:tc>
        <w:tc>
          <w:tcPr>
            <w:tcW w:w="1963" w:type="dxa"/>
            <w:vAlign w:val="center"/>
          </w:tcPr>
          <w:p w14:paraId="302CD7D9">
            <w:pPr>
              <w:spacing w:line="360" w:lineRule="auto"/>
              <w:jc w:val="center"/>
              <w:rPr>
                <w:rFonts w:ascii="宋体" w:hAnsi="宋体" w:cs="宋体"/>
                <w:sz w:val="24"/>
                <w:highlight w:val="none"/>
              </w:rPr>
            </w:pPr>
            <w:r>
              <w:rPr>
                <w:rFonts w:hint="eastAsia" w:ascii="宋体" w:hAnsi="宋体" w:cs="宋体"/>
                <w:sz w:val="24"/>
                <w:highlight w:val="none"/>
              </w:rPr>
              <w:t>资格证明文件</w:t>
            </w:r>
          </w:p>
        </w:tc>
        <w:tc>
          <w:tcPr>
            <w:tcW w:w="7009" w:type="dxa"/>
            <w:vAlign w:val="center"/>
          </w:tcPr>
          <w:p w14:paraId="320C1F20">
            <w:pPr>
              <w:autoSpaceDE w:val="0"/>
              <w:autoSpaceDN w:val="0"/>
              <w:adjustRightInd w:val="0"/>
              <w:spacing w:line="360" w:lineRule="auto"/>
              <w:rPr>
                <w:rFonts w:ascii="宋体" w:hAnsi="宋体" w:cs="宋体"/>
                <w:sz w:val="24"/>
                <w:highlight w:val="none"/>
              </w:rPr>
            </w:pPr>
            <w:r>
              <w:rPr>
                <w:rFonts w:hint="eastAsia" w:ascii="宋体" w:hAnsi="宋体" w:cs="宋体"/>
                <w:sz w:val="24"/>
                <w:highlight w:val="none"/>
              </w:rPr>
              <w:t>按照第二部分供应商须知要求附相应的证明文件：</w:t>
            </w:r>
          </w:p>
          <w:p w14:paraId="2B2DA78D">
            <w:pPr>
              <w:autoSpaceDE w:val="0"/>
              <w:autoSpaceDN w:val="0"/>
              <w:adjustRightInd w:val="0"/>
              <w:spacing w:line="360" w:lineRule="auto"/>
              <w:rPr>
                <w:rFonts w:ascii="宋体" w:hAnsi="宋体" w:cs="宋体"/>
                <w:sz w:val="24"/>
                <w:highlight w:val="none"/>
              </w:rPr>
            </w:pPr>
            <w:r>
              <w:rPr>
                <w:rFonts w:hint="eastAsia" w:ascii="宋体" w:hAnsi="宋体" w:cs="宋体"/>
                <w:sz w:val="24"/>
                <w:highlight w:val="none"/>
              </w:rPr>
              <w:t>（1）企业有效的营业执照（复印件加盖供应商公章）；</w:t>
            </w:r>
          </w:p>
          <w:p w14:paraId="0ADAF92B">
            <w:pPr>
              <w:autoSpaceDE w:val="0"/>
              <w:autoSpaceDN w:val="0"/>
              <w:adjustRightInd w:val="0"/>
              <w:spacing w:line="360" w:lineRule="auto"/>
              <w:rPr>
                <w:rFonts w:ascii="宋体" w:hAnsi="宋体" w:cs="宋体"/>
                <w:sz w:val="24"/>
                <w:highlight w:val="none"/>
              </w:rPr>
            </w:pPr>
            <w:r>
              <w:rPr>
                <w:rFonts w:hint="eastAsia" w:ascii="宋体" w:hAnsi="宋体" w:cs="宋体"/>
                <w:sz w:val="24"/>
                <w:highlight w:val="none"/>
              </w:rPr>
              <w:t>（2）提供2024年度财务审计报告或基本开户行出具的资信证明；</w:t>
            </w:r>
          </w:p>
          <w:p w14:paraId="0B85FDF3">
            <w:pPr>
              <w:autoSpaceDE w:val="0"/>
              <w:autoSpaceDN w:val="0"/>
              <w:adjustRightInd w:val="0"/>
              <w:spacing w:line="360" w:lineRule="auto"/>
              <w:rPr>
                <w:rFonts w:ascii="宋体" w:hAnsi="宋体" w:cs="宋体"/>
                <w:sz w:val="24"/>
                <w:highlight w:val="none"/>
              </w:rPr>
            </w:pPr>
            <w:r>
              <w:rPr>
                <w:rFonts w:hint="eastAsia" w:ascii="宋体" w:hAnsi="宋体" w:cs="宋体"/>
                <w:sz w:val="24"/>
                <w:highlight w:val="none"/>
              </w:rPr>
              <w:t>（3）提供2025年1月1日以来任意3个月的纳税证明和社保缴纳证明，依法免税或不需要缴纳社会保障资金的，应提供相应文件证明其依法免税或不需要缴纳；</w:t>
            </w:r>
          </w:p>
          <w:p w14:paraId="505A808C">
            <w:pPr>
              <w:autoSpaceDE w:val="0"/>
              <w:autoSpaceDN w:val="0"/>
              <w:adjustRightInd w:val="0"/>
              <w:spacing w:line="360" w:lineRule="auto"/>
              <w:rPr>
                <w:rFonts w:ascii="宋体" w:hAnsi="宋体" w:cs="宋体"/>
                <w:sz w:val="24"/>
                <w:highlight w:val="none"/>
              </w:rPr>
            </w:pPr>
            <w:r>
              <w:rPr>
                <w:rFonts w:hint="eastAsia" w:ascii="宋体" w:hAnsi="宋体" w:cs="宋体"/>
                <w:sz w:val="24"/>
                <w:highlight w:val="none"/>
              </w:rPr>
              <w:t>(4)其他第二部分供应商须知5.3.2项要求附相应的证明文件.</w:t>
            </w:r>
          </w:p>
          <w:p w14:paraId="1D622A1E">
            <w:pPr>
              <w:autoSpaceDE w:val="0"/>
              <w:autoSpaceDN w:val="0"/>
              <w:adjustRightInd w:val="0"/>
              <w:spacing w:line="360" w:lineRule="auto"/>
              <w:rPr>
                <w:rFonts w:ascii="宋体" w:hAnsi="宋体" w:cs="宋体"/>
                <w:sz w:val="24"/>
                <w:highlight w:val="none"/>
              </w:rPr>
            </w:pPr>
            <w:r>
              <w:rPr>
                <w:rFonts w:hint="eastAsia" w:ascii="宋体" w:hAnsi="宋体" w:cs="宋体"/>
                <w:sz w:val="24"/>
                <w:highlight w:val="none"/>
              </w:rPr>
              <w:t>（5）单一来源文件要求的其他内容；</w:t>
            </w:r>
          </w:p>
        </w:tc>
      </w:tr>
      <w:tr w14:paraId="668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76954E6A">
            <w:pPr>
              <w:spacing w:line="360" w:lineRule="auto"/>
              <w:jc w:val="center"/>
              <w:rPr>
                <w:rFonts w:ascii="宋体" w:hAnsi="宋体" w:cs="宋体"/>
                <w:sz w:val="24"/>
              </w:rPr>
            </w:pPr>
            <w:r>
              <w:rPr>
                <w:rFonts w:hint="eastAsia" w:ascii="宋体" w:hAnsi="宋体" w:cs="宋体"/>
                <w:sz w:val="24"/>
              </w:rPr>
              <w:t>3.6</w:t>
            </w:r>
          </w:p>
        </w:tc>
        <w:tc>
          <w:tcPr>
            <w:tcW w:w="1963" w:type="dxa"/>
            <w:vAlign w:val="center"/>
          </w:tcPr>
          <w:p w14:paraId="7CEF6D51">
            <w:pPr>
              <w:spacing w:line="360" w:lineRule="auto"/>
              <w:jc w:val="center"/>
              <w:rPr>
                <w:rFonts w:ascii="宋体" w:hAnsi="宋体" w:cs="宋体"/>
                <w:sz w:val="24"/>
              </w:rPr>
            </w:pPr>
            <w:r>
              <w:rPr>
                <w:rFonts w:hint="eastAsia" w:ascii="宋体" w:hAnsi="宋体" w:cs="宋体"/>
                <w:sz w:val="24"/>
              </w:rPr>
              <w:t>是否允许递交备选响应方案</w:t>
            </w:r>
          </w:p>
        </w:tc>
        <w:tc>
          <w:tcPr>
            <w:tcW w:w="7009" w:type="dxa"/>
            <w:vAlign w:val="center"/>
          </w:tcPr>
          <w:p w14:paraId="174FF0E4">
            <w:pPr>
              <w:autoSpaceDE w:val="0"/>
              <w:autoSpaceDN w:val="0"/>
              <w:adjustRightInd w:val="0"/>
              <w:spacing w:line="360" w:lineRule="auto"/>
              <w:rPr>
                <w:rFonts w:ascii="宋体" w:hAnsi="宋体" w:cs="宋体"/>
                <w:sz w:val="24"/>
              </w:rPr>
            </w:pPr>
            <w:r>
              <w:rPr>
                <w:rFonts w:hint="eastAsia" w:ascii="宋体" w:hAnsi="宋体" w:cs="宋体"/>
                <w:sz w:val="24"/>
              </w:rPr>
              <w:t>不允许</w:t>
            </w:r>
          </w:p>
        </w:tc>
      </w:tr>
      <w:tr w14:paraId="61C6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648BC9A6">
            <w:pPr>
              <w:spacing w:line="360" w:lineRule="auto"/>
              <w:jc w:val="center"/>
              <w:rPr>
                <w:rFonts w:ascii="宋体" w:hAnsi="宋体" w:cs="宋体"/>
                <w:sz w:val="24"/>
              </w:rPr>
            </w:pPr>
            <w:r>
              <w:rPr>
                <w:rFonts w:hint="eastAsia" w:ascii="宋体" w:hAnsi="宋体" w:cs="宋体"/>
                <w:sz w:val="24"/>
              </w:rPr>
              <w:t>3.7.3</w:t>
            </w:r>
          </w:p>
        </w:tc>
        <w:tc>
          <w:tcPr>
            <w:tcW w:w="1963" w:type="dxa"/>
            <w:vAlign w:val="center"/>
          </w:tcPr>
          <w:p w14:paraId="323F4AC1">
            <w:pPr>
              <w:spacing w:line="360" w:lineRule="auto"/>
              <w:jc w:val="center"/>
              <w:rPr>
                <w:rFonts w:ascii="宋体" w:hAnsi="宋体" w:cs="宋体"/>
                <w:sz w:val="24"/>
              </w:rPr>
            </w:pPr>
            <w:r>
              <w:rPr>
                <w:rFonts w:hint="eastAsia" w:ascii="宋体" w:hAnsi="宋体" w:cs="宋体"/>
                <w:sz w:val="24"/>
              </w:rPr>
              <w:t>签字或盖章要求</w:t>
            </w:r>
          </w:p>
        </w:tc>
        <w:tc>
          <w:tcPr>
            <w:tcW w:w="7009" w:type="dxa"/>
            <w:vAlign w:val="center"/>
          </w:tcPr>
          <w:p w14:paraId="067B9FA1">
            <w:pPr>
              <w:autoSpaceDE w:val="0"/>
              <w:autoSpaceDN w:val="0"/>
              <w:adjustRightInd w:val="0"/>
              <w:spacing w:line="360" w:lineRule="auto"/>
              <w:rPr>
                <w:rFonts w:ascii="宋体" w:hAnsi="宋体" w:cs="宋体"/>
                <w:sz w:val="24"/>
              </w:rPr>
            </w:pPr>
            <w:r>
              <w:rPr>
                <w:rFonts w:hint="eastAsia" w:ascii="宋体" w:hAnsi="宋体" w:cs="宋体"/>
                <w:sz w:val="24"/>
              </w:rPr>
              <w:t>响应文件应在需要加盖公章的地方加盖单位章，法定代表人或其委托代理人需按单一来源采购文件格式在规定签字或盖章的地方签字或盖章。</w:t>
            </w:r>
          </w:p>
        </w:tc>
      </w:tr>
      <w:tr w14:paraId="057E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36C4FB1B">
            <w:pPr>
              <w:spacing w:line="360" w:lineRule="auto"/>
              <w:jc w:val="center"/>
              <w:rPr>
                <w:rFonts w:ascii="宋体" w:hAnsi="宋体" w:cs="宋体"/>
                <w:sz w:val="24"/>
              </w:rPr>
            </w:pPr>
            <w:r>
              <w:rPr>
                <w:rFonts w:hint="eastAsia" w:ascii="宋体" w:hAnsi="宋体" w:cs="宋体"/>
                <w:sz w:val="24"/>
              </w:rPr>
              <w:t>4.1</w:t>
            </w:r>
          </w:p>
        </w:tc>
        <w:tc>
          <w:tcPr>
            <w:tcW w:w="1963" w:type="dxa"/>
            <w:vAlign w:val="center"/>
          </w:tcPr>
          <w:p w14:paraId="351E52AD">
            <w:pPr>
              <w:spacing w:line="360" w:lineRule="auto"/>
              <w:jc w:val="center"/>
              <w:rPr>
                <w:rFonts w:ascii="宋体" w:hAnsi="宋体" w:cs="宋体"/>
                <w:sz w:val="24"/>
              </w:rPr>
            </w:pPr>
            <w:r>
              <w:rPr>
                <w:rFonts w:hint="eastAsia" w:ascii="宋体" w:hAnsi="宋体" w:cs="宋体"/>
                <w:sz w:val="24"/>
              </w:rPr>
              <w:t>响应文件的密封和标记</w:t>
            </w:r>
          </w:p>
        </w:tc>
        <w:tc>
          <w:tcPr>
            <w:tcW w:w="7009" w:type="dxa"/>
            <w:vAlign w:val="center"/>
          </w:tcPr>
          <w:p w14:paraId="4F88311F">
            <w:pPr>
              <w:spacing w:line="360" w:lineRule="auto"/>
              <w:rPr>
                <w:rFonts w:ascii="宋体" w:hAnsi="宋体" w:cs="宋体"/>
                <w:sz w:val="24"/>
              </w:rPr>
            </w:pPr>
            <w:r>
              <w:rPr>
                <w:rFonts w:hint="eastAsia" w:ascii="宋体" w:hAnsi="宋体" w:cs="宋体"/>
                <w:sz w:val="24"/>
              </w:rPr>
              <w:t>响应文件应胶装并提交一式叁份（其中正本壹份、副本贰份），电子文档壹份（含响应文件全部内容</w:t>
            </w:r>
            <w:r>
              <w:rPr>
                <w:rFonts w:hint="eastAsia" w:ascii="宋体" w:hAnsi="宋体" w:cs="宋体"/>
                <w:b/>
                <w:bCs/>
                <w:sz w:val="24"/>
              </w:rPr>
              <w:t>盖章签字彩色扫描件</w:t>
            </w:r>
            <w:r>
              <w:rPr>
                <w:rFonts w:hint="eastAsia" w:ascii="宋体" w:hAnsi="宋体" w:cs="宋体"/>
                <w:sz w:val="24"/>
              </w:rPr>
              <w:t>）。正本和副本的封面应清楚地标记“正本”或“副本”字样。</w:t>
            </w:r>
          </w:p>
          <w:p w14:paraId="5AC6F404">
            <w:pPr>
              <w:spacing w:line="360" w:lineRule="auto"/>
              <w:rPr>
                <w:rFonts w:ascii="宋体" w:hAnsi="宋体" w:cs="宋体"/>
                <w:sz w:val="24"/>
              </w:rPr>
            </w:pPr>
            <w:r>
              <w:rPr>
                <w:rFonts w:hint="eastAsia" w:ascii="宋体" w:hAnsi="宋体" w:cs="宋体"/>
                <w:sz w:val="24"/>
              </w:rPr>
              <w:t>供应商应将响应文件密封一起（包括正、副本、电子版U盘），并在包封上写明采购人名称、项目名称、供应商名称，并加盖供应商的单位公章。</w:t>
            </w:r>
          </w:p>
        </w:tc>
      </w:tr>
      <w:tr w14:paraId="6ECF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1E48647B">
            <w:pPr>
              <w:spacing w:line="360" w:lineRule="auto"/>
              <w:jc w:val="center"/>
              <w:rPr>
                <w:rFonts w:ascii="宋体" w:hAnsi="宋体" w:cs="宋体"/>
                <w:sz w:val="24"/>
              </w:rPr>
            </w:pPr>
            <w:r>
              <w:rPr>
                <w:rFonts w:hint="eastAsia" w:ascii="宋体" w:hAnsi="宋体" w:cs="宋体"/>
                <w:sz w:val="24"/>
              </w:rPr>
              <w:t>5.1</w:t>
            </w:r>
          </w:p>
        </w:tc>
        <w:tc>
          <w:tcPr>
            <w:tcW w:w="1963" w:type="dxa"/>
            <w:vAlign w:val="center"/>
          </w:tcPr>
          <w:p w14:paraId="23820481">
            <w:pPr>
              <w:spacing w:line="360" w:lineRule="auto"/>
              <w:rPr>
                <w:rFonts w:ascii="宋体" w:hAnsi="宋体" w:cs="宋体"/>
                <w:color w:val="auto"/>
                <w:sz w:val="24"/>
              </w:rPr>
            </w:pPr>
            <w:r>
              <w:rPr>
                <w:rFonts w:hint="eastAsia" w:ascii="宋体" w:hAnsi="宋体" w:cs="宋体"/>
                <w:color w:val="auto"/>
                <w:sz w:val="24"/>
              </w:rPr>
              <w:t>响应文件递交截止时间及地点</w:t>
            </w:r>
          </w:p>
        </w:tc>
        <w:tc>
          <w:tcPr>
            <w:tcW w:w="7009" w:type="dxa"/>
            <w:vAlign w:val="center"/>
          </w:tcPr>
          <w:p w14:paraId="3EAF272D">
            <w:pPr>
              <w:spacing w:line="360" w:lineRule="auto"/>
              <w:rPr>
                <w:rFonts w:ascii="宋体" w:hAnsi="宋体" w:cs="宋体"/>
                <w:color w:val="auto"/>
                <w:sz w:val="24"/>
              </w:rPr>
            </w:pPr>
            <w:r>
              <w:rPr>
                <w:rFonts w:hint="eastAsia" w:ascii="宋体" w:hAnsi="宋体" w:cs="宋体"/>
                <w:color w:val="auto"/>
                <w:sz w:val="24"/>
              </w:rPr>
              <w:t>响应文件递交截止时间：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r>
              <w:rPr>
                <w:rFonts w:hint="eastAsia" w:ascii="宋体" w:hAnsi="宋体" w:cs="宋体"/>
                <w:color w:val="auto"/>
                <w:sz w:val="24"/>
              </w:rPr>
              <w:t>；</w:t>
            </w:r>
          </w:p>
          <w:p w14:paraId="3FDA433C">
            <w:pPr>
              <w:spacing w:line="360" w:lineRule="auto"/>
              <w:rPr>
                <w:rFonts w:ascii="宋体" w:hAnsi="宋体" w:cs="宋体"/>
                <w:color w:val="auto"/>
                <w:sz w:val="24"/>
              </w:rPr>
            </w:pPr>
            <w:r>
              <w:rPr>
                <w:rFonts w:hint="eastAsia" w:ascii="宋体" w:hAnsi="宋体" w:cs="宋体"/>
                <w:color w:val="auto"/>
                <w:sz w:val="24"/>
              </w:rPr>
              <w:t>开标地点：郑州市郑东新区康宁街与普济路交会处德威广场12层方大国际工程咨询股份有限公司开标室。</w:t>
            </w:r>
          </w:p>
        </w:tc>
      </w:tr>
      <w:tr w14:paraId="4205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0DC89818">
            <w:pPr>
              <w:spacing w:line="360" w:lineRule="auto"/>
              <w:jc w:val="center"/>
              <w:rPr>
                <w:rFonts w:ascii="宋体" w:hAnsi="宋体" w:cs="宋体"/>
                <w:sz w:val="24"/>
              </w:rPr>
            </w:pPr>
            <w:r>
              <w:rPr>
                <w:rFonts w:hint="eastAsia" w:ascii="宋体" w:hAnsi="宋体" w:cs="宋体"/>
                <w:sz w:val="24"/>
              </w:rPr>
              <w:t>5.3.1</w:t>
            </w:r>
          </w:p>
        </w:tc>
        <w:tc>
          <w:tcPr>
            <w:tcW w:w="1963" w:type="dxa"/>
            <w:vAlign w:val="center"/>
          </w:tcPr>
          <w:p w14:paraId="725BFE1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评审小组的组建</w:t>
            </w:r>
          </w:p>
        </w:tc>
        <w:tc>
          <w:tcPr>
            <w:tcW w:w="7009" w:type="dxa"/>
            <w:vAlign w:val="center"/>
          </w:tcPr>
          <w:p w14:paraId="1D13790B">
            <w:pPr>
              <w:spacing w:line="360" w:lineRule="auto"/>
              <w:rPr>
                <w:rFonts w:ascii="宋体" w:hAnsi="宋体" w:cs="宋体"/>
                <w:color w:val="auto"/>
                <w:sz w:val="24"/>
                <w:highlight w:val="none"/>
              </w:rPr>
            </w:pPr>
            <w:r>
              <w:rPr>
                <w:rFonts w:hint="eastAsia" w:ascii="宋体" w:hAnsi="宋体" w:cs="宋体"/>
                <w:color w:val="auto"/>
                <w:sz w:val="24"/>
                <w:highlight w:val="none"/>
              </w:rPr>
              <w:t>评审小组由采购人代表和评审专家组成，成员人数应当为3人或3人以上单数，其中评审专家不得少于成员总数的三分之二。</w:t>
            </w:r>
          </w:p>
          <w:p w14:paraId="7C3EEB06">
            <w:pPr>
              <w:spacing w:line="360" w:lineRule="auto"/>
              <w:rPr>
                <w:rFonts w:ascii="宋体" w:hAnsi="宋体" w:cs="宋体"/>
                <w:color w:val="auto"/>
                <w:sz w:val="24"/>
                <w:highlight w:val="none"/>
              </w:rPr>
            </w:pPr>
            <w:r>
              <w:rPr>
                <w:rFonts w:hint="eastAsia" w:ascii="宋体" w:hAnsi="宋体" w:cs="宋体"/>
                <w:color w:val="auto"/>
                <w:sz w:val="24"/>
                <w:highlight w:val="none"/>
              </w:rPr>
              <w:t>专家确定方式：评审前从河南省政府采购专家库中随机抽取。</w:t>
            </w:r>
          </w:p>
        </w:tc>
      </w:tr>
      <w:tr w14:paraId="4182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64525064">
            <w:pPr>
              <w:spacing w:line="360" w:lineRule="auto"/>
              <w:jc w:val="center"/>
              <w:rPr>
                <w:rFonts w:ascii="宋体" w:hAnsi="宋体" w:cs="宋体"/>
                <w:sz w:val="24"/>
              </w:rPr>
            </w:pPr>
            <w:r>
              <w:rPr>
                <w:rFonts w:hint="eastAsia" w:ascii="宋体" w:hAnsi="宋体" w:cs="宋体"/>
                <w:sz w:val="24"/>
              </w:rPr>
              <w:t>8</w:t>
            </w:r>
          </w:p>
        </w:tc>
        <w:tc>
          <w:tcPr>
            <w:tcW w:w="8972" w:type="dxa"/>
            <w:gridSpan w:val="2"/>
            <w:vAlign w:val="center"/>
          </w:tcPr>
          <w:p w14:paraId="04A00DC7">
            <w:pPr>
              <w:spacing w:line="360" w:lineRule="auto"/>
              <w:jc w:val="center"/>
              <w:rPr>
                <w:rFonts w:ascii="宋体" w:hAnsi="宋体" w:cs="宋体"/>
                <w:sz w:val="24"/>
              </w:rPr>
            </w:pPr>
            <w:r>
              <w:rPr>
                <w:rFonts w:hint="eastAsia" w:ascii="宋体" w:hAnsi="宋体" w:cs="宋体"/>
                <w:sz w:val="24"/>
              </w:rPr>
              <w:t>需要补充的其他内容</w:t>
            </w:r>
          </w:p>
        </w:tc>
      </w:tr>
      <w:tr w14:paraId="6A5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235CBE6F">
            <w:pPr>
              <w:spacing w:line="360" w:lineRule="auto"/>
              <w:jc w:val="center"/>
              <w:rPr>
                <w:rFonts w:ascii="宋体" w:hAnsi="宋体" w:cs="宋体"/>
                <w:sz w:val="24"/>
              </w:rPr>
            </w:pPr>
            <w:r>
              <w:rPr>
                <w:rFonts w:hint="eastAsia" w:ascii="宋体" w:hAnsi="宋体" w:cs="宋体"/>
                <w:sz w:val="24"/>
              </w:rPr>
              <w:t>8.1</w:t>
            </w:r>
          </w:p>
        </w:tc>
        <w:tc>
          <w:tcPr>
            <w:tcW w:w="1963" w:type="dxa"/>
            <w:vAlign w:val="center"/>
          </w:tcPr>
          <w:p w14:paraId="0C001663">
            <w:pPr>
              <w:spacing w:line="360" w:lineRule="auto"/>
              <w:jc w:val="center"/>
              <w:rPr>
                <w:rFonts w:ascii="宋体" w:hAnsi="宋体" w:cs="宋体"/>
                <w:color w:val="FF0000"/>
                <w:sz w:val="24"/>
              </w:rPr>
            </w:pPr>
            <w:r>
              <w:rPr>
                <w:rFonts w:hint="eastAsia" w:ascii="宋体" w:hAnsi="宋体" w:cs="宋体"/>
                <w:sz w:val="24"/>
              </w:rPr>
              <w:t>履约保证金</w:t>
            </w:r>
          </w:p>
        </w:tc>
        <w:tc>
          <w:tcPr>
            <w:tcW w:w="7009" w:type="dxa"/>
            <w:vAlign w:val="center"/>
          </w:tcPr>
          <w:p w14:paraId="05DD3BBE">
            <w:pPr>
              <w:wordWrap w:val="0"/>
              <w:spacing w:line="360" w:lineRule="auto"/>
              <w:jc w:val="left"/>
              <w:rPr>
                <w:rFonts w:ascii="宋体" w:hAnsi="宋体" w:cs="宋体"/>
                <w:sz w:val="24"/>
              </w:rPr>
            </w:pPr>
            <w:r>
              <w:rPr>
                <w:rFonts w:hint="eastAsia" w:ascii="宋体" w:hAnsi="宋体" w:cs="宋体"/>
                <w:sz w:val="24"/>
              </w:rPr>
              <w:t>是否要求成交人提交履约保证金：</w:t>
            </w:r>
          </w:p>
          <w:p w14:paraId="7A182DBD">
            <w:pPr>
              <w:wordWrap w:val="0"/>
              <w:spacing w:line="360" w:lineRule="auto"/>
              <w:jc w:val="left"/>
              <w:rPr>
                <w:rFonts w:ascii="宋体" w:hAnsi="宋体" w:cs="宋体"/>
                <w:color w:val="FF0000"/>
                <w:kern w:val="0"/>
                <w:sz w:val="24"/>
              </w:rPr>
            </w:pPr>
            <w:r>
              <w:rPr>
                <w:rFonts w:hint="eastAsia" w:ascii="宋体" w:hAnsi="宋体" w:cs="宋体"/>
                <w:sz w:val="24"/>
              </w:rPr>
              <w:t>☑不要求</w:t>
            </w:r>
          </w:p>
        </w:tc>
      </w:tr>
      <w:tr w14:paraId="5D25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41754E6A">
            <w:pPr>
              <w:spacing w:line="360" w:lineRule="auto"/>
              <w:jc w:val="center"/>
              <w:rPr>
                <w:rFonts w:ascii="宋体" w:hAnsi="宋体" w:cs="宋体"/>
                <w:sz w:val="24"/>
              </w:rPr>
            </w:pPr>
            <w:r>
              <w:rPr>
                <w:rFonts w:hint="eastAsia" w:ascii="宋体" w:hAnsi="宋体" w:cs="宋体"/>
                <w:sz w:val="24"/>
              </w:rPr>
              <w:t>8.2</w:t>
            </w:r>
          </w:p>
        </w:tc>
        <w:tc>
          <w:tcPr>
            <w:tcW w:w="1963" w:type="dxa"/>
            <w:vAlign w:val="center"/>
          </w:tcPr>
          <w:p w14:paraId="1EF85308">
            <w:pPr>
              <w:spacing w:line="360" w:lineRule="auto"/>
              <w:jc w:val="center"/>
              <w:rPr>
                <w:rFonts w:ascii="宋体" w:hAnsi="宋体" w:cs="宋体"/>
                <w:sz w:val="24"/>
              </w:rPr>
            </w:pPr>
            <w:r>
              <w:rPr>
                <w:rFonts w:hint="eastAsia" w:ascii="宋体" w:hAnsi="宋体" w:cs="宋体"/>
                <w:sz w:val="24"/>
              </w:rPr>
              <w:t>招标代理服务费</w:t>
            </w:r>
          </w:p>
        </w:tc>
        <w:tc>
          <w:tcPr>
            <w:tcW w:w="7009" w:type="dxa"/>
            <w:vAlign w:val="center"/>
          </w:tcPr>
          <w:p w14:paraId="3E230EA7">
            <w:pPr>
              <w:pStyle w:val="53"/>
              <w:wordWrap w:val="0"/>
              <w:spacing w:line="360" w:lineRule="auto"/>
              <w:rPr>
                <w:sz w:val="24"/>
              </w:rPr>
            </w:pPr>
            <w:r>
              <w:rPr>
                <w:rFonts w:hint="eastAsia"/>
                <w:sz w:val="24"/>
              </w:rPr>
              <w:t>本项目招标代理服务费参照豫招协[2023]002号文件的规定收取，按其标准向成交单位收取。</w:t>
            </w:r>
          </w:p>
          <w:p w14:paraId="30F14FC8">
            <w:pPr>
              <w:pStyle w:val="53"/>
              <w:wordWrap w:val="0"/>
              <w:spacing w:line="360" w:lineRule="auto"/>
              <w:rPr>
                <w:sz w:val="24"/>
              </w:rPr>
            </w:pPr>
            <w:r>
              <w:rPr>
                <w:rFonts w:hint="eastAsia"/>
                <w:sz w:val="24"/>
              </w:rPr>
              <w:t>招标代理服务费的交纳方式：成交供应商在领取成交通知书前从成交供应商</w:t>
            </w:r>
            <w:r>
              <w:rPr>
                <w:rFonts w:hint="eastAsia"/>
                <w:b/>
                <w:bCs/>
                <w:sz w:val="24"/>
              </w:rPr>
              <w:t>公司对公账户</w:t>
            </w:r>
            <w:r>
              <w:rPr>
                <w:rFonts w:hint="eastAsia"/>
                <w:sz w:val="24"/>
              </w:rPr>
              <w:t>一次性汇入代理公司账户。</w:t>
            </w:r>
          </w:p>
          <w:p w14:paraId="74B58332">
            <w:pPr>
              <w:pStyle w:val="53"/>
              <w:wordWrap w:val="0"/>
              <w:spacing w:line="360" w:lineRule="auto"/>
              <w:rPr>
                <w:sz w:val="24"/>
              </w:rPr>
            </w:pPr>
            <w:r>
              <w:rPr>
                <w:rFonts w:hint="eastAsia"/>
                <w:sz w:val="24"/>
              </w:rPr>
              <w:t>账户信息如下：</w:t>
            </w:r>
          </w:p>
          <w:p w14:paraId="75BB1737">
            <w:pPr>
              <w:pStyle w:val="53"/>
              <w:wordWrap w:val="0"/>
              <w:spacing w:line="360" w:lineRule="auto"/>
              <w:rPr>
                <w:sz w:val="24"/>
              </w:rPr>
            </w:pPr>
            <w:r>
              <w:rPr>
                <w:rFonts w:hint="eastAsia"/>
                <w:sz w:val="24"/>
              </w:rPr>
              <w:t>开户行：建行郑州经三路支行</w:t>
            </w:r>
          </w:p>
          <w:p w14:paraId="7C8B1741">
            <w:pPr>
              <w:pStyle w:val="53"/>
              <w:wordWrap w:val="0"/>
              <w:spacing w:line="360" w:lineRule="auto"/>
              <w:rPr>
                <w:sz w:val="24"/>
              </w:rPr>
            </w:pPr>
            <w:r>
              <w:rPr>
                <w:rFonts w:hint="eastAsia"/>
                <w:sz w:val="24"/>
              </w:rPr>
              <w:t>名称：方大国际工程咨询股份有限公司</w:t>
            </w:r>
          </w:p>
          <w:p w14:paraId="1B713E83">
            <w:pPr>
              <w:pStyle w:val="53"/>
              <w:wordWrap w:val="0"/>
              <w:spacing w:line="360" w:lineRule="auto"/>
              <w:rPr>
                <w:sz w:val="24"/>
              </w:rPr>
            </w:pPr>
            <w:r>
              <w:rPr>
                <w:rFonts w:hint="eastAsia"/>
                <w:sz w:val="24"/>
              </w:rPr>
              <w:t>账号：41001523099059662800</w:t>
            </w:r>
          </w:p>
          <w:p w14:paraId="679557AD">
            <w:pPr>
              <w:autoSpaceDE w:val="0"/>
              <w:autoSpaceDN w:val="0"/>
              <w:adjustRightInd w:val="0"/>
              <w:spacing w:line="360" w:lineRule="auto"/>
              <w:rPr>
                <w:rFonts w:ascii="宋体" w:hAnsi="宋体" w:cs="宋体"/>
                <w:kern w:val="0"/>
                <w:sz w:val="24"/>
              </w:rPr>
            </w:pPr>
            <w:r>
              <w:rPr>
                <w:rFonts w:hint="eastAsia" w:ascii="宋体" w:hAnsi="宋体" w:cs="宋体"/>
                <w:sz w:val="24"/>
              </w:rPr>
              <w:t>供应商在转账和汇款时，请务必注明所投项目的项目名称（简写）代理服务费。</w:t>
            </w:r>
          </w:p>
        </w:tc>
      </w:tr>
      <w:tr w14:paraId="2425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73771A3F">
            <w:pPr>
              <w:spacing w:line="360" w:lineRule="auto"/>
              <w:jc w:val="center"/>
              <w:rPr>
                <w:rFonts w:ascii="宋体" w:hAnsi="宋体" w:cs="宋体"/>
                <w:sz w:val="24"/>
              </w:rPr>
            </w:pPr>
            <w:r>
              <w:rPr>
                <w:rFonts w:hint="eastAsia" w:ascii="宋体" w:hAnsi="宋体" w:cs="宋体"/>
                <w:sz w:val="24"/>
              </w:rPr>
              <w:t>8.3</w:t>
            </w:r>
          </w:p>
        </w:tc>
        <w:tc>
          <w:tcPr>
            <w:tcW w:w="1963" w:type="dxa"/>
            <w:vAlign w:val="center"/>
          </w:tcPr>
          <w:p w14:paraId="02A64646">
            <w:pPr>
              <w:spacing w:line="360" w:lineRule="auto"/>
              <w:ind w:firstLine="484"/>
              <w:jc w:val="both"/>
              <w:rPr>
                <w:rFonts w:ascii="宋体" w:hAnsi="宋体" w:cs="宋体"/>
                <w:sz w:val="24"/>
                <w:highlight w:val="none"/>
              </w:rPr>
            </w:pPr>
            <w:r>
              <w:rPr>
                <w:rFonts w:hint="eastAsia" w:ascii="宋体" w:hAnsi="宋体" w:cs="宋体"/>
                <w:spacing w:val="1"/>
                <w:kern w:val="0"/>
                <w:sz w:val="24"/>
                <w:highlight w:val="none"/>
              </w:rPr>
              <w:t>付款方式</w:t>
            </w:r>
          </w:p>
        </w:tc>
        <w:tc>
          <w:tcPr>
            <w:tcW w:w="7009" w:type="dxa"/>
            <w:vAlign w:val="center"/>
          </w:tcPr>
          <w:p w14:paraId="45A10AF9">
            <w:pPr>
              <w:wordWrap w:val="0"/>
              <w:spacing w:line="360" w:lineRule="auto"/>
              <w:jc w:val="left"/>
              <w:rPr>
                <w:rFonts w:ascii="宋体" w:hAnsi="宋体" w:cs="宋体"/>
                <w:sz w:val="24"/>
                <w:highlight w:val="none"/>
              </w:rPr>
            </w:pPr>
            <w:r>
              <w:rPr>
                <w:rFonts w:hint="eastAsia" w:ascii="宋体" w:hAnsi="宋体" w:cs="宋体"/>
                <w:sz w:val="24"/>
                <w:highlight w:val="none"/>
              </w:rPr>
              <w:t>项目共分</w:t>
            </w:r>
            <w:r>
              <w:rPr>
                <w:rFonts w:hint="eastAsia" w:ascii="宋体" w:hAnsi="宋体" w:cs="宋体"/>
                <w:sz w:val="24"/>
                <w:highlight w:val="none"/>
                <w:lang w:eastAsia="zh-CN"/>
              </w:rPr>
              <w:t>四</w:t>
            </w:r>
            <w:r>
              <w:rPr>
                <w:rFonts w:hint="eastAsia" w:ascii="宋体" w:hAnsi="宋体" w:cs="宋体"/>
                <w:sz w:val="24"/>
                <w:highlight w:val="none"/>
              </w:rPr>
              <w:t>次支付，年度运维期限内，每</w:t>
            </w:r>
            <w:r>
              <w:rPr>
                <w:rFonts w:hint="eastAsia" w:ascii="宋体" w:hAnsi="宋体" w:cs="宋体"/>
                <w:sz w:val="24"/>
                <w:highlight w:val="none"/>
                <w:lang w:eastAsia="zh-CN"/>
              </w:rPr>
              <w:t>三个月进行一次</w:t>
            </w:r>
            <w:r>
              <w:rPr>
                <w:rFonts w:hint="eastAsia" w:ascii="宋体" w:hAnsi="宋体" w:cs="宋体"/>
                <w:sz w:val="24"/>
                <w:highlight w:val="none"/>
              </w:rPr>
              <w:t>考核</w:t>
            </w:r>
            <w:r>
              <w:rPr>
                <w:rFonts w:hint="eastAsia" w:ascii="宋体" w:hAnsi="宋体" w:cs="宋体"/>
                <w:sz w:val="24"/>
                <w:highlight w:val="none"/>
                <w:lang w:eastAsia="zh-CN"/>
              </w:rPr>
              <w:t>，单次考核</w:t>
            </w:r>
            <w:r>
              <w:rPr>
                <w:rFonts w:hint="eastAsia" w:ascii="宋体" w:hAnsi="宋体" w:cs="宋体"/>
                <w:sz w:val="24"/>
                <w:highlight w:val="none"/>
              </w:rPr>
              <w:t>完成后根据考核结果支付</w:t>
            </w:r>
            <w:r>
              <w:rPr>
                <w:rFonts w:hint="eastAsia" w:ascii="宋体" w:hAnsi="宋体" w:cs="宋体"/>
                <w:sz w:val="24"/>
                <w:highlight w:val="none"/>
                <w:lang w:eastAsia="zh-CN"/>
              </w:rPr>
              <w:t>三个月</w:t>
            </w:r>
            <w:r>
              <w:rPr>
                <w:rFonts w:hint="eastAsia" w:ascii="宋体" w:hAnsi="宋体" w:cs="宋体"/>
                <w:sz w:val="24"/>
                <w:highlight w:val="none"/>
              </w:rPr>
              <w:t>运维费用</w:t>
            </w:r>
          </w:p>
        </w:tc>
      </w:tr>
      <w:tr w14:paraId="6198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768955EA">
            <w:pPr>
              <w:spacing w:line="360" w:lineRule="auto"/>
              <w:jc w:val="center"/>
              <w:rPr>
                <w:rFonts w:ascii="宋体" w:hAnsi="宋体" w:cs="宋体"/>
                <w:sz w:val="24"/>
              </w:rPr>
            </w:pPr>
            <w:r>
              <w:rPr>
                <w:rFonts w:hint="eastAsia" w:ascii="宋体" w:hAnsi="宋体" w:cs="宋体"/>
                <w:sz w:val="24"/>
              </w:rPr>
              <w:t>8.4</w:t>
            </w:r>
          </w:p>
        </w:tc>
        <w:tc>
          <w:tcPr>
            <w:tcW w:w="1963" w:type="dxa"/>
            <w:vAlign w:val="center"/>
          </w:tcPr>
          <w:p w14:paraId="4824A59C">
            <w:pPr>
              <w:spacing w:line="360" w:lineRule="auto"/>
              <w:jc w:val="center"/>
              <w:rPr>
                <w:rFonts w:ascii="宋体" w:hAnsi="宋体" w:cs="宋体"/>
                <w:sz w:val="24"/>
                <w:highlight w:val="none"/>
              </w:rPr>
            </w:pPr>
            <w:r>
              <w:rPr>
                <w:rFonts w:hint="eastAsia" w:ascii="宋体" w:hAnsi="宋体" w:cs="宋体"/>
                <w:sz w:val="24"/>
                <w:highlight w:val="none"/>
              </w:rPr>
              <w:t>所属行业</w:t>
            </w:r>
          </w:p>
        </w:tc>
        <w:tc>
          <w:tcPr>
            <w:tcW w:w="7009" w:type="dxa"/>
            <w:vAlign w:val="center"/>
          </w:tcPr>
          <w:p w14:paraId="3E1E13C2">
            <w:pPr>
              <w:autoSpaceDE w:val="0"/>
              <w:autoSpaceDN w:val="0"/>
              <w:adjustRightInd w:val="0"/>
              <w:spacing w:line="360" w:lineRule="auto"/>
              <w:rPr>
                <w:rFonts w:ascii="宋体" w:hAnsi="宋体" w:cs="宋体"/>
                <w:spacing w:val="1"/>
                <w:kern w:val="0"/>
                <w:sz w:val="24"/>
                <w:highlight w:val="none"/>
              </w:rPr>
            </w:pPr>
            <w:r>
              <w:rPr>
                <w:rFonts w:hint="eastAsia" w:ascii="宋体" w:hAnsi="宋体" w:cs="宋体"/>
                <w:spacing w:val="1"/>
                <w:kern w:val="0"/>
                <w:sz w:val="24"/>
                <w:highlight w:val="none"/>
              </w:rPr>
              <w:t>其他未列明行业</w:t>
            </w:r>
          </w:p>
        </w:tc>
      </w:tr>
      <w:tr w14:paraId="4973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85" w:type="dxa"/>
            <w:vAlign w:val="center"/>
          </w:tcPr>
          <w:p w14:paraId="24313DF3">
            <w:pPr>
              <w:spacing w:line="360" w:lineRule="auto"/>
              <w:jc w:val="center"/>
              <w:rPr>
                <w:rFonts w:ascii="宋体" w:hAnsi="宋体" w:cs="宋体"/>
                <w:sz w:val="24"/>
              </w:rPr>
            </w:pPr>
            <w:r>
              <w:rPr>
                <w:rFonts w:hint="eastAsia" w:ascii="宋体" w:hAnsi="宋体" w:cs="宋体"/>
                <w:sz w:val="24"/>
              </w:rPr>
              <w:t>8.5</w:t>
            </w:r>
          </w:p>
        </w:tc>
        <w:tc>
          <w:tcPr>
            <w:tcW w:w="1963" w:type="dxa"/>
            <w:vAlign w:val="center"/>
          </w:tcPr>
          <w:p w14:paraId="155CFE5A">
            <w:pPr>
              <w:spacing w:line="360" w:lineRule="auto"/>
              <w:ind w:firstLine="0"/>
              <w:jc w:val="center"/>
              <w:rPr>
                <w:rFonts w:ascii="宋体" w:hAnsi="宋体" w:cs="宋体"/>
                <w:sz w:val="24"/>
                <w:highlight w:val="none"/>
              </w:rPr>
            </w:pPr>
            <w:r>
              <w:rPr>
                <w:rFonts w:hint="eastAsia" w:ascii="宋体" w:hAnsi="宋体" w:cs="宋体"/>
                <w:b/>
                <w:bCs/>
                <w:sz w:val="24"/>
                <w:highlight w:val="none"/>
              </w:rPr>
              <w:t>项目预算金额</w:t>
            </w:r>
          </w:p>
        </w:tc>
        <w:tc>
          <w:tcPr>
            <w:tcW w:w="7009" w:type="dxa"/>
            <w:vAlign w:val="center"/>
          </w:tcPr>
          <w:p w14:paraId="067C09D0">
            <w:pPr>
              <w:autoSpaceDE w:val="0"/>
              <w:autoSpaceDN w:val="0"/>
              <w:adjustRightInd w:val="0"/>
              <w:spacing w:line="360" w:lineRule="auto"/>
              <w:jc w:val="left"/>
              <w:rPr>
                <w:rFonts w:ascii="宋体" w:hAnsi="宋体" w:cs="宋体"/>
                <w:spacing w:val="1"/>
                <w:kern w:val="0"/>
                <w:sz w:val="24"/>
                <w:highlight w:val="none"/>
              </w:rPr>
            </w:pPr>
            <w:r>
              <w:rPr>
                <w:rFonts w:hint="eastAsia" w:ascii="宋体" w:hAnsi="宋体" w:cs="宋体"/>
                <w:sz w:val="24"/>
                <w:highlight w:val="none"/>
              </w:rPr>
              <w:t>项目预算金额：150万元</w:t>
            </w:r>
          </w:p>
        </w:tc>
      </w:tr>
    </w:tbl>
    <w:p w14:paraId="6E5B4088">
      <w:pPr>
        <w:pStyle w:val="6"/>
        <w:spacing w:line="360" w:lineRule="auto"/>
        <w:ind w:firstLine="482"/>
        <w:rPr>
          <w:rFonts w:ascii="宋体" w:hAnsi="宋体" w:cs="宋体"/>
          <w:b/>
          <w:bCs/>
          <w:sz w:val="24"/>
        </w:rPr>
      </w:pPr>
      <w:r>
        <w:rPr>
          <w:rFonts w:hint="eastAsia" w:ascii="宋体" w:hAnsi="宋体" w:cs="宋体"/>
          <w:b/>
          <w:bCs/>
          <w:sz w:val="24"/>
        </w:rPr>
        <w:t>一、说明</w:t>
      </w:r>
    </w:p>
    <w:p w14:paraId="455EACF3">
      <w:pPr>
        <w:pStyle w:val="6"/>
        <w:spacing w:line="360" w:lineRule="auto"/>
        <w:ind w:firstLine="480"/>
        <w:rPr>
          <w:rFonts w:ascii="宋体" w:hAnsi="宋体" w:cs="宋体"/>
          <w:sz w:val="24"/>
        </w:rPr>
      </w:pPr>
      <w:r>
        <w:rPr>
          <w:rFonts w:hint="eastAsia" w:ascii="宋体" w:hAnsi="宋体" w:cs="宋体"/>
          <w:sz w:val="24"/>
        </w:rPr>
        <w:t>1、适用范围</w:t>
      </w:r>
    </w:p>
    <w:p w14:paraId="426D0A8D">
      <w:pPr>
        <w:pStyle w:val="6"/>
        <w:spacing w:line="360" w:lineRule="auto"/>
        <w:ind w:firstLine="480"/>
        <w:rPr>
          <w:rFonts w:ascii="宋体" w:hAnsi="宋体" w:cs="宋体"/>
          <w:sz w:val="24"/>
        </w:rPr>
      </w:pPr>
      <w:r>
        <w:rPr>
          <w:rFonts w:hint="eastAsia" w:ascii="宋体" w:hAnsi="宋体" w:cs="宋体"/>
          <w:sz w:val="24"/>
        </w:rPr>
        <w:t>1.1 本次单一来源采购文件仅适用于河南省生态环境监测和安全中心河南省空天地一体化环境信息监控系统(一期)2026年数据和运维服务项目。</w:t>
      </w:r>
    </w:p>
    <w:p w14:paraId="466EA6CB">
      <w:pPr>
        <w:pStyle w:val="6"/>
        <w:spacing w:line="360" w:lineRule="auto"/>
        <w:ind w:firstLine="480"/>
        <w:rPr>
          <w:rFonts w:ascii="宋体" w:hAnsi="宋体" w:cs="宋体"/>
          <w:sz w:val="24"/>
        </w:rPr>
      </w:pPr>
      <w:r>
        <w:rPr>
          <w:rFonts w:hint="eastAsia" w:ascii="宋体" w:hAnsi="宋体" w:cs="宋体"/>
          <w:sz w:val="24"/>
        </w:rPr>
        <w:t>1.2 定义</w:t>
      </w:r>
    </w:p>
    <w:p w14:paraId="648913AD">
      <w:pPr>
        <w:pStyle w:val="6"/>
        <w:spacing w:line="360" w:lineRule="auto"/>
        <w:ind w:firstLine="480"/>
        <w:rPr>
          <w:rFonts w:ascii="宋体" w:hAnsi="宋体" w:cs="宋体"/>
          <w:sz w:val="24"/>
        </w:rPr>
      </w:pPr>
      <w:r>
        <w:rPr>
          <w:rFonts w:hint="eastAsia" w:ascii="宋体" w:hAnsi="宋体" w:cs="宋体"/>
          <w:sz w:val="24"/>
        </w:rPr>
        <w:t>1.2.1“采购人”系指河南省生态环境监测和安全中心；</w:t>
      </w:r>
    </w:p>
    <w:p w14:paraId="6DFA99B2">
      <w:pPr>
        <w:pStyle w:val="6"/>
        <w:spacing w:line="360" w:lineRule="auto"/>
        <w:ind w:firstLine="480"/>
        <w:rPr>
          <w:rFonts w:ascii="宋体" w:hAnsi="宋体" w:cs="宋体"/>
          <w:sz w:val="24"/>
        </w:rPr>
      </w:pPr>
      <w:r>
        <w:rPr>
          <w:rFonts w:hint="eastAsia" w:ascii="宋体" w:hAnsi="宋体" w:cs="宋体"/>
          <w:sz w:val="24"/>
        </w:rPr>
        <w:t>1.2.2“采购代理机构”方大国际工程咨询股份有限公司；</w:t>
      </w:r>
    </w:p>
    <w:p w14:paraId="5C5CD91A">
      <w:pPr>
        <w:pStyle w:val="6"/>
        <w:spacing w:line="360" w:lineRule="auto"/>
        <w:ind w:firstLine="480"/>
        <w:rPr>
          <w:rFonts w:ascii="宋体" w:hAnsi="宋体" w:cs="宋体"/>
          <w:sz w:val="24"/>
        </w:rPr>
      </w:pPr>
      <w:r>
        <w:rPr>
          <w:rFonts w:hint="eastAsia" w:ascii="宋体" w:hAnsi="宋体" w:cs="宋体"/>
          <w:sz w:val="24"/>
        </w:rPr>
        <w:t>1.2.3“供应商”系指向采购代理机构提交响应文件的供应商；</w:t>
      </w:r>
    </w:p>
    <w:p w14:paraId="25FEB511">
      <w:pPr>
        <w:pStyle w:val="6"/>
        <w:spacing w:line="360" w:lineRule="auto"/>
        <w:ind w:firstLine="480"/>
        <w:rPr>
          <w:rFonts w:ascii="宋体" w:hAnsi="宋体" w:cs="宋体"/>
          <w:sz w:val="24"/>
        </w:rPr>
      </w:pPr>
      <w:r>
        <w:rPr>
          <w:rFonts w:hint="eastAsia" w:ascii="宋体" w:hAnsi="宋体" w:cs="宋体"/>
          <w:sz w:val="24"/>
        </w:rPr>
        <w:t>1.2.4“成交供应商”系指其响应文件被采购人所接受，并与采购人签订合同的供应商；</w:t>
      </w:r>
    </w:p>
    <w:p w14:paraId="3611D216">
      <w:pPr>
        <w:pStyle w:val="6"/>
        <w:spacing w:line="360" w:lineRule="auto"/>
        <w:ind w:firstLine="480"/>
        <w:rPr>
          <w:rFonts w:ascii="宋体" w:hAnsi="宋体" w:cs="宋体"/>
          <w:sz w:val="24"/>
        </w:rPr>
      </w:pPr>
      <w:r>
        <w:rPr>
          <w:rFonts w:hint="eastAsia" w:ascii="宋体" w:hAnsi="宋体" w:cs="宋体"/>
          <w:sz w:val="24"/>
        </w:rPr>
        <w:t>1.2.5资金来源及落实情况：详见供应商须知前附表。</w:t>
      </w:r>
    </w:p>
    <w:p w14:paraId="64AD4472">
      <w:pPr>
        <w:pStyle w:val="6"/>
        <w:spacing w:line="360" w:lineRule="auto"/>
        <w:ind w:firstLine="480"/>
        <w:rPr>
          <w:rFonts w:ascii="宋体" w:hAnsi="宋体" w:cs="宋体"/>
          <w:sz w:val="24"/>
        </w:rPr>
      </w:pPr>
      <w:r>
        <w:rPr>
          <w:rFonts w:hint="eastAsia" w:ascii="宋体" w:hAnsi="宋体" w:cs="宋体"/>
          <w:sz w:val="24"/>
        </w:rPr>
        <w:t>1.2.6服务地点：详见供应商须知前附表。</w:t>
      </w:r>
    </w:p>
    <w:p w14:paraId="23013A70">
      <w:pPr>
        <w:pStyle w:val="6"/>
        <w:spacing w:line="360" w:lineRule="auto"/>
        <w:ind w:firstLine="480"/>
        <w:rPr>
          <w:rFonts w:ascii="宋体" w:hAnsi="宋体" w:cs="宋体"/>
          <w:sz w:val="24"/>
        </w:rPr>
      </w:pPr>
      <w:r>
        <w:rPr>
          <w:rFonts w:hint="eastAsia" w:ascii="宋体" w:hAnsi="宋体" w:cs="宋体"/>
          <w:sz w:val="24"/>
        </w:rPr>
        <w:t>1.2.7服务质量：详见供应商须知前附表。</w:t>
      </w:r>
    </w:p>
    <w:p w14:paraId="13A1B9DA">
      <w:pPr>
        <w:pStyle w:val="6"/>
        <w:spacing w:line="360" w:lineRule="auto"/>
        <w:ind w:firstLine="480"/>
        <w:rPr>
          <w:rFonts w:ascii="宋体" w:hAnsi="宋体" w:cs="宋体"/>
          <w:sz w:val="24"/>
        </w:rPr>
      </w:pPr>
      <w:r>
        <w:rPr>
          <w:rFonts w:hint="eastAsia" w:ascii="宋体" w:hAnsi="宋体" w:cs="宋体"/>
          <w:sz w:val="24"/>
        </w:rPr>
        <w:t>1.2.8服务期限：详见供应商须知前附表。</w:t>
      </w:r>
    </w:p>
    <w:p w14:paraId="1B6916FB">
      <w:pPr>
        <w:pStyle w:val="6"/>
        <w:spacing w:line="360" w:lineRule="auto"/>
        <w:ind w:firstLine="480"/>
        <w:rPr>
          <w:rFonts w:ascii="宋体" w:hAnsi="宋体" w:cs="宋体"/>
          <w:sz w:val="24"/>
        </w:rPr>
      </w:pPr>
      <w:r>
        <w:rPr>
          <w:rFonts w:hint="eastAsia" w:ascii="宋体" w:hAnsi="宋体" w:cs="宋体"/>
          <w:sz w:val="24"/>
        </w:rPr>
        <w:t>1.3 供应商资格要求：详见供应商须知前附表。</w:t>
      </w:r>
    </w:p>
    <w:p w14:paraId="27F3FE47">
      <w:pPr>
        <w:pStyle w:val="6"/>
        <w:spacing w:line="360" w:lineRule="auto"/>
        <w:ind w:firstLine="480"/>
        <w:rPr>
          <w:rFonts w:ascii="宋体" w:hAnsi="宋体" w:cs="宋体"/>
          <w:sz w:val="24"/>
        </w:rPr>
      </w:pPr>
      <w:r>
        <w:rPr>
          <w:rFonts w:hint="eastAsia" w:ascii="宋体" w:hAnsi="宋体" w:cs="宋体"/>
          <w:sz w:val="24"/>
        </w:rPr>
        <w:t>1.4 协商费用</w:t>
      </w:r>
    </w:p>
    <w:p w14:paraId="1E547002">
      <w:pPr>
        <w:spacing w:line="360" w:lineRule="auto"/>
        <w:ind w:firstLine="480" w:firstLineChars="200"/>
        <w:rPr>
          <w:rFonts w:ascii="宋体" w:hAnsi="宋体" w:cs="宋体"/>
          <w:sz w:val="24"/>
        </w:rPr>
      </w:pPr>
      <w:r>
        <w:rPr>
          <w:rFonts w:hint="eastAsia" w:ascii="宋体" w:hAnsi="宋体" w:cs="宋体"/>
          <w:sz w:val="24"/>
        </w:rPr>
        <w:t>无论协商过程中的做法和结果如何，供应商应自行承担所有与参加投标有关的全部费用，采购人或采购代理机构在任何情况下均无义务和责任承担上述费用。</w:t>
      </w:r>
    </w:p>
    <w:p w14:paraId="144BA7E0">
      <w:pPr>
        <w:pStyle w:val="6"/>
        <w:spacing w:line="360" w:lineRule="auto"/>
        <w:ind w:firstLine="482"/>
        <w:rPr>
          <w:rFonts w:ascii="宋体" w:hAnsi="宋体" w:cs="宋体"/>
          <w:b/>
          <w:bCs/>
          <w:sz w:val="24"/>
        </w:rPr>
      </w:pPr>
      <w:r>
        <w:rPr>
          <w:rFonts w:hint="eastAsia" w:ascii="宋体" w:hAnsi="宋体" w:cs="宋体"/>
          <w:b/>
          <w:bCs/>
          <w:sz w:val="24"/>
        </w:rPr>
        <w:t>二、单一来源采购文件</w:t>
      </w:r>
    </w:p>
    <w:p w14:paraId="298A01F9">
      <w:pPr>
        <w:pStyle w:val="6"/>
        <w:spacing w:line="360" w:lineRule="auto"/>
        <w:ind w:firstLine="480"/>
        <w:rPr>
          <w:rFonts w:ascii="宋体" w:hAnsi="宋体" w:cs="宋体"/>
          <w:sz w:val="24"/>
        </w:rPr>
      </w:pPr>
      <w:r>
        <w:rPr>
          <w:rFonts w:hint="eastAsia" w:ascii="宋体" w:hAnsi="宋体" w:cs="宋体"/>
          <w:sz w:val="24"/>
        </w:rPr>
        <w:t>2.1 单一来源采购文件的组成</w:t>
      </w:r>
    </w:p>
    <w:p w14:paraId="392C2649">
      <w:pPr>
        <w:pStyle w:val="6"/>
        <w:spacing w:line="360" w:lineRule="auto"/>
        <w:ind w:firstLine="480"/>
        <w:rPr>
          <w:rFonts w:ascii="宋体" w:hAnsi="宋体" w:cs="宋体"/>
          <w:sz w:val="24"/>
        </w:rPr>
      </w:pPr>
      <w:r>
        <w:rPr>
          <w:rFonts w:hint="eastAsia" w:ascii="宋体" w:hAnsi="宋体" w:cs="宋体"/>
          <w:sz w:val="24"/>
        </w:rPr>
        <w:t>本单一来源采购文件包括：</w:t>
      </w:r>
    </w:p>
    <w:p w14:paraId="1AFD98EA">
      <w:pPr>
        <w:pStyle w:val="6"/>
        <w:spacing w:line="360" w:lineRule="auto"/>
        <w:ind w:firstLine="480"/>
        <w:rPr>
          <w:rFonts w:ascii="宋体" w:hAnsi="宋体" w:cs="宋体"/>
          <w:sz w:val="24"/>
        </w:rPr>
      </w:pPr>
      <w:r>
        <w:rPr>
          <w:rFonts w:hint="eastAsia" w:ascii="宋体" w:hAnsi="宋体" w:cs="宋体"/>
          <w:sz w:val="24"/>
        </w:rPr>
        <w:t>（1）单一来源采购邀请函；</w:t>
      </w:r>
    </w:p>
    <w:p w14:paraId="7E7F1F39">
      <w:pPr>
        <w:pStyle w:val="6"/>
        <w:spacing w:line="360" w:lineRule="auto"/>
        <w:ind w:firstLine="480"/>
        <w:rPr>
          <w:rFonts w:ascii="宋体" w:hAnsi="宋体" w:cs="宋体"/>
          <w:sz w:val="24"/>
        </w:rPr>
      </w:pPr>
      <w:r>
        <w:rPr>
          <w:rFonts w:hint="eastAsia" w:ascii="宋体" w:hAnsi="宋体" w:cs="宋体"/>
          <w:sz w:val="24"/>
        </w:rPr>
        <w:t>（2）供应商须知；</w:t>
      </w:r>
    </w:p>
    <w:p w14:paraId="36DC6FF4">
      <w:pPr>
        <w:pStyle w:val="6"/>
        <w:spacing w:line="360" w:lineRule="auto"/>
        <w:ind w:firstLine="480"/>
        <w:rPr>
          <w:rFonts w:ascii="宋体" w:hAnsi="宋体" w:cs="宋体"/>
          <w:sz w:val="24"/>
        </w:rPr>
      </w:pPr>
      <w:r>
        <w:rPr>
          <w:rFonts w:hint="eastAsia" w:ascii="宋体" w:hAnsi="宋体" w:cs="宋体"/>
          <w:sz w:val="24"/>
        </w:rPr>
        <w:t>（3）合同条款；</w:t>
      </w:r>
    </w:p>
    <w:p w14:paraId="60790BE2">
      <w:pPr>
        <w:pStyle w:val="6"/>
        <w:spacing w:line="360" w:lineRule="auto"/>
        <w:ind w:firstLine="480"/>
        <w:rPr>
          <w:rFonts w:ascii="宋体" w:hAnsi="宋体" w:cs="宋体"/>
          <w:sz w:val="24"/>
        </w:rPr>
      </w:pPr>
      <w:r>
        <w:rPr>
          <w:rFonts w:hint="eastAsia" w:ascii="宋体" w:hAnsi="宋体" w:cs="宋体"/>
          <w:sz w:val="24"/>
        </w:rPr>
        <w:t>（4）采购人需求；</w:t>
      </w:r>
    </w:p>
    <w:p w14:paraId="1FA908DE">
      <w:pPr>
        <w:pStyle w:val="6"/>
        <w:spacing w:line="360" w:lineRule="auto"/>
        <w:ind w:firstLine="480"/>
        <w:rPr>
          <w:rFonts w:ascii="宋体" w:hAnsi="宋体" w:cs="宋体"/>
          <w:sz w:val="24"/>
        </w:rPr>
      </w:pPr>
      <w:r>
        <w:rPr>
          <w:rFonts w:hint="eastAsia" w:ascii="宋体" w:hAnsi="宋体" w:cs="宋体"/>
          <w:sz w:val="24"/>
        </w:rPr>
        <w:t>（5）单一来源采购评审原则及成交办法；</w:t>
      </w:r>
    </w:p>
    <w:p w14:paraId="295B83D7">
      <w:pPr>
        <w:pStyle w:val="6"/>
        <w:spacing w:line="360" w:lineRule="auto"/>
        <w:ind w:firstLine="480"/>
        <w:rPr>
          <w:rFonts w:ascii="宋体" w:hAnsi="宋体" w:cs="宋体"/>
          <w:sz w:val="24"/>
        </w:rPr>
      </w:pPr>
      <w:r>
        <w:rPr>
          <w:rFonts w:hint="eastAsia" w:ascii="宋体" w:hAnsi="宋体" w:cs="宋体"/>
          <w:sz w:val="24"/>
        </w:rPr>
        <w:t>（6）响应文件格式；</w:t>
      </w:r>
    </w:p>
    <w:p w14:paraId="75DA60A9">
      <w:pPr>
        <w:pStyle w:val="6"/>
        <w:spacing w:line="360" w:lineRule="auto"/>
        <w:ind w:firstLine="480"/>
        <w:rPr>
          <w:rFonts w:ascii="宋体" w:hAnsi="宋体" w:cs="宋体"/>
          <w:sz w:val="24"/>
        </w:rPr>
      </w:pPr>
      <w:r>
        <w:rPr>
          <w:rFonts w:hint="eastAsia" w:ascii="宋体" w:hAnsi="宋体" w:cs="宋体"/>
          <w:sz w:val="24"/>
        </w:rPr>
        <w:t>对单一来源采购文件所作的澄清、修改，构成单一来源采购文件的组成部分。</w:t>
      </w:r>
    </w:p>
    <w:p w14:paraId="646AEB3B">
      <w:pPr>
        <w:pStyle w:val="6"/>
        <w:spacing w:line="360" w:lineRule="auto"/>
        <w:ind w:firstLine="480"/>
        <w:rPr>
          <w:rFonts w:ascii="宋体" w:hAnsi="宋体" w:cs="宋体"/>
          <w:sz w:val="24"/>
        </w:rPr>
      </w:pPr>
      <w:r>
        <w:rPr>
          <w:rFonts w:hint="eastAsia" w:ascii="宋体" w:hAnsi="宋体" w:cs="宋体"/>
          <w:sz w:val="24"/>
        </w:rPr>
        <w:t>2.2投标货币</w:t>
      </w:r>
    </w:p>
    <w:p w14:paraId="4635A943">
      <w:pPr>
        <w:pStyle w:val="6"/>
        <w:spacing w:line="360" w:lineRule="auto"/>
        <w:ind w:firstLine="480"/>
        <w:rPr>
          <w:rFonts w:ascii="宋体" w:hAnsi="宋体" w:cs="宋体"/>
          <w:sz w:val="24"/>
        </w:rPr>
      </w:pPr>
      <w:r>
        <w:rPr>
          <w:rFonts w:hint="eastAsia" w:ascii="宋体" w:hAnsi="宋体" w:cs="宋体"/>
          <w:sz w:val="24"/>
        </w:rPr>
        <w:t>除非另有规定，供应商提供的所有货物和服务均使用人民币报价。</w:t>
      </w:r>
    </w:p>
    <w:p w14:paraId="415B5347">
      <w:pPr>
        <w:pStyle w:val="6"/>
        <w:spacing w:line="360" w:lineRule="auto"/>
        <w:ind w:firstLine="482"/>
        <w:rPr>
          <w:rFonts w:ascii="宋体" w:hAnsi="宋体" w:cs="宋体"/>
          <w:b/>
          <w:bCs/>
          <w:sz w:val="24"/>
        </w:rPr>
      </w:pPr>
      <w:r>
        <w:rPr>
          <w:rFonts w:hint="eastAsia" w:ascii="宋体" w:hAnsi="宋体" w:cs="宋体"/>
          <w:b/>
          <w:bCs/>
          <w:sz w:val="24"/>
        </w:rPr>
        <w:t>三、响应文件</w:t>
      </w:r>
    </w:p>
    <w:p w14:paraId="1016F747">
      <w:pPr>
        <w:pStyle w:val="6"/>
        <w:spacing w:line="360" w:lineRule="auto"/>
        <w:ind w:firstLine="480"/>
        <w:rPr>
          <w:rFonts w:ascii="宋体" w:hAnsi="宋体" w:cs="宋体"/>
          <w:sz w:val="24"/>
        </w:rPr>
      </w:pPr>
      <w:r>
        <w:rPr>
          <w:rFonts w:hint="eastAsia" w:ascii="宋体" w:hAnsi="宋体" w:cs="宋体"/>
          <w:sz w:val="24"/>
        </w:rPr>
        <w:t>3.1 响应文件的组成</w:t>
      </w:r>
    </w:p>
    <w:p w14:paraId="03192EE7">
      <w:pPr>
        <w:pStyle w:val="6"/>
        <w:spacing w:line="360" w:lineRule="auto"/>
        <w:ind w:firstLine="480"/>
        <w:rPr>
          <w:rFonts w:ascii="宋体" w:hAnsi="宋体" w:cs="宋体"/>
          <w:sz w:val="24"/>
        </w:rPr>
      </w:pPr>
      <w:r>
        <w:rPr>
          <w:rFonts w:hint="eastAsia" w:ascii="宋体" w:hAnsi="宋体" w:cs="宋体"/>
          <w:sz w:val="24"/>
        </w:rPr>
        <w:t>3.1.1 响应文件应包括下列内容：</w:t>
      </w:r>
    </w:p>
    <w:p w14:paraId="38C633D5">
      <w:pPr>
        <w:spacing w:line="360" w:lineRule="auto"/>
        <w:ind w:firstLine="480" w:firstLineChars="200"/>
        <w:rPr>
          <w:rFonts w:ascii="宋体" w:hAnsi="宋体" w:cs="宋体"/>
          <w:sz w:val="24"/>
        </w:rPr>
      </w:pPr>
      <w:r>
        <w:rPr>
          <w:rFonts w:hint="eastAsia" w:ascii="宋体" w:hAnsi="宋体" w:cs="宋体"/>
          <w:sz w:val="24"/>
        </w:rPr>
        <w:t>（1）响应函及响应函附录</w:t>
      </w:r>
    </w:p>
    <w:p w14:paraId="0458ACF6">
      <w:pPr>
        <w:spacing w:line="360" w:lineRule="auto"/>
        <w:ind w:firstLine="480" w:firstLineChars="200"/>
        <w:rPr>
          <w:rFonts w:ascii="宋体" w:hAnsi="宋体" w:cs="宋体"/>
          <w:sz w:val="24"/>
        </w:rPr>
      </w:pPr>
      <w:r>
        <w:rPr>
          <w:rFonts w:hint="eastAsia" w:ascii="宋体" w:hAnsi="宋体" w:cs="宋体"/>
          <w:sz w:val="24"/>
        </w:rPr>
        <w:t>（2）法定代表人身份证明</w:t>
      </w:r>
    </w:p>
    <w:p w14:paraId="5CA65D18">
      <w:pPr>
        <w:spacing w:line="360" w:lineRule="auto"/>
        <w:ind w:firstLine="480" w:firstLineChars="200"/>
        <w:rPr>
          <w:rFonts w:ascii="宋体" w:hAnsi="宋体" w:cs="宋体"/>
          <w:sz w:val="24"/>
        </w:rPr>
      </w:pPr>
      <w:r>
        <w:rPr>
          <w:rFonts w:hint="eastAsia" w:ascii="宋体" w:hAnsi="宋体" w:cs="宋体"/>
          <w:sz w:val="24"/>
        </w:rPr>
        <w:t>（3）授权委托书</w:t>
      </w:r>
    </w:p>
    <w:p w14:paraId="2594F8E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（4）</w:t>
      </w:r>
      <w:r>
        <w:rPr>
          <w:rFonts w:hint="eastAsia" w:ascii="宋体" w:hAnsi="宋体" w:cs="宋体"/>
          <w:sz w:val="24"/>
          <w:lang w:eastAsia="zh-CN"/>
        </w:rPr>
        <w:t>技术服务偏离表</w:t>
      </w:r>
    </w:p>
    <w:p w14:paraId="360C45A4">
      <w:pPr>
        <w:spacing w:line="360" w:lineRule="auto"/>
        <w:ind w:firstLine="480" w:firstLineChars="200"/>
        <w:rPr>
          <w:rFonts w:ascii="宋体" w:hAnsi="宋体" w:cs="宋体"/>
          <w:sz w:val="24"/>
        </w:rPr>
      </w:pPr>
      <w:r>
        <w:rPr>
          <w:rFonts w:hint="eastAsia" w:ascii="宋体" w:hAnsi="宋体" w:cs="宋体"/>
          <w:sz w:val="24"/>
        </w:rPr>
        <w:t>（5）资格审查资料</w:t>
      </w:r>
    </w:p>
    <w:p w14:paraId="5EEAC2D6">
      <w:pPr>
        <w:spacing w:line="360" w:lineRule="auto"/>
        <w:ind w:firstLine="480" w:firstLineChars="200"/>
        <w:rPr>
          <w:rFonts w:ascii="宋体" w:hAnsi="宋体" w:cs="宋体"/>
          <w:sz w:val="24"/>
        </w:rPr>
      </w:pPr>
      <w:r>
        <w:rPr>
          <w:rFonts w:hint="eastAsia" w:ascii="宋体" w:hAnsi="宋体" w:cs="宋体"/>
          <w:sz w:val="24"/>
        </w:rPr>
        <w:t>（6）服务方案</w:t>
      </w:r>
    </w:p>
    <w:p w14:paraId="2257333A">
      <w:pPr>
        <w:pStyle w:val="6"/>
        <w:tabs>
          <w:tab w:val="left" w:pos="908"/>
        </w:tabs>
        <w:spacing w:line="360" w:lineRule="auto"/>
        <w:ind w:firstLine="480"/>
        <w:rPr>
          <w:rFonts w:ascii="宋体" w:hAnsi="宋体" w:cs="宋体"/>
          <w:sz w:val="24"/>
        </w:rPr>
      </w:pPr>
      <w:r>
        <w:rPr>
          <w:rFonts w:hint="eastAsia" w:ascii="宋体" w:hAnsi="宋体" w:cs="宋体"/>
          <w:sz w:val="24"/>
        </w:rPr>
        <w:t>（7）其他资料</w:t>
      </w:r>
    </w:p>
    <w:p w14:paraId="35A7B29B">
      <w:pPr>
        <w:pStyle w:val="6"/>
        <w:spacing w:line="360" w:lineRule="auto"/>
        <w:ind w:firstLine="480"/>
        <w:rPr>
          <w:rFonts w:ascii="宋体" w:hAnsi="宋体" w:cs="宋体"/>
          <w:sz w:val="24"/>
        </w:rPr>
      </w:pPr>
      <w:r>
        <w:rPr>
          <w:rFonts w:hint="eastAsia" w:ascii="宋体" w:hAnsi="宋体" w:cs="宋体"/>
          <w:sz w:val="24"/>
        </w:rPr>
        <w:t>3.2 响应报价</w:t>
      </w:r>
    </w:p>
    <w:p w14:paraId="5E045425">
      <w:pPr>
        <w:pStyle w:val="6"/>
        <w:spacing w:line="360" w:lineRule="auto"/>
        <w:ind w:firstLine="480"/>
        <w:rPr>
          <w:rFonts w:ascii="宋体" w:hAnsi="宋体" w:cs="宋体"/>
          <w:sz w:val="24"/>
        </w:rPr>
      </w:pPr>
      <w:r>
        <w:rPr>
          <w:rFonts w:hint="eastAsia" w:ascii="宋体" w:hAnsi="宋体" w:cs="宋体"/>
          <w:sz w:val="24"/>
        </w:rPr>
        <w:t>3.2.1 供应商在响应截止时间前修改响应函中的响应报价，此修改须符合单一来源采购文件的有关要求。</w:t>
      </w:r>
    </w:p>
    <w:p w14:paraId="7E1FEA18">
      <w:pPr>
        <w:pStyle w:val="6"/>
        <w:spacing w:line="360" w:lineRule="auto"/>
        <w:ind w:firstLine="480"/>
        <w:rPr>
          <w:rFonts w:ascii="宋体" w:hAnsi="宋体" w:cs="宋体"/>
          <w:sz w:val="24"/>
        </w:rPr>
      </w:pPr>
      <w:r>
        <w:rPr>
          <w:rFonts w:hint="eastAsia" w:ascii="宋体" w:hAnsi="宋体" w:cs="宋体"/>
          <w:sz w:val="24"/>
        </w:rPr>
        <w:t>3.2.2 供应商对所有货物只允许有一个报价，采购人不接受有任何选择报价的投标。</w:t>
      </w:r>
    </w:p>
    <w:p w14:paraId="6091894E">
      <w:pPr>
        <w:pStyle w:val="6"/>
        <w:spacing w:line="360" w:lineRule="auto"/>
        <w:ind w:firstLine="480"/>
        <w:rPr>
          <w:rFonts w:ascii="宋体" w:hAnsi="宋体" w:cs="宋体"/>
          <w:sz w:val="24"/>
        </w:rPr>
      </w:pPr>
      <w:r>
        <w:rPr>
          <w:rFonts w:hint="eastAsia" w:ascii="宋体" w:hAnsi="宋体" w:cs="宋体"/>
          <w:sz w:val="24"/>
        </w:rPr>
        <w:t>3.2.3 响应报价是指采购人要求的服务内容及伴随的其它服务费报价。</w:t>
      </w:r>
    </w:p>
    <w:p w14:paraId="74F42ED6">
      <w:pPr>
        <w:pStyle w:val="6"/>
        <w:spacing w:line="360" w:lineRule="auto"/>
        <w:ind w:firstLine="480"/>
        <w:rPr>
          <w:rFonts w:ascii="宋体" w:hAnsi="宋体" w:cs="宋体"/>
          <w:sz w:val="24"/>
        </w:rPr>
      </w:pPr>
      <w:r>
        <w:rPr>
          <w:rFonts w:hint="eastAsia" w:ascii="宋体" w:hAnsi="宋体" w:cs="宋体"/>
          <w:sz w:val="24"/>
        </w:rPr>
        <w:t>3.2.4 供应商不得以任何理由在开标后，对响应报价予以修改，报价在响应有效期内是固定的，不因任何原因而改变。任何包含价格调整要求和条件的投标，将被视为非实质性响应投标而予以拒绝。</w:t>
      </w:r>
    </w:p>
    <w:p w14:paraId="4231D8F9">
      <w:pPr>
        <w:pStyle w:val="6"/>
        <w:spacing w:line="360" w:lineRule="auto"/>
        <w:ind w:firstLine="480"/>
        <w:rPr>
          <w:rFonts w:ascii="宋体" w:hAnsi="宋体" w:cs="宋体"/>
          <w:sz w:val="24"/>
        </w:rPr>
      </w:pPr>
      <w:r>
        <w:rPr>
          <w:rFonts w:hint="eastAsia" w:ascii="宋体" w:hAnsi="宋体" w:cs="宋体"/>
          <w:sz w:val="24"/>
        </w:rPr>
        <w:t>3.3 响应有效期</w:t>
      </w:r>
    </w:p>
    <w:p w14:paraId="3301D741">
      <w:pPr>
        <w:pStyle w:val="6"/>
        <w:spacing w:line="360" w:lineRule="auto"/>
        <w:ind w:firstLine="480"/>
        <w:rPr>
          <w:rFonts w:ascii="宋体" w:hAnsi="宋体" w:cs="宋体"/>
          <w:sz w:val="24"/>
        </w:rPr>
      </w:pPr>
      <w:r>
        <w:rPr>
          <w:rFonts w:hint="eastAsia" w:ascii="宋体" w:hAnsi="宋体" w:cs="宋体"/>
          <w:sz w:val="24"/>
        </w:rPr>
        <w:t>3.3.1 在供应商须知前附表规定的响应有效期内，供应商不得要求撤销或修改其响应文件，响应有效期为：响应截止之日起60日历天。</w:t>
      </w:r>
    </w:p>
    <w:p w14:paraId="39C06BB3">
      <w:pPr>
        <w:pStyle w:val="6"/>
        <w:spacing w:line="360" w:lineRule="auto"/>
        <w:ind w:firstLine="480"/>
        <w:rPr>
          <w:rFonts w:ascii="宋体" w:hAnsi="宋体" w:cs="宋体"/>
          <w:sz w:val="24"/>
        </w:rPr>
      </w:pPr>
      <w:r>
        <w:rPr>
          <w:rFonts w:hint="eastAsia" w:ascii="宋体" w:hAnsi="宋体" w:cs="宋体"/>
          <w:sz w:val="24"/>
        </w:rPr>
        <w:t>3.3.2 出现特殊情况需要延长响应有效期的，采购人通知所有供应商延长响应有效期。供应商同意延长的，应相应延长其响应保证金的有效期，但不得要求或被允许修改或撤销其响应文件；供应商拒绝延长的，其投标失效，但供应商有权收回其响应保证金。</w:t>
      </w:r>
    </w:p>
    <w:p w14:paraId="74E62E31">
      <w:pPr>
        <w:pStyle w:val="6"/>
        <w:spacing w:line="360" w:lineRule="auto"/>
        <w:ind w:firstLine="480"/>
        <w:rPr>
          <w:rFonts w:ascii="宋体" w:hAnsi="宋体" w:cs="宋体"/>
          <w:sz w:val="24"/>
        </w:rPr>
      </w:pPr>
      <w:r>
        <w:rPr>
          <w:rFonts w:hint="eastAsia" w:ascii="宋体" w:hAnsi="宋体" w:cs="宋体"/>
          <w:sz w:val="24"/>
        </w:rPr>
        <w:t>3.4 响应保证金</w:t>
      </w:r>
    </w:p>
    <w:p w14:paraId="2BFBDDF8">
      <w:pPr>
        <w:pStyle w:val="6"/>
        <w:spacing w:line="360" w:lineRule="auto"/>
        <w:ind w:firstLine="504"/>
        <w:rPr>
          <w:rFonts w:ascii="宋体" w:hAnsi="宋体" w:cs="宋体"/>
          <w:sz w:val="24"/>
        </w:rPr>
      </w:pPr>
      <w:r>
        <w:rPr>
          <w:rFonts w:hint="eastAsia" w:ascii="宋体" w:hAnsi="宋体" w:cs="宋体"/>
          <w:spacing w:val="6"/>
          <w:sz w:val="24"/>
        </w:rPr>
        <w:t>不收取</w:t>
      </w:r>
    </w:p>
    <w:p w14:paraId="016E46C1">
      <w:pPr>
        <w:pStyle w:val="6"/>
        <w:spacing w:line="360" w:lineRule="auto"/>
        <w:ind w:firstLine="480"/>
        <w:rPr>
          <w:rFonts w:ascii="宋体" w:hAnsi="宋体" w:cs="宋体"/>
          <w:sz w:val="24"/>
        </w:rPr>
      </w:pPr>
      <w:r>
        <w:rPr>
          <w:rFonts w:hint="eastAsia" w:ascii="宋体" w:hAnsi="宋体" w:cs="宋体"/>
          <w:sz w:val="24"/>
        </w:rPr>
        <w:t>3.5 供应商资格证明文件</w:t>
      </w:r>
    </w:p>
    <w:p w14:paraId="40F96D11">
      <w:pPr>
        <w:pStyle w:val="6"/>
        <w:spacing w:line="360" w:lineRule="auto"/>
        <w:ind w:firstLine="480"/>
        <w:rPr>
          <w:rFonts w:ascii="宋体" w:hAnsi="宋体" w:cs="宋体"/>
          <w:sz w:val="24"/>
        </w:rPr>
      </w:pPr>
      <w:r>
        <w:rPr>
          <w:rFonts w:hint="eastAsia" w:ascii="宋体" w:hAnsi="宋体" w:cs="宋体"/>
          <w:sz w:val="24"/>
        </w:rPr>
        <w:t>3.5.1 依据要求按第六部分规定的格式提交相应的资格证明文件，作为采购文件的一部分，以证明其有资格进行投标和有能力履行合同。</w:t>
      </w:r>
    </w:p>
    <w:p w14:paraId="13845B9F">
      <w:pPr>
        <w:pStyle w:val="6"/>
        <w:spacing w:line="360" w:lineRule="auto"/>
        <w:ind w:firstLine="480"/>
        <w:rPr>
          <w:rFonts w:ascii="宋体" w:hAnsi="宋体" w:cs="宋体"/>
          <w:sz w:val="24"/>
        </w:rPr>
      </w:pPr>
      <w:r>
        <w:rPr>
          <w:rFonts w:hint="eastAsia" w:ascii="宋体" w:hAnsi="宋体" w:cs="宋体"/>
          <w:sz w:val="24"/>
        </w:rPr>
        <w:t>3.5.2 供应商具有履行合同所需的财务、技术和生产能力的证明文件。</w:t>
      </w:r>
    </w:p>
    <w:p w14:paraId="3BE4DAC0">
      <w:pPr>
        <w:pStyle w:val="6"/>
        <w:spacing w:line="360" w:lineRule="auto"/>
        <w:ind w:firstLine="480"/>
        <w:rPr>
          <w:rFonts w:ascii="宋体" w:hAnsi="宋体" w:cs="宋体"/>
          <w:sz w:val="24"/>
        </w:rPr>
      </w:pPr>
      <w:r>
        <w:rPr>
          <w:rFonts w:hint="eastAsia" w:ascii="宋体" w:hAnsi="宋体" w:cs="宋体"/>
          <w:sz w:val="24"/>
        </w:rPr>
        <w:t>3.5.3 证明服务内容符合采购文件技术要求的条件</w:t>
      </w:r>
    </w:p>
    <w:p w14:paraId="6FD12494">
      <w:pPr>
        <w:pStyle w:val="6"/>
        <w:spacing w:line="360" w:lineRule="auto"/>
        <w:ind w:firstLine="480"/>
        <w:rPr>
          <w:rFonts w:ascii="宋体" w:hAnsi="宋体" w:cs="宋体"/>
          <w:sz w:val="24"/>
        </w:rPr>
      </w:pPr>
      <w:r>
        <w:rPr>
          <w:rFonts w:hint="eastAsia" w:ascii="宋体" w:hAnsi="宋体" w:cs="宋体"/>
          <w:sz w:val="24"/>
        </w:rPr>
        <w:t>（1）供应商应提交证明其服务符合采购文件规定的技术响应文件，作为采购文件的一部分；</w:t>
      </w:r>
    </w:p>
    <w:p w14:paraId="23E43051">
      <w:pPr>
        <w:pStyle w:val="6"/>
        <w:spacing w:line="360" w:lineRule="auto"/>
        <w:ind w:firstLine="480"/>
        <w:rPr>
          <w:rFonts w:ascii="宋体" w:hAnsi="宋体" w:cs="宋体"/>
          <w:sz w:val="24"/>
        </w:rPr>
      </w:pPr>
      <w:r>
        <w:rPr>
          <w:rFonts w:hint="eastAsia" w:ascii="宋体" w:hAnsi="宋体" w:cs="宋体"/>
          <w:sz w:val="24"/>
        </w:rPr>
        <w:t>（2）技术方案；</w:t>
      </w:r>
    </w:p>
    <w:p w14:paraId="75D5837A">
      <w:pPr>
        <w:pStyle w:val="6"/>
        <w:spacing w:line="360" w:lineRule="auto"/>
        <w:ind w:firstLine="480"/>
        <w:rPr>
          <w:rFonts w:ascii="宋体" w:hAnsi="宋体" w:cs="宋体"/>
          <w:sz w:val="24"/>
        </w:rPr>
      </w:pPr>
      <w:r>
        <w:rPr>
          <w:rFonts w:hint="eastAsia" w:ascii="宋体" w:hAnsi="宋体" w:cs="宋体"/>
          <w:sz w:val="24"/>
        </w:rPr>
        <w:t>（3）证明文件可以是文字资料、图纸和数据；</w:t>
      </w:r>
    </w:p>
    <w:p w14:paraId="5DB9D318">
      <w:pPr>
        <w:pStyle w:val="6"/>
        <w:spacing w:line="360" w:lineRule="auto"/>
        <w:ind w:firstLine="480"/>
        <w:rPr>
          <w:rFonts w:ascii="宋体" w:hAnsi="宋体" w:cs="宋体"/>
          <w:sz w:val="24"/>
        </w:rPr>
      </w:pPr>
      <w:r>
        <w:rPr>
          <w:rFonts w:hint="eastAsia" w:ascii="宋体" w:hAnsi="宋体" w:cs="宋体"/>
          <w:sz w:val="24"/>
        </w:rPr>
        <w:t>3.6 备选响应方案</w:t>
      </w:r>
    </w:p>
    <w:p w14:paraId="13352FE3">
      <w:pPr>
        <w:pStyle w:val="6"/>
        <w:spacing w:line="360" w:lineRule="auto"/>
        <w:ind w:firstLine="480"/>
        <w:rPr>
          <w:rFonts w:ascii="宋体" w:hAnsi="宋体" w:cs="宋体"/>
          <w:sz w:val="24"/>
        </w:rPr>
      </w:pPr>
      <w:r>
        <w:rPr>
          <w:rFonts w:hint="eastAsia" w:ascii="宋体" w:hAnsi="宋体" w:cs="宋体"/>
          <w:sz w:val="24"/>
        </w:rPr>
        <w:t>供应商不得递交备选响应方案。</w:t>
      </w:r>
    </w:p>
    <w:p w14:paraId="4CF96C7F">
      <w:pPr>
        <w:pStyle w:val="6"/>
        <w:spacing w:line="360" w:lineRule="auto"/>
        <w:ind w:firstLine="480"/>
        <w:rPr>
          <w:rFonts w:ascii="宋体" w:hAnsi="宋体" w:cs="宋体"/>
          <w:sz w:val="24"/>
        </w:rPr>
      </w:pPr>
      <w:r>
        <w:rPr>
          <w:rFonts w:hint="eastAsia" w:ascii="宋体" w:hAnsi="宋体" w:cs="宋体"/>
          <w:sz w:val="24"/>
        </w:rPr>
        <w:t>3.7 响应文件的编制</w:t>
      </w:r>
    </w:p>
    <w:p w14:paraId="639FBD00">
      <w:pPr>
        <w:pStyle w:val="6"/>
        <w:spacing w:line="360" w:lineRule="auto"/>
        <w:ind w:firstLine="480"/>
        <w:rPr>
          <w:rFonts w:ascii="宋体" w:hAnsi="宋体" w:cs="宋体"/>
          <w:sz w:val="24"/>
        </w:rPr>
      </w:pPr>
      <w:r>
        <w:rPr>
          <w:rFonts w:hint="eastAsia" w:ascii="宋体" w:hAnsi="宋体" w:cs="宋体"/>
          <w:sz w:val="24"/>
        </w:rPr>
        <w:t>3.7.1 响应文件应按第六部分“响应文件格式”进行编写，如有必要，可以增加附页，作为响应文件的组成部分。其中，响应函附录在满足单一来源采购文件实质性要求的基础上，可以提出比单一来源采购文件要求更有利于采购人的承诺。</w:t>
      </w:r>
    </w:p>
    <w:p w14:paraId="785F68A6">
      <w:pPr>
        <w:pStyle w:val="6"/>
        <w:spacing w:line="360" w:lineRule="auto"/>
        <w:ind w:firstLine="480"/>
        <w:rPr>
          <w:rFonts w:ascii="宋体" w:hAnsi="宋体" w:cs="宋体"/>
          <w:sz w:val="24"/>
        </w:rPr>
      </w:pPr>
      <w:r>
        <w:rPr>
          <w:rFonts w:hint="eastAsia" w:ascii="宋体" w:hAnsi="宋体" w:cs="宋体"/>
          <w:sz w:val="24"/>
        </w:rPr>
        <w:t>3.7.2 响应文件应当对单一来源采购文件服务期限、响应有效期、采购范围等实质性内容作出响应。</w:t>
      </w:r>
    </w:p>
    <w:p w14:paraId="400B4A39">
      <w:pPr>
        <w:pStyle w:val="6"/>
        <w:spacing w:line="360" w:lineRule="auto"/>
        <w:ind w:firstLine="480"/>
        <w:rPr>
          <w:rFonts w:ascii="宋体" w:hAnsi="宋体" w:cs="宋体"/>
          <w:sz w:val="24"/>
        </w:rPr>
      </w:pPr>
      <w:r>
        <w:rPr>
          <w:rFonts w:hint="eastAsia" w:ascii="宋体" w:hAnsi="宋体" w:cs="宋体"/>
          <w:sz w:val="24"/>
        </w:rPr>
        <w:t>3.7.3 响应文件所有要求供应商加盖公章的地方都应盖供应商单位印章。</w:t>
      </w:r>
    </w:p>
    <w:p w14:paraId="3A398088">
      <w:pPr>
        <w:pStyle w:val="6"/>
        <w:spacing w:line="360" w:lineRule="auto"/>
        <w:ind w:firstLine="480"/>
        <w:rPr>
          <w:rFonts w:ascii="宋体" w:hAnsi="宋体" w:cs="宋体"/>
          <w:sz w:val="24"/>
        </w:rPr>
      </w:pPr>
      <w:r>
        <w:rPr>
          <w:rFonts w:hint="eastAsia" w:ascii="宋体" w:hAnsi="宋体" w:cs="宋体"/>
          <w:sz w:val="24"/>
        </w:rPr>
        <w:t>所有要求法定代表人或其委托代理人签字的地方都应法定代表人或其委托代理人手写签字。签字或盖章的具体要求见供应商须知前附表。</w:t>
      </w:r>
    </w:p>
    <w:p w14:paraId="3899C6AB">
      <w:pPr>
        <w:pStyle w:val="6"/>
        <w:spacing w:line="360" w:lineRule="auto"/>
        <w:ind w:firstLine="482"/>
        <w:rPr>
          <w:rFonts w:ascii="宋体" w:hAnsi="宋体" w:cs="宋体"/>
          <w:b/>
          <w:bCs/>
          <w:sz w:val="24"/>
        </w:rPr>
      </w:pPr>
      <w:r>
        <w:rPr>
          <w:rFonts w:hint="eastAsia" w:ascii="宋体" w:hAnsi="宋体" w:cs="宋体"/>
          <w:b/>
          <w:bCs/>
          <w:sz w:val="24"/>
        </w:rPr>
        <w:t>四、响应文件的递交</w:t>
      </w:r>
    </w:p>
    <w:p w14:paraId="78C95BE9">
      <w:pPr>
        <w:pStyle w:val="6"/>
        <w:spacing w:line="360" w:lineRule="auto"/>
        <w:ind w:firstLine="480"/>
        <w:rPr>
          <w:rFonts w:ascii="宋体" w:hAnsi="宋体" w:cs="宋体"/>
          <w:sz w:val="24"/>
        </w:rPr>
      </w:pPr>
      <w:r>
        <w:rPr>
          <w:rFonts w:hint="eastAsia" w:ascii="宋体" w:hAnsi="宋体" w:cs="宋体"/>
          <w:sz w:val="24"/>
        </w:rPr>
        <w:t>4.1 单一来源采购响应文件的密封和标记</w:t>
      </w:r>
    </w:p>
    <w:p w14:paraId="04D854C6">
      <w:pPr>
        <w:spacing w:line="360" w:lineRule="auto"/>
        <w:ind w:firstLine="480" w:firstLineChars="200"/>
        <w:rPr>
          <w:rFonts w:ascii="宋体" w:hAnsi="宋体" w:cs="宋体"/>
          <w:sz w:val="24"/>
        </w:rPr>
      </w:pPr>
      <w:r>
        <w:rPr>
          <w:rFonts w:hint="eastAsia" w:ascii="宋体" w:hAnsi="宋体" w:cs="宋体"/>
          <w:sz w:val="24"/>
        </w:rPr>
        <w:t>4.1.1响应文件应胶装并提交一式叁份（其中正本壹份、副本贰份），电子文档壹份（含响应文件全部内容</w:t>
      </w:r>
      <w:r>
        <w:rPr>
          <w:rFonts w:hint="eastAsia" w:ascii="宋体" w:hAnsi="宋体" w:cs="宋体"/>
          <w:b/>
          <w:bCs/>
          <w:sz w:val="24"/>
        </w:rPr>
        <w:t>盖章签字扫描件</w:t>
      </w:r>
      <w:r>
        <w:rPr>
          <w:rFonts w:hint="eastAsia" w:ascii="宋体" w:hAnsi="宋体" w:cs="宋体"/>
          <w:sz w:val="24"/>
        </w:rPr>
        <w:t>）。正本和副本的封面应清楚地标记“正本”或“副本”字样。</w:t>
      </w:r>
    </w:p>
    <w:p w14:paraId="55522445">
      <w:pPr>
        <w:spacing w:line="360" w:lineRule="auto"/>
        <w:ind w:firstLine="480" w:firstLineChars="200"/>
        <w:rPr>
          <w:rFonts w:ascii="宋体" w:hAnsi="宋体" w:cs="宋体"/>
          <w:sz w:val="24"/>
        </w:rPr>
      </w:pPr>
      <w:r>
        <w:rPr>
          <w:rFonts w:hint="eastAsia" w:ascii="宋体" w:hAnsi="宋体" w:cs="宋体"/>
          <w:sz w:val="24"/>
        </w:rPr>
        <w:t>4.1.2供应商应将响应文件密封一起（包括正、副本、电子版U盘），并在包封上写明采购人名称、项目名称、供应商名称，并加盖供应商的单位公章。</w:t>
      </w:r>
    </w:p>
    <w:p w14:paraId="6C79A705">
      <w:pPr>
        <w:spacing w:line="360" w:lineRule="auto"/>
        <w:ind w:firstLine="480" w:firstLineChars="200"/>
        <w:rPr>
          <w:rFonts w:ascii="宋体" w:hAnsi="宋体" w:cs="宋体"/>
          <w:sz w:val="24"/>
        </w:rPr>
      </w:pPr>
      <w:r>
        <w:rPr>
          <w:rFonts w:hint="eastAsia" w:ascii="宋体" w:hAnsi="宋体" w:cs="宋体"/>
          <w:sz w:val="24"/>
        </w:rPr>
        <w:t>4.1.3响应文件正本与副本均应使用不能擦去的墨水打印或书写。</w:t>
      </w:r>
    </w:p>
    <w:p w14:paraId="6A833927">
      <w:pPr>
        <w:pStyle w:val="6"/>
        <w:spacing w:line="360" w:lineRule="auto"/>
        <w:ind w:firstLine="480"/>
        <w:rPr>
          <w:rFonts w:ascii="宋体" w:hAnsi="宋体" w:cs="宋体"/>
          <w:sz w:val="24"/>
        </w:rPr>
      </w:pPr>
      <w:r>
        <w:rPr>
          <w:rFonts w:hint="eastAsia" w:ascii="宋体" w:hAnsi="宋体" w:cs="宋体"/>
          <w:sz w:val="24"/>
        </w:rPr>
        <w:t>4.1.4正本、副本如有不一致之处，以正本为准；如果用数字表示的数额与文字表示的数额不一致时，以文字表示的数额为准。</w:t>
      </w:r>
    </w:p>
    <w:p w14:paraId="03D06BE5">
      <w:pPr>
        <w:pStyle w:val="6"/>
        <w:spacing w:line="360" w:lineRule="auto"/>
        <w:ind w:firstLine="480"/>
        <w:rPr>
          <w:rFonts w:ascii="宋体" w:hAnsi="宋体" w:cs="宋体"/>
          <w:sz w:val="24"/>
        </w:rPr>
      </w:pPr>
      <w:r>
        <w:rPr>
          <w:rFonts w:hint="eastAsia" w:ascii="宋体" w:hAnsi="宋体" w:cs="宋体"/>
          <w:sz w:val="24"/>
        </w:rPr>
        <w:t>4.2 单一来源采购响应文件的递交</w:t>
      </w:r>
    </w:p>
    <w:p w14:paraId="48EEBA71">
      <w:pPr>
        <w:pStyle w:val="6"/>
        <w:spacing w:line="360" w:lineRule="auto"/>
        <w:ind w:firstLine="480"/>
        <w:rPr>
          <w:rFonts w:ascii="宋体" w:hAnsi="宋体" w:cs="宋体"/>
          <w:sz w:val="24"/>
        </w:rPr>
      </w:pPr>
      <w:r>
        <w:rPr>
          <w:rFonts w:hint="eastAsia" w:ascii="宋体" w:hAnsi="宋体" w:cs="宋体"/>
          <w:sz w:val="24"/>
        </w:rPr>
        <w:t>4.2.1供应商应在前附表所规定的响应文件递交截止时间之前将响应文件送达地点。</w:t>
      </w:r>
    </w:p>
    <w:p w14:paraId="4EFA6558">
      <w:pPr>
        <w:pStyle w:val="6"/>
        <w:spacing w:line="360" w:lineRule="auto"/>
        <w:ind w:firstLine="480"/>
        <w:rPr>
          <w:rFonts w:ascii="宋体" w:hAnsi="宋体" w:cs="宋体"/>
          <w:sz w:val="24"/>
        </w:rPr>
      </w:pPr>
      <w:r>
        <w:rPr>
          <w:rFonts w:hint="eastAsia" w:ascii="宋体" w:hAnsi="宋体" w:cs="宋体"/>
          <w:sz w:val="24"/>
        </w:rPr>
        <w:t>4.2.2在响应文件递交截止时间以后送达的响应文件为无效的响应文件，采购人将原封退给谈判申请人。</w:t>
      </w:r>
    </w:p>
    <w:p w14:paraId="7D066C17">
      <w:pPr>
        <w:spacing w:line="360" w:lineRule="auto"/>
        <w:ind w:firstLine="480" w:firstLineChars="200"/>
        <w:rPr>
          <w:rFonts w:ascii="宋体" w:hAnsi="宋体" w:cs="宋体"/>
          <w:bCs/>
          <w:sz w:val="24"/>
        </w:rPr>
      </w:pPr>
      <w:r>
        <w:rPr>
          <w:rFonts w:hint="eastAsia" w:ascii="宋体" w:hAnsi="宋体" w:cs="宋体"/>
          <w:bCs/>
          <w:sz w:val="24"/>
        </w:rPr>
        <w:t>4.3 响应文件的修改与撤回</w:t>
      </w:r>
    </w:p>
    <w:p w14:paraId="44AF57B3">
      <w:pPr>
        <w:pStyle w:val="6"/>
        <w:spacing w:line="360" w:lineRule="auto"/>
        <w:ind w:firstLine="480"/>
        <w:rPr>
          <w:rFonts w:ascii="宋体" w:hAnsi="宋体" w:cs="宋体"/>
          <w:sz w:val="24"/>
        </w:rPr>
      </w:pPr>
      <w:r>
        <w:rPr>
          <w:rFonts w:hint="eastAsia" w:ascii="宋体" w:hAnsi="宋体" w:cs="宋体"/>
          <w:sz w:val="24"/>
        </w:rPr>
        <w:t>供应商可以在响应文件递交截止时间之前以书面形式修改、补充或撤回响应文件。在响应文件递交截止时间后不能修改、补充或撤回响应文件。</w:t>
      </w:r>
    </w:p>
    <w:p w14:paraId="6DFAF712">
      <w:pPr>
        <w:pStyle w:val="6"/>
        <w:spacing w:line="360" w:lineRule="auto"/>
        <w:ind w:firstLine="482"/>
        <w:rPr>
          <w:rFonts w:ascii="宋体" w:hAnsi="宋体" w:cs="宋体"/>
          <w:b/>
          <w:bCs/>
          <w:sz w:val="24"/>
        </w:rPr>
      </w:pPr>
      <w:r>
        <w:rPr>
          <w:rFonts w:hint="eastAsia" w:ascii="宋体" w:hAnsi="宋体" w:cs="宋体"/>
          <w:b/>
          <w:bCs/>
          <w:sz w:val="24"/>
        </w:rPr>
        <w:t>五、 响应</w:t>
      </w:r>
    </w:p>
    <w:p w14:paraId="086F0EF1">
      <w:pPr>
        <w:pStyle w:val="6"/>
        <w:spacing w:line="360" w:lineRule="auto"/>
        <w:ind w:firstLine="480"/>
        <w:rPr>
          <w:rFonts w:ascii="宋体" w:hAnsi="宋体" w:cs="宋体"/>
          <w:sz w:val="24"/>
        </w:rPr>
      </w:pPr>
      <w:r>
        <w:rPr>
          <w:rFonts w:hint="eastAsia" w:ascii="宋体" w:hAnsi="宋体" w:cs="宋体"/>
          <w:sz w:val="24"/>
        </w:rPr>
        <w:t>5.1 响应时间及地点</w:t>
      </w:r>
    </w:p>
    <w:p w14:paraId="32DA748F">
      <w:pPr>
        <w:pStyle w:val="6"/>
        <w:spacing w:line="360" w:lineRule="auto"/>
        <w:ind w:firstLine="480"/>
        <w:rPr>
          <w:rFonts w:ascii="宋体" w:hAnsi="宋体" w:cs="宋体"/>
          <w:sz w:val="24"/>
        </w:rPr>
      </w:pPr>
      <w:r>
        <w:rPr>
          <w:rFonts w:hint="eastAsia" w:ascii="宋体" w:hAnsi="宋体" w:cs="宋体"/>
          <w:sz w:val="24"/>
        </w:rPr>
        <w:t>采购人在本章供应商须知前附表规定的响应文件递交截止时间和地点进行响应。</w:t>
      </w:r>
    </w:p>
    <w:p w14:paraId="63D44847">
      <w:pPr>
        <w:pStyle w:val="6"/>
        <w:spacing w:line="360" w:lineRule="auto"/>
        <w:ind w:firstLine="480"/>
        <w:rPr>
          <w:rFonts w:ascii="宋体" w:hAnsi="宋体" w:cs="宋体"/>
          <w:sz w:val="24"/>
        </w:rPr>
      </w:pPr>
      <w:r>
        <w:rPr>
          <w:rFonts w:hint="eastAsia" w:ascii="宋体" w:hAnsi="宋体" w:cs="宋体"/>
          <w:sz w:val="24"/>
        </w:rPr>
        <w:t>5.2 开标</w:t>
      </w:r>
    </w:p>
    <w:p w14:paraId="696806AA">
      <w:pPr>
        <w:pStyle w:val="6"/>
        <w:spacing w:line="360" w:lineRule="auto"/>
        <w:ind w:firstLine="480"/>
        <w:rPr>
          <w:rFonts w:ascii="宋体" w:hAnsi="宋体" w:cs="宋体"/>
          <w:sz w:val="24"/>
        </w:rPr>
      </w:pPr>
      <w:r>
        <w:rPr>
          <w:rFonts w:hint="eastAsia" w:ascii="宋体" w:hAnsi="宋体" w:cs="宋体"/>
          <w:sz w:val="24"/>
        </w:rPr>
        <w:t>（1）首先由供应商或其推选的代表在监督部门的监督下检查响应文件的密封情况，并签字确认。</w:t>
      </w:r>
    </w:p>
    <w:p w14:paraId="3363AB3D">
      <w:pPr>
        <w:pStyle w:val="6"/>
        <w:spacing w:line="360" w:lineRule="auto"/>
        <w:ind w:firstLine="480"/>
        <w:rPr>
          <w:rFonts w:ascii="宋体" w:hAnsi="宋体" w:cs="宋体"/>
          <w:sz w:val="24"/>
        </w:rPr>
      </w:pPr>
      <w:r>
        <w:rPr>
          <w:rFonts w:hint="eastAsia" w:ascii="宋体" w:hAnsi="宋体" w:cs="宋体"/>
          <w:sz w:val="24"/>
        </w:rPr>
        <w:t>（2）由单一来源评审小组对密封情况完好的响应文件进行初步评审，通过初步评审的实质性要求的供应商方有资格进入下一轮评审。未实质性响应单一来源文件的响应文件按无效处理。</w:t>
      </w:r>
    </w:p>
    <w:p w14:paraId="7DD2BC5C">
      <w:pPr>
        <w:pStyle w:val="6"/>
        <w:spacing w:line="360" w:lineRule="auto"/>
        <w:ind w:firstLine="480"/>
        <w:rPr>
          <w:rFonts w:ascii="宋体" w:hAnsi="宋体" w:cs="宋体"/>
          <w:sz w:val="24"/>
        </w:rPr>
      </w:pPr>
      <w:r>
        <w:rPr>
          <w:rFonts w:hint="eastAsia" w:ascii="宋体" w:hAnsi="宋体" w:cs="宋体"/>
          <w:sz w:val="24"/>
        </w:rPr>
        <w:t>5.3 评审小组成员对供应商进行协商</w:t>
      </w:r>
    </w:p>
    <w:p w14:paraId="112E8978">
      <w:pPr>
        <w:pStyle w:val="6"/>
        <w:spacing w:line="360" w:lineRule="auto"/>
        <w:ind w:firstLine="480"/>
        <w:rPr>
          <w:rFonts w:ascii="宋体" w:hAnsi="宋体" w:cs="宋体"/>
          <w:sz w:val="24"/>
        </w:rPr>
      </w:pPr>
      <w:r>
        <w:rPr>
          <w:rFonts w:hint="eastAsia" w:ascii="宋体" w:hAnsi="宋体" w:cs="宋体"/>
          <w:sz w:val="24"/>
        </w:rPr>
        <w:t>5.3.1 小组按照《中华人民共和国政府采购法》及其相关法律法规的规定进行组建，并从河南省政府采购专家库中随机抽取相关专业专家共3人组成；</w:t>
      </w:r>
    </w:p>
    <w:p w14:paraId="2D25FD0B">
      <w:pPr>
        <w:pStyle w:val="6"/>
        <w:spacing w:line="360" w:lineRule="auto"/>
        <w:ind w:firstLine="480"/>
        <w:rPr>
          <w:rFonts w:ascii="宋体" w:hAnsi="宋体" w:cs="宋体"/>
          <w:sz w:val="24"/>
        </w:rPr>
      </w:pPr>
      <w:r>
        <w:rPr>
          <w:rFonts w:hint="eastAsia" w:ascii="宋体" w:hAnsi="宋体" w:cs="宋体"/>
          <w:sz w:val="24"/>
        </w:rPr>
        <w:t>5.3.2 在资格审查阶段，属于下列情况的响应文件将不得进入协商阶段：</w:t>
      </w:r>
    </w:p>
    <w:p w14:paraId="0E945225">
      <w:pPr>
        <w:pStyle w:val="6"/>
        <w:spacing w:line="360" w:lineRule="auto"/>
        <w:ind w:firstLine="482"/>
        <w:rPr>
          <w:rFonts w:ascii="宋体" w:hAnsi="宋体" w:cs="宋体"/>
          <w:b/>
          <w:bCs/>
          <w:sz w:val="24"/>
        </w:rPr>
      </w:pPr>
      <w:r>
        <w:rPr>
          <w:rFonts w:hint="eastAsia" w:ascii="宋体" w:hAnsi="宋体" w:cs="宋体"/>
          <w:b/>
          <w:bCs/>
          <w:sz w:val="24"/>
        </w:rPr>
        <w:t>（1）未提供具有有效的营业执照；</w:t>
      </w:r>
    </w:p>
    <w:p w14:paraId="133C1BBB">
      <w:pPr>
        <w:pStyle w:val="6"/>
        <w:spacing w:line="360" w:lineRule="auto"/>
        <w:ind w:firstLine="482"/>
        <w:rPr>
          <w:rFonts w:ascii="宋体" w:hAnsi="宋体" w:cs="宋体"/>
          <w:b/>
          <w:bCs/>
          <w:sz w:val="24"/>
        </w:rPr>
      </w:pPr>
      <w:r>
        <w:rPr>
          <w:rFonts w:hint="eastAsia" w:ascii="宋体" w:hAnsi="宋体" w:cs="宋体"/>
          <w:b/>
          <w:bCs/>
          <w:sz w:val="24"/>
        </w:rPr>
        <w:t>（2）未提供2024年度财务审计报告或基本开户行出具的资信证明；</w:t>
      </w:r>
    </w:p>
    <w:p w14:paraId="2EA2D321">
      <w:pPr>
        <w:pStyle w:val="6"/>
        <w:spacing w:line="360" w:lineRule="auto"/>
        <w:ind w:firstLine="482"/>
        <w:rPr>
          <w:rFonts w:ascii="宋体" w:hAnsi="宋体" w:cs="宋体"/>
          <w:b/>
          <w:bCs/>
          <w:sz w:val="24"/>
        </w:rPr>
      </w:pPr>
      <w:r>
        <w:rPr>
          <w:rFonts w:hint="eastAsia" w:ascii="宋体" w:hAnsi="宋体" w:cs="宋体"/>
          <w:b/>
          <w:bCs/>
          <w:sz w:val="24"/>
        </w:rPr>
        <w:t>（3）未提供具备履行合同所必需的设备和专业技术能力的证明材料；</w:t>
      </w:r>
    </w:p>
    <w:p w14:paraId="0A03528C">
      <w:pPr>
        <w:pStyle w:val="6"/>
        <w:spacing w:line="360" w:lineRule="auto"/>
        <w:ind w:firstLine="482"/>
        <w:rPr>
          <w:rFonts w:ascii="宋体" w:hAnsi="宋体" w:cs="宋体"/>
          <w:b/>
          <w:bCs/>
          <w:sz w:val="24"/>
        </w:rPr>
      </w:pPr>
      <w:r>
        <w:rPr>
          <w:rFonts w:hint="eastAsia" w:ascii="宋体" w:hAnsi="宋体" w:cs="宋体"/>
          <w:b/>
          <w:bCs/>
          <w:sz w:val="24"/>
        </w:rPr>
        <w:t>（4）未提供参加政府采购活动前三年内，在经营活动中没有重大违法记录的书面声明；</w:t>
      </w:r>
    </w:p>
    <w:p w14:paraId="232B1715">
      <w:pPr>
        <w:pStyle w:val="6"/>
        <w:spacing w:line="360" w:lineRule="auto"/>
        <w:ind w:firstLine="482"/>
        <w:rPr>
          <w:rFonts w:ascii="宋体" w:hAnsi="宋体" w:cs="宋体"/>
          <w:b/>
          <w:bCs/>
          <w:sz w:val="24"/>
        </w:rPr>
      </w:pPr>
      <w:r>
        <w:rPr>
          <w:rFonts w:hint="eastAsia" w:ascii="宋体" w:hAnsi="宋体" w:cs="宋体"/>
          <w:b/>
          <w:bCs/>
          <w:sz w:val="24"/>
        </w:rPr>
        <w:t>（5）未提供2025年1月1日以来任意3个月的纳税证明和社保缴纳证明，依法免税或不需要缴纳社会保障资金的，应提供相应文件证明其依法免税或不需要缴纳；</w:t>
      </w:r>
    </w:p>
    <w:p w14:paraId="30C9C82A">
      <w:pPr>
        <w:pStyle w:val="6"/>
        <w:spacing w:line="360" w:lineRule="auto"/>
        <w:ind w:firstLine="482"/>
        <w:rPr>
          <w:rFonts w:ascii="宋体" w:hAnsi="宋体" w:cs="宋体"/>
          <w:b/>
          <w:bCs/>
          <w:sz w:val="24"/>
        </w:rPr>
      </w:pPr>
      <w:r>
        <w:rPr>
          <w:rFonts w:hint="eastAsia" w:ascii="宋体" w:hAnsi="宋体" w:cs="宋体"/>
          <w:b/>
          <w:bCs/>
          <w:sz w:val="24"/>
        </w:rPr>
        <w:t>（6）单一来源文件要求的其他内容；</w:t>
      </w:r>
    </w:p>
    <w:p w14:paraId="65336E3A">
      <w:pPr>
        <w:pStyle w:val="6"/>
        <w:spacing w:line="360" w:lineRule="auto"/>
        <w:ind w:firstLine="480"/>
        <w:rPr>
          <w:rFonts w:ascii="宋体" w:hAnsi="宋体" w:cs="宋体"/>
          <w:sz w:val="24"/>
        </w:rPr>
      </w:pPr>
      <w:r>
        <w:rPr>
          <w:rFonts w:hint="eastAsia" w:ascii="宋体" w:hAnsi="宋体" w:cs="宋体"/>
          <w:sz w:val="24"/>
        </w:rPr>
        <w:t>5.3.3 在审查阶段，评审小组还需对供应商的响应报价进行审核；如有错误，</w:t>
      </w:r>
    </w:p>
    <w:p w14:paraId="27191215">
      <w:pPr>
        <w:pStyle w:val="6"/>
        <w:spacing w:line="360" w:lineRule="auto"/>
        <w:ind w:firstLine="480"/>
        <w:rPr>
          <w:rFonts w:ascii="宋体" w:hAnsi="宋体" w:cs="宋体"/>
          <w:sz w:val="24"/>
        </w:rPr>
      </w:pPr>
      <w:r>
        <w:rPr>
          <w:rFonts w:hint="eastAsia" w:ascii="宋体" w:hAnsi="宋体" w:cs="宋体"/>
          <w:sz w:val="24"/>
        </w:rPr>
        <w:t>修正错误的原则如下：如果数字表示的金额与用文字表示的金额不一致时，以文字表示的金额为准；如果大写的金额与小写的金额不一致时，以大写的金额为准；</w:t>
      </w:r>
    </w:p>
    <w:p w14:paraId="424CEC29">
      <w:pPr>
        <w:pStyle w:val="6"/>
        <w:spacing w:line="360" w:lineRule="auto"/>
        <w:ind w:firstLine="480"/>
        <w:rPr>
          <w:rFonts w:ascii="宋体" w:hAnsi="宋体" w:cs="宋体"/>
          <w:sz w:val="24"/>
        </w:rPr>
      </w:pPr>
      <w:r>
        <w:rPr>
          <w:rFonts w:hint="eastAsia" w:ascii="宋体" w:hAnsi="宋体" w:cs="宋体"/>
          <w:sz w:val="24"/>
        </w:rPr>
        <w:t>5.3.4 在符合性审查阶段，属于下列情况的响应文件将不得进入协商阶段：</w:t>
      </w:r>
    </w:p>
    <w:p w14:paraId="7281C997">
      <w:pPr>
        <w:pStyle w:val="6"/>
        <w:spacing w:line="360" w:lineRule="auto"/>
        <w:ind w:firstLine="480"/>
        <w:rPr>
          <w:rFonts w:ascii="宋体" w:hAnsi="宋体" w:cs="宋体"/>
          <w:sz w:val="24"/>
        </w:rPr>
      </w:pPr>
      <w:r>
        <w:rPr>
          <w:rFonts w:hint="eastAsia" w:ascii="宋体" w:hAnsi="宋体" w:cs="宋体"/>
          <w:sz w:val="24"/>
        </w:rPr>
        <w:t>（1）响应文件未按规定签字加盖供应商单位公章的；</w:t>
      </w:r>
    </w:p>
    <w:p w14:paraId="465BB266">
      <w:pPr>
        <w:pStyle w:val="6"/>
        <w:spacing w:line="360" w:lineRule="auto"/>
        <w:ind w:firstLine="480"/>
        <w:rPr>
          <w:rFonts w:ascii="宋体" w:hAnsi="宋体" w:cs="宋体"/>
          <w:sz w:val="24"/>
        </w:rPr>
      </w:pPr>
      <w:r>
        <w:rPr>
          <w:rFonts w:hint="eastAsia" w:ascii="宋体" w:hAnsi="宋体" w:cs="宋体"/>
          <w:sz w:val="24"/>
        </w:rPr>
        <w:t>（2）响应文件中响应报价超出预算金额的、服务质量等达不到单一来源采购文件要求的；</w:t>
      </w:r>
    </w:p>
    <w:p w14:paraId="64CDA859">
      <w:pPr>
        <w:pStyle w:val="6"/>
        <w:spacing w:line="360" w:lineRule="auto"/>
        <w:ind w:firstLine="480"/>
        <w:rPr>
          <w:rFonts w:ascii="宋体" w:hAnsi="宋体" w:cs="宋体"/>
          <w:sz w:val="24"/>
        </w:rPr>
      </w:pPr>
      <w:r>
        <w:rPr>
          <w:rFonts w:hint="eastAsia" w:ascii="宋体" w:hAnsi="宋体" w:cs="宋体"/>
          <w:sz w:val="24"/>
        </w:rPr>
        <w:t>5.3.5 协商</w:t>
      </w:r>
    </w:p>
    <w:p w14:paraId="42B44222">
      <w:pPr>
        <w:pStyle w:val="6"/>
        <w:spacing w:line="360" w:lineRule="auto"/>
        <w:ind w:firstLine="480"/>
        <w:rPr>
          <w:rFonts w:ascii="宋体" w:hAnsi="宋体" w:cs="宋体"/>
          <w:sz w:val="24"/>
        </w:rPr>
      </w:pPr>
      <w:r>
        <w:rPr>
          <w:rFonts w:hint="eastAsia" w:ascii="宋体" w:hAnsi="宋体" w:cs="宋体"/>
          <w:sz w:val="24"/>
        </w:rPr>
        <w:t>（1）评审小组按照递交响应性文件应就采购项目的技术要求、市场价格、服务承诺等与供应商进行协商。单一来源采购，经过商务协商一时不能达成协商目标时，应暂停协商，评审小组分析具体原因，然后再择时进行下一轮协商。</w:t>
      </w:r>
    </w:p>
    <w:p w14:paraId="3EAA6F08">
      <w:pPr>
        <w:pStyle w:val="6"/>
        <w:spacing w:line="360" w:lineRule="auto"/>
        <w:ind w:firstLine="480"/>
        <w:rPr>
          <w:rFonts w:ascii="宋体" w:hAnsi="宋体" w:cs="宋体"/>
          <w:sz w:val="24"/>
        </w:rPr>
      </w:pPr>
      <w:r>
        <w:rPr>
          <w:rFonts w:hint="eastAsia" w:ascii="宋体" w:hAnsi="宋体" w:cs="宋体"/>
          <w:sz w:val="24"/>
        </w:rPr>
        <w:t>（2）评审小组经过协商后，根据符合采购需求、质量和服务满足要求且报价合理的原则确定与供应商成交。</w:t>
      </w:r>
    </w:p>
    <w:p w14:paraId="261D4C01">
      <w:pPr>
        <w:pStyle w:val="6"/>
        <w:spacing w:line="360" w:lineRule="auto"/>
        <w:ind w:firstLine="480"/>
        <w:rPr>
          <w:rFonts w:ascii="宋体" w:hAnsi="宋体" w:cs="宋体"/>
          <w:sz w:val="24"/>
        </w:rPr>
      </w:pPr>
      <w:r>
        <w:rPr>
          <w:rFonts w:hint="eastAsia" w:ascii="宋体" w:hAnsi="宋体" w:cs="宋体"/>
          <w:sz w:val="24"/>
        </w:rPr>
        <w:t>5.3.6响应文件的澄清</w:t>
      </w:r>
    </w:p>
    <w:p w14:paraId="4982CA75">
      <w:pPr>
        <w:pStyle w:val="6"/>
        <w:spacing w:line="360" w:lineRule="auto"/>
        <w:ind w:firstLine="480"/>
        <w:rPr>
          <w:rFonts w:ascii="宋体" w:hAnsi="宋体" w:cs="宋体"/>
          <w:sz w:val="24"/>
        </w:rPr>
      </w:pPr>
      <w:r>
        <w:rPr>
          <w:rFonts w:hint="eastAsia" w:ascii="宋体" w:hAnsi="宋体" w:cs="宋体"/>
          <w:sz w:val="24"/>
        </w:rPr>
        <w:t>为了有助于对响应文件的审查、评价和比较，评审小组可分别要求供应商对响应文件中含义模糊或字体不清的内容进行澄清，但协商的实质性内容不得更改。</w:t>
      </w:r>
    </w:p>
    <w:p w14:paraId="53E89E6C">
      <w:pPr>
        <w:pStyle w:val="6"/>
        <w:spacing w:line="360" w:lineRule="auto"/>
        <w:ind w:firstLine="480"/>
        <w:rPr>
          <w:rFonts w:ascii="宋体" w:hAnsi="宋体" w:cs="宋体"/>
          <w:sz w:val="24"/>
        </w:rPr>
      </w:pPr>
      <w:r>
        <w:rPr>
          <w:rFonts w:hint="eastAsia" w:ascii="宋体" w:hAnsi="宋体" w:cs="宋体"/>
          <w:sz w:val="24"/>
        </w:rPr>
        <w:t>5.3.7 第二轮报价：</w:t>
      </w:r>
    </w:p>
    <w:p w14:paraId="1EE09A93">
      <w:pPr>
        <w:pStyle w:val="6"/>
        <w:spacing w:line="360" w:lineRule="auto"/>
        <w:ind w:firstLine="480"/>
        <w:rPr>
          <w:rFonts w:ascii="宋体" w:hAnsi="宋体" w:cs="宋体"/>
          <w:sz w:val="24"/>
        </w:rPr>
      </w:pPr>
      <w:r>
        <w:rPr>
          <w:rFonts w:hint="eastAsia" w:ascii="宋体" w:hAnsi="宋体" w:cs="宋体"/>
          <w:sz w:val="24"/>
        </w:rPr>
        <w:t>供应商根据自身实力及上述承诺进行第二轮报价，以响应报价函形式进行报价，再次报价不得高于前一轮响应文件中的报价；</w:t>
      </w:r>
    </w:p>
    <w:p w14:paraId="087BD241">
      <w:pPr>
        <w:pStyle w:val="6"/>
        <w:spacing w:line="360" w:lineRule="auto"/>
        <w:ind w:firstLine="480"/>
        <w:rPr>
          <w:rFonts w:ascii="宋体" w:hAnsi="宋体" w:cs="宋体"/>
          <w:sz w:val="24"/>
        </w:rPr>
      </w:pPr>
      <w:r>
        <w:rPr>
          <w:rFonts w:hint="eastAsia" w:ascii="宋体" w:hAnsi="宋体" w:cs="宋体"/>
          <w:sz w:val="24"/>
        </w:rPr>
        <w:t>评审小组与供应商商定合理的成交价格并保证采购项目质量确定成交供应商，由评审小组成员在协商记录上签字。</w:t>
      </w:r>
    </w:p>
    <w:p w14:paraId="13ACA65A">
      <w:pPr>
        <w:pStyle w:val="6"/>
        <w:spacing w:line="360" w:lineRule="auto"/>
        <w:ind w:firstLine="480"/>
        <w:rPr>
          <w:rFonts w:ascii="宋体" w:hAnsi="宋体" w:cs="宋体"/>
          <w:sz w:val="24"/>
        </w:rPr>
      </w:pPr>
      <w:r>
        <w:rPr>
          <w:rFonts w:hint="eastAsia" w:ascii="宋体" w:hAnsi="宋体" w:cs="宋体"/>
          <w:sz w:val="24"/>
        </w:rPr>
        <w:t>5.3.8 协商结束后，协商记录由评审小组成员和全体采购人签字认可。</w:t>
      </w:r>
    </w:p>
    <w:p w14:paraId="18959BE8">
      <w:pPr>
        <w:pStyle w:val="6"/>
        <w:spacing w:line="360" w:lineRule="auto"/>
        <w:ind w:firstLine="480"/>
        <w:rPr>
          <w:rFonts w:ascii="宋体" w:hAnsi="宋体" w:cs="宋体"/>
          <w:sz w:val="24"/>
        </w:rPr>
      </w:pPr>
      <w:r>
        <w:rPr>
          <w:rFonts w:hint="eastAsia" w:ascii="宋体" w:hAnsi="宋体" w:cs="宋体"/>
          <w:sz w:val="24"/>
        </w:rPr>
        <w:t>5.4 成交原则和方法</w:t>
      </w:r>
    </w:p>
    <w:p w14:paraId="29000E08">
      <w:pPr>
        <w:pStyle w:val="6"/>
        <w:spacing w:line="360" w:lineRule="auto"/>
        <w:ind w:firstLine="480"/>
        <w:rPr>
          <w:rFonts w:ascii="宋体" w:hAnsi="宋体" w:cs="宋体"/>
          <w:sz w:val="24"/>
        </w:rPr>
      </w:pPr>
      <w:r>
        <w:rPr>
          <w:rFonts w:hint="eastAsia" w:ascii="宋体" w:hAnsi="宋体" w:cs="宋体"/>
          <w:sz w:val="24"/>
        </w:rPr>
        <w:t>5.4.1采购人严格按照单一来源采购文件的要求和条件，从评审小组提出的成交供应商中根据“价格合理并保证采购项目质量的原则”确定成交供应商；</w:t>
      </w:r>
    </w:p>
    <w:p w14:paraId="718281EE">
      <w:pPr>
        <w:pStyle w:val="6"/>
        <w:spacing w:line="360" w:lineRule="auto"/>
        <w:ind w:firstLine="482"/>
        <w:rPr>
          <w:rFonts w:ascii="宋体" w:hAnsi="宋体" w:cs="宋体"/>
          <w:b/>
          <w:bCs/>
          <w:sz w:val="24"/>
        </w:rPr>
      </w:pPr>
      <w:r>
        <w:rPr>
          <w:rFonts w:hint="eastAsia" w:ascii="宋体" w:hAnsi="宋体" w:cs="宋体"/>
          <w:b/>
          <w:bCs/>
          <w:sz w:val="24"/>
        </w:rPr>
        <w:t>六、合同授予</w:t>
      </w:r>
    </w:p>
    <w:p w14:paraId="56CAA3D2">
      <w:pPr>
        <w:pStyle w:val="6"/>
        <w:spacing w:line="360" w:lineRule="auto"/>
        <w:ind w:firstLine="480"/>
        <w:rPr>
          <w:rFonts w:ascii="宋体" w:hAnsi="宋体" w:cs="宋体"/>
          <w:sz w:val="24"/>
        </w:rPr>
      </w:pPr>
      <w:r>
        <w:rPr>
          <w:rFonts w:hint="eastAsia" w:ascii="宋体" w:hAnsi="宋体" w:cs="宋体"/>
          <w:sz w:val="24"/>
        </w:rPr>
        <w:t>6.1 成交通知</w:t>
      </w:r>
    </w:p>
    <w:p w14:paraId="292A0F0D">
      <w:pPr>
        <w:pStyle w:val="6"/>
        <w:spacing w:line="360" w:lineRule="auto"/>
        <w:ind w:firstLine="480"/>
        <w:rPr>
          <w:rFonts w:ascii="宋体" w:hAnsi="宋体" w:cs="宋体"/>
          <w:sz w:val="24"/>
        </w:rPr>
      </w:pPr>
      <w:r>
        <w:rPr>
          <w:rFonts w:hint="eastAsia" w:ascii="宋体" w:hAnsi="宋体" w:cs="宋体"/>
          <w:sz w:val="24"/>
        </w:rPr>
        <w:t>在本章第 3.3 款规定的响应有效期内，采购人以书面形式向成交供应商发出成交通知书。</w:t>
      </w:r>
    </w:p>
    <w:p w14:paraId="46F148F6">
      <w:pPr>
        <w:pStyle w:val="6"/>
        <w:spacing w:line="360" w:lineRule="auto"/>
        <w:ind w:firstLine="480"/>
        <w:rPr>
          <w:rFonts w:ascii="宋体" w:hAnsi="宋体" w:cs="宋体"/>
          <w:sz w:val="24"/>
        </w:rPr>
      </w:pPr>
      <w:r>
        <w:rPr>
          <w:rFonts w:hint="eastAsia" w:ascii="宋体" w:hAnsi="宋体" w:cs="宋体"/>
          <w:sz w:val="24"/>
        </w:rPr>
        <w:t>6.2 签订合同</w:t>
      </w:r>
    </w:p>
    <w:p w14:paraId="674F3E67">
      <w:pPr>
        <w:pStyle w:val="6"/>
        <w:spacing w:line="360" w:lineRule="auto"/>
        <w:ind w:firstLine="480"/>
        <w:rPr>
          <w:rFonts w:ascii="宋体" w:hAnsi="宋体" w:cs="宋体"/>
          <w:sz w:val="24"/>
        </w:rPr>
      </w:pPr>
      <w:r>
        <w:rPr>
          <w:rFonts w:hint="eastAsia" w:ascii="宋体" w:hAnsi="宋体" w:cs="宋体"/>
          <w:sz w:val="24"/>
        </w:rPr>
        <w:t>6.2.1 成交供应商的最后一轮报价为成交价，成交价即为合同价；</w:t>
      </w:r>
    </w:p>
    <w:p w14:paraId="3B227B5F">
      <w:pPr>
        <w:pStyle w:val="6"/>
        <w:spacing w:line="360" w:lineRule="auto"/>
        <w:ind w:firstLine="480"/>
        <w:rPr>
          <w:rFonts w:ascii="宋体" w:hAnsi="宋体" w:cs="宋体"/>
          <w:sz w:val="24"/>
        </w:rPr>
      </w:pPr>
      <w:r>
        <w:rPr>
          <w:rFonts w:hint="eastAsia" w:ascii="宋体" w:hAnsi="宋体" w:cs="宋体"/>
          <w:sz w:val="24"/>
        </w:rPr>
        <w:t>6.2.2 采购人和成交供应商应当自成交通知书发出之日起15天内，根据单一来源采购文件、成交供应商的响应文件及在协商过程中对响应文件作出的澄清、解释订立书面合同。成交供应商无正当理由拒签合同的，采购人取消其成交资格，并对由此给采购人造成的损失予以赔偿。</w:t>
      </w:r>
    </w:p>
    <w:p w14:paraId="431D307A">
      <w:pPr>
        <w:pStyle w:val="6"/>
        <w:spacing w:line="360" w:lineRule="auto"/>
        <w:ind w:firstLine="482"/>
        <w:rPr>
          <w:rFonts w:ascii="宋体" w:hAnsi="宋体" w:cs="宋体"/>
          <w:b/>
          <w:bCs/>
          <w:sz w:val="24"/>
        </w:rPr>
      </w:pPr>
      <w:r>
        <w:rPr>
          <w:rFonts w:hint="eastAsia" w:ascii="宋体" w:hAnsi="宋体" w:cs="宋体"/>
          <w:b/>
          <w:bCs/>
          <w:sz w:val="24"/>
        </w:rPr>
        <w:t>七、纪律和监督</w:t>
      </w:r>
    </w:p>
    <w:p w14:paraId="46608D42">
      <w:pPr>
        <w:pStyle w:val="6"/>
        <w:spacing w:line="360" w:lineRule="auto"/>
        <w:ind w:firstLine="480"/>
        <w:rPr>
          <w:rFonts w:ascii="宋体" w:hAnsi="宋体" w:cs="宋体"/>
          <w:sz w:val="24"/>
        </w:rPr>
      </w:pPr>
      <w:r>
        <w:rPr>
          <w:rFonts w:hint="eastAsia" w:ascii="宋体" w:hAnsi="宋体" w:cs="宋体"/>
          <w:sz w:val="24"/>
        </w:rPr>
        <w:t>7.1 对采购人的纪律要求</w:t>
      </w:r>
    </w:p>
    <w:p w14:paraId="34D69DFA">
      <w:pPr>
        <w:pStyle w:val="6"/>
        <w:spacing w:line="360" w:lineRule="auto"/>
        <w:ind w:firstLine="480"/>
        <w:rPr>
          <w:rFonts w:ascii="宋体" w:hAnsi="宋体" w:cs="宋体"/>
          <w:sz w:val="24"/>
        </w:rPr>
      </w:pPr>
      <w:r>
        <w:rPr>
          <w:rFonts w:hint="eastAsia" w:ascii="宋体" w:hAnsi="宋体" w:cs="宋体"/>
          <w:sz w:val="24"/>
        </w:rPr>
        <w:t>采购人不得泄漏单一来源中应当保密的情况和资料，不得与供应商串通损害国家利益、社会公共利益或者他人合法权益。</w:t>
      </w:r>
    </w:p>
    <w:p w14:paraId="341900EC">
      <w:pPr>
        <w:pStyle w:val="6"/>
        <w:spacing w:line="360" w:lineRule="auto"/>
        <w:ind w:firstLine="480"/>
        <w:rPr>
          <w:rFonts w:ascii="宋体" w:hAnsi="宋体" w:cs="宋体"/>
          <w:sz w:val="24"/>
        </w:rPr>
      </w:pPr>
      <w:r>
        <w:rPr>
          <w:rFonts w:hint="eastAsia" w:ascii="宋体" w:hAnsi="宋体" w:cs="宋体"/>
          <w:sz w:val="24"/>
        </w:rPr>
        <w:t>7.2 对供应商的纪律要求</w:t>
      </w:r>
    </w:p>
    <w:p w14:paraId="1876CF4F">
      <w:pPr>
        <w:pStyle w:val="6"/>
        <w:spacing w:line="360" w:lineRule="auto"/>
        <w:ind w:firstLine="480"/>
        <w:rPr>
          <w:rFonts w:ascii="宋体" w:hAnsi="宋体" w:cs="宋体"/>
          <w:sz w:val="24"/>
        </w:rPr>
      </w:pPr>
      <w:r>
        <w:rPr>
          <w:rFonts w:hint="eastAsia" w:ascii="宋体" w:hAnsi="宋体" w:cs="宋体"/>
          <w:sz w:val="24"/>
        </w:rPr>
        <w:t>供应商不得相互串通协商响应或者与采购人串通协商响应，不得向采购人或者评审小组成员行贿谋取成交，不得以他人名义竞谈或者以其他方式弄虚作假骗取成交；供应商不得以任何方式干扰、影响协商工作。</w:t>
      </w:r>
    </w:p>
    <w:p w14:paraId="5615E47C">
      <w:pPr>
        <w:pStyle w:val="6"/>
        <w:spacing w:line="360" w:lineRule="auto"/>
        <w:ind w:firstLine="480"/>
        <w:rPr>
          <w:rFonts w:ascii="宋体" w:hAnsi="宋体" w:cs="宋体"/>
          <w:sz w:val="24"/>
        </w:rPr>
      </w:pPr>
      <w:r>
        <w:rPr>
          <w:rFonts w:hint="eastAsia" w:ascii="宋体" w:hAnsi="宋体" w:cs="宋体"/>
          <w:sz w:val="24"/>
        </w:rPr>
        <w:t>7.3 对评审小组成员的纪律要求</w:t>
      </w:r>
    </w:p>
    <w:p w14:paraId="54F815D4">
      <w:pPr>
        <w:pStyle w:val="6"/>
        <w:spacing w:line="360" w:lineRule="auto"/>
        <w:ind w:firstLine="480"/>
        <w:rPr>
          <w:rFonts w:ascii="宋体" w:hAnsi="宋体" w:cs="宋体"/>
          <w:sz w:val="24"/>
        </w:rPr>
      </w:pPr>
      <w:r>
        <w:rPr>
          <w:rFonts w:hint="eastAsia" w:ascii="宋体" w:hAnsi="宋体" w:cs="宋体"/>
          <w:sz w:val="24"/>
        </w:rPr>
        <w:t>评审小组成员不得收受他人的财物或者其他好处，不得向他人透漏对协商响应文件的评审和比较、成交候选人的推荐情况以及与协商有关的其他情况。在协商活动中，评审小组成员不得擅离职守，影响协商程序正常进行。</w:t>
      </w:r>
    </w:p>
    <w:p w14:paraId="6A4D2412">
      <w:pPr>
        <w:pStyle w:val="6"/>
        <w:spacing w:line="360" w:lineRule="auto"/>
        <w:ind w:firstLine="480"/>
        <w:rPr>
          <w:rFonts w:ascii="宋体" w:hAnsi="宋体" w:cs="宋体"/>
          <w:sz w:val="24"/>
        </w:rPr>
      </w:pPr>
      <w:r>
        <w:rPr>
          <w:rFonts w:hint="eastAsia" w:ascii="宋体" w:hAnsi="宋体" w:cs="宋体"/>
          <w:sz w:val="24"/>
        </w:rPr>
        <w:t>7.4 对与协商活动有关的工作人员的纪律要求</w:t>
      </w:r>
    </w:p>
    <w:p w14:paraId="351BD9E0">
      <w:pPr>
        <w:pStyle w:val="6"/>
        <w:spacing w:line="360" w:lineRule="auto"/>
        <w:ind w:firstLine="480"/>
        <w:rPr>
          <w:rFonts w:ascii="宋体" w:hAnsi="宋体" w:cs="宋体"/>
          <w:sz w:val="24"/>
        </w:rPr>
      </w:pPr>
      <w:r>
        <w:rPr>
          <w:rFonts w:hint="eastAsia" w:ascii="宋体" w:hAnsi="宋体" w:cs="宋体"/>
          <w:sz w:val="24"/>
        </w:rPr>
        <w:t>与协商活动有关的工作人员不得收受他人的财物或者其他好处，不得向他人透漏对响应文件的评审和比较、成交候选人的推荐情况以及与协商有关的其他情况。在协商活动中，与协商活动有关的工作人员不得擅离职守，影响协商程序正常进行。</w:t>
      </w:r>
    </w:p>
    <w:p w14:paraId="3943A80F">
      <w:pPr>
        <w:pStyle w:val="6"/>
        <w:spacing w:line="360" w:lineRule="auto"/>
        <w:ind w:firstLine="480"/>
        <w:rPr>
          <w:rFonts w:ascii="宋体" w:hAnsi="宋体" w:cs="宋体"/>
          <w:sz w:val="24"/>
        </w:rPr>
      </w:pPr>
      <w:r>
        <w:rPr>
          <w:rFonts w:hint="eastAsia" w:ascii="宋体" w:hAnsi="宋体" w:cs="宋体"/>
          <w:sz w:val="24"/>
        </w:rPr>
        <w:t>7.5 投诉</w:t>
      </w:r>
    </w:p>
    <w:p w14:paraId="64F9127E">
      <w:pPr>
        <w:pStyle w:val="6"/>
        <w:spacing w:line="360" w:lineRule="auto"/>
        <w:ind w:firstLine="480"/>
        <w:rPr>
          <w:rFonts w:ascii="宋体" w:hAnsi="宋体" w:cs="宋体"/>
          <w:sz w:val="24"/>
        </w:rPr>
      </w:pPr>
      <w:r>
        <w:rPr>
          <w:rFonts w:hint="eastAsia" w:ascii="宋体" w:hAnsi="宋体" w:cs="宋体"/>
          <w:sz w:val="24"/>
        </w:rPr>
        <w:t>供应商和其他利害关系人认为本次单一来源违反法律、法规和规章规定的，有权向有关行政监督部门投诉。</w:t>
      </w:r>
    </w:p>
    <w:p w14:paraId="74F25DEC">
      <w:pPr>
        <w:pStyle w:val="6"/>
        <w:spacing w:line="360" w:lineRule="auto"/>
        <w:ind w:firstLine="482"/>
        <w:rPr>
          <w:rFonts w:ascii="宋体" w:hAnsi="宋体" w:cs="宋体"/>
          <w:b/>
          <w:bCs/>
          <w:sz w:val="24"/>
        </w:rPr>
      </w:pPr>
      <w:r>
        <w:rPr>
          <w:rFonts w:hint="eastAsia" w:ascii="宋体" w:hAnsi="宋体" w:cs="宋体"/>
          <w:b/>
          <w:bCs/>
          <w:sz w:val="24"/>
        </w:rPr>
        <w:t>八、需要补充的其他内容：见供应商须知前附表。</w:t>
      </w:r>
    </w:p>
    <w:p w14:paraId="7894C3C5">
      <w:pPr>
        <w:spacing w:line="360" w:lineRule="auto"/>
        <w:rPr>
          <w:rFonts w:ascii="宋体" w:hAnsi="宋体" w:cs="宋体"/>
        </w:rPr>
      </w:pPr>
      <w:r>
        <w:rPr>
          <w:rFonts w:hint="eastAsia" w:ascii="宋体" w:hAnsi="宋体" w:cs="宋体"/>
        </w:rPr>
        <w:br w:type="page"/>
      </w:r>
      <w:bookmarkStart w:id="37" w:name="_Toc12622"/>
    </w:p>
    <w:p w14:paraId="10B7DC82">
      <w:pPr>
        <w:spacing w:line="360" w:lineRule="auto"/>
        <w:rPr>
          <w:rFonts w:ascii="宋体" w:hAnsi="宋体" w:cs="宋体"/>
        </w:rPr>
      </w:pPr>
    </w:p>
    <w:p w14:paraId="40C859D3">
      <w:pPr>
        <w:spacing w:line="360" w:lineRule="auto"/>
        <w:rPr>
          <w:rFonts w:ascii="宋体" w:hAnsi="宋体" w:cs="宋体"/>
        </w:rPr>
      </w:pPr>
    </w:p>
    <w:p w14:paraId="24EB3C92">
      <w:pPr>
        <w:spacing w:line="360" w:lineRule="auto"/>
        <w:rPr>
          <w:rFonts w:ascii="宋体" w:hAnsi="宋体" w:cs="宋体"/>
        </w:rPr>
      </w:pPr>
    </w:p>
    <w:p w14:paraId="76B49AA5">
      <w:pPr>
        <w:spacing w:line="360" w:lineRule="auto"/>
        <w:rPr>
          <w:rFonts w:ascii="宋体" w:hAnsi="宋体" w:cs="宋体"/>
        </w:rPr>
      </w:pPr>
    </w:p>
    <w:p w14:paraId="3FD2225B">
      <w:pPr>
        <w:spacing w:line="360" w:lineRule="auto"/>
        <w:rPr>
          <w:rFonts w:ascii="宋体" w:hAnsi="宋体" w:cs="宋体"/>
        </w:rPr>
      </w:pPr>
    </w:p>
    <w:p w14:paraId="65355455">
      <w:pPr>
        <w:spacing w:line="360" w:lineRule="auto"/>
        <w:rPr>
          <w:rFonts w:ascii="宋体" w:hAnsi="宋体" w:cs="宋体"/>
        </w:rPr>
      </w:pPr>
    </w:p>
    <w:p w14:paraId="09961F61">
      <w:pPr>
        <w:spacing w:line="360" w:lineRule="auto"/>
        <w:rPr>
          <w:rFonts w:ascii="宋体" w:hAnsi="宋体" w:cs="宋体"/>
        </w:rPr>
      </w:pPr>
    </w:p>
    <w:p w14:paraId="54E722F1">
      <w:pPr>
        <w:spacing w:line="360" w:lineRule="auto"/>
        <w:rPr>
          <w:rFonts w:ascii="宋体" w:hAnsi="宋体" w:cs="宋体"/>
        </w:rPr>
      </w:pPr>
    </w:p>
    <w:p w14:paraId="35E366D1">
      <w:pPr>
        <w:spacing w:line="360" w:lineRule="auto"/>
        <w:rPr>
          <w:rFonts w:ascii="宋体" w:hAnsi="宋体" w:cs="宋体"/>
        </w:rPr>
      </w:pPr>
    </w:p>
    <w:p w14:paraId="74CA784C">
      <w:pPr>
        <w:spacing w:line="360" w:lineRule="auto"/>
        <w:rPr>
          <w:rFonts w:ascii="宋体" w:hAnsi="宋体" w:cs="宋体"/>
        </w:rPr>
      </w:pPr>
    </w:p>
    <w:p w14:paraId="3132E9ED">
      <w:pPr>
        <w:spacing w:line="360" w:lineRule="auto"/>
        <w:rPr>
          <w:rFonts w:ascii="宋体" w:hAnsi="宋体" w:cs="宋体"/>
        </w:rPr>
      </w:pPr>
    </w:p>
    <w:p w14:paraId="6BB36503">
      <w:pPr>
        <w:spacing w:line="360" w:lineRule="auto"/>
        <w:ind w:firstLine="602"/>
        <w:jc w:val="center"/>
        <w:outlineLvl w:val="0"/>
        <w:rPr>
          <w:rFonts w:ascii="宋体" w:hAnsi="宋体" w:cs="宋体"/>
          <w:b/>
          <w:bCs/>
          <w:sz w:val="30"/>
          <w:szCs w:val="30"/>
        </w:rPr>
      </w:pPr>
      <w:bookmarkStart w:id="38" w:name="_Toc12047"/>
      <w:bookmarkStart w:id="39" w:name="_Toc28654"/>
      <w:bookmarkStart w:id="40" w:name="_Toc14705"/>
      <w:bookmarkStart w:id="41" w:name="_Toc18840"/>
      <w:bookmarkStart w:id="42" w:name="_Toc16329"/>
      <w:bookmarkStart w:id="43" w:name="_Toc7306"/>
      <w:bookmarkStart w:id="44" w:name="_Toc1298"/>
      <w:bookmarkStart w:id="45" w:name="_Toc17753"/>
      <w:bookmarkStart w:id="46" w:name="_Toc15745"/>
      <w:r>
        <w:rPr>
          <w:rFonts w:hint="eastAsia" w:ascii="宋体" w:hAnsi="宋体" w:cs="宋体"/>
          <w:b/>
          <w:bCs/>
          <w:sz w:val="30"/>
          <w:szCs w:val="30"/>
        </w:rPr>
        <w:t>第三部分 合同条款</w:t>
      </w:r>
      <w:bookmarkEnd w:id="37"/>
      <w:bookmarkEnd w:id="38"/>
      <w:bookmarkEnd w:id="39"/>
      <w:bookmarkEnd w:id="40"/>
      <w:bookmarkEnd w:id="41"/>
      <w:bookmarkEnd w:id="42"/>
      <w:bookmarkEnd w:id="43"/>
      <w:bookmarkEnd w:id="44"/>
      <w:bookmarkEnd w:id="45"/>
      <w:bookmarkEnd w:id="46"/>
    </w:p>
    <w:p w14:paraId="78C1937F">
      <w:pPr>
        <w:jc w:val="center"/>
        <w:rPr>
          <w:rFonts w:ascii="宋体" w:hAnsi="宋体" w:cs="宋体"/>
        </w:rPr>
      </w:pPr>
      <w:bookmarkStart w:id="47" w:name="OLE_LINK36"/>
      <w:bookmarkStart w:id="48" w:name="OLE_LINK31"/>
      <w:r>
        <w:rPr>
          <w:rFonts w:hint="eastAsia" w:ascii="宋体" w:hAnsi="宋体" w:cs="宋体"/>
        </w:rPr>
        <w:br w:type="page"/>
      </w:r>
      <w:bookmarkStart w:id="49" w:name="_Toc29698"/>
      <w:bookmarkStart w:id="50" w:name="_Toc7211"/>
      <w:bookmarkStart w:id="51" w:name="_Toc301"/>
      <w:bookmarkStart w:id="52" w:name="_Toc787"/>
      <w:bookmarkStart w:id="53" w:name="_Toc20350"/>
      <w:bookmarkStart w:id="54" w:name="_Toc27512"/>
      <w:bookmarkStart w:id="55" w:name="_Toc31243"/>
      <w:bookmarkStart w:id="56" w:name="_Toc15505"/>
    </w:p>
    <w:p w14:paraId="503862F9">
      <w:pPr>
        <w:jc w:val="center"/>
        <w:rPr>
          <w:rFonts w:ascii="宋体" w:hAnsi="宋体" w:cs="宋体"/>
        </w:rPr>
      </w:pPr>
    </w:p>
    <w:p w14:paraId="0B7F95E6">
      <w:pPr>
        <w:ind w:firstLine="723"/>
        <w:jc w:val="center"/>
        <w:rPr>
          <w:rFonts w:ascii="宋体" w:hAnsi="宋体" w:cs="宋体"/>
          <w:b/>
          <w:bCs/>
          <w:kern w:val="44"/>
          <w:sz w:val="36"/>
          <w:szCs w:val="36"/>
        </w:rPr>
      </w:pPr>
      <w:r>
        <w:rPr>
          <w:rFonts w:hint="eastAsia" w:ascii="宋体" w:hAnsi="宋体" w:cs="宋体"/>
          <w:b/>
          <w:bCs/>
          <w:kern w:val="44"/>
          <w:sz w:val="36"/>
          <w:szCs w:val="36"/>
        </w:rPr>
        <w:t>合同条款及格式</w:t>
      </w:r>
    </w:p>
    <w:p w14:paraId="2EBA8006">
      <w:pPr>
        <w:spacing w:line="360" w:lineRule="auto"/>
        <w:ind w:firstLine="482" w:firstLineChars="200"/>
        <w:jc w:val="center"/>
        <w:rPr>
          <w:rFonts w:ascii="宋体" w:hAnsi="宋体" w:cs="宋体"/>
          <w:sz w:val="24"/>
        </w:rPr>
      </w:pPr>
      <w:r>
        <w:rPr>
          <w:rFonts w:hint="eastAsia" w:ascii="宋体" w:hAnsi="宋体" w:cs="宋体"/>
          <w:b/>
          <w:bCs/>
          <w:sz w:val="24"/>
        </w:rPr>
        <w:t>（仅供参考）</w:t>
      </w:r>
    </w:p>
    <w:p w14:paraId="1D7332FB">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河南省生态环境监测和安全中心河南省空天地一体化环境信息监控系统（一期）</w:t>
      </w:r>
    </w:p>
    <w:p w14:paraId="58679B7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2026年</w:t>
      </w:r>
      <w:r>
        <w:rPr>
          <w:rFonts w:hint="eastAsia" w:ascii="宋体" w:hAnsi="宋体" w:eastAsia="宋体" w:cs="宋体"/>
          <w:b/>
          <w:color w:val="000000"/>
          <w:sz w:val="24"/>
          <w:szCs w:val="24"/>
        </w:rPr>
        <w:t>数据和运维服务项目合同</w:t>
      </w:r>
    </w:p>
    <w:p w14:paraId="684F8C13">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甲方：河南省生态环境监测和安全中心</w:t>
      </w:r>
    </w:p>
    <w:p w14:paraId="7088DD60">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乙方： </w:t>
      </w:r>
    </w:p>
    <w:p w14:paraId="4E38F3B3">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河南省生态环境监测和安全中心河南省空天地一体化环境信息监控系统（一期）</w:t>
      </w:r>
      <w:r>
        <w:rPr>
          <w:rFonts w:hint="eastAsia" w:ascii="宋体" w:hAnsi="宋体" w:eastAsia="宋体" w:cs="宋体"/>
          <w:color w:val="000000"/>
          <w:sz w:val="24"/>
          <w:szCs w:val="24"/>
          <w:lang w:val="en-US" w:eastAsia="zh-CN"/>
        </w:rPr>
        <w:t>2026年</w:t>
      </w:r>
      <w:r>
        <w:rPr>
          <w:rFonts w:hint="eastAsia" w:ascii="宋体" w:hAnsi="宋体" w:eastAsia="宋体" w:cs="宋体"/>
          <w:color w:val="000000"/>
          <w:sz w:val="24"/>
          <w:szCs w:val="24"/>
        </w:rPr>
        <w:t>数据和运维服务项目（采购编号：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）单一来源采购结果，甲方确定乙方为</w:t>
      </w:r>
      <w:r>
        <w:rPr>
          <w:rFonts w:hint="eastAsia" w:ascii="宋体" w:hAnsi="宋体" w:eastAsia="宋体" w:cs="宋体"/>
          <w:color w:val="000000"/>
          <w:sz w:val="24"/>
          <w:szCs w:val="24"/>
          <w:lang w:val="en-US" w:eastAsia="zh-CN"/>
        </w:rPr>
        <w:t>成交供应商</w:t>
      </w:r>
      <w:r>
        <w:rPr>
          <w:rFonts w:hint="eastAsia" w:ascii="宋体" w:hAnsi="宋体" w:eastAsia="宋体" w:cs="宋体"/>
          <w:color w:val="000000"/>
          <w:sz w:val="24"/>
          <w:szCs w:val="24"/>
        </w:rPr>
        <w:t>，承担项目建设工作。根据项目单一</w:t>
      </w:r>
      <w:r>
        <w:rPr>
          <w:rFonts w:hint="eastAsia" w:ascii="宋体" w:hAnsi="宋体" w:eastAsia="宋体" w:cs="宋体"/>
          <w:color w:val="000000"/>
          <w:sz w:val="24"/>
          <w:szCs w:val="24"/>
          <w:lang w:val="en-US" w:eastAsia="zh-CN"/>
        </w:rPr>
        <w:t>来源</w:t>
      </w:r>
      <w:r>
        <w:rPr>
          <w:rFonts w:hint="eastAsia" w:ascii="宋体" w:hAnsi="宋体" w:eastAsia="宋体" w:cs="宋体"/>
          <w:color w:val="000000"/>
          <w:sz w:val="24"/>
          <w:szCs w:val="24"/>
        </w:rPr>
        <w:t>采购文件和</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通知书要求，甲方授予乙方为期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年的本项目数据和运维服务权，双方按年度签订数据和运维服务合同。</w:t>
      </w:r>
    </w:p>
    <w:p w14:paraId="29091A7C">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一、合同文件</w:t>
      </w:r>
    </w:p>
    <w:p w14:paraId="35D2285F">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下列文件构成本合同的组成部分，彼此相互解释，相互补充：</w:t>
      </w:r>
    </w:p>
    <w:p w14:paraId="5D44F9D9">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（1）本合同书</w:t>
      </w:r>
    </w:p>
    <w:p w14:paraId="75AAF981">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（2）中标通知书</w:t>
      </w:r>
    </w:p>
    <w:p w14:paraId="5D9362CD">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（3）单一来源采购文件</w:t>
      </w:r>
    </w:p>
    <w:p w14:paraId="4A48FF83">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（4）单一来源投标响应文件</w:t>
      </w:r>
    </w:p>
    <w:p w14:paraId="6718FB12">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（5）其他（甲乙双方商定的其他必要文件）</w:t>
      </w:r>
    </w:p>
    <w:p w14:paraId="4C0AC9F4">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000000"/>
          <w:sz w:val="24"/>
          <w:szCs w:val="24"/>
          <w:lang w:eastAsia="zh-CN"/>
        </w:rPr>
        <w:t>运维</w:t>
      </w:r>
      <w:r>
        <w:rPr>
          <w:rFonts w:hint="eastAsia" w:ascii="宋体" w:hAnsi="宋体" w:eastAsia="宋体" w:cs="宋体"/>
          <w:color w:val="000000"/>
          <w:sz w:val="24"/>
          <w:szCs w:val="24"/>
        </w:rPr>
        <w:t>服务</w:t>
      </w:r>
      <w:r>
        <w:rPr>
          <w:rFonts w:hint="eastAsia" w:ascii="宋体" w:hAnsi="宋体" w:eastAsia="宋体" w:cs="宋体"/>
          <w:color w:val="000000"/>
          <w:sz w:val="24"/>
          <w:szCs w:val="24"/>
          <w:lang w:eastAsia="zh-CN"/>
        </w:rPr>
        <w:t>内容</w:t>
      </w:r>
      <w:r>
        <w:rPr>
          <w:rFonts w:hint="eastAsia" w:ascii="宋体" w:hAnsi="宋体" w:eastAsia="宋体" w:cs="宋体"/>
          <w:color w:val="000000"/>
          <w:sz w:val="24"/>
          <w:szCs w:val="24"/>
        </w:rPr>
        <w:t xml:space="preserve"> </w:t>
      </w:r>
    </w:p>
    <w:p w14:paraId="78D336F2">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乙方</w:t>
      </w:r>
      <w:r>
        <w:rPr>
          <w:rFonts w:hint="eastAsia" w:ascii="宋体" w:hAnsi="宋体" w:eastAsia="宋体" w:cs="宋体"/>
          <w:color w:val="000000"/>
          <w:sz w:val="24"/>
          <w:szCs w:val="24"/>
          <w:lang w:eastAsia="zh-CN"/>
        </w:rPr>
        <w:t>根据甲方需求，</w:t>
      </w:r>
      <w:r>
        <w:rPr>
          <w:rFonts w:hint="eastAsia" w:ascii="宋体" w:hAnsi="宋体" w:eastAsia="宋体" w:cs="宋体"/>
          <w:color w:val="000000"/>
          <w:sz w:val="24"/>
          <w:szCs w:val="24"/>
        </w:rPr>
        <w:t>提供以下服务：</w:t>
      </w:r>
    </w:p>
    <w:p w14:paraId="617F04D3">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2D9DC26">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74C970B5">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16924D85">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4．</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7EBA735C">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三、服务期限</w:t>
      </w:r>
    </w:p>
    <w:p w14:paraId="34087DF5">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0F642512">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四、合同金额和付款方式</w:t>
      </w:r>
    </w:p>
    <w:p w14:paraId="2CA3F931">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（一）本合同总价为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w:t>
      </w:r>
    </w:p>
    <w:p w14:paraId="7984FFED">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（二）付款方式：合同款共分四次支付。甲方按照考核办法每三个月对乙方数据和运维服务进行考核。考核分值</w:t>
      </w:r>
      <w:r>
        <w:rPr>
          <w:rFonts w:hint="eastAsia" w:ascii="宋体" w:hAnsi="宋体" w:eastAsia="宋体" w:cs="宋体"/>
          <w:color w:val="000000"/>
          <w:sz w:val="24"/>
          <w:szCs w:val="24"/>
          <w:u w:val="single"/>
        </w:rPr>
        <w:t xml:space="preserve"> 95 </w:t>
      </w:r>
      <w:r>
        <w:rPr>
          <w:rFonts w:hint="eastAsia" w:ascii="宋体" w:hAnsi="宋体" w:eastAsia="宋体" w:cs="宋体"/>
          <w:color w:val="000000"/>
          <w:sz w:val="24"/>
          <w:szCs w:val="24"/>
        </w:rPr>
        <w:t>分以上（含</w:t>
      </w:r>
      <w:r>
        <w:rPr>
          <w:rFonts w:hint="eastAsia" w:ascii="宋体" w:hAnsi="宋体" w:eastAsia="宋体" w:cs="宋体"/>
          <w:color w:val="000000"/>
          <w:sz w:val="24"/>
          <w:szCs w:val="24"/>
          <w:u w:val="single"/>
        </w:rPr>
        <w:t>95</w:t>
      </w:r>
      <w:r>
        <w:rPr>
          <w:rFonts w:hint="eastAsia" w:ascii="宋体" w:hAnsi="宋体" w:eastAsia="宋体" w:cs="宋体"/>
          <w:color w:val="000000"/>
          <w:sz w:val="24"/>
          <w:szCs w:val="24"/>
        </w:rPr>
        <w:t>分）时，甲方向乙方支付合同金额的</w:t>
      </w:r>
      <w:r>
        <w:rPr>
          <w:rFonts w:hint="eastAsia" w:ascii="宋体" w:hAnsi="宋体" w:eastAsia="宋体" w:cs="宋体"/>
          <w:color w:val="000000"/>
          <w:sz w:val="24"/>
          <w:szCs w:val="24"/>
          <w:u w:val="single"/>
        </w:rPr>
        <w:t>50%</w:t>
      </w:r>
      <w:r>
        <w:rPr>
          <w:rFonts w:hint="eastAsia" w:ascii="宋体" w:hAnsi="宋体" w:eastAsia="宋体" w:cs="宋体"/>
          <w:color w:val="000000"/>
          <w:sz w:val="24"/>
          <w:szCs w:val="24"/>
        </w:rPr>
        <w:t>。考核分值低于</w:t>
      </w:r>
      <w:r>
        <w:rPr>
          <w:rFonts w:hint="eastAsia" w:ascii="宋体" w:hAnsi="宋体" w:eastAsia="宋体" w:cs="宋体"/>
          <w:color w:val="000000"/>
          <w:sz w:val="24"/>
          <w:szCs w:val="24"/>
          <w:u w:val="single"/>
        </w:rPr>
        <w:t xml:space="preserve">  95 </w:t>
      </w:r>
      <w:r>
        <w:rPr>
          <w:rFonts w:hint="eastAsia" w:ascii="宋体" w:hAnsi="宋体" w:eastAsia="宋体" w:cs="宋体"/>
          <w:color w:val="000000"/>
          <w:sz w:val="24"/>
          <w:szCs w:val="24"/>
        </w:rPr>
        <w:t>分时，每低</w:t>
      </w:r>
      <w:r>
        <w:rPr>
          <w:rFonts w:hint="eastAsia" w:ascii="宋体" w:hAnsi="宋体" w:eastAsia="宋体" w:cs="宋体"/>
          <w:color w:val="000000"/>
          <w:sz w:val="24"/>
          <w:szCs w:val="24"/>
          <w:u w:val="single"/>
        </w:rPr>
        <w:t xml:space="preserve"> 1</w:t>
      </w:r>
      <w:r>
        <w:rPr>
          <w:rFonts w:hint="eastAsia" w:ascii="宋体" w:hAnsi="宋体" w:eastAsia="宋体" w:cs="宋体"/>
          <w:color w:val="000000"/>
          <w:sz w:val="24"/>
          <w:szCs w:val="24"/>
        </w:rPr>
        <w:t>分（四舍五入），甲方扣减数据和运维服务费用</w:t>
      </w:r>
      <w:r>
        <w:rPr>
          <w:rFonts w:hint="eastAsia" w:ascii="宋体" w:hAnsi="宋体" w:eastAsia="宋体" w:cs="宋体"/>
          <w:color w:val="000000"/>
          <w:sz w:val="24"/>
          <w:szCs w:val="24"/>
          <w:u w:val="single"/>
        </w:rPr>
        <w:t xml:space="preserve"> 1 </w:t>
      </w:r>
      <w:r>
        <w:rPr>
          <w:rFonts w:hint="eastAsia" w:ascii="宋体" w:hAnsi="宋体" w:eastAsia="宋体" w:cs="宋体"/>
          <w:color w:val="000000"/>
          <w:sz w:val="24"/>
          <w:szCs w:val="24"/>
        </w:rPr>
        <w:t>万元，扣完为止。分值高于（含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分）时为合格，甲方续签下年运维合同。分值低于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分时为不合格，甲方不支付数据和运维服务费用，并有权解除合同。</w:t>
      </w:r>
    </w:p>
    <w:p w14:paraId="2BE8B985">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五、甲方的权利和义务：</w:t>
      </w:r>
    </w:p>
    <w:p w14:paraId="66DA6806">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六、乙方的权利和义务：</w:t>
      </w:r>
    </w:p>
    <w:p w14:paraId="46098311">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七、合同解除</w:t>
      </w:r>
    </w:p>
    <w:p w14:paraId="35EAE02D">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下列情况发生时，本合同终止：</w:t>
      </w:r>
    </w:p>
    <w:p w14:paraId="64507FAC">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1.如果乙方丧失履约能力或被宣告破产，甲方可在任何时候以书面形式通知乙方终止合同而不给乙方补偿。该终止合同将不损害或影响甲方己经采取或将要采取任何行动或补救措施的权利。</w:t>
      </w:r>
    </w:p>
    <w:p w14:paraId="5AA4C8AE">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2.合同终止前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个月，乙方应组织对所有系统设备、技术档案等进行检查、审核，并逐步移交。移交内容应包括设备软件（技术资料及档案、数据、计算机程序）交接、硬件交接两个组成部分。</w:t>
      </w:r>
    </w:p>
    <w:p w14:paraId="0B4E9758">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3.如遇任何将导致本合同发生变化的情形，发生变动的一方应在第一时间通知对方。解除和终止本协议时，应提前至少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日通知对方。</w:t>
      </w:r>
    </w:p>
    <w:p w14:paraId="56B3E86A">
      <w:pPr>
        <w:spacing w:line="276"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eastAsia="zh-CN"/>
        </w:rPr>
        <w:t>八</w:t>
      </w:r>
      <w:r>
        <w:rPr>
          <w:rFonts w:hint="eastAsia" w:ascii="宋体" w:hAnsi="宋体" w:eastAsia="宋体" w:cs="宋体"/>
          <w:color w:val="000000"/>
          <w:sz w:val="24"/>
        </w:rPr>
        <w:t>、违约责任</w:t>
      </w:r>
    </w:p>
    <w:p w14:paraId="32317434">
      <w:pPr>
        <w:spacing w:line="276"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乙方无法按合同约定履行运维义务的，乙方应承担未履行运维服务责任，甲方不再支付运维费用，乙方应向甲方支付合同金额20%的违约金。</w:t>
      </w:r>
    </w:p>
    <w:p w14:paraId="06D200B1">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九</w:t>
      </w:r>
      <w:r>
        <w:rPr>
          <w:rFonts w:hint="eastAsia" w:ascii="宋体" w:hAnsi="宋体" w:eastAsia="宋体" w:cs="宋体"/>
          <w:color w:val="000000"/>
          <w:sz w:val="24"/>
          <w:szCs w:val="24"/>
        </w:rPr>
        <w:t>、不可抗力</w:t>
      </w:r>
    </w:p>
    <w:p w14:paraId="34F718E2">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不可抗力造成违约的，遭受不可抗力一方应及时向对方通报不能履行或不能完全履行的理由，并自不可抗力结束之日起14日内向对方提供证明。基本于以上行为，允许遭受不可抗力一方延期履行、部分履行或者不履行合同，并根据情况可部分或全部免于承担违约责任。</w:t>
      </w:r>
    </w:p>
    <w:p w14:paraId="371228FB">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6C28F55C">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十</w:t>
      </w:r>
      <w:r>
        <w:rPr>
          <w:rFonts w:hint="eastAsia" w:ascii="宋体" w:hAnsi="宋体" w:eastAsia="宋体" w:cs="宋体"/>
          <w:color w:val="000000"/>
          <w:sz w:val="24"/>
          <w:szCs w:val="24"/>
        </w:rPr>
        <w:t>、争议的解决</w:t>
      </w:r>
    </w:p>
    <w:p w14:paraId="48C8E67E">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发生争议时，甲乙双方友好协商解决。如协商不能解决则应向甲方所在地的人民法院提起诉讼。</w:t>
      </w:r>
    </w:p>
    <w:p w14:paraId="33FCF9B4">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w:t>
      </w: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、合同生效</w:t>
      </w:r>
    </w:p>
    <w:p w14:paraId="6DC7CBDC">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合同各方签字盖章后合同生效。</w:t>
      </w:r>
    </w:p>
    <w:p w14:paraId="2770CFD3">
      <w:pPr>
        <w:spacing w:line="276"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本合同一式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p>
    <w:p w14:paraId="361BC44F">
      <w:pPr>
        <w:rPr>
          <w:rFonts w:hint="eastAsia" w:ascii="宋体" w:hAnsi="宋体" w:eastAsia="宋体" w:cs="宋体"/>
          <w:color w:val="000000"/>
          <w:sz w:val="24"/>
          <w:szCs w:val="24"/>
        </w:rPr>
      </w:pPr>
    </w:p>
    <w:p w14:paraId="5FD4E016">
      <w:pPr>
        <w:rPr>
          <w:rFonts w:hint="eastAsia" w:ascii="宋体" w:hAnsi="宋体" w:eastAsia="宋体" w:cs="宋体"/>
          <w:color w:val="000000"/>
          <w:sz w:val="24"/>
          <w:szCs w:val="24"/>
        </w:rPr>
      </w:pPr>
    </w:p>
    <w:p w14:paraId="4A0A2A8C">
      <w:pPr>
        <w:rPr>
          <w:rFonts w:hint="eastAsia" w:ascii="宋体" w:hAnsi="宋体" w:eastAsia="宋体" w:cs="宋体"/>
          <w:color w:val="000000"/>
          <w:sz w:val="24"/>
          <w:szCs w:val="24"/>
        </w:rPr>
      </w:pPr>
    </w:p>
    <w:p w14:paraId="1CCA3DCD">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乙方（公章）：</w:t>
      </w:r>
    </w:p>
    <w:p w14:paraId="5FB21740">
      <w:pPr>
        <w:rPr>
          <w:rFonts w:hint="eastAsia" w:ascii="宋体" w:hAnsi="宋体" w:eastAsia="宋体" w:cs="宋体"/>
          <w:color w:val="000000"/>
          <w:sz w:val="24"/>
          <w:szCs w:val="24"/>
        </w:rPr>
      </w:pPr>
    </w:p>
    <w:p w14:paraId="50A36067">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法人或授权签字人（签字）：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法人或授权签字人（签字）：</w:t>
      </w:r>
    </w:p>
    <w:p w14:paraId="25E0AB74">
      <w:pPr>
        <w:rPr>
          <w:rFonts w:hint="eastAsia" w:ascii="宋体" w:hAnsi="宋体" w:eastAsia="宋体" w:cs="宋体"/>
          <w:color w:val="000000"/>
          <w:sz w:val="24"/>
          <w:szCs w:val="24"/>
        </w:rPr>
      </w:pPr>
    </w:p>
    <w:p w14:paraId="035540C8">
      <w:pPr>
        <w:rPr>
          <w:rFonts w:hint="eastAsia" w:ascii="宋体" w:hAnsi="宋体" w:eastAsia="宋体" w:cs="宋体"/>
          <w:color w:val="000000"/>
          <w:sz w:val="24"/>
          <w:szCs w:val="24"/>
        </w:rPr>
      </w:pPr>
      <w:r>
        <w:rPr>
          <w:rFonts w:hint="eastAsia" w:ascii="宋体" w:hAnsi="宋体" w:eastAsia="宋体" w:cs="宋体"/>
          <w:color w:val="000000"/>
          <w:sz w:val="24"/>
          <w:szCs w:val="24"/>
        </w:rPr>
        <w:t>日期：    年    月    日</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日期：    年    月    日</w:t>
      </w:r>
    </w:p>
    <w:p w14:paraId="10305AB6">
      <w:pPr>
        <w:ind w:firstLine="4320" w:firstLineChars="18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开户银行： </w:t>
      </w:r>
    </w:p>
    <w:p w14:paraId="257F080D">
      <w:pPr>
        <w:ind w:firstLine="4320" w:firstLineChars="1800"/>
        <w:rPr>
          <w:rFonts w:hint="eastAsia" w:ascii="宋体" w:hAnsi="宋体" w:eastAsia="宋体" w:cs="宋体"/>
          <w:sz w:val="24"/>
          <w:szCs w:val="24"/>
          <w:highlight w:val="none"/>
        </w:rPr>
      </w:pPr>
      <w:r>
        <w:rPr>
          <w:rFonts w:hint="eastAsia" w:ascii="宋体" w:hAnsi="宋体" w:eastAsia="宋体" w:cs="宋体"/>
          <w:color w:val="000000"/>
          <w:sz w:val="24"/>
          <w:szCs w:val="24"/>
        </w:rPr>
        <w:t>银行账号：</w:t>
      </w:r>
    </w:p>
    <w:p w14:paraId="7C6A60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2"/>
          <w:szCs w:val="22"/>
          <w:highlight w:val="none"/>
        </w:rPr>
      </w:pPr>
      <w:r>
        <w:rPr>
          <w:rFonts w:ascii="宋体" w:hAnsi="宋体"/>
          <w:sz w:val="24"/>
          <w:highlight w:val="none"/>
        </w:rPr>
        <w:br w:type="page"/>
      </w:r>
      <w:r>
        <w:rPr>
          <w:rFonts w:hint="eastAsia" w:ascii="宋体" w:hAnsi="宋体" w:eastAsia="宋体" w:cs="宋体"/>
          <w:b/>
          <w:bCs/>
          <w:sz w:val="32"/>
          <w:szCs w:val="32"/>
          <w:lang w:val="en-US" w:eastAsia="zh-CN"/>
        </w:rPr>
        <w:t>附件1：</w:t>
      </w:r>
    </w:p>
    <w:p w14:paraId="46B6E7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河南省生态环境监测和安全中心</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rPr>
        <w:t>项目</w:t>
      </w:r>
    </w:p>
    <w:p w14:paraId="4AEEE2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合同廉洁履约承诺书</w:t>
      </w:r>
    </w:p>
    <w:p w14:paraId="5546C47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single"/>
          <w:lang w:val="en-US" w:eastAsia="zh-CN"/>
        </w:rPr>
        <w:t>河南省生态环境监测和安全中心：</w:t>
      </w:r>
    </w:p>
    <w:p w14:paraId="5040672B">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依据</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（项目名称）</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（采购方式）</w:t>
      </w:r>
      <w:r>
        <w:rPr>
          <w:rFonts w:hint="eastAsia" w:ascii="宋体" w:hAnsi="宋体" w:eastAsia="宋体" w:cs="宋体"/>
          <w:sz w:val="24"/>
          <w:szCs w:val="24"/>
          <w:u w:val="none"/>
          <w:lang w:val="en-US" w:eastAsia="zh-CN"/>
        </w:rPr>
        <w:t>结果，我公司成为本项目成交供应商，依照《中华人民共和国民法典》及有关法律、法规、规章规定的内容签订项目合同，并作出以下廉洁履约承诺：</w:t>
      </w:r>
    </w:p>
    <w:p w14:paraId="63049A1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一、严格履行合同约定，秉承专业态度为甲方提供高质量的产品与服务。</w:t>
      </w:r>
    </w:p>
    <w:p w14:paraId="6C88063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二、不向甲方及其工作人员行贿或赠送明扣、暗扣、礼品、礼金、有价证券、购物卡、贵重物品等；不报销任何应由甲方或甲方工作人员个人支付的费用。</w:t>
      </w:r>
    </w:p>
    <w:p w14:paraId="055D4DB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三、不为甲方工作人员安排宴请和娱乐活动。</w:t>
      </w:r>
    </w:p>
    <w:p w14:paraId="26DF59AD">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四、不为甲方工作人员住房装修、婚丧嫁娶活动、配偶子女等特定关系人的工作安排以及出国出境、旅游等提供方便或赠送钱物。</w:t>
      </w:r>
    </w:p>
    <w:p w14:paraId="2D0E15B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五、不接受甲方工作人员及其配偶、子女等特定关系人从事与甲方项目有关的材料设备供应、项目分包、劳务等经济活动。</w:t>
      </w:r>
    </w:p>
    <w:p w14:paraId="6BEA4E0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六、其他法律法规规定的违反廉洁自律规定的行为。</w:t>
      </w:r>
    </w:p>
    <w:p w14:paraId="0883687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若本公司相关人员因违反上述廉洁履约承诺受到行政或刑事处罚的，我公司愿意配合甲方依法依规解除合同，承担违约责任，接受甲方的处理，并赔偿由此对甲方造成的经济损失。</w:t>
      </w:r>
    </w:p>
    <w:p w14:paraId="3FC2FF5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本公司</w:t>
      </w:r>
      <w:r>
        <w:rPr>
          <w:rFonts w:hint="eastAsia" w:ascii="宋体" w:hAnsi="宋体" w:eastAsia="宋体" w:cs="宋体"/>
          <w:sz w:val="24"/>
          <w:szCs w:val="24"/>
        </w:rPr>
        <w:t>主动接受相关部门和社会公众监督。</w:t>
      </w:r>
    </w:p>
    <w:p w14:paraId="3ECE623B">
      <w:pPr>
        <w:keepNext w:val="0"/>
        <w:keepLines w:val="0"/>
        <w:pageBreakBefore w:val="0"/>
        <w:widowControl w:val="0"/>
        <w:kinsoku/>
        <w:wordWrap/>
        <w:overflowPunct/>
        <w:topLinePunct w:val="0"/>
        <w:autoSpaceDE/>
        <w:autoSpaceDN/>
        <w:bidi w:val="0"/>
        <w:adjustRightInd/>
        <w:snapToGrid/>
        <w:spacing w:line="590" w:lineRule="exact"/>
        <w:ind w:firstLine="240" w:firstLineChars="1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（盖章）</w:t>
      </w:r>
    </w:p>
    <w:p w14:paraId="008CD0BB">
      <w:pPr>
        <w:keepNext w:val="0"/>
        <w:keepLines w:val="0"/>
        <w:pageBreakBefore w:val="0"/>
        <w:widowControl w:val="0"/>
        <w:kinsoku/>
        <w:wordWrap/>
        <w:overflowPunct/>
        <w:topLinePunct w:val="0"/>
        <w:autoSpaceDE/>
        <w:autoSpaceDN/>
        <w:bidi w:val="0"/>
        <w:adjustRightInd/>
        <w:snapToGrid/>
        <w:spacing w:line="590" w:lineRule="exact"/>
        <w:ind w:firstLine="240" w:firstLineChars="1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w:t>
      </w:r>
    </w:p>
    <w:p w14:paraId="2954817A">
      <w:pPr>
        <w:spacing w:line="360" w:lineRule="auto"/>
        <w:ind w:firstLine="482" w:firstLineChars="200"/>
        <w:jc w:val="left"/>
        <w:rPr>
          <w:rFonts w:ascii="宋体" w:hAnsi="宋体" w:cs="宋体"/>
          <w:b/>
          <w:bCs/>
          <w:sz w:val="24"/>
        </w:rPr>
      </w:pPr>
      <w:r>
        <w:rPr>
          <w:rFonts w:hint="eastAsia" w:ascii="宋体" w:hAnsi="宋体" w:cs="宋体"/>
          <w:b/>
          <w:bCs/>
          <w:sz w:val="24"/>
        </w:rPr>
        <w:br w:type="page"/>
      </w:r>
    </w:p>
    <w:p w14:paraId="3634B75E">
      <w:pPr>
        <w:spacing w:line="360" w:lineRule="auto"/>
        <w:ind w:firstLine="602"/>
        <w:jc w:val="center"/>
        <w:outlineLvl w:val="0"/>
        <w:rPr>
          <w:rFonts w:hint="eastAsia" w:ascii="宋体" w:hAnsi="宋体" w:eastAsia="宋体" w:cs="宋体"/>
          <w:b/>
          <w:bCs/>
          <w:color w:val="auto"/>
          <w:sz w:val="30"/>
          <w:szCs w:val="30"/>
          <w:highlight w:val="none"/>
          <w:lang w:eastAsia="zh-CN"/>
        </w:rPr>
      </w:pPr>
      <w:bookmarkStart w:id="57" w:name="_Toc27327"/>
      <w:r>
        <w:rPr>
          <w:rFonts w:hint="eastAsia" w:ascii="宋体" w:hAnsi="宋体" w:cs="宋体"/>
          <w:b/>
          <w:bCs/>
          <w:color w:val="auto"/>
          <w:sz w:val="30"/>
          <w:szCs w:val="30"/>
          <w:highlight w:val="none"/>
        </w:rPr>
        <w:t>第</w:t>
      </w:r>
      <w:bookmarkEnd w:id="47"/>
      <w:r>
        <w:rPr>
          <w:rFonts w:hint="eastAsia" w:ascii="宋体" w:hAnsi="宋体" w:cs="宋体"/>
          <w:b/>
          <w:bCs/>
          <w:color w:val="auto"/>
          <w:sz w:val="30"/>
          <w:szCs w:val="30"/>
          <w:highlight w:val="none"/>
        </w:rPr>
        <w:t xml:space="preserve">四部分 </w:t>
      </w:r>
      <w:bookmarkEnd w:id="48"/>
      <w:bookmarkStart w:id="58" w:name="OLE_LINK39"/>
      <w:r>
        <w:rPr>
          <w:rFonts w:hint="eastAsia" w:ascii="宋体" w:hAnsi="宋体" w:cs="宋体"/>
          <w:b/>
          <w:bCs/>
          <w:color w:val="auto"/>
          <w:sz w:val="30"/>
          <w:szCs w:val="30"/>
          <w:highlight w:val="none"/>
        </w:rPr>
        <w:t>采购人需求</w:t>
      </w:r>
      <w:bookmarkEnd w:id="49"/>
      <w:bookmarkEnd w:id="50"/>
      <w:bookmarkEnd w:id="51"/>
      <w:bookmarkEnd w:id="52"/>
      <w:bookmarkEnd w:id="53"/>
      <w:bookmarkEnd w:id="54"/>
      <w:bookmarkEnd w:id="55"/>
      <w:bookmarkEnd w:id="56"/>
      <w:bookmarkEnd w:id="57"/>
      <w:bookmarkEnd w:id="58"/>
    </w:p>
    <w:p w14:paraId="33824DD9">
      <w:pPr>
        <w:ind w:firstLine="640"/>
        <w:jc w:val="center"/>
        <w:rPr>
          <w:rFonts w:eastAsia="黑体"/>
          <w:color w:val="auto"/>
          <w:sz w:val="32"/>
          <w:szCs w:val="32"/>
          <w:highlight w:val="none"/>
        </w:rPr>
      </w:pPr>
      <w:bookmarkStart w:id="59" w:name="_Toc31412"/>
      <w:bookmarkStart w:id="60" w:name="_Toc12497"/>
      <w:bookmarkStart w:id="61" w:name="_Toc24883"/>
      <w:bookmarkStart w:id="62" w:name="_Toc21207"/>
      <w:bookmarkStart w:id="63" w:name="_Toc10925"/>
      <w:bookmarkStart w:id="64" w:name="OLE_LINK38"/>
    </w:p>
    <w:p w14:paraId="1A46F344">
      <w:pPr>
        <w:ind w:firstLine="640"/>
        <w:jc w:val="center"/>
        <w:rPr>
          <w:rFonts w:eastAsia="黑体"/>
          <w:color w:val="auto"/>
          <w:sz w:val="32"/>
          <w:szCs w:val="32"/>
          <w:highlight w:val="none"/>
        </w:rPr>
      </w:pPr>
    </w:p>
    <w:p w14:paraId="0F3C374F">
      <w:pPr>
        <w:spacing w:line="360" w:lineRule="auto"/>
        <w:ind w:firstLine="480"/>
        <w:jc w:val="center"/>
        <w:rPr>
          <w:rFonts w:ascii="宋体" w:hAnsi="宋体" w:cs="宋体"/>
          <w:color w:val="auto"/>
          <w:sz w:val="24"/>
          <w:highlight w:val="none"/>
        </w:rPr>
      </w:pPr>
      <w:r>
        <w:rPr>
          <w:rFonts w:hint="eastAsia" w:ascii="宋体" w:hAnsi="宋体" w:cs="宋体"/>
          <w:color w:val="auto"/>
          <w:sz w:val="24"/>
          <w:highlight w:val="none"/>
        </w:rPr>
        <w:t>河南省空天地一体化环境信息监控系统（一期）</w:t>
      </w:r>
    </w:p>
    <w:p w14:paraId="235C7A96">
      <w:pPr>
        <w:spacing w:line="360" w:lineRule="auto"/>
        <w:ind w:firstLine="480"/>
        <w:jc w:val="center"/>
        <w:rPr>
          <w:rFonts w:ascii="宋体" w:hAnsi="宋体" w:cs="宋体"/>
          <w:color w:val="auto"/>
          <w:sz w:val="24"/>
          <w:highlight w:val="none"/>
        </w:rPr>
      </w:pPr>
      <w:r>
        <w:rPr>
          <w:rFonts w:hint="eastAsia" w:ascii="宋体" w:hAnsi="宋体" w:cs="宋体"/>
          <w:color w:val="auto"/>
          <w:sz w:val="24"/>
          <w:highlight w:val="none"/>
        </w:rPr>
        <w:t>2026年数据和运维服务项目技术要求</w:t>
      </w:r>
    </w:p>
    <w:p w14:paraId="45389C0D">
      <w:pPr>
        <w:spacing w:line="360" w:lineRule="auto"/>
        <w:rPr>
          <w:rFonts w:ascii="宋体" w:hAnsi="宋体" w:cs="宋体"/>
          <w:color w:val="auto"/>
          <w:sz w:val="24"/>
          <w:highlight w:val="none"/>
        </w:rPr>
      </w:pPr>
    </w:p>
    <w:p w14:paraId="3F5C348D">
      <w:pPr>
        <w:pStyle w:val="2"/>
        <w:spacing w:line="360" w:lineRule="auto"/>
        <w:rPr>
          <w:rFonts w:ascii="宋体" w:hAnsi="宋体" w:eastAsia="宋体" w:cs="宋体"/>
          <w:color w:val="auto"/>
          <w:sz w:val="24"/>
          <w:szCs w:val="24"/>
          <w:highlight w:val="none"/>
        </w:rPr>
      </w:pPr>
      <w:bookmarkStart w:id="65" w:name="_Toc23271"/>
      <w:bookmarkStart w:id="66" w:name="_Toc1357"/>
      <w:r>
        <w:rPr>
          <w:rFonts w:hint="eastAsia" w:ascii="宋体" w:hAnsi="宋体" w:eastAsia="宋体" w:cs="宋体"/>
          <w:color w:val="auto"/>
          <w:sz w:val="24"/>
          <w:szCs w:val="24"/>
          <w:highlight w:val="none"/>
        </w:rPr>
        <w:t>项目名称</w:t>
      </w:r>
      <w:bookmarkEnd w:id="65"/>
      <w:bookmarkEnd w:id="66"/>
    </w:p>
    <w:p w14:paraId="30C4640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河南省空天地一体化环境信息监控系统（一期）</w:t>
      </w:r>
      <w:r>
        <w:rPr>
          <w:rFonts w:hint="eastAsia" w:ascii="宋体" w:hAnsi="宋体" w:cs="宋体"/>
          <w:color w:val="auto"/>
          <w:sz w:val="24"/>
          <w:highlight w:val="none"/>
          <w:lang w:val="en-US" w:eastAsia="zh-CN"/>
        </w:rPr>
        <w:t>2026年</w:t>
      </w:r>
      <w:r>
        <w:rPr>
          <w:rFonts w:hint="eastAsia" w:ascii="宋体" w:hAnsi="宋体" w:cs="宋体"/>
          <w:color w:val="auto"/>
          <w:sz w:val="24"/>
          <w:highlight w:val="none"/>
        </w:rPr>
        <w:t>数据和运维服务项目</w:t>
      </w:r>
    </w:p>
    <w:p w14:paraId="724B60A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项目拟采用单一来源采购方式，项目预算金额为：150万元</w:t>
      </w:r>
    </w:p>
    <w:p w14:paraId="16AFD34D">
      <w:pPr>
        <w:pStyle w:val="2"/>
        <w:spacing w:line="360" w:lineRule="auto"/>
        <w:rPr>
          <w:rFonts w:ascii="宋体" w:hAnsi="宋体" w:eastAsia="宋体" w:cs="宋体"/>
          <w:color w:val="auto"/>
          <w:sz w:val="24"/>
          <w:szCs w:val="24"/>
          <w:highlight w:val="none"/>
        </w:rPr>
      </w:pPr>
      <w:bookmarkStart w:id="67" w:name="_Toc402945848"/>
      <w:bookmarkStart w:id="68" w:name="_Toc32591"/>
      <w:bookmarkStart w:id="69" w:name="_Toc31610"/>
      <w:r>
        <w:rPr>
          <w:rFonts w:hint="eastAsia" w:ascii="宋体" w:hAnsi="宋体" w:eastAsia="宋体" w:cs="宋体"/>
          <w:color w:val="auto"/>
          <w:sz w:val="24"/>
          <w:szCs w:val="24"/>
          <w:highlight w:val="none"/>
        </w:rPr>
        <w:t>项目目标</w:t>
      </w:r>
      <w:bookmarkEnd w:id="67"/>
      <w:bookmarkEnd w:id="68"/>
      <w:bookmarkEnd w:id="69"/>
    </w:p>
    <w:p w14:paraId="3084E5F7">
      <w:pPr>
        <w:spacing w:line="360" w:lineRule="auto"/>
        <w:ind w:firstLine="480" w:firstLineChars="200"/>
        <w:rPr>
          <w:rFonts w:ascii="宋体" w:hAnsi="宋体" w:cs="宋体"/>
          <w:sz w:val="24"/>
        </w:rPr>
      </w:pPr>
      <w:r>
        <w:rPr>
          <w:rFonts w:hint="eastAsia" w:ascii="宋体" w:hAnsi="宋体" w:cs="宋体"/>
          <w:color w:val="auto"/>
          <w:sz w:val="24"/>
          <w:highlight w:val="none"/>
        </w:rPr>
        <w:t>为了保证河南省空天地一体化环境信息监控系统（一期）能连续</w:t>
      </w:r>
      <w:r>
        <w:rPr>
          <w:rFonts w:hint="eastAsia" w:ascii="宋体" w:hAnsi="宋体" w:cs="宋体"/>
          <w:sz w:val="24"/>
        </w:rPr>
        <w:t>、有效、稳定地运行，大力提升我省生态环境监管能力。根据新时期河南省有关污染防治攻坚战工作的要求，对河南省空天地一体化环境信息监控系统（一期）进行数据和运维服务。</w:t>
      </w:r>
    </w:p>
    <w:p w14:paraId="6C008EF3">
      <w:pPr>
        <w:pStyle w:val="2"/>
        <w:spacing w:line="360" w:lineRule="auto"/>
        <w:ind w:left="432" w:hanging="432" w:hangingChars="180"/>
        <w:rPr>
          <w:rFonts w:ascii="宋体" w:hAnsi="宋体" w:eastAsia="宋体" w:cs="宋体"/>
          <w:sz w:val="24"/>
          <w:szCs w:val="24"/>
        </w:rPr>
      </w:pPr>
      <w:bookmarkStart w:id="70" w:name="_Toc24781"/>
      <w:bookmarkStart w:id="71" w:name="_Toc30350"/>
      <w:r>
        <w:rPr>
          <w:rFonts w:hint="eastAsia" w:ascii="宋体" w:hAnsi="宋体" w:eastAsia="宋体" w:cs="宋体"/>
          <w:sz w:val="24"/>
          <w:szCs w:val="24"/>
        </w:rPr>
        <w:t>项目内容</w:t>
      </w:r>
      <w:bookmarkEnd w:id="70"/>
      <w:bookmarkEnd w:id="71"/>
    </w:p>
    <w:p w14:paraId="5E2C73DD">
      <w:pPr>
        <w:spacing w:line="360" w:lineRule="auto"/>
        <w:ind w:firstLine="480" w:firstLineChars="200"/>
        <w:rPr>
          <w:rFonts w:hint="eastAsia" w:ascii="宋体" w:hAnsi="宋体" w:cs="宋体"/>
          <w:sz w:val="24"/>
        </w:rPr>
      </w:pPr>
      <w:r>
        <w:rPr>
          <w:rFonts w:hint="eastAsia" w:ascii="宋体" w:hAnsi="宋体" w:cs="宋体"/>
          <w:sz w:val="24"/>
        </w:rPr>
        <w:t>通过河南省空天地一体化环境</w:t>
      </w:r>
      <w:bookmarkStart w:id="231" w:name="_GoBack"/>
      <w:bookmarkEnd w:id="231"/>
      <w:r>
        <w:rPr>
          <w:rFonts w:hint="eastAsia" w:ascii="宋体" w:hAnsi="宋体" w:cs="宋体"/>
          <w:sz w:val="24"/>
        </w:rPr>
        <w:t>信息监控系统（一期）数据和运维服务项目，开展卫星遥感系统运行维护，保障系统正常运行，提高环境遥感监测监控能力，利用多源遥感信息进行各类环境遥感监测产品数据处理服务,开展卫星遥感专题产品生产，为污染防治、生态保护提供有力的数据支撑。</w:t>
      </w:r>
    </w:p>
    <w:p w14:paraId="0C514BB9">
      <w:pPr>
        <w:spacing w:line="360" w:lineRule="auto"/>
        <w:ind w:firstLine="420" w:firstLineChars="200"/>
        <w:rPr>
          <w:rFonts w:hint="eastAsia" w:ascii="宋体" w:hAnsi="宋体" w:cs="宋体"/>
          <w:sz w:val="24"/>
          <w:highlight w:val="none"/>
        </w:rPr>
      </w:pPr>
      <w:r>
        <w:rPr>
          <w:rFonts w:hint="eastAsia" w:ascii="Times New Roman" w:hAnsi="Times New Roman" w:cs="Times New Roman"/>
          <w:highlight w:val="none"/>
        </w:rPr>
        <w:t>项目实施期限</w:t>
      </w:r>
      <w:r>
        <w:rPr>
          <w:rFonts w:hint="eastAsia" w:ascii="Times New Roman" w:hAnsi="Times New Roman" w:cs="Times New Roman"/>
          <w:highlight w:val="none"/>
          <w:lang w:eastAsia="zh-CN"/>
        </w:rPr>
        <w:t>：</w:t>
      </w:r>
      <w:r>
        <w:rPr>
          <w:rFonts w:hint="eastAsia" w:ascii="Times New Roman" w:hAnsi="Times New Roman" w:cs="Times New Roman"/>
          <w:highlight w:val="none"/>
        </w:rPr>
        <w:t>2026年1月25日</w:t>
      </w:r>
      <w:r>
        <w:rPr>
          <w:rFonts w:hint="eastAsia" w:ascii="Times New Roman" w:hAnsi="Times New Roman" w:cs="Times New Roman"/>
          <w:highlight w:val="none"/>
          <w:lang w:eastAsia="zh-CN"/>
        </w:rPr>
        <w:t>至</w:t>
      </w:r>
      <w:r>
        <w:rPr>
          <w:rFonts w:hint="eastAsia" w:ascii="Times New Roman" w:hAnsi="Times New Roman" w:cs="Times New Roman"/>
          <w:highlight w:val="none"/>
          <w:lang w:val="en-US" w:eastAsia="zh-CN"/>
        </w:rPr>
        <w:t>2027年1月24日</w:t>
      </w:r>
    </w:p>
    <w:p w14:paraId="45F4DE2B">
      <w:pPr>
        <w:pStyle w:val="3"/>
        <w:spacing w:line="360" w:lineRule="auto"/>
        <w:ind w:left="578" w:firstLine="482"/>
        <w:rPr>
          <w:rFonts w:ascii="宋体" w:hAnsi="宋体" w:eastAsia="宋体" w:cs="宋体"/>
          <w:szCs w:val="24"/>
        </w:rPr>
      </w:pPr>
      <w:bookmarkStart w:id="72" w:name="_Toc7959"/>
      <w:r>
        <w:rPr>
          <w:rFonts w:hint="eastAsia" w:ascii="宋体" w:hAnsi="宋体" w:eastAsia="宋体" w:cs="宋体"/>
          <w:szCs w:val="24"/>
        </w:rPr>
        <w:t>运行维护</w:t>
      </w:r>
      <w:bookmarkEnd w:id="72"/>
    </w:p>
    <w:p w14:paraId="0ABC6E22">
      <w:pPr>
        <w:spacing w:line="360" w:lineRule="auto"/>
        <w:ind w:firstLine="424" w:firstLineChars="177"/>
        <w:rPr>
          <w:rFonts w:ascii="宋体" w:hAnsi="宋体" w:cs="宋体"/>
          <w:sz w:val="24"/>
        </w:rPr>
      </w:pPr>
      <w:r>
        <w:rPr>
          <w:rFonts w:hint="eastAsia" w:ascii="宋体" w:hAnsi="宋体" w:cs="宋体"/>
          <w:sz w:val="24"/>
        </w:rPr>
        <w:t>3.1.1运维人员</w:t>
      </w:r>
    </w:p>
    <w:p w14:paraId="390A0FC7">
      <w:pPr>
        <w:spacing w:line="360" w:lineRule="auto"/>
        <w:ind w:firstLine="480" w:firstLineChars="200"/>
        <w:rPr>
          <w:rFonts w:ascii="宋体" w:hAnsi="宋体" w:cs="宋体"/>
          <w:color w:val="000000"/>
          <w:sz w:val="24"/>
        </w:rPr>
      </w:pPr>
      <w:r>
        <w:rPr>
          <w:rFonts w:hint="eastAsia" w:ascii="宋体" w:hAnsi="宋体" w:cs="宋体"/>
          <w:color w:val="000000"/>
          <w:sz w:val="24"/>
        </w:rPr>
        <w:t>本项目要求不少于5名数据和运维服务人员开展运维，运维人员应是中标单位正式员工，均需具备卫星遥感数据分析和对应报告编制等工作能力，并在投标文件中提供社保缴纳证明。</w:t>
      </w:r>
    </w:p>
    <w:p w14:paraId="1E68ED71">
      <w:pPr>
        <w:spacing w:line="360" w:lineRule="auto"/>
        <w:ind w:firstLine="424" w:firstLineChars="177"/>
        <w:rPr>
          <w:rFonts w:ascii="宋体" w:hAnsi="宋体" w:cs="宋体"/>
          <w:sz w:val="24"/>
        </w:rPr>
      </w:pPr>
      <w:r>
        <w:rPr>
          <w:rFonts w:hint="eastAsia" w:ascii="宋体" w:hAnsi="宋体" w:cs="宋体"/>
          <w:sz w:val="24"/>
        </w:rPr>
        <w:t>3.1.2巡检内容</w:t>
      </w:r>
    </w:p>
    <w:p w14:paraId="2799D23D">
      <w:pPr>
        <w:spacing w:line="360" w:lineRule="auto"/>
        <w:ind w:firstLine="480" w:firstLineChars="200"/>
        <w:rPr>
          <w:rFonts w:ascii="宋体" w:hAnsi="宋体" w:cs="宋体"/>
          <w:sz w:val="24"/>
        </w:rPr>
      </w:pPr>
      <w:r>
        <w:rPr>
          <w:rFonts w:hint="eastAsia" w:ascii="宋体" w:hAnsi="宋体" w:cs="宋体"/>
          <w:sz w:val="24"/>
        </w:rPr>
        <w:t>每月至少对卫星接收站、数据处理设备、环境遥感信息服务平台的运行状况进行一次运维巡检，检查卫星接收站设备状态及应用系统的运行日志，分析设备和服务器系统运行的状态，及时排除出现的故障，保证系统正常运行，并对检查中存在的故障及安全隐患进行处理，形成运维巡检报告。运维巡检包含以下内容：</w:t>
      </w:r>
    </w:p>
    <w:p w14:paraId="168FF3B2">
      <w:pPr>
        <w:spacing w:line="360" w:lineRule="auto"/>
        <w:ind w:firstLine="424" w:firstLineChars="177"/>
        <w:rPr>
          <w:rFonts w:ascii="宋体" w:hAnsi="宋体" w:cs="宋体"/>
          <w:sz w:val="24"/>
        </w:rPr>
      </w:pPr>
      <w:r>
        <w:rPr>
          <w:rFonts w:hint="eastAsia" w:ascii="宋体" w:hAnsi="宋体" w:cs="宋体"/>
          <w:sz w:val="24"/>
        </w:rPr>
        <w:t>（1）检查卫星接收站天线、信道设备、高速解调器、ACU等设备状态是否正常，检查卫星跟踪引导文件是否下发正常。</w:t>
      </w:r>
    </w:p>
    <w:p w14:paraId="040F797A">
      <w:pPr>
        <w:spacing w:line="360" w:lineRule="auto"/>
        <w:ind w:firstLine="424" w:firstLineChars="177"/>
        <w:rPr>
          <w:rFonts w:ascii="宋体" w:hAnsi="宋体" w:cs="宋体"/>
          <w:sz w:val="24"/>
        </w:rPr>
      </w:pPr>
      <w:r>
        <w:rPr>
          <w:rFonts w:hint="eastAsia" w:ascii="宋体" w:hAnsi="宋体" w:cs="宋体"/>
          <w:sz w:val="24"/>
        </w:rPr>
        <w:t>（2）检查系统日志信息、数据库日志信息是否存在异常告警，检查系统磁盘空间是否满足需求，网络状况是否正常，整个系统状态是否正常。</w:t>
      </w:r>
    </w:p>
    <w:p w14:paraId="5A4DC32A">
      <w:pPr>
        <w:spacing w:line="360" w:lineRule="auto"/>
        <w:ind w:firstLine="424" w:firstLineChars="177"/>
        <w:rPr>
          <w:rFonts w:ascii="宋体" w:hAnsi="宋体" w:cs="宋体"/>
          <w:sz w:val="24"/>
        </w:rPr>
      </w:pPr>
      <w:r>
        <w:rPr>
          <w:rFonts w:hint="eastAsia" w:ascii="宋体" w:hAnsi="宋体" w:cs="宋体"/>
          <w:sz w:val="24"/>
        </w:rPr>
        <w:t>（3）检查卫星星历数据是否为最新，检查卫星跟踪接收计划，根据任务情况，择优选择，消除任务冲突情况。</w:t>
      </w:r>
    </w:p>
    <w:p w14:paraId="1C7CA442">
      <w:pPr>
        <w:spacing w:line="360" w:lineRule="auto"/>
        <w:ind w:left="480"/>
        <w:rPr>
          <w:rFonts w:ascii="宋体" w:hAnsi="宋体" w:cs="宋体"/>
          <w:sz w:val="24"/>
        </w:rPr>
      </w:pPr>
      <w:r>
        <w:rPr>
          <w:rFonts w:hint="eastAsia" w:ascii="宋体" w:hAnsi="宋体" w:cs="宋体"/>
          <w:sz w:val="24"/>
        </w:rPr>
        <w:t>（4）检查每日接收的数据、数据处理结果是否正常。</w:t>
      </w:r>
    </w:p>
    <w:p w14:paraId="681CFC39">
      <w:pPr>
        <w:spacing w:line="360" w:lineRule="auto"/>
        <w:ind w:left="480"/>
        <w:rPr>
          <w:rFonts w:ascii="宋体" w:hAnsi="宋体" w:cs="宋体"/>
          <w:sz w:val="24"/>
        </w:rPr>
      </w:pPr>
      <w:r>
        <w:rPr>
          <w:rFonts w:hint="eastAsia" w:ascii="宋体" w:hAnsi="宋体" w:cs="宋体"/>
          <w:sz w:val="24"/>
        </w:rPr>
        <w:t>（5）定期对系统进行全面检测和维护保养。</w:t>
      </w:r>
    </w:p>
    <w:p w14:paraId="78CC8DD5">
      <w:pPr>
        <w:spacing w:line="360" w:lineRule="auto"/>
        <w:ind w:left="-2" w:leftChars="-1" w:firstLine="427" w:firstLineChars="178"/>
        <w:rPr>
          <w:rFonts w:ascii="宋体" w:hAnsi="宋体" w:cs="宋体"/>
          <w:sz w:val="24"/>
        </w:rPr>
      </w:pPr>
      <w:r>
        <w:rPr>
          <w:rFonts w:hint="eastAsia" w:ascii="宋体" w:hAnsi="宋体" w:cs="宋体"/>
          <w:sz w:val="24"/>
        </w:rPr>
        <w:t>3.1.3运维服务响应时间</w:t>
      </w:r>
    </w:p>
    <w:p w14:paraId="1FE20B73">
      <w:pPr>
        <w:spacing w:line="360" w:lineRule="auto"/>
        <w:ind w:firstLine="480" w:firstLineChars="200"/>
        <w:rPr>
          <w:rFonts w:ascii="宋体" w:hAnsi="宋体" w:cs="宋体"/>
          <w:sz w:val="24"/>
        </w:rPr>
      </w:pPr>
      <w:r>
        <w:rPr>
          <w:rFonts w:hint="eastAsia" w:ascii="宋体" w:hAnsi="宋体" w:cs="宋体"/>
          <w:sz w:val="24"/>
        </w:rPr>
        <w:t>运维单位需提供7×24小时响应服务，具体包括：维护期内提供电话、传真、电子邮件等方式的咨询和支持服务。运维单位对现场设备运行状态进行监视、管理和维护，通过对系统运行日志的分析提前发现并排除可能发生的潜在故障。主要系统设备出现故障时，30分钟内响应，当现场维护工程师或节假日值班维护工程师无法排除故障时，1小时内协调专业工程师进行故障诊断及处理，2小时内排除普通故障，4小时内排除较大故障，针对重大故障及特重大故障，应在24小时内出具解决方案。针对系统发生的紧急情况及时进行响应，紧急问题应在5小时响应并出具解决方案。</w:t>
      </w:r>
    </w:p>
    <w:p w14:paraId="4A455AEB">
      <w:pPr>
        <w:pStyle w:val="3"/>
        <w:spacing w:line="360" w:lineRule="auto"/>
        <w:ind w:left="578" w:firstLine="482"/>
        <w:rPr>
          <w:rFonts w:ascii="宋体" w:hAnsi="宋体" w:eastAsia="宋体" w:cs="宋体"/>
          <w:szCs w:val="24"/>
        </w:rPr>
      </w:pPr>
      <w:bookmarkStart w:id="73" w:name="_Toc1949"/>
      <w:r>
        <w:rPr>
          <w:rFonts w:hint="eastAsia" w:ascii="宋体" w:hAnsi="宋体" w:eastAsia="宋体" w:cs="宋体"/>
          <w:szCs w:val="24"/>
        </w:rPr>
        <w:t>数据获取与处理</w:t>
      </w:r>
      <w:bookmarkEnd w:id="73"/>
    </w:p>
    <w:p w14:paraId="3E4A3CB6">
      <w:pPr>
        <w:spacing w:line="360" w:lineRule="auto"/>
        <w:ind w:firstLine="424" w:firstLineChars="177"/>
        <w:rPr>
          <w:rFonts w:ascii="宋体" w:hAnsi="宋体" w:cs="宋体"/>
          <w:sz w:val="24"/>
        </w:rPr>
      </w:pPr>
      <w:r>
        <w:rPr>
          <w:rFonts w:hint="eastAsia" w:ascii="宋体" w:hAnsi="宋体" w:cs="宋体"/>
          <w:sz w:val="24"/>
        </w:rPr>
        <w:t>3.2.1卫星接收站数据接收与处理</w:t>
      </w:r>
    </w:p>
    <w:p w14:paraId="0ED9B41D">
      <w:pPr>
        <w:spacing w:line="360" w:lineRule="auto"/>
        <w:ind w:firstLine="480" w:firstLineChars="200"/>
        <w:rPr>
          <w:rFonts w:ascii="宋体" w:hAnsi="宋体" w:cs="宋体"/>
          <w:sz w:val="24"/>
        </w:rPr>
      </w:pPr>
      <w:r>
        <w:rPr>
          <w:rFonts w:hint="eastAsia" w:ascii="宋体" w:hAnsi="宋体" w:cs="宋体"/>
          <w:sz w:val="24"/>
        </w:rPr>
        <w:t>根据用户需求，通过卫星接收站定期实时接收中低分辨率卫星遥感数据，对接收的卫星遥感数据开展分类分包、波普复原、辐射校正等数据处理工作。</w:t>
      </w:r>
    </w:p>
    <w:p w14:paraId="117DF98E">
      <w:pPr>
        <w:spacing w:line="360" w:lineRule="auto"/>
        <w:ind w:firstLine="424" w:firstLineChars="177"/>
        <w:rPr>
          <w:rFonts w:ascii="宋体" w:hAnsi="宋体" w:cs="宋体"/>
          <w:sz w:val="24"/>
        </w:rPr>
      </w:pPr>
      <w:r>
        <w:rPr>
          <w:rFonts w:hint="eastAsia" w:ascii="宋体" w:hAnsi="宋体" w:cs="宋体"/>
          <w:sz w:val="24"/>
        </w:rPr>
        <w:t>3.2.2高分辨率对地观测数据申领与处理</w:t>
      </w:r>
    </w:p>
    <w:p w14:paraId="00AF0789">
      <w:pPr>
        <w:spacing w:line="360" w:lineRule="auto"/>
        <w:ind w:firstLine="480" w:firstLineChars="200"/>
        <w:rPr>
          <w:rFonts w:ascii="宋体" w:hAnsi="宋体" w:cs="宋体"/>
          <w:sz w:val="24"/>
        </w:rPr>
      </w:pPr>
      <w:r>
        <w:rPr>
          <w:rFonts w:hint="eastAsia" w:ascii="宋体" w:hAnsi="宋体" w:cs="宋体"/>
          <w:sz w:val="24"/>
        </w:rPr>
        <w:t>根据用户需求，进行目标区域内的高分遥感影像查询，并向高分辨率对地观测系统河南数据与应用中心申领高分数据。根据申领到的高分数据，开展相应的几何精校正、影像融合、正射校正等数据处理工作。</w:t>
      </w:r>
    </w:p>
    <w:p w14:paraId="6B7899EC">
      <w:pPr>
        <w:pStyle w:val="3"/>
        <w:spacing w:line="360" w:lineRule="auto"/>
        <w:ind w:left="578" w:firstLine="482"/>
        <w:rPr>
          <w:rFonts w:ascii="宋体" w:hAnsi="宋体" w:eastAsia="宋体" w:cs="宋体"/>
          <w:szCs w:val="24"/>
        </w:rPr>
      </w:pPr>
      <w:bookmarkStart w:id="74" w:name="_Toc22873"/>
      <w:r>
        <w:rPr>
          <w:rFonts w:hint="eastAsia" w:ascii="宋体" w:hAnsi="宋体" w:eastAsia="宋体" w:cs="宋体"/>
          <w:szCs w:val="24"/>
          <w:lang w:eastAsia="zh-CN"/>
        </w:rPr>
        <w:t>遥感专题服务</w:t>
      </w:r>
      <w:bookmarkEnd w:id="74"/>
    </w:p>
    <w:p w14:paraId="57E95FE4">
      <w:pPr>
        <w:spacing w:line="360" w:lineRule="auto"/>
        <w:ind w:firstLine="424" w:firstLineChars="177"/>
        <w:rPr>
          <w:rFonts w:ascii="宋体" w:hAnsi="宋体" w:cs="宋体"/>
          <w:sz w:val="24"/>
        </w:rPr>
      </w:pPr>
      <w:r>
        <w:rPr>
          <w:rFonts w:hint="eastAsia" w:ascii="宋体" w:hAnsi="宋体" w:cs="宋体"/>
          <w:sz w:val="24"/>
        </w:rPr>
        <w:t>3.3.1异常火点卫星监测</w:t>
      </w:r>
    </w:p>
    <w:p w14:paraId="372400D2">
      <w:pPr>
        <w:spacing w:line="360" w:lineRule="auto"/>
        <w:ind w:firstLine="480" w:firstLineChars="200"/>
        <w:rPr>
          <w:rFonts w:ascii="宋体" w:hAnsi="宋体" w:cs="宋体"/>
          <w:sz w:val="24"/>
        </w:rPr>
      </w:pPr>
      <w:r>
        <w:rPr>
          <w:rFonts w:hint="eastAsia" w:ascii="宋体" w:hAnsi="宋体" w:cs="宋体"/>
          <w:sz w:val="24"/>
        </w:rPr>
        <w:t>针对河南省区域，在夏、秋秸秆禁烧期间，通过实时接收EOS/Aqua、SuomiNPP、NOAA20等卫星数据进行秸秆焚烧火点常态化监测，利用卫星遥感反演等技术进行温度异常信息的提取，叠加土地利用类型数据，获取秸秆焚烧火点位置、数目并实时推送。单轨卫星数据处理时间小于1小时。每日将实时推送的火点情况汇总并提供1次秸秆焚烧监测统计分析报告，报告中应包括包含火点的经纬度、专题图、统计表格等内容。在重点时段根据管理需求提供。</w:t>
      </w:r>
    </w:p>
    <w:p w14:paraId="2040D560">
      <w:pPr>
        <w:spacing w:line="360" w:lineRule="auto"/>
        <w:ind w:firstLine="424" w:firstLineChars="177"/>
        <w:rPr>
          <w:rFonts w:ascii="宋体" w:hAnsi="宋体" w:cs="宋体"/>
          <w:sz w:val="24"/>
        </w:rPr>
      </w:pPr>
      <w:r>
        <w:rPr>
          <w:rFonts w:hint="eastAsia" w:ascii="宋体" w:hAnsi="宋体" w:cs="宋体"/>
          <w:sz w:val="24"/>
        </w:rPr>
        <w:t>3.3.2 黄河流域生态环境遥感监测</w:t>
      </w:r>
    </w:p>
    <w:p w14:paraId="679EA99A">
      <w:pPr>
        <w:spacing w:line="360" w:lineRule="auto"/>
        <w:ind w:firstLine="480" w:firstLineChars="200"/>
        <w:rPr>
          <w:rFonts w:ascii="宋体" w:hAnsi="宋体" w:cs="宋体"/>
          <w:sz w:val="24"/>
        </w:rPr>
      </w:pPr>
      <w:r>
        <w:rPr>
          <w:rFonts w:hint="eastAsia" w:ascii="宋体" w:hAnsi="宋体" w:cs="宋体"/>
          <w:sz w:val="24"/>
        </w:rPr>
        <w:t>对黄河流域河南段水体分布、水域面积变化进行遥感监测，实现快速、准确获取大范围区域水域的分布、面积及其变化信息。对黄河流域河南段的植被覆盖度进行遥感估算，建立流域植被覆盖度提取业务流程。每年上半年提供黄河流域河南段的水体分布专题报告，下半年提供黄河流域河南段的植被覆盖专题报告。</w:t>
      </w:r>
    </w:p>
    <w:p w14:paraId="52D78E0B">
      <w:pPr>
        <w:spacing w:line="360" w:lineRule="auto"/>
        <w:ind w:firstLine="424" w:firstLineChars="177"/>
        <w:rPr>
          <w:rFonts w:ascii="宋体" w:hAnsi="宋体" w:cs="宋体"/>
          <w:sz w:val="24"/>
        </w:rPr>
      </w:pPr>
      <w:r>
        <w:rPr>
          <w:rFonts w:hint="eastAsia" w:ascii="宋体" w:hAnsi="宋体" w:cs="宋体"/>
          <w:sz w:val="24"/>
        </w:rPr>
        <w:t>3.3.3饮用水源地风险源监测</w:t>
      </w:r>
    </w:p>
    <w:p w14:paraId="616E7AB6">
      <w:pPr>
        <w:spacing w:line="360" w:lineRule="auto"/>
        <w:ind w:firstLine="480" w:firstLineChars="200"/>
        <w:rPr>
          <w:rFonts w:ascii="宋体" w:hAnsi="宋体" w:cs="宋体"/>
          <w:sz w:val="24"/>
        </w:rPr>
      </w:pPr>
      <w:r>
        <w:rPr>
          <w:rFonts w:hint="eastAsia" w:ascii="宋体" w:hAnsi="宋体" w:cs="宋体"/>
          <w:sz w:val="24"/>
        </w:rPr>
        <w:t>基于分辨率优于（含）2米的遥感数据，按照集中式地表水饮用水水源地风险源类别，对风险源目标进行遥感解译识别并形成饮用水水源地疑似风险源清单。其中工厂园区、养殖坑塘、房屋建筑三种类型无论面积大小全部提取。每年提供黄河流域地表水（以用户提供的目标范围为准）和丹江口水库（河南辖区）风险源卫星遥感监测报告，报告中应包含水源地专题图、风险源详细信息（风险源经纬度、类别、行政区划等信息）及统计表格等内容。</w:t>
      </w:r>
    </w:p>
    <w:p w14:paraId="41647FCE">
      <w:pPr>
        <w:spacing w:line="360" w:lineRule="auto"/>
        <w:ind w:firstLine="480" w:firstLineChars="200"/>
        <w:rPr>
          <w:rFonts w:ascii="宋体" w:hAnsi="宋体" w:cs="宋体"/>
          <w:sz w:val="24"/>
        </w:rPr>
      </w:pPr>
      <w:r>
        <w:rPr>
          <w:rFonts w:hint="eastAsia" w:ascii="宋体" w:hAnsi="宋体" w:cs="宋体"/>
          <w:sz w:val="24"/>
        </w:rPr>
        <w:t>3.3.4土地利用类型监测</w:t>
      </w:r>
    </w:p>
    <w:p w14:paraId="77710BBE">
      <w:pPr>
        <w:spacing w:line="360" w:lineRule="auto"/>
        <w:ind w:firstLine="480" w:firstLineChars="200"/>
        <w:rPr>
          <w:rFonts w:ascii="宋体" w:hAnsi="宋体" w:cs="宋体"/>
          <w:sz w:val="24"/>
        </w:rPr>
      </w:pPr>
      <w:r>
        <w:rPr>
          <w:rFonts w:hint="eastAsia" w:ascii="宋体" w:hAnsi="宋体" w:cs="宋体"/>
          <w:sz w:val="24"/>
        </w:rPr>
        <w:t>依据土地利用类型分类体系构建目标区域的高质量样本集，利用深度学习、人工智能等技术，基于分辨率优于（含）10米的影像数据对丹江口水库（河南辖区）的土地利用类型进行提取。每年提供一次丹江口水库（河南辖区）土地利用类型遥感监测报告，报告中应包括文字、专题图及统计表格等形式。</w:t>
      </w:r>
    </w:p>
    <w:p w14:paraId="36A9001B">
      <w:pPr>
        <w:spacing w:line="360" w:lineRule="auto"/>
        <w:ind w:firstLine="480" w:firstLineChars="200"/>
        <w:rPr>
          <w:rFonts w:ascii="宋体" w:hAnsi="宋体" w:cs="宋体"/>
          <w:sz w:val="24"/>
        </w:rPr>
      </w:pPr>
      <w:r>
        <w:rPr>
          <w:rFonts w:hint="eastAsia" w:ascii="宋体" w:hAnsi="宋体" w:cs="宋体"/>
          <w:sz w:val="24"/>
        </w:rPr>
        <w:t>3. 3.5水库水华监测</w:t>
      </w:r>
    </w:p>
    <w:p w14:paraId="63A9E953">
      <w:pPr>
        <w:spacing w:line="360" w:lineRule="auto"/>
        <w:ind w:firstLine="480" w:firstLineChars="200"/>
        <w:rPr>
          <w:rFonts w:ascii="宋体" w:hAnsi="宋体" w:cs="宋体"/>
          <w:sz w:val="24"/>
        </w:rPr>
      </w:pPr>
      <w:r>
        <w:rPr>
          <w:rFonts w:hint="eastAsia" w:ascii="宋体" w:hAnsi="宋体" w:cs="宋体"/>
          <w:sz w:val="24"/>
        </w:rPr>
        <w:t>充分发挥卫星遥感大范围、连续性、可回溯的技术优势和特点，基于国内外分辨率优于（含）30米的卫星遥感数据，对丹江口水库开展水华参数遥感反演。通过监测获取水华分布面积、位置、水华面积比例及水华程度级别，每季度提供一次丹江口水库（河南辖区）水华遥感监测与风险评价报告。</w:t>
      </w:r>
    </w:p>
    <w:p w14:paraId="759DAE0C">
      <w:pPr>
        <w:spacing w:line="360" w:lineRule="auto"/>
        <w:ind w:firstLine="480" w:firstLineChars="200"/>
        <w:rPr>
          <w:rFonts w:ascii="宋体" w:hAnsi="宋体" w:cs="宋体"/>
          <w:sz w:val="24"/>
        </w:rPr>
      </w:pPr>
      <w:r>
        <w:rPr>
          <w:rFonts w:hint="eastAsia" w:ascii="宋体" w:hAnsi="宋体" w:cs="宋体"/>
          <w:sz w:val="24"/>
        </w:rPr>
        <w:t>3. 3.6污染地块监测</w:t>
      </w:r>
    </w:p>
    <w:p w14:paraId="2AC13BF5">
      <w:pPr>
        <w:spacing w:line="360" w:lineRule="auto"/>
        <w:ind w:firstLine="480" w:firstLineChars="200"/>
        <w:rPr>
          <w:rFonts w:ascii="宋体" w:hAnsi="宋体" w:cs="宋体"/>
          <w:sz w:val="24"/>
        </w:rPr>
      </w:pPr>
      <w:r>
        <w:rPr>
          <w:rFonts w:hint="eastAsia" w:ascii="宋体" w:hAnsi="宋体" w:cs="宋体"/>
          <w:sz w:val="24"/>
        </w:rPr>
        <w:t>利用最新高分辨率卫星遥感影像，通过遥感解译监测污染地块的动态变化，解译对象以用户实际需求为准，逐一排查和判读变化地块，并对其进行标记。每季度提供一次河南省污染地块土地利用变化情况的遥感监测统计分析报告。报告中应包含专题图、变化地块统计信息表（地块名称、地块代码、行政区代码、行政区名称、中心经纬度、变化类型、前后两期高分影像对比图等）。</w:t>
      </w:r>
    </w:p>
    <w:p w14:paraId="620CD3B3">
      <w:pPr>
        <w:spacing w:line="360" w:lineRule="auto"/>
        <w:ind w:firstLine="480" w:firstLineChars="200"/>
        <w:rPr>
          <w:rFonts w:ascii="宋体" w:hAnsi="宋体" w:cs="宋体"/>
          <w:sz w:val="24"/>
        </w:rPr>
      </w:pPr>
      <w:r>
        <w:rPr>
          <w:rFonts w:hint="eastAsia" w:ascii="宋体" w:hAnsi="宋体" w:cs="宋体"/>
          <w:sz w:val="24"/>
        </w:rPr>
        <w:t>3. 3.7夏季NO2和O3监测</w:t>
      </w:r>
    </w:p>
    <w:p w14:paraId="730B2F93">
      <w:pPr>
        <w:spacing w:line="360" w:lineRule="auto"/>
        <w:ind w:firstLine="480" w:firstLineChars="200"/>
        <w:rPr>
          <w:rFonts w:ascii="宋体" w:hAnsi="宋体" w:cs="宋体"/>
          <w:sz w:val="24"/>
        </w:rPr>
      </w:pPr>
      <w:r>
        <w:rPr>
          <w:rFonts w:hint="eastAsia" w:ascii="宋体" w:hAnsi="宋体" w:cs="宋体"/>
          <w:sz w:val="24"/>
        </w:rPr>
        <w:t>在NO2、O3柱浓度遥感产品的基础上，结合大气化学模式、气象资料、人口路网等基础地理信息数据，通过O3及其NO2近地面浓度反演，形成河南省全域1km×1km 的网格数据产品。根据实际需求设定NO2、O3浓度阈值，对超过阈值的网格区域进行标记。夏季针对河南省区域提供全省O3近地面浓度分布监测专题图；针对O3近地面浓度较高的城市，按需提供O3近地面浓度分布监测专题图和NO2近地面浓度分布监测专题图。</w:t>
      </w:r>
    </w:p>
    <w:p w14:paraId="1479CAB6">
      <w:pPr>
        <w:spacing w:line="360" w:lineRule="auto"/>
        <w:ind w:firstLine="480" w:firstLineChars="200"/>
        <w:rPr>
          <w:rFonts w:ascii="宋体" w:hAnsi="宋体" w:cs="宋体"/>
          <w:sz w:val="24"/>
        </w:rPr>
      </w:pPr>
      <w:r>
        <w:rPr>
          <w:rFonts w:hint="eastAsia" w:ascii="宋体" w:hAnsi="宋体" w:cs="宋体"/>
          <w:sz w:val="24"/>
        </w:rPr>
        <w:t>卫星遥感专题产品包括但不限于上述产品成果，上述产品成果服务于采购单位，未经采购单位允许，不得对采购单位以外的其他单位和渠道发布。根据环境管理需求，投标单位应完成采购单位要求的其他卫星遥感监测结果。</w:t>
      </w:r>
    </w:p>
    <w:p w14:paraId="6AD63D57">
      <w:pPr>
        <w:pStyle w:val="2"/>
        <w:spacing w:line="360" w:lineRule="auto"/>
        <w:rPr>
          <w:rFonts w:ascii="宋体" w:hAnsi="宋体" w:eastAsia="宋体" w:cs="宋体"/>
          <w:sz w:val="24"/>
          <w:szCs w:val="24"/>
        </w:rPr>
      </w:pPr>
      <w:bookmarkStart w:id="75" w:name="_Toc27948"/>
      <w:bookmarkStart w:id="76" w:name="_Toc29928"/>
      <w:bookmarkStart w:id="77" w:name="_Toc29554"/>
      <w:r>
        <w:rPr>
          <w:rFonts w:hint="eastAsia" w:ascii="宋体" w:hAnsi="宋体" w:eastAsia="宋体" w:cs="宋体"/>
          <w:sz w:val="24"/>
          <w:szCs w:val="24"/>
        </w:rPr>
        <w:t>运维考核办法</w:t>
      </w:r>
      <w:bookmarkEnd w:id="75"/>
    </w:p>
    <w:bookmarkEnd w:id="76"/>
    <w:bookmarkEnd w:id="77"/>
    <w:p w14:paraId="5EEE096F">
      <w:pPr>
        <w:spacing w:line="360" w:lineRule="auto"/>
        <w:ind w:firstLine="480" w:firstLineChars="200"/>
        <w:rPr>
          <w:rFonts w:ascii="宋体" w:hAnsi="宋体" w:cs="宋体"/>
          <w:sz w:val="24"/>
        </w:rPr>
      </w:pPr>
      <w:r>
        <w:rPr>
          <w:rFonts w:hint="eastAsia" w:ascii="宋体" w:hAnsi="宋体" w:cs="宋体"/>
          <w:sz w:val="24"/>
        </w:rPr>
        <w:t>在合同期间，用户将按照招标文件、合同书内容之规定对运维单位进行管理和考核，对达不到运维要求或违规操作的，进行通报批评或者扣分处理，情节严重的终止运维合同、取消运维资格。</w:t>
      </w:r>
    </w:p>
    <w:p w14:paraId="0772D238">
      <w:pPr>
        <w:spacing w:line="360" w:lineRule="auto"/>
        <w:ind w:firstLine="480" w:firstLineChars="200"/>
        <w:rPr>
          <w:rFonts w:ascii="宋体" w:hAnsi="宋体" w:cs="宋体"/>
          <w:b/>
          <w:sz w:val="24"/>
        </w:rPr>
      </w:pPr>
      <w:r>
        <w:rPr>
          <w:rFonts w:hint="eastAsia" w:ascii="宋体" w:hAnsi="宋体" w:cs="宋体"/>
          <w:sz w:val="24"/>
        </w:rPr>
        <w:t>每</w:t>
      </w:r>
      <w:r>
        <w:rPr>
          <w:rFonts w:hint="eastAsia" w:ascii="宋体" w:hAnsi="宋体" w:cs="宋体"/>
          <w:sz w:val="24"/>
          <w:lang w:eastAsia="zh-CN"/>
        </w:rPr>
        <w:t>三个月</w:t>
      </w:r>
      <w:r>
        <w:rPr>
          <w:rFonts w:hint="eastAsia" w:ascii="宋体" w:hAnsi="宋体" w:cs="宋体"/>
          <w:sz w:val="24"/>
        </w:rPr>
        <w:t>由用户对运维单位提供的数据和运维服务进行考核。</w:t>
      </w:r>
      <w:r>
        <w:rPr>
          <w:rFonts w:ascii="Times New Roman" w:hAnsi="Times New Roman" w:cs="Times New Roman"/>
        </w:rPr>
        <w:t>考核</w:t>
      </w:r>
      <w:r>
        <w:rPr>
          <w:rFonts w:hint="eastAsia" w:ascii="Times New Roman" w:hAnsi="Times New Roman" w:cs="Times New Roman"/>
          <w:lang w:eastAsia="zh-CN"/>
        </w:rPr>
        <w:t>依据《河南省空天地一体化环境信息监控系统（一期）数据和运维服务考核细则》进行计分评定，</w:t>
      </w:r>
      <w:r>
        <w:rPr>
          <w:rFonts w:hint="eastAsia" w:ascii="宋体" w:hAnsi="宋体" w:cs="宋体"/>
          <w:sz w:val="24"/>
        </w:rPr>
        <w:t>考核分值95分以上（含95分）时，用户向运维单位支付合同金额的</w:t>
      </w:r>
      <w:r>
        <w:rPr>
          <w:rFonts w:hint="eastAsia" w:ascii="宋体" w:hAnsi="宋体" w:cs="宋体"/>
          <w:sz w:val="24"/>
          <w:lang w:val="en-US" w:eastAsia="zh-CN"/>
        </w:rPr>
        <w:t>25</w:t>
      </w:r>
      <w:r>
        <w:rPr>
          <w:rFonts w:hint="eastAsia" w:ascii="宋体" w:hAnsi="宋体" w:cs="宋体"/>
          <w:sz w:val="24"/>
        </w:rPr>
        <w:t>%。考核分值低于95分时，每低1分（四舍五入），用户扣减数据和运维服务费用1万元。</w:t>
      </w:r>
    </w:p>
    <w:p w14:paraId="2420AA00">
      <w:pPr>
        <w:spacing w:line="240" w:lineRule="auto"/>
        <w:ind w:firstLine="0" w:firstLineChars="0"/>
      </w:pPr>
      <w:r>
        <w:br w:type="page"/>
      </w:r>
    </w:p>
    <w:p w14:paraId="7BC20F76">
      <w:pPr>
        <w:snapToGrid w:val="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河南省空天地一体化环境信息监控系统（一期）</w:t>
      </w:r>
    </w:p>
    <w:p w14:paraId="726E7BD1">
      <w:pPr>
        <w:snapToGrid w:val="0"/>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数据和运维服务考核细则</w:t>
      </w:r>
    </w:p>
    <w:p w14:paraId="498E1AC6">
      <w:pPr>
        <w:keepNext/>
        <w:keepLines/>
        <w:ind w:firstLine="640" w:firstLineChars="200"/>
        <w:outlineLvl w:val="0"/>
        <w:rPr>
          <w:rFonts w:ascii="黑体" w:hAnsi="黑体" w:eastAsia="黑体" w:cs="华文中宋"/>
          <w:kern w:val="44"/>
          <w:sz w:val="32"/>
          <w:szCs w:val="32"/>
        </w:rPr>
      </w:pPr>
    </w:p>
    <w:p w14:paraId="0BCC4D17">
      <w:pPr>
        <w:keepNext/>
        <w:keepLines/>
        <w:ind w:firstLine="640" w:firstLineChars="200"/>
        <w:outlineLvl w:val="0"/>
        <w:rPr>
          <w:rFonts w:ascii="黑体" w:hAnsi="黑体" w:eastAsia="黑体" w:cs="华文中宋"/>
          <w:kern w:val="44"/>
          <w:sz w:val="32"/>
          <w:szCs w:val="32"/>
        </w:rPr>
      </w:pPr>
      <w:r>
        <w:rPr>
          <w:rFonts w:hint="eastAsia" w:ascii="黑体" w:hAnsi="黑体" w:eastAsia="黑体" w:cs="华文中宋"/>
          <w:kern w:val="44"/>
          <w:sz w:val="32"/>
          <w:szCs w:val="32"/>
        </w:rPr>
        <w:t>一、目的</w:t>
      </w:r>
    </w:p>
    <w:p w14:paraId="2EAACCB9">
      <w:pPr>
        <w:ind w:firstLine="640" w:firstLineChars="200"/>
        <w:rPr>
          <w:rFonts w:ascii="仿宋" w:hAnsi="仿宋" w:eastAsia="仿宋" w:cs="仿宋"/>
          <w:sz w:val="32"/>
          <w:szCs w:val="32"/>
        </w:rPr>
      </w:pPr>
      <w:r>
        <w:rPr>
          <w:rFonts w:hint="eastAsia" w:ascii="仿宋" w:hAnsi="仿宋" w:eastAsia="仿宋" w:cs="仿宋"/>
          <w:sz w:val="32"/>
          <w:szCs w:val="32"/>
        </w:rPr>
        <w:t>为规范河南省空天地一体化环境信息监控系统（一期）数据和运维服务（以下简称“数据和运维服务”）的考核工作，明确考核内容、考核方法、考核细则，客观、公正、合理地对数据和运维服务进行考核，制定本考核细则。</w:t>
      </w:r>
    </w:p>
    <w:p w14:paraId="4DDAA5D5">
      <w:pPr>
        <w:keepNext/>
        <w:keepLines/>
        <w:ind w:firstLine="640" w:firstLineChars="200"/>
        <w:outlineLvl w:val="0"/>
        <w:rPr>
          <w:rFonts w:ascii="黑体" w:hAnsi="黑体" w:eastAsia="黑体" w:cs="华文中宋"/>
          <w:kern w:val="44"/>
          <w:sz w:val="32"/>
          <w:szCs w:val="32"/>
        </w:rPr>
      </w:pPr>
      <w:r>
        <w:rPr>
          <w:rFonts w:hint="eastAsia" w:ascii="黑体" w:hAnsi="黑体" w:eastAsia="黑体" w:cs="华文中宋"/>
          <w:kern w:val="44"/>
          <w:sz w:val="32"/>
          <w:szCs w:val="32"/>
        </w:rPr>
        <w:t>二、考核对象</w:t>
      </w:r>
    </w:p>
    <w:p w14:paraId="00C1E4F8">
      <w:pPr>
        <w:ind w:firstLine="640" w:firstLineChars="200"/>
        <w:jc w:val="left"/>
        <w:rPr>
          <w:rFonts w:ascii="仿宋" w:hAnsi="仿宋" w:eastAsia="仿宋" w:cs="Times New Roman"/>
          <w:sz w:val="32"/>
          <w:szCs w:val="32"/>
        </w:rPr>
      </w:pPr>
      <w:r>
        <w:rPr>
          <w:rFonts w:hint="eastAsia" w:ascii="仿宋" w:hAnsi="仿宋" w:eastAsia="仿宋" w:cs="仿宋"/>
          <w:sz w:val="32"/>
          <w:szCs w:val="32"/>
        </w:rPr>
        <w:t>数据和运维服务单位。</w:t>
      </w:r>
    </w:p>
    <w:p w14:paraId="090E0D88">
      <w:pPr>
        <w:keepNext/>
        <w:keepLines/>
        <w:ind w:firstLine="640" w:firstLineChars="200"/>
        <w:outlineLvl w:val="0"/>
        <w:rPr>
          <w:rFonts w:ascii="黑体" w:hAnsi="黑体" w:eastAsia="黑体" w:cs="华文中宋"/>
          <w:kern w:val="44"/>
          <w:sz w:val="32"/>
          <w:szCs w:val="32"/>
        </w:rPr>
      </w:pPr>
      <w:r>
        <w:rPr>
          <w:rFonts w:hint="eastAsia" w:ascii="黑体" w:hAnsi="黑体" w:eastAsia="黑体" w:cs="华文中宋"/>
          <w:kern w:val="44"/>
          <w:sz w:val="32"/>
          <w:szCs w:val="32"/>
        </w:rPr>
        <w:t>三、考核内容</w:t>
      </w:r>
    </w:p>
    <w:p w14:paraId="578F1796">
      <w:pPr>
        <w:ind w:firstLine="640" w:firstLineChars="200"/>
        <w:rPr>
          <w:rFonts w:ascii="仿宋" w:hAnsi="仿宋" w:eastAsia="仿宋" w:cs="仿宋"/>
          <w:sz w:val="32"/>
          <w:szCs w:val="32"/>
        </w:rPr>
      </w:pPr>
      <w:r>
        <w:rPr>
          <w:rFonts w:hint="eastAsia" w:ascii="仿宋" w:hAnsi="仿宋" w:eastAsia="仿宋" w:cs="仿宋"/>
          <w:sz w:val="32"/>
          <w:szCs w:val="32"/>
        </w:rPr>
        <w:t>河南省生态环境监测和安全中心监控部对数据和运维服务进行考核，考核内容包括运维巡检、故障排除、运维保障、数据服务等四个部分。</w:t>
      </w:r>
    </w:p>
    <w:p w14:paraId="110CB5D7">
      <w:pPr>
        <w:ind w:firstLine="643" w:firstLineChars="200"/>
        <w:rPr>
          <w:rFonts w:ascii="楷体" w:hAnsi="楷体" w:eastAsia="楷体" w:cs="仿宋"/>
          <w:b/>
          <w:sz w:val="32"/>
          <w:szCs w:val="32"/>
        </w:rPr>
      </w:pPr>
      <w:r>
        <w:rPr>
          <w:rFonts w:hint="eastAsia" w:ascii="楷体" w:hAnsi="楷体" w:eastAsia="楷体" w:cs="仿宋"/>
          <w:b/>
          <w:sz w:val="32"/>
          <w:szCs w:val="32"/>
        </w:rPr>
        <w:t>（一）运维巡检</w:t>
      </w:r>
    </w:p>
    <w:p w14:paraId="0CD5B5C9">
      <w:pPr>
        <w:ind w:firstLine="640" w:firstLineChars="200"/>
        <w:rPr>
          <w:rFonts w:ascii="仿宋" w:hAnsi="仿宋" w:eastAsia="仿宋" w:cs="仿宋"/>
          <w:sz w:val="32"/>
          <w:szCs w:val="32"/>
        </w:rPr>
      </w:pPr>
      <w:r>
        <w:rPr>
          <w:rFonts w:hint="eastAsia" w:ascii="仿宋" w:hAnsi="仿宋" w:eastAsia="仿宋" w:cs="仿宋"/>
          <w:sz w:val="32"/>
          <w:szCs w:val="32"/>
        </w:rPr>
        <w:t>数据和运维服务单位每月对卫星接收站、数据处理设备、环境遥感信息服务平台的运行状况等进行巡检，从而保证系统的性能、安全、稳定性都处于正常状态。</w:t>
      </w:r>
    </w:p>
    <w:p w14:paraId="3A0D605D">
      <w:pPr>
        <w:ind w:firstLine="643" w:firstLineChars="200"/>
        <w:rPr>
          <w:rFonts w:ascii="楷体" w:hAnsi="楷体" w:eastAsia="楷体" w:cs="仿宋"/>
          <w:b/>
          <w:sz w:val="32"/>
          <w:szCs w:val="32"/>
        </w:rPr>
      </w:pPr>
      <w:r>
        <w:rPr>
          <w:rFonts w:hint="eastAsia" w:ascii="楷体" w:hAnsi="楷体" w:eastAsia="楷体" w:cs="仿宋"/>
          <w:b/>
          <w:sz w:val="32"/>
          <w:szCs w:val="32"/>
        </w:rPr>
        <w:t>（二）故障排除</w:t>
      </w:r>
    </w:p>
    <w:p w14:paraId="42987714">
      <w:pPr>
        <w:ind w:firstLine="640" w:firstLineChars="200"/>
        <w:rPr>
          <w:rFonts w:ascii="仿宋" w:hAnsi="仿宋" w:eastAsia="仿宋" w:cs="仿宋"/>
          <w:sz w:val="32"/>
          <w:szCs w:val="32"/>
        </w:rPr>
      </w:pPr>
      <w:r>
        <w:rPr>
          <w:rFonts w:hint="eastAsia" w:ascii="仿宋" w:hAnsi="仿宋" w:eastAsia="仿宋" w:cs="仿宋"/>
          <w:sz w:val="32"/>
          <w:szCs w:val="32"/>
        </w:rPr>
        <w:t>卫星接收站设备、数据处理设备、数据处理软件等出现异常情况后，数据和运维服务单位应及时排除故障并恢复至正常状态，故障包括但不仅限于接收天线故障、网络故障、处理设备故障、处理软件故障等。因自然灾害等特殊情况造成系统故障的，数据和运维服务单位应及时向监控部报告，阐明故障具体原因，经核实确认后不计入故障考核范围。</w:t>
      </w:r>
    </w:p>
    <w:p w14:paraId="48001355">
      <w:pPr>
        <w:ind w:firstLine="643" w:firstLineChars="200"/>
        <w:rPr>
          <w:rFonts w:ascii="楷体" w:hAnsi="楷体" w:eastAsia="楷体" w:cs="仿宋"/>
          <w:b/>
          <w:sz w:val="32"/>
          <w:szCs w:val="32"/>
        </w:rPr>
      </w:pPr>
      <w:r>
        <w:rPr>
          <w:rFonts w:hint="eastAsia" w:ascii="楷体" w:hAnsi="楷体" w:eastAsia="楷体" w:cs="仿宋"/>
          <w:b/>
          <w:sz w:val="32"/>
          <w:szCs w:val="32"/>
        </w:rPr>
        <w:t>（三）运维保障</w:t>
      </w:r>
    </w:p>
    <w:p w14:paraId="2DD845D3">
      <w:pPr>
        <w:ind w:firstLine="640" w:firstLineChars="200"/>
        <w:rPr>
          <w:rFonts w:ascii="仿宋" w:hAnsi="仿宋" w:eastAsia="仿宋" w:cs="仿宋"/>
          <w:sz w:val="32"/>
          <w:szCs w:val="32"/>
        </w:rPr>
      </w:pPr>
      <w:r>
        <w:rPr>
          <w:rFonts w:hint="eastAsia" w:ascii="仿宋" w:hAnsi="仿宋" w:eastAsia="仿宋" w:cs="仿宋"/>
          <w:sz w:val="32"/>
          <w:szCs w:val="32"/>
        </w:rPr>
        <w:t>运维保障是指数据和运维服务单位为确保卫星遥感系统正常运行和提供可靠的数据服务，在办公场所、运行管理支撑、人员配备等方面提供的保障条件。</w:t>
      </w:r>
    </w:p>
    <w:p w14:paraId="358838EA">
      <w:pPr>
        <w:ind w:firstLine="643" w:firstLineChars="200"/>
        <w:rPr>
          <w:rFonts w:ascii="楷体" w:hAnsi="楷体" w:eastAsia="楷体" w:cs="仿宋"/>
          <w:b/>
          <w:sz w:val="32"/>
          <w:szCs w:val="32"/>
        </w:rPr>
      </w:pPr>
      <w:r>
        <w:rPr>
          <w:rFonts w:hint="eastAsia" w:ascii="楷体" w:hAnsi="楷体" w:eastAsia="楷体" w:cs="仿宋"/>
          <w:b/>
          <w:sz w:val="32"/>
          <w:szCs w:val="32"/>
        </w:rPr>
        <w:t>（四）生态环境遥感监测数据服务</w:t>
      </w:r>
    </w:p>
    <w:p w14:paraId="1CC490C0">
      <w:pPr>
        <w:ind w:firstLine="646" w:firstLineChars="202"/>
        <w:rPr>
          <w:rFonts w:ascii="仿宋" w:hAnsi="仿宋" w:eastAsia="仿宋" w:cs="仿宋"/>
          <w:sz w:val="32"/>
          <w:szCs w:val="32"/>
        </w:rPr>
      </w:pPr>
      <w:r>
        <w:rPr>
          <w:rFonts w:hint="eastAsia" w:ascii="仿宋" w:hAnsi="仿宋" w:eastAsia="仿宋" w:cs="仿宋"/>
          <w:sz w:val="32"/>
          <w:szCs w:val="32"/>
        </w:rPr>
        <w:t>数据服务是指数据和运维服务单位通过卫星接收站接收中低分辨率卫星数据，从高分辨率对地观测系统河南数据与应用中心申领高分辨率卫星数据，对数据进行相应处理后，按要求提供秸秆焚烧监测统计分析报告、饮用水源地风险源卫星遥感监测统计分析报告、</w:t>
      </w:r>
      <w:r>
        <w:rPr>
          <w:rFonts w:hint="eastAsia" w:ascii="Times New Roman" w:hAnsi="Times New Roman" w:eastAsia="仿宋_GB2312" w:cs="Times New Roman"/>
          <w:sz w:val="32"/>
          <w:szCs w:val="32"/>
        </w:rPr>
        <w:t>河南省污染地块</w:t>
      </w:r>
      <w:r>
        <w:rPr>
          <w:rFonts w:ascii="Times New Roman" w:hAnsi="Times New Roman" w:eastAsia="仿宋_GB2312" w:cs="Times New Roman"/>
          <w:sz w:val="32"/>
          <w:szCs w:val="32"/>
        </w:rPr>
        <w:t>土地利用变化情况</w:t>
      </w:r>
      <w:r>
        <w:rPr>
          <w:rFonts w:hint="eastAsia" w:ascii="Times New Roman" w:hAnsi="Times New Roman" w:eastAsia="仿宋_GB2312" w:cs="Times New Roman"/>
          <w:sz w:val="32"/>
          <w:szCs w:val="32"/>
        </w:rPr>
        <w:t>报告等</w:t>
      </w:r>
      <w:r>
        <w:rPr>
          <w:rFonts w:hint="eastAsia" w:ascii="仿宋" w:hAnsi="仿宋" w:eastAsia="仿宋" w:cs="仿宋"/>
          <w:sz w:val="32"/>
          <w:szCs w:val="32"/>
        </w:rPr>
        <w:t>。</w:t>
      </w:r>
    </w:p>
    <w:p w14:paraId="183D7B68">
      <w:pPr>
        <w:keepNext/>
        <w:keepLines/>
        <w:ind w:firstLine="640" w:firstLineChars="200"/>
        <w:outlineLvl w:val="0"/>
        <w:rPr>
          <w:rFonts w:ascii="黑体" w:hAnsi="黑体" w:eastAsia="黑体" w:cs="华文中宋"/>
          <w:kern w:val="44"/>
          <w:sz w:val="32"/>
          <w:szCs w:val="32"/>
        </w:rPr>
      </w:pPr>
      <w:r>
        <w:rPr>
          <w:rFonts w:hint="eastAsia" w:ascii="黑体" w:hAnsi="黑体" w:eastAsia="黑体" w:cs="华文中宋"/>
          <w:kern w:val="44"/>
          <w:sz w:val="32"/>
          <w:szCs w:val="32"/>
        </w:rPr>
        <w:t>四、考核方法</w:t>
      </w:r>
    </w:p>
    <w:p w14:paraId="1CAE0A7E">
      <w:pPr>
        <w:ind w:firstLine="643" w:firstLineChars="200"/>
        <w:rPr>
          <w:rFonts w:ascii="楷体" w:hAnsi="楷体" w:eastAsia="楷体" w:cs="仿宋"/>
          <w:b/>
          <w:sz w:val="32"/>
          <w:szCs w:val="32"/>
        </w:rPr>
      </w:pPr>
      <w:r>
        <w:rPr>
          <w:rFonts w:hint="eastAsia" w:ascii="楷体" w:hAnsi="楷体" w:eastAsia="楷体" w:cs="仿宋"/>
          <w:b/>
          <w:sz w:val="32"/>
          <w:szCs w:val="32"/>
        </w:rPr>
        <w:t>（一）考核周期</w:t>
      </w:r>
    </w:p>
    <w:p w14:paraId="60172301">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数据和运维服务期</w:t>
      </w:r>
      <w:r>
        <w:rPr>
          <w:rFonts w:hint="eastAsia" w:ascii="仿宋" w:hAnsi="仿宋" w:eastAsia="仿宋" w:cs="仿宋"/>
          <w:sz w:val="32"/>
          <w:szCs w:val="32"/>
          <w:highlight w:val="none"/>
          <w:lang w:eastAsia="zh-CN"/>
        </w:rPr>
        <w:t>每</w:t>
      </w:r>
      <w:r>
        <w:rPr>
          <w:rFonts w:hint="eastAsia" w:ascii="仿宋" w:hAnsi="仿宋" w:eastAsia="仿宋" w:cs="仿宋"/>
          <w:sz w:val="32"/>
          <w:szCs w:val="32"/>
          <w:highlight w:val="none"/>
        </w:rPr>
        <w:t>满</w:t>
      </w:r>
      <w:r>
        <w:rPr>
          <w:rFonts w:hint="eastAsia" w:ascii="仿宋" w:hAnsi="仿宋" w:eastAsia="仿宋" w:cs="仿宋"/>
          <w:sz w:val="32"/>
          <w:szCs w:val="32"/>
          <w:highlight w:val="none"/>
          <w:lang w:eastAsia="zh-CN"/>
        </w:rPr>
        <w:t>三个月进行一次考核</w:t>
      </w:r>
      <w:r>
        <w:rPr>
          <w:rFonts w:hint="eastAsia" w:ascii="仿宋" w:hAnsi="仿宋" w:eastAsia="仿宋" w:cs="仿宋"/>
          <w:sz w:val="32"/>
          <w:szCs w:val="32"/>
          <w:highlight w:val="none"/>
        </w:rPr>
        <w:t>。</w:t>
      </w:r>
    </w:p>
    <w:p w14:paraId="652C469F">
      <w:pPr>
        <w:ind w:firstLine="643" w:firstLineChars="200"/>
        <w:rPr>
          <w:rFonts w:ascii="楷体" w:hAnsi="楷体" w:eastAsia="楷体" w:cs="仿宋"/>
          <w:b/>
          <w:sz w:val="32"/>
          <w:szCs w:val="32"/>
        </w:rPr>
      </w:pPr>
      <w:r>
        <w:rPr>
          <w:rFonts w:hint="eastAsia" w:ascii="楷体" w:hAnsi="楷体" w:eastAsia="楷体" w:cs="仿宋"/>
          <w:b/>
          <w:sz w:val="32"/>
          <w:szCs w:val="32"/>
        </w:rPr>
        <w:t>（二）计分方式</w:t>
      </w:r>
    </w:p>
    <w:p w14:paraId="650BC503">
      <w:pPr>
        <w:ind w:firstLine="640" w:firstLineChars="200"/>
        <w:rPr>
          <w:rFonts w:ascii="仿宋" w:hAnsi="仿宋" w:eastAsia="仿宋" w:cs="仿宋"/>
          <w:sz w:val="32"/>
          <w:szCs w:val="32"/>
        </w:rPr>
      </w:pPr>
      <w:r>
        <w:rPr>
          <w:rFonts w:hint="eastAsia" w:ascii="仿宋" w:hAnsi="仿宋" w:eastAsia="仿宋" w:cs="仿宋"/>
          <w:sz w:val="32"/>
          <w:szCs w:val="32"/>
        </w:rPr>
        <w:t>考核采用百分制，保留一位小数，按考核细则逐项评定。</w:t>
      </w:r>
    </w:p>
    <w:p w14:paraId="2F230C58">
      <w:pPr>
        <w:ind w:firstLine="643" w:firstLineChars="200"/>
        <w:rPr>
          <w:rFonts w:ascii="楷体" w:hAnsi="楷体" w:eastAsia="楷体" w:cs="仿宋"/>
          <w:b/>
          <w:sz w:val="32"/>
          <w:szCs w:val="32"/>
        </w:rPr>
      </w:pPr>
      <w:r>
        <w:rPr>
          <w:rFonts w:hint="eastAsia" w:ascii="楷体" w:hAnsi="楷体" w:eastAsia="楷体" w:cs="仿宋"/>
          <w:b/>
          <w:sz w:val="32"/>
          <w:szCs w:val="32"/>
        </w:rPr>
        <w:t>（三）考核流程</w:t>
      </w:r>
    </w:p>
    <w:p w14:paraId="205C93EA">
      <w:pPr>
        <w:ind w:firstLine="640" w:firstLineChars="200"/>
        <w:rPr>
          <w:rFonts w:ascii="仿宋" w:hAnsi="仿宋" w:eastAsia="仿宋" w:cs="仿宋"/>
          <w:sz w:val="32"/>
          <w:szCs w:val="32"/>
        </w:rPr>
      </w:pPr>
      <w:r>
        <w:rPr>
          <w:rFonts w:hint="eastAsia" w:ascii="仿宋" w:hAnsi="仿宋" w:eastAsia="仿宋" w:cs="仿宋"/>
          <w:sz w:val="32"/>
          <w:szCs w:val="32"/>
        </w:rPr>
        <w:t>考核程序分数据和运维服务单位自评、牵头科室打分、会议讨论三个阶段。</w:t>
      </w:r>
    </w:p>
    <w:p w14:paraId="343522E8">
      <w:pPr>
        <w:ind w:firstLine="640" w:firstLineChars="200"/>
        <w:rPr>
          <w:rFonts w:ascii="仿宋" w:hAnsi="仿宋" w:eastAsia="仿宋" w:cs="仿宋"/>
          <w:sz w:val="32"/>
          <w:szCs w:val="32"/>
        </w:rPr>
      </w:pPr>
      <w:r>
        <w:rPr>
          <w:rFonts w:hint="eastAsia" w:ascii="仿宋" w:hAnsi="仿宋" w:eastAsia="仿宋" w:cs="仿宋"/>
          <w:sz w:val="32"/>
          <w:szCs w:val="32"/>
        </w:rPr>
        <w:t>1. 数据和运维服务单位自评。数据和运维服务单位按照考核细则要求进行自评，准备相关材料，编写数据和运维服务工作报告。</w:t>
      </w:r>
    </w:p>
    <w:p w14:paraId="2989F4E4">
      <w:pPr>
        <w:ind w:firstLine="640" w:firstLineChars="200"/>
        <w:rPr>
          <w:rFonts w:ascii="仿宋" w:hAnsi="仿宋" w:eastAsia="仿宋" w:cs="仿宋"/>
          <w:sz w:val="32"/>
          <w:szCs w:val="32"/>
        </w:rPr>
      </w:pPr>
      <w:r>
        <w:rPr>
          <w:rFonts w:hint="eastAsia" w:ascii="仿宋" w:hAnsi="仿宋" w:eastAsia="仿宋" w:cs="仿宋"/>
          <w:sz w:val="32"/>
          <w:szCs w:val="32"/>
        </w:rPr>
        <w:t>2.牵头科室打分。牵头科室根据运维巡检、故障排除、运维保障、数据服务实际情况打分。</w:t>
      </w:r>
    </w:p>
    <w:p w14:paraId="3862125E">
      <w:pPr>
        <w:ind w:firstLine="640" w:firstLineChars="200"/>
        <w:rPr>
          <w:rFonts w:ascii="仿宋" w:hAnsi="仿宋" w:eastAsia="仿宋" w:cs="仿宋"/>
          <w:sz w:val="32"/>
          <w:szCs w:val="32"/>
        </w:rPr>
      </w:pPr>
      <w:r>
        <w:rPr>
          <w:rFonts w:hint="eastAsia" w:ascii="仿宋" w:hAnsi="仿宋" w:eastAsia="仿宋" w:cs="仿宋"/>
          <w:sz w:val="32"/>
          <w:szCs w:val="32"/>
        </w:rPr>
        <w:t>3.考核结果提交会议讨论，结合数据和运维服务单位的自评情况打分，形成最终考核分数。</w:t>
      </w:r>
    </w:p>
    <w:p w14:paraId="69B84AAB">
      <w:pPr>
        <w:keepNext/>
        <w:keepLines/>
        <w:ind w:firstLine="640" w:firstLineChars="200"/>
        <w:outlineLvl w:val="0"/>
        <w:rPr>
          <w:rFonts w:ascii="黑体" w:hAnsi="黑体" w:eastAsia="黑体" w:cs="华文中宋"/>
          <w:kern w:val="44"/>
          <w:sz w:val="32"/>
          <w:szCs w:val="32"/>
        </w:rPr>
      </w:pPr>
      <w:r>
        <w:rPr>
          <w:rFonts w:hint="eastAsia" w:ascii="黑体" w:hAnsi="黑体" w:eastAsia="黑体" w:cs="华文中宋"/>
          <w:kern w:val="44"/>
          <w:sz w:val="32"/>
          <w:szCs w:val="32"/>
        </w:rPr>
        <w:t>五、评分细则</w:t>
      </w:r>
    </w:p>
    <w:p w14:paraId="0FAB7C1F">
      <w:pPr>
        <w:ind w:firstLine="643" w:firstLineChars="200"/>
        <w:rPr>
          <w:rFonts w:ascii="楷体" w:hAnsi="楷体" w:eastAsia="楷体" w:cs="仿宋"/>
          <w:b/>
          <w:sz w:val="32"/>
          <w:szCs w:val="32"/>
        </w:rPr>
      </w:pPr>
      <w:r>
        <w:rPr>
          <w:rFonts w:hint="eastAsia" w:ascii="楷体" w:hAnsi="楷体" w:eastAsia="楷体" w:cs="仿宋"/>
          <w:b/>
          <w:sz w:val="32"/>
          <w:szCs w:val="32"/>
        </w:rPr>
        <w:t>（一）运维巡检（15分）</w:t>
      </w:r>
    </w:p>
    <w:p w14:paraId="48DA1987">
      <w:pPr>
        <w:ind w:firstLine="640" w:firstLineChars="200"/>
        <w:rPr>
          <w:rFonts w:ascii="仿宋" w:hAnsi="仿宋" w:eastAsia="仿宋" w:cs="仿宋"/>
          <w:sz w:val="32"/>
          <w:szCs w:val="32"/>
        </w:rPr>
      </w:pPr>
      <w:r>
        <w:rPr>
          <w:rFonts w:hint="eastAsia" w:ascii="仿宋" w:hAnsi="仿宋" w:eastAsia="仿宋" w:cs="仿宋"/>
          <w:sz w:val="32"/>
          <w:szCs w:val="32"/>
        </w:rPr>
        <w:t>数据和运维服务单位每月对卫星遥感系统进行巡检一次并提供巡检报告，</w:t>
      </w:r>
      <w:r>
        <w:rPr>
          <w:rFonts w:hint="eastAsia" w:ascii="仿宋" w:hAnsi="仿宋" w:eastAsia="仿宋" w:cs="仿宋"/>
          <w:sz w:val="32"/>
          <w:szCs w:val="32"/>
          <w:highlight w:val="none"/>
          <w:lang w:eastAsia="zh-CN"/>
        </w:rPr>
        <w:t>每三个月</w:t>
      </w:r>
      <w:r>
        <w:rPr>
          <w:rFonts w:hint="eastAsia" w:ascii="仿宋" w:hAnsi="仿宋" w:eastAsia="仿宋" w:cs="仿宋"/>
          <w:sz w:val="32"/>
          <w:szCs w:val="32"/>
          <w:highlight w:val="none"/>
        </w:rPr>
        <w:t>应巡检</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次，应提供</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期</w:t>
      </w:r>
      <w:r>
        <w:rPr>
          <w:rFonts w:hint="eastAsia" w:ascii="仿宋" w:hAnsi="仿宋" w:eastAsia="仿宋" w:cs="仿宋"/>
          <w:sz w:val="32"/>
          <w:szCs w:val="32"/>
        </w:rPr>
        <w:t>巡检报告，每少一次扣2.5分，扣完为止。</w:t>
      </w:r>
    </w:p>
    <w:p w14:paraId="5050E283">
      <w:pPr>
        <w:ind w:firstLine="643" w:firstLineChars="200"/>
        <w:rPr>
          <w:rFonts w:ascii="楷体" w:hAnsi="楷体" w:eastAsia="楷体" w:cs="仿宋"/>
          <w:b/>
          <w:sz w:val="32"/>
          <w:szCs w:val="32"/>
        </w:rPr>
      </w:pPr>
      <w:r>
        <w:rPr>
          <w:rFonts w:hint="eastAsia" w:ascii="楷体" w:hAnsi="楷体" w:eastAsia="楷体" w:cs="仿宋"/>
          <w:b/>
          <w:sz w:val="32"/>
          <w:szCs w:val="32"/>
        </w:rPr>
        <w:t>（二）故障排除（10分）</w:t>
      </w:r>
    </w:p>
    <w:p w14:paraId="33C3F720">
      <w:pPr>
        <w:ind w:firstLine="640" w:firstLineChars="200"/>
        <w:rPr>
          <w:rFonts w:ascii="仿宋" w:hAnsi="仿宋" w:eastAsia="仿宋" w:cs="仿宋"/>
          <w:sz w:val="32"/>
          <w:szCs w:val="32"/>
        </w:rPr>
      </w:pPr>
      <w:r>
        <w:rPr>
          <w:rFonts w:hint="eastAsia" w:ascii="仿宋" w:hAnsi="仿宋" w:eastAsia="仿宋" w:cs="仿宋"/>
          <w:sz w:val="32"/>
          <w:szCs w:val="32"/>
        </w:rPr>
        <w:t>1.软件故障排除（5分）</w:t>
      </w:r>
    </w:p>
    <w:p w14:paraId="42EF4018">
      <w:pPr>
        <w:ind w:firstLine="640" w:firstLineChars="200"/>
        <w:rPr>
          <w:rFonts w:ascii="仿宋" w:hAnsi="仿宋" w:eastAsia="仿宋" w:cs="仿宋"/>
          <w:sz w:val="32"/>
          <w:szCs w:val="32"/>
        </w:rPr>
      </w:pPr>
      <w:r>
        <w:rPr>
          <w:rFonts w:hint="eastAsia" w:ascii="仿宋" w:hAnsi="仿宋" w:eastAsia="仿宋" w:cs="仿宋"/>
          <w:sz w:val="32"/>
          <w:szCs w:val="32"/>
        </w:rPr>
        <w:t>卫星遥感系统出现软件故障，数据和运维服务单位在24小时内没有解决的，每延长24小时扣0.5分，扣完为止。</w:t>
      </w:r>
    </w:p>
    <w:p w14:paraId="2307018A">
      <w:pPr>
        <w:ind w:firstLine="640" w:firstLineChars="200"/>
        <w:rPr>
          <w:rFonts w:ascii="仿宋" w:hAnsi="仿宋" w:eastAsia="仿宋" w:cs="仿宋"/>
          <w:sz w:val="32"/>
          <w:szCs w:val="32"/>
        </w:rPr>
      </w:pPr>
      <w:r>
        <w:rPr>
          <w:rFonts w:hint="eastAsia" w:ascii="仿宋" w:hAnsi="仿宋" w:eastAsia="仿宋" w:cs="仿宋"/>
          <w:sz w:val="32"/>
          <w:szCs w:val="32"/>
        </w:rPr>
        <w:t>2.硬件故障排除（5分）</w:t>
      </w:r>
    </w:p>
    <w:p w14:paraId="760932E4">
      <w:pPr>
        <w:ind w:firstLine="640" w:firstLineChars="200"/>
        <w:rPr>
          <w:rFonts w:ascii="仿宋" w:hAnsi="仿宋" w:eastAsia="仿宋" w:cs="仿宋"/>
          <w:sz w:val="32"/>
          <w:szCs w:val="32"/>
        </w:rPr>
      </w:pPr>
      <w:r>
        <w:rPr>
          <w:rFonts w:hint="eastAsia" w:ascii="仿宋" w:hAnsi="仿宋" w:eastAsia="仿宋" w:cs="仿宋"/>
          <w:sz w:val="32"/>
          <w:szCs w:val="32"/>
        </w:rPr>
        <w:t>卫星遥感系统出现硬件故障，数据和运维服务单位在72小时内没有解决的，每延长24小时扣0.5分，扣完为止。</w:t>
      </w:r>
    </w:p>
    <w:p w14:paraId="263FBDEB">
      <w:pPr>
        <w:ind w:firstLine="643" w:firstLineChars="200"/>
        <w:rPr>
          <w:rFonts w:ascii="楷体" w:hAnsi="楷体" w:eastAsia="楷体" w:cs="仿宋"/>
          <w:b/>
          <w:sz w:val="32"/>
          <w:szCs w:val="32"/>
        </w:rPr>
      </w:pPr>
      <w:r>
        <w:rPr>
          <w:rFonts w:hint="eastAsia" w:ascii="楷体" w:hAnsi="楷体" w:eastAsia="楷体" w:cs="仿宋"/>
          <w:b/>
          <w:sz w:val="32"/>
          <w:szCs w:val="32"/>
        </w:rPr>
        <w:t>（三）运维保障（15分）</w:t>
      </w:r>
    </w:p>
    <w:p w14:paraId="045386CF">
      <w:pPr>
        <w:ind w:firstLine="643" w:firstLineChars="200"/>
        <w:rPr>
          <w:rFonts w:ascii="仿宋" w:hAnsi="仿宋" w:eastAsia="仿宋" w:cs="仿宋"/>
          <w:b/>
          <w:sz w:val="32"/>
          <w:szCs w:val="32"/>
        </w:rPr>
      </w:pPr>
      <w:r>
        <w:rPr>
          <w:rFonts w:hint="eastAsia" w:ascii="仿宋" w:hAnsi="仿宋" w:eastAsia="仿宋" w:cs="仿宋"/>
          <w:b/>
          <w:sz w:val="32"/>
          <w:szCs w:val="32"/>
        </w:rPr>
        <w:t>1.办公与设备场所配备（5分）</w:t>
      </w:r>
    </w:p>
    <w:p w14:paraId="343E0C67">
      <w:pPr>
        <w:ind w:firstLine="640" w:firstLineChars="200"/>
        <w:rPr>
          <w:rFonts w:ascii="仿宋" w:hAnsi="仿宋" w:eastAsia="仿宋" w:cs="仿宋"/>
          <w:sz w:val="32"/>
          <w:szCs w:val="32"/>
        </w:rPr>
      </w:pPr>
      <w:r>
        <w:rPr>
          <w:rFonts w:hint="eastAsia" w:ascii="仿宋" w:hAnsi="仿宋" w:eastAsia="仿宋" w:cs="仿宋"/>
          <w:sz w:val="32"/>
          <w:szCs w:val="32"/>
        </w:rPr>
        <w:t>数据和运维服务单位应具备满足5人以上（含5人）办公需要的场所，不满足扣2分。应具备数据处理设备运行的机房，不满足扣2分。应具备卫星地面接收站运行的场地，不满足扣1分。</w:t>
      </w:r>
    </w:p>
    <w:p w14:paraId="3DAD191C">
      <w:pPr>
        <w:ind w:firstLine="643" w:firstLineChars="200"/>
        <w:rPr>
          <w:rFonts w:ascii="仿宋" w:hAnsi="仿宋" w:eastAsia="仿宋" w:cs="仿宋"/>
          <w:b/>
          <w:sz w:val="32"/>
          <w:szCs w:val="32"/>
        </w:rPr>
      </w:pPr>
      <w:r>
        <w:rPr>
          <w:rFonts w:hint="eastAsia" w:ascii="仿宋" w:hAnsi="仿宋" w:eastAsia="仿宋" w:cs="仿宋"/>
          <w:b/>
          <w:sz w:val="32"/>
          <w:szCs w:val="32"/>
        </w:rPr>
        <w:t>2.运行管理支撑保障（5分）</w:t>
      </w:r>
    </w:p>
    <w:p w14:paraId="34F4DB93">
      <w:pPr>
        <w:ind w:firstLine="646" w:firstLineChars="202"/>
        <w:rPr>
          <w:rFonts w:ascii="仿宋" w:hAnsi="仿宋" w:eastAsia="仿宋" w:cs="仿宋"/>
          <w:sz w:val="32"/>
          <w:szCs w:val="32"/>
        </w:rPr>
      </w:pPr>
      <w:r>
        <w:rPr>
          <w:rFonts w:hint="eastAsia" w:ascii="仿宋" w:hAnsi="仿宋" w:eastAsia="仿宋" w:cs="仿宋"/>
          <w:sz w:val="32"/>
          <w:szCs w:val="32"/>
        </w:rPr>
        <w:t>数据和运维服务单位应具备卫星遥感数据系统级几何校正、正射校正等处理所需要的硬件设备和软件，不满足扣</w:t>
      </w:r>
      <w:r>
        <w:rPr>
          <w:rFonts w:ascii="仿宋" w:hAnsi="仿宋" w:eastAsia="仿宋" w:cs="仿宋"/>
          <w:sz w:val="32"/>
          <w:szCs w:val="32"/>
        </w:rPr>
        <w:t>5</w:t>
      </w:r>
      <w:r>
        <w:rPr>
          <w:rFonts w:hint="eastAsia" w:ascii="仿宋" w:hAnsi="仿宋" w:eastAsia="仿宋" w:cs="仿宋"/>
          <w:sz w:val="32"/>
          <w:szCs w:val="32"/>
        </w:rPr>
        <w:t>分。</w:t>
      </w:r>
    </w:p>
    <w:p w14:paraId="18F8B351">
      <w:pPr>
        <w:ind w:firstLine="643" w:firstLineChars="200"/>
        <w:rPr>
          <w:rFonts w:ascii="仿宋" w:hAnsi="仿宋" w:eastAsia="仿宋" w:cs="仿宋"/>
          <w:b/>
          <w:sz w:val="32"/>
          <w:szCs w:val="32"/>
        </w:rPr>
      </w:pPr>
      <w:r>
        <w:rPr>
          <w:rFonts w:hint="eastAsia" w:ascii="仿宋" w:hAnsi="仿宋" w:eastAsia="仿宋" w:cs="仿宋"/>
          <w:b/>
          <w:sz w:val="32"/>
          <w:szCs w:val="32"/>
        </w:rPr>
        <w:t>3.人员配备（5分）</w:t>
      </w:r>
    </w:p>
    <w:p w14:paraId="01C3A05A">
      <w:pPr>
        <w:ind w:firstLine="640" w:firstLineChars="200"/>
        <w:rPr>
          <w:rFonts w:ascii="仿宋" w:hAnsi="仿宋" w:eastAsia="仿宋" w:cs="仿宋"/>
          <w:sz w:val="32"/>
          <w:szCs w:val="32"/>
        </w:rPr>
      </w:pPr>
      <w:r>
        <w:rPr>
          <w:rFonts w:hint="eastAsia" w:ascii="仿宋" w:hAnsi="仿宋" w:eastAsia="仿宋" w:cs="仿宋"/>
          <w:sz w:val="32"/>
          <w:szCs w:val="32"/>
        </w:rPr>
        <w:t>数据和运维服务人员不少于5人，每少1人扣1分。</w:t>
      </w:r>
    </w:p>
    <w:p w14:paraId="0CC4DF91">
      <w:pPr>
        <w:ind w:firstLine="643" w:firstLineChars="200"/>
        <w:rPr>
          <w:rFonts w:ascii="楷体" w:hAnsi="楷体" w:eastAsia="楷体" w:cs="仿宋"/>
          <w:b/>
          <w:sz w:val="32"/>
          <w:szCs w:val="32"/>
        </w:rPr>
      </w:pPr>
      <w:r>
        <w:rPr>
          <w:rFonts w:hint="eastAsia" w:ascii="楷体" w:hAnsi="楷体" w:eastAsia="楷体" w:cs="仿宋"/>
          <w:b/>
          <w:sz w:val="32"/>
          <w:szCs w:val="32"/>
        </w:rPr>
        <w:t>（四）数据服务（60分）</w:t>
      </w:r>
    </w:p>
    <w:p w14:paraId="221FD2DA">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1.秸秆焚烧异常火点监测统计分析报告15分</w:t>
      </w:r>
    </w:p>
    <w:p w14:paraId="538B9C2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考核要求：夏秋秸秆禁烧期间，数据和运维服务单位每日提供秸秆焚烧监测统计分析报告，每少1次扣0.5分，扣完为止。</w:t>
      </w:r>
    </w:p>
    <w:p w14:paraId="02EA40D6">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2.</w:t>
      </w:r>
      <w:r>
        <w:rPr>
          <w:rFonts w:hint="eastAsia"/>
        </w:rPr>
        <w:t xml:space="preserve"> </w:t>
      </w:r>
      <w:r>
        <w:rPr>
          <w:rFonts w:hint="eastAsia" w:ascii="仿宋" w:hAnsi="仿宋" w:eastAsia="仿宋" w:cs="仿宋"/>
          <w:b/>
          <w:sz w:val="32"/>
          <w:szCs w:val="32"/>
        </w:rPr>
        <w:t>黄河流域生态环境监测专题报告10分</w:t>
      </w:r>
    </w:p>
    <w:p w14:paraId="0CCFC1C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考核要求：</w:t>
      </w:r>
      <w:r>
        <w:rPr>
          <w:rFonts w:hint="eastAsia" w:ascii="Times New Roman" w:hAnsi="Times New Roman" w:eastAsia="仿宋" w:cs="Times New Roman"/>
          <w:sz w:val="32"/>
          <w:szCs w:val="32"/>
        </w:rPr>
        <w:t>数据和运维服务单位每半年提供黄河流域河南段（河南省内流经三门峡、洛阳、济源、郑州、焦作、新乡、开封、濮阳、安阳、鹤壁等10 个省辖市）的水体专题分布情况，每少1个省辖市扣1分，扣完为止。</w:t>
      </w:r>
    </w:p>
    <w:p w14:paraId="412B9F67">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3.</w:t>
      </w:r>
      <w:r>
        <w:rPr>
          <w:rFonts w:ascii="仿宋" w:hAnsi="仿宋" w:eastAsia="仿宋" w:cs="仿宋"/>
          <w:sz w:val="32"/>
          <w:szCs w:val="32"/>
        </w:rPr>
        <w:t xml:space="preserve"> </w:t>
      </w:r>
      <w:r>
        <w:rPr>
          <w:rFonts w:hint="eastAsia" w:ascii="仿宋" w:hAnsi="仿宋" w:eastAsia="仿宋" w:cs="仿宋"/>
          <w:b/>
          <w:sz w:val="32"/>
          <w:szCs w:val="32"/>
        </w:rPr>
        <w:t>饮用水源地风险源卫星遥感监测统计分析报告15分</w:t>
      </w:r>
    </w:p>
    <w:p w14:paraId="62FB2A4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考核要求：数据和运维服务单位每年提供丹江口水库饮用水水源保护区</w:t>
      </w:r>
      <w:r>
        <w:rPr>
          <w:rFonts w:ascii="仿宋" w:hAnsi="仿宋" w:eastAsia="仿宋" w:cs="仿宋"/>
          <w:sz w:val="32"/>
          <w:szCs w:val="32"/>
        </w:rPr>
        <w:t>及</w:t>
      </w:r>
      <w:r>
        <w:rPr>
          <w:rFonts w:hint="eastAsia" w:ascii="仿宋" w:hAnsi="仿宋" w:eastAsia="仿宋" w:cs="仿宋"/>
          <w:sz w:val="32"/>
          <w:szCs w:val="32"/>
        </w:rPr>
        <w:t>黄河流域27个地表水风险源卫星遥感监测结果(共计28份),每年提供一次丹江口水库(河南辖区)土地利用类型遥感监测报告，每季度提供一次丹江口水库的水华遥感监测与风险评价。丹江口水库风险源、黄河流域地表水风险源监测报告每少1个扣1分；土地利用类型报告每少1份扣2分；丹江口水库水华报告每少1份扣2分,扣完为止。</w:t>
      </w:r>
    </w:p>
    <w:p w14:paraId="2B070592">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4.污染地块遥感监测统计分析报告5分</w:t>
      </w:r>
    </w:p>
    <w:p w14:paraId="70D044D2">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rPr>
        <w:t>考核要求：数据和运维服务单位</w:t>
      </w:r>
      <w:r>
        <w:rPr>
          <w:rFonts w:hint="eastAsia" w:ascii="Times New Roman" w:hAnsi="Times New Roman" w:eastAsia="仿宋_GB2312" w:cs="Times New Roman"/>
          <w:sz w:val="32"/>
          <w:szCs w:val="32"/>
        </w:rPr>
        <w:t>每季度提供一次河南省污染地块</w:t>
      </w:r>
      <w:r>
        <w:rPr>
          <w:rFonts w:ascii="Times New Roman" w:hAnsi="Times New Roman" w:eastAsia="仿宋_GB2312" w:cs="Times New Roman"/>
          <w:sz w:val="32"/>
          <w:szCs w:val="32"/>
        </w:rPr>
        <w:t>土地利用变化情况的遥感监测统计分析报告，每</w:t>
      </w:r>
      <w:r>
        <w:rPr>
          <w:rFonts w:hint="eastAsia" w:ascii="Times New Roman" w:hAnsi="Times New Roman" w:eastAsia="仿宋_GB2312" w:cs="Times New Roman"/>
          <w:sz w:val="32"/>
          <w:szCs w:val="32"/>
        </w:rPr>
        <w:t>少一期，扣2.5分，扣完为止。</w:t>
      </w:r>
    </w:p>
    <w:p w14:paraId="31B8D4D6">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5.夏季NO</w:t>
      </w:r>
      <w:r>
        <w:rPr>
          <w:rFonts w:hint="eastAsia" w:ascii="仿宋" w:hAnsi="仿宋" w:eastAsia="仿宋" w:cs="仿宋"/>
          <w:b/>
          <w:sz w:val="32"/>
          <w:szCs w:val="32"/>
          <w:vertAlign w:val="subscript"/>
        </w:rPr>
        <w:t>2</w:t>
      </w:r>
      <w:r>
        <w:rPr>
          <w:rFonts w:hint="eastAsia" w:ascii="仿宋" w:hAnsi="仿宋" w:eastAsia="仿宋" w:cs="仿宋"/>
          <w:b/>
          <w:sz w:val="32"/>
          <w:szCs w:val="32"/>
        </w:rPr>
        <w:t>和O</w:t>
      </w:r>
      <w:r>
        <w:rPr>
          <w:rFonts w:hint="eastAsia" w:ascii="仿宋" w:hAnsi="仿宋" w:eastAsia="仿宋" w:cs="仿宋"/>
          <w:b/>
          <w:sz w:val="32"/>
          <w:szCs w:val="32"/>
          <w:vertAlign w:val="subscript"/>
        </w:rPr>
        <w:t>3</w:t>
      </w:r>
      <w:r>
        <w:rPr>
          <w:rFonts w:hint="eastAsia" w:ascii="仿宋" w:hAnsi="仿宋" w:eastAsia="仿宋" w:cs="仿宋"/>
          <w:b/>
          <w:sz w:val="32"/>
          <w:szCs w:val="32"/>
        </w:rPr>
        <w:t>浓度分布监测统计分析报告15分</w:t>
      </w:r>
    </w:p>
    <w:p w14:paraId="55ACCDE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考核要求：夏季高温及发生臭氧污染期间，</w:t>
      </w:r>
      <w:r>
        <w:rPr>
          <w:rFonts w:hint="eastAsia" w:ascii="Times New Roman" w:hAnsi="Times New Roman" w:eastAsia="仿宋" w:cs="Times New Roman"/>
          <w:sz w:val="32"/>
          <w:szCs w:val="32"/>
        </w:rPr>
        <w:t>数据和运维服务单位</w:t>
      </w:r>
      <w:r>
        <w:rPr>
          <w:rFonts w:hint="eastAsia" w:ascii="仿宋" w:hAnsi="仿宋" w:eastAsia="仿宋" w:cs="仿宋"/>
          <w:sz w:val="32"/>
          <w:szCs w:val="32"/>
          <w:lang w:eastAsia="zh-CN"/>
        </w:rPr>
        <w:t>按需</w:t>
      </w:r>
      <w:r>
        <w:rPr>
          <w:rFonts w:hint="eastAsia" w:ascii="仿宋" w:hAnsi="仿宋" w:eastAsia="仿宋" w:cs="仿宋"/>
          <w:sz w:val="32"/>
          <w:szCs w:val="32"/>
        </w:rPr>
        <w:t>提供河南省各市O</w:t>
      </w:r>
      <w:r>
        <w:rPr>
          <w:rFonts w:hint="eastAsia" w:ascii="仿宋" w:hAnsi="仿宋" w:eastAsia="仿宋" w:cs="仿宋"/>
          <w:sz w:val="32"/>
          <w:szCs w:val="32"/>
          <w:vertAlign w:val="subscript"/>
        </w:rPr>
        <w:t>3</w:t>
      </w:r>
      <w:r>
        <w:rPr>
          <w:rFonts w:hint="eastAsia" w:ascii="仿宋" w:hAnsi="仿宋" w:eastAsia="仿宋" w:cs="仿宋"/>
          <w:sz w:val="32"/>
          <w:szCs w:val="32"/>
        </w:rPr>
        <w:t>浓度分布监测专题图；按需提供NO</w:t>
      </w:r>
      <w:r>
        <w:rPr>
          <w:rFonts w:hint="eastAsia" w:ascii="仿宋" w:hAnsi="仿宋" w:eastAsia="仿宋" w:cs="仿宋"/>
          <w:sz w:val="32"/>
          <w:szCs w:val="32"/>
          <w:vertAlign w:val="subscript"/>
        </w:rPr>
        <w:t>2</w:t>
      </w:r>
      <w:r>
        <w:rPr>
          <w:rFonts w:hint="eastAsia" w:ascii="仿宋" w:hAnsi="仿宋" w:eastAsia="仿宋" w:cs="仿宋"/>
          <w:sz w:val="32"/>
          <w:szCs w:val="32"/>
        </w:rPr>
        <w:t>浓度分布监测专题图。每少一次扣0.5分，扣完为止。</w:t>
      </w:r>
    </w:p>
    <w:p w14:paraId="01BC3D97">
      <w:pPr>
        <w:ind w:firstLine="640" w:firstLineChars="200"/>
        <w:rPr>
          <w:rFonts w:ascii="仿宋" w:hAnsi="仿宋" w:eastAsia="仿宋" w:cs="仿宋"/>
          <w:sz w:val="32"/>
          <w:szCs w:val="32"/>
          <w:highlight w:val="none"/>
        </w:rPr>
      </w:pPr>
      <w:r>
        <w:rPr>
          <w:rFonts w:hint="eastAsia" w:ascii="仿宋" w:hAnsi="仿宋" w:eastAsia="仿宋" w:cs="仿宋"/>
          <w:sz w:val="32"/>
          <w:szCs w:val="32"/>
        </w:rPr>
        <w:t>以上数据服务中，因气象原因卫星接收站无法接收有效的卫星遥感数据，或从高分辨率对地观测系统河南数据与应用中心申领的高分辨率卫星数据不能有效覆盖分析对象，导致无法开展相应的数据分析和报告编制的，不予扣分。</w:t>
      </w:r>
      <w:r>
        <w:rPr>
          <w:rFonts w:hint="eastAsia" w:ascii="仿宋" w:hAnsi="仿宋" w:eastAsia="仿宋" w:cs="仿宋"/>
          <w:sz w:val="32"/>
          <w:szCs w:val="32"/>
          <w:highlight w:val="none"/>
        </w:rPr>
        <w:t>单次考核时，因数据服务内容和监测时间不在本考核周期内，致使对应数据分析和报告工作无法进行的，不子扣分。</w:t>
      </w:r>
    </w:p>
    <w:p w14:paraId="5AD2F0BF">
      <w:pPr>
        <w:ind w:firstLine="640" w:firstLineChars="200"/>
        <w:jc w:val="left"/>
        <w:rPr>
          <w:rFonts w:ascii="仿宋" w:hAnsi="仿宋" w:eastAsia="仿宋" w:cs="仿宋"/>
          <w:sz w:val="32"/>
          <w:szCs w:val="32"/>
        </w:rPr>
      </w:pPr>
    </w:p>
    <w:p w14:paraId="6AFDD425">
      <w:pPr>
        <w:ind w:firstLine="640" w:firstLineChars="200"/>
        <w:jc w:val="left"/>
        <w:rPr>
          <w:rFonts w:ascii="仿宋" w:hAnsi="仿宋" w:eastAsia="仿宋" w:cs="仿宋"/>
          <w:sz w:val="32"/>
          <w:szCs w:val="32"/>
        </w:rPr>
      </w:pPr>
      <w:r>
        <w:rPr>
          <w:rFonts w:hint="eastAsia" w:ascii="仿宋" w:hAnsi="仿宋" w:eastAsia="仿宋" w:cs="仿宋"/>
          <w:sz w:val="32"/>
          <w:szCs w:val="32"/>
        </w:rPr>
        <w:t>附件：河南省空天地一体化环境信息监控系统（一期）</w:t>
      </w:r>
    </w:p>
    <w:p w14:paraId="6C155F94">
      <w:pPr>
        <w:ind w:firstLine="1600" w:firstLineChars="500"/>
        <w:jc w:val="left"/>
        <w:rPr>
          <w:rFonts w:ascii="仿宋" w:hAnsi="仿宋" w:eastAsia="仿宋" w:cs="仿宋"/>
          <w:sz w:val="32"/>
          <w:szCs w:val="32"/>
        </w:rPr>
      </w:pPr>
      <w:r>
        <w:rPr>
          <w:rFonts w:hint="eastAsia" w:ascii="仿宋" w:hAnsi="仿宋" w:eastAsia="仿宋" w:cs="仿宋"/>
          <w:sz w:val="32"/>
          <w:szCs w:val="32"/>
        </w:rPr>
        <w:t>数据和运维服务考核表</w:t>
      </w:r>
    </w:p>
    <w:p w14:paraId="6021B089">
      <w:pPr>
        <w:spacing w:line="360" w:lineRule="auto"/>
        <w:ind w:right="1680" w:rightChars="800"/>
        <w:contextualSpacing/>
        <w:jc w:val="right"/>
        <w:rPr>
          <w:rFonts w:ascii="仿宋" w:hAnsi="仿宋" w:eastAsia="仿宋" w:cs="仿宋"/>
          <w:sz w:val="32"/>
          <w:szCs w:val="32"/>
        </w:rPr>
      </w:pPr>
    </w:p>
    <w:p w14:paraId="366C7E81">
      <w:pPr>
        <w:spacing w:line="360" w:lineRule="auto"/>
        <w:ind w:right="1680" w:rightChars="800"/>
        <w:contextualSpacing/>
        <w:jc w:val="left"/>
        <w:rPr>
          <w:rFonts w:ascii="仿宋" w:hAnsi="仿宋" w:eastAsia="仿宋" w:cs="仿宋"/>
          <w:sz w:val="32"/>
          <w:szCs w:val="32"/>
        </w:rPr>
        <w:sectPr>
          <w:footerReference r:id="rId7" w:type="default"/>
          <w:pgSz w:w="11906" w:h="16838"/>
          <w:pgMar w:top="1247" w:right="1588" w:bottom="1247" w:left="1588" w:header="851" w:footer="992" w:gutter="0"/>
          <w:cols w:space="720" w:num="1"/>
          <w:docGrid w:type="lines" w:linePitch="312" w:charSpace="0"/>
        </w:sectPr>
      </w:pPr>
    </w:p>
    <w:p w14:paraId="073A53E6">
      <w:pPr>
        <w:spacing w:line="360" w:lineRule="auto"/>
        <w:ind w:right="1680" w:rightChars="800"/>
        <w:contextualSpacing/>
        <w:jc w:val="left"/>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w:t>
      </w:r>
    </w:p>
    <w:p w14:paraId="13097273">
      <w:pPr>
        <w:snapToGrid w:val="0"/>
        <w:jc w:val="center"/>
        <w:rPr>
          <w:rFonts w:ascii="Times New Roman" w:hAnsi="Times New Roman" w:eastAsia="华文中宋" w:cs="Times New Roman"/>
          <w:b/>
          <w:bCs/>
          <w:color w:val="000000"/>
          <w:sz w:val="36"/>
          <w:szCs w:val="36"/>
        </w:rPr>
      </w:pPr>
      <w:r>
        <w:rPr>
          <w:rFonts w:hint="eastAsia" w:ascii="Times New Roman" w:hAnsi="Times New Roman" w:eastAsia="华文中宋" w:cs="Times New Roman"/>
          <w:b/>
          <w:bCs/>
          <w:color w:val="000000"/>
          <w:sz w:val="36"/>
          <w:szCs w:val="36"/>
        </w:rPr>
        <w:t>河南省空天地一体化环境信息</w:t>
      </w:r>
      <w:r>
        <w:rPr>
          <w:rFonts w:ascii="Times New Roman" w:hAnsi="Times New Roman" w:eastAsia="华文中宋" w:cs="Times New Roman"/>
          <w:b/>
          <w:bCs/>
          <w:color w:val="000000"/>
          <w:sz w:val="36"/>
          <w:szCs w:val="36"/>
        </w:rPr>
        <w:t>监控</w:t>
      </w:r>
      <w:r>
        <w:rPr>
          <w:rFonts w:hint="eastAsia" w:ascii="Times New Roman" w:hAnsi="Times New Roman" w:eastAsia="华文中宋" w:cs="Times New Roman"/>
          <w:b/>
          <w:bCs/>
          <w:color w:val="000000"/>
          <w:sz w:val="36"/>
          <w:szCs w:val="36"/>
        </w:rPr>
        <w:t>系统（一期）</w:t>
      </w:r>
    </w:p>
    <w:p w14:paraId="356B4638">
      <w:pPr>
        <w:snapToGrid w:val="0"/>
        <w:jc w:val="center"/>
        <w:rPr>
          <w:rFonts w:ascii="Times New Roman" w:hAnsi="Times New Roman" w:eastAsia="华文中宋" w:cs="Times New Roman"/>
          <w:b/>
          <w:bCs/>
          <w:color w:val="000000"/>
          <w:sz w:val="36"/>
          <w:szCs w:val="36"/>
        </w:rPr>
      </w:pPr>
      <w:r>
        <w:rPr>
          <w:rFonts w:hint="eastAsia" w:ascii="Times New Roman" w:hAnsi="Times New Roman" w:eastAsia="华文中宋" w:cs="Times New Roman"/>
          <w:b/>
          <w:bCs/>
          <w:color w:val="000000"/>
          <w:sz w:val="36"/>
          <w:szCs w:val="36"/>
        </w:rPr>
        <w:t>数据和运维服务</w:t>
      </w:r>
      <w:r>
        <w:rPr>
          <w:rFonts w:ascii="Times New Roman" w:hAnsi="Times New Roman" w:eastAsia="华文中宋" w:cs="Times New Roman"/>
          <w:b/>
          <w:bCs/>
          <w:color w:val="000000"/>
          <w:sz w:val="36"/>
          <w:szCs w:val="36"/>
        </w:rPr>
        <w:t>考核表</w:t>
      </w:r>
    </w:p>
    <w:p w14:paraId="6D3A08B5">
      <w:pPr>
        <w:spacing w:line="360" w:lineRule="auto"/>
        <w:jc w:val="left"/>
        <w:rPr>
          <w:rFonts w:ascii="宋体" w:hAnsi="宋体" w:eastAsia="宋体" w:cs="Times New Roman"/>
          <w:bCs/>
          <w:color w:val="000000"/>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3483"/>
        <w:gridCol w:w="1352"/>
        <w:gridCol w:w="1087"/>
        <w:gridCol w:w="1000"/>
      </w:tblGrid>
      <w:tr w14:paraId="3570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00" w:type="dxa"/>
            <w:vAlign w:val="center"/>
          </w:tcPr>
          <w:p w14:paraId="266AC261">
            <w:pPr>
              <w:widowControl/>
              <w:jc w:val="center"/>
              <w:rPr>
                <w:rFonts w:ascii="Times New Roman" w:hAnsi="Times New Roman" w:cs="Times New Roman"/>
                <w:b/>
                <w:bCs/>
                <w:kern w:val="0"/>
                <w:szCs w:val="21"/>
              </w:rPr>
            </w:pPr>
            <w:r>
              <w:rPr>
                <w:rFonts w:ascii="Times New Roman" w:hAnsi="Times New Roman" w:cs="Times New Roman"/>
                <w:b/>
                <w:bCs/>
                <w:kern w:val="0"/>
                <w:szCs w:val="21"/>
              </w:rPr>
              <w:t>考核项目</w:t>
            </w:r>
          </w:p>
        </w:tc>
        <w:tc>
          <w:tcPr>
            <w:tcW w:w="3483" w:type="dxa"/>
            <w:vAlign w:val="center"/>
          </w:tcPr>
          <w:p w14:paraId="6FF3D4CB">
            <w:pPr>
              <w:widowControl/>
              <w:jc w:val="center"/>
              <w:rPr>
                <w:rFonts w:ascii="Times New Roman" w:hAnsi="Times New Roman" w:cs="Times New Roman"/>
                <w:b/>
                <w:bCs/>
                <w:kern w:val="0"/>
                <w:szCs w:val="21"/>
              </w:rPr>
            </w:pPr>
            <w:r>
              <w:rPr>
                <w:rFonts w:ascii="Times New Roman" w:hAnsi="Times New Roman" w:cs="Times New Roman"/>
                <w:b/>
                <w:bCs/>
                <w:kern w:val="0"/>
                <w:szCs w:val="21"/>
              </w:rPr>
              <w:t>考核指标</w:t>
            </w:r>
          </w:p>
        </w:tc>
        <w:tc>
          <w:tcPr>
            <w:tcW w:w="1352" w:type="dxa"/>
            <w:vAlign w:val="center"/>
          </w:tcPr>
          <w:p w14:paraId="33948FDF">
            <w:pPr>
              <w:widowControl/>
              <w:jc w:val="center"/>
              <w:rPr>
                <w:rFonts w:ascii="Times New Roman" w:hAnsi="Times New Roman" w:cs="Times New Roman"/>
                <w:b/>
                <w:bCs/>
                <w:kern w:val="0"/>
                <w:szCs w:val="21"/>
              </w:rPr>
            </w:pPr>
            <w:r>
              <w:rPr>
                <w:rFonts w:ascii="Times New Roman" w:hAnsi="Times New Roman" w:cs="Times New Roman"/>
                <w:b/>
                <w:bCs/>
                <w:kern w:val="0"/>
                <w:szCs w:val="21"/>
              </w:rPr>
              <w:t>扣分</w:t>
            </w:r>
          </w:p>
        </w:tc>
        <w:tc>
          <w:tcPr>
            <w:tcW w:w="1087" w:type="dxa"/>
            <w:vAlign w:val="center"/>
          </w:tcPr>
          <w:p w14:paraId="2C14773B">
            <w:pPr>
              <w:widowControl/>
              <w:jc w:val="center"/>
              <w:rPr>
                <w:rFonts w:ascii="Times New Roman" w:hAnsi="Times New Roman" w:cs="Times New Roman"/>
                <w:b/>
                <w:bCs/>
                <w:kern w:val="0"/>
                <w:szCs w:val="21"/>
              </w:rPr>
            </w:pPr>
            <w:r>
              <w:rPr>
                <w:rFonts w:ascii="Times New Roman" w:hAnsi="Times New Roman" w:cs="Times New Roman"/>
                <w:b/>
                <w:bCs/>
                <w:kern w:val="0"/>
                <w:szCs w:val="21"/>
              </w:rPr>
              <w:t>得分</w:t>
            </w:r>
          </w:p>
        </w:tc>
        <w:tc>
          <w:tcPr>
            <w:tcW w:w="1000" w:type="dxa"/>
            <w:vAlign w:val="center"/>
          </w:tcPr>
          <w:p w14:paraId="54653E2D">
            <w:pPr>
              <w:widowControl/>
              <w:jc w:val="center"/>
              <w:rPr>
                <w:rFonts w:ascii="Times New Roman" w:hAnsi="Times New Roman" w:cs="Times New Roman"/>
                <w:b/>
                <w:bCs/>
                <w:kern w:val="0"/>
                <w:szCs w:val="21"/>
              </w:rPr>
            </w:pPr>
            <w:r>
              <w:rPr>
                <w:rFonts w:ascii="Times New Roman" w:hAnsi="Times New Roman" w:cs="Times New Roman"/>
                <w:b/>
                <w:bCs/>
                <w:kern w:val="0"/>
                <w:szCs w:val="21"/>
              </w:rPr>
              <w:t>备注</w:t>
            </w:r>
          </w:p>
        </w:tc>
      </w:tr>
      <w:tr w14:paraId="2765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vAlign w:val="center"/>
          </w:tcPr>
          <w:p w14:paraId="0B13D0C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r>
              <w:rPr>
                <w:rFonts w:ascii="Times New Roman" w:hAnsi="Times New Roman" w:cs="Times New Roman"/>
                <w:b/>
                <w:bCs/>
                <w:kern w:val="0"/>
                <w:szCs w:val="21"/>
              </w:rPr>
              <w:t>运维巡检</w:t>
            </w:r>
          </w:p>
          <w:p w14:paraId="60F4EE8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r>
              <w:rPr>
                <w:rFonts w:ascii="Times New Roman" w:hAnsi="Times New Roman" w:cs="Times New Roman"/>
                <w:b/>
                <w:bCs/>
                <w:kern w:val="0"/>
                <w:szCs w:val="21"/>
              </w:rPr>
              <w:t>（</w:t>
            </w:r>
            <w:r>
              <w:rPr>
                <w:rFonts w:hint="eastAsia" w:ascii="Times New Roman" w:hAnsi="Times New Roman" w:cs="Times New Roman"/>
                <w:b/>
                <w:bCs/>
                <w:kern w:val="0"/>
                <w:szCs w:val="21"/>
              </w:rPr>
              <w:t>15</w:t>
            </w:r>
            <w:r>
              <w:rPr>
                <w:rFonts w:ascii="Times New Roman" w:hAnsi="Times New Roman" w:cs="Times New Roman"/>
                <w:b/>
                <w:bCs/>
                <w:kern w:val="0"/>
                <w:szCs w:val="21"/>
              </w:rPr>
              <w:t>分）</w:t>
            </w:r>
          </w:p>
        </w:tc>
        <w:tc>
          <w:tcPr>
            <w:tcW w:w="3483" w:type="dxa"/>
            <w:vAlign w:val="center"/>
          </w:tcPr>
          <w:p w14:paraId="13FCEDC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ascii="Times New Roman" w:hAnsi="Times New Roman" w:cs="Times New Roman"/>
                <w:kern w:val="0"/>
                <w:szCs w:val="21"/>
              </w:rPr>
              <w:t>巡检次数</w:t>
            </w:r>
            <w:r>
              <w:rPr>
                <w:rFonts w:hint="eastAsia" w:ascii="Times New Roman" w:hAnsi="Times New Roman" w:cs="Times New Roman"/>
                <w:kern w:val="0"/>
                <w:szCs w:val="21"/>
              </w:rPr>
              <w:t>和记录</w:t>
            </w:r>
            <w:r>
              <w:rPr>
                <w:rFonts w:ascii="Times New Roman" w:hAnsi="Times New Roman" w:cs="Times New Roman"/>
                <w:kern w:val="0"/>
                <w:szCs w:val="21"/>
              </w:rPr>
              <w:t>（</w:t>
            </w:r>
            <w:r>
              <w:rPr>
                <w:rFonts w:hint="eastAsia" w:ascii="Times New Roman" w:hAnsi="Times New Roman" w:cs="Times New Roman"/>
                <w:kern w:val="0"/>
                <w:szCs w:val="21"/>
              </w:rPr>
              <w:t>15</w:t>
            </w:r>
            <w:r>
              <w:rPr>
                <w:rFonts w:ascii="Times New Roman" w:hAnsi="Times New Roman" w:cs="Times New Roman"/>
                <w:kern w:val="0"/>
                <w:szCs w:val="21"/>
              </w:rPr>
              <w:t>分）</w:t>
            </w:r>
          </w:p>
        </w:tc>
        <w:tc>
          <w:tcPr>
            <w:tcW w:w="1352" w:type="dxa"/>
            <w:vAlign w:val="center"/>
          </w:tcPr>
          <w:p w14:paraId="12C1CFE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Cs/>
                <w:kern w:val="0"/>
                <w:szCs w:val="21"/>
              </w:rPr>
            </w:pPr>
          </w:p>
        </w:tc>
        <w:tc>
          <w:tcPr>
            <w:tcW w:w="1087" w:type="dxa"/>
            <w:vAlign w:val="center"/>
          </w:tcPr>
          <w:p w14:paraId="720D1BA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c>
          <w:tcPr>
            <w:tcW w:w="1000" w:type="dxa"/>
            <w:vAlign w:val="center"/>
          </w:tcPr>
          <w:p w14:paraId="0FDEA01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r>
      <w:tr w14:paraId="1FA7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vMerge w:val="restart"/>
            <w:vAlign w:val="center"/>
          </w:tcPr>
          <w:p w14:paraId="52EC3C8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r>
              <w:rPr>
                <w:rFonts w:ascii="Times New Roman" w:hAnsi="Times New Roman" w:cs="Times New Roman"/>
                <w:b/>
                <w:bCs/>
                <w:kern w:val="0"/>
                <w:szCs w:val="21"/>
              </w:rPr>
              <w:t>故障排除</w:t>
            </w:r>
          </w:p>
          <w:p w14:paraId="02C85BC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Cs w:val="21"/>
              </w:rPr>
            </w:pPr>
            <w:r>
              <w:rPr>
                <w:rFonts w:ascii="Times New Roman" w:hAnsi="Times New Roman" w:cs="Times New Roman"/>
                <w:b/>
                <w:bCs/>
                <w:kern w:val="0"/>
                <w:szCs w:val="21"/>
              </w:rPr>
              <w:t>（</w:t>
            </w:r>
            <w:r>
              <w:rPr>
                <w:rFonts w:hint="eastAsia" w:ascii="Times New Roman" w:hAnsi="Times New Roman" w:cs="Times New Roman"/>
                <w:b/>
                <w:bCs/>
                <w:kern w:val="0"/>
                <w:szCs w:val="21"/>
              </w:rPr>
              <w:t>10</w:t>
            </w:r>
            <w:r>
              <w:rPr>
                <w:rFonts w:ascii="Times New Roman" w:hAnsi="Times New Roman" w:cs="Times New Roman"/>
                <w:b/>
                <w:bCs/>
                <w:kern w:val="0"/>
                <w:szCs w:val="21"/>
              </w:rPr>
              <w:t>分）</w:t>
            </w:r>
          </w:p>
        </w:tc>
        <w:tc>
          <w:tcPr>
            <w:tcW w:w="3483" w:type="dxa"/>
            <w:vAlign w:val="center"/>
          </w:tcPr>
          <w:p w14:paraId="2BFACF8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ascii="Times New Roman" w:hAnsi="Times New Roman" w:cs="Times New Roman"/>
                <w:kern w:val="0"/>
                <w:szCs w:val="21"/>
              </w:rPr>
              <w:t>软件故障排除（</w:t>
            </w:r>
            <w:r>
              <w:rPr>
                <w:rFonts w:hint="eastAsia" w:ascii="Times New Roman" w:hAnsi="Times New Roman" w:cs="Times New Roman"/>
                <w:kern w:val="0"/>
                <w:szCs w:val="21"/>
              </w:rPr>
              <w:t>5</w:t>
            </w:r>
            <w:r>
              <w:rPr>
                <w:rFonts w:ascii="Times New Roman" w:hAnsi="Times New Roman" w:cs="Times New Roman"/>
                <w:kern w:val="0"/>
                <w:szCs w:val="21"/>
              </w:rPr>
              <w:t>分）</w:t>
            </w:r>
          </w:p>
        </w:tc>
        <w:tc>
          <w:tcPr>
            <w:tcW w:w="1352" w:type="dxa"/>
            <w:vAlign w:val="center"/>
          </w:tcPr>
          <w:p w14:paraId="0620913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restart"/>
            <w:vAlign w:val="center"/>
          </w:tcPr>
          <w:p w14:paraId="22C959C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00" w:type="dxa"/>
            <w:vMerge w:val="restart"/>
            <w:vAlign w:val="center"/>
          </w:tcPr>
          <w:p w14:paraId="7F4C1E0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r>
      <w:tr w14:paraId="5616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00" w:type="dxa"/>
            <w:vMerge w:val="continue"/>
            <w:vAlign w:val="center"/>
          </w:tcPr>
          <w:p w14:paraId="7E3E9005">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cs="Times New Roman"/>
              </w:rPr>
            </w:pPr>
          </w:p>
        </w:tc>
        <w:tc>
          <w:tcPr>
            <w:tcW w:w="3483" w:type="dxa"/>
            <w:vAlign w:val="center"/>
          </w:tcPr>
          <w:p w14:paraId="4BB8D0D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ascii="Times New Roman" w:hAnsi="Times New Roman" w:cs="Times New Roman"/>
                <w:kern w:val="0"/>
                <w:szCs w:val="21"/>
              </w:rPr>
              <w:t>硬件故障排除（</w:t>
            </w:r>
            <w:r>
              <w:rPr>
                <w:rFonts w:hint="eastAsia" w:ascii="Times New Roman" w:hAnsi="Times New Roman" w:cs="Times New Roman"/>
                <w:kern w:val="0"/>
                <w:szCs w:val="21"/>
              </w:rPr>
              <w:t>5</w:t>
            </w:r>
            <w:r>
              <w:rPr>
                <w:rFonts w:ascii="Times New Roman" w:hAnsi="Times New Roman" w:cs="Times New Roman"/>
                <w:kern w:val="0"/>
                <w:szCs w:val="21"/>
              </w:rPr>
              <w:t>分）</w:t>
            </w:r>
          </w:p>
        </w:tc>
        <w:tc>
          <w:tcPr>
            <w:tcW w:w="1352" w:type="dxa"/>
            <w:vAlign w:val="center"/>
          </w:tcPr>
          <w:p w14:paraId="0FB5B86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continue"/>
            <w:vAlign w:val="center"/>
          </w:tcPr>
          <w:p w14:paraId="29FA1494">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cs="Times New Roman"/>
                <w:kern w:val="0"/>
                <w:szCs w:val="21"/>
              </w:rPr>
            </w:pPr>
          </w:p>
        </w:tc>
        <w:tc>
          <w:tcPr>
            <w:tcW w:w="1000" w:type="dxa"/>
            <w:vMerge w:val="continue"/>
            <w:vAlign w:val="center"/>
          </w:tcPr>
          <w:p w14:paraId="5FA755A1">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cs="Times New Roman"/>
                <w:kern w:val="0"/>
                <w:szCs w:val="21"/>
              </w:rPr>
            </w:pPr>
          </w:p>
        </w:tc>
      </w:tr>
      <w:tr w14:paraId="3071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vMerge w:val="restart"/>
            <w:vAlign w:val="center"/>
          </w:tcPr>
          <w:p w14:paraId="6F975F4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r>
              <w:rPr>
                <w:rFonts w:ascii="Times New Roman" w:hAnsi="Times New Roman" w:cs="Times New Roman"/>
                <w:b/>
                <w:bCs/>
                <w:kern w:val="0"/>
                <w:szCs w:val="21"/>
              </w:rPr>
              <w:t>运维保障</w:t>
            </w:r>
          </w:p>
          <w:p w14:paraId="3CFB7ED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r>
              <w:rPr>
                <w:rFonts w:ascii="Times New Roman" w:hAnsi="Times New Roman" w:cs="Times New Roman"/>
                <w:b/>
                <w:bCs/>
                <w:kern w:val="0"/>
                <w:szCs w:val="21"/>
              </w:rPr>
              <w:t>（15分）</w:t>
            </w:r>
          </w:p>
        </w:tc>
        <w:tc>
          <w:tcPr>
            <w:tcW w:w="3483" w:type="dxa"/>
            <w:vAlign w:val="center"/>
          </w:tcPr>
          <w:p w14:paraId="79052A5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r>
              <w:rPr>
                <w:rFonts w:ascii="Times New Roman" w:hAnsi="Times New Roman" w:cs="Times New Roman"/>
                <w:kern w:val="0"/>
                <w:szCs w:val="21"/>
              </w:rPr>
              <w:t>办公与设备场所配备（5分）</w:t>
            </w:r>
          </w:p>
        </w:tc>
        <w:tc>
          <w:tcPr>
            <w:tcW w:w="1352" w:type="dxa"/>
            <w:vAlign w:val="center"/>
          </w:tcPr>
          <w:p w14:paraId="5C07A97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restart"/>
            <w:vAlign w:val="center"/>
          </w:tcPr>
          <w:p w14:paraId="5E1C2C9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00" w:type="dxa"/>
            <w:vAlign w:val="center"/>
          </w:tcPr>
          <w:p w14:paraId="2AEF564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r>
      <w:tr w14:paraId="6493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vMerge w:val="continue"/>
            <w:vAlign w:val="center"/>
          </w:tcPr>
          <w:p w14:paraId="28F723F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Cs w:val="21"/>
              </w:rPr>
            </w:pPr>
          </w:p>
        </w:tc>
        <w:tc>
          <w:tcPr>
            <w:tcW w:w="3483" w:type="dxa"/>
            <w:vAlign w:val="center"/>
          </w:tcPr>
          <w:p w14:paraId="653FCA8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ascii="Times New Roman" w:hAnsi="Times New Roman" w:cs="Times New Roman"/>
                <w:kern w:val="0"/>
                <w:szCs w:val="21"/>
              </w:rPr>
              <w:t>运行管理支撑保障（5分）</w:t>
            </w:r>
          </w:p>
        </w:tc>
        <w:tc>
          <w:tcPr>
            <w:tcW w:w="1352" w:type="dxa"/>
            <w:vAlign w:val="center"/>
          </w:tcPr>
          <w:p w14:paraId="3ED97E3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continue"/>
            <w:vAlign w:val="center"/>
          </w:tcPr>
          <w:p w14:paraId="6A01803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00" w:type="dxa"/>
            <w:vAlign w:val="center"/>
          </w:tcPr>
          <w:p w14:paraId="5CB389A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r>
      <w:tr w14:paraId="5827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vMerge w:val="continue"/>
            <w:vAlign w:val="center"/>
          </w:tcPr>
          <w:p w14:paraId="28C1713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3483" w:type="dxa"/>
            <w:vAlign w:val="center"/>
          </w:tcPr>
          <w:p w14:paraId="54D2C79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ascii="Times New Roman" w:hAnsi="Times New Roman" w:cs="Times New Roman"/>
                <w:kern w:val="0"/>
                <w:szCs w:val="21"/>
              </w:rPr>
              <w:t>人员配备（5分）</w:t>
            </w:r>
          </w:p>
        </w:tc>
        <w:tc>
          <w:tcPr>
            <w:tcW w:w="1352" w:type="dxa"/>
            <w:vAlign w:val="center"/>
          </w:tcPr>
          <w:p w14:paraId="4B6AEF8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continue"/>
            <w:vAlign w:val="center"/>
          </w:tcPr>
          <w:p w14:paraId="0C217FE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00" w:type="dxa"/>
            <w:vAlign w:val="center"/>
          </w:tcPr>
          <w:p w14:paraId="0F769D9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r>
      <w:tr w14:paraId="238D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vMerge w:val="restart"/>
            <w:vAlign w:val="center"/>
          </w:tcPr>
          <w:p w14:paraId="683DBB2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r>
              <w:rPr>
                <w:rFonts w:ascii="Times New Roman" w:hAnsi="Times New Roman" w:cs="Times New Roman"/>
                <w:b/>
                <w:bCs/>
                <w:kern w:val="0"/>
                <w:szCs w:val="21"/>
              </w:rPr>
              <w:t>数据服务</w:t>
            </w:r>
          </w:p>
          <w:p w14:paraId="2548BC8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ascii="Times New Roman" w:hAnsi="Times New Roman" w:cs="Times New Roman"/>
                <w:b/>
                <w:bCs/>
                <w:kern w:val="0"/>
                <w:szCs w:val="21"/>
              </w:rPr>
              <w:t>（</w:t>
            </w:r>
            <w:r>
              <w:rPr>
                <w:rFonts w:hint="eastAsia" w:ascii="Times New Roman" w:hAnsi="Times New Roman" w:cs="Times New Roman"/>
                <w:b/>
                <w:bCs/>
                <w:kern w:val="0"/>
                <w:szCs w:val="21"/>
              </w:rPr>
              <w:t>60</w:t>
            </w:r>
            <w:r>
              <w:rPr>
                <w:rFonts w:ascii="Times New Roman" w:hAnsi="Times New Roman" w:cs="Times New Roman"/>
                <w:b/>
                <w:bCs/>
                <w:kern w:val="0"/>
                <w:szCs w:val="21"/>
              </w:rPr>
              <w:t>分）</w:t>
            </w:r>
          </w:p>
        </w:tc>
        <w:tc>
          <w:tcPr>
            <w:tcW w:w="3483" w:type="dxa"/>
            <w:vAlign w:val="center"/>
          </w:tcPr>
          <w:p w14:paraId="306E5AD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trike/>
                <w:kern w:val="0"/>
                <w:szCs w:val="21"/>
              </w:rPr>
            </w:pPr>
            <w:r>
              <w:rPr>
                <w:rFonts w:ascii="Times New Roman" w:hAnsi="Times New Roman" w:cs="Times New Roman"/>
                <w:kern w:val="0"/>
                <w:szCs w:val="21"/>
              </w:rPr>
              <w:t>秸秆焚烧</w:t>
            </w:r>
            <w:r>
              <w:rPr>
                <w:rFonts w:hint="eastAsia" w:ascii="Times New Roman" w:hAnsi="Times New Roman" w:cs="Times New Roman"/>
                <w:kern w:val="0"/>
                <w:szCs w:val="21"/>
              </w:rPr>
              <w:t>异常火点</w:t>
            </w:r>
            <w:r>
              <w:rPr>
                <w:rFonts w:ascii="Times New Roman" w:hAnsi="Times New Roman" w:cs="Times New Roman"/>
                <w:kern w:val="0"/>
                <w:szCs w:val="21"/>
              </w:rPr>
              <w:t>监测统计分析报告（1</w:t>
            </w:r>
            <w:r>
              <w:rPr>
                <w:rFonts w:hint="eastAsia" w:ascii="Times New Roman" w:hAnsi="Times New Roman" w:cs="Times New Roman"/>
                <w:kern w:val="0"/>
                <w:szCs w:val="21"/>
              </w:rPr>
              <w:t>5</w:t>
            </w:r>
            <w:r>
              <w:rPr>
                <w:rFonts w:ascii="Times New Roman" w:hAnsi="Times New Roman" w:cs="Times New Roman"/>
                <w:kern w:val="0"/>
                <w:szCs w:val="21"/>
              </w:rPr>
              <w:t>分）</w:t>
            </w:r>
          </w:p>
        </w:tc>
        <w:tc>
          <w:tcPr>
            <w:tcW w:w="1352" w:type="dxa"/>
            <w:vAlign w:val="center"/>
          </w:tcPr>
          <w:p w14:paraId="3D42F0D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restart"/>
            <w:vAlign w:val="center"/>
          </w:tcPr>
          <w:p w14:paraId="6537C57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00" w:type="dxa"/>
            <w:vAlign w:val="center"/>
          </w:tcPr>
          <w:p w14:paraId="07DCDF0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r>
      <w:tr w14:paraId="1552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600" w:type="dxa"/>
            <w:vMerge w:val="continue"/>
            <w:vAlign w:val="center"/>
          </w:tcPr>
          <w:p w14:paraId="097C1DE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Cs w:val="21"/>
              </w:rPr>
            </w:pPr>
          </w:p>
        </w:tc>
        <w:tc>
          <w:tcPr>
            <w:tcW w:w="3483" w:type="dxa"/>
            <w:vAlign w:val="center"/>
          </w:tcPr>
          <w:p w14:paraId="296A8C6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hint="eastAsia" w:ascii="Times New Roman" w:hAnsi="Times New Roman" w:cs="Times New Roman"/>
                <w:kern w:val="0"/>
                <w:szCs w:val="21"/>
              </w:rPr>
              <w:t>黄河流域生态环境监测</w:t>
            </w:r>
            <w:r>
              <w:rPr>
                <w:rFonts w:ascii="Times New Roman" w:hAnsi="Times New Roman" w:cs="Times New Roman"/>
                <w:kern w:val="0"/>
                <w:szCs w:val="21"/>
              </w:rPr>
              <w:t>（</w:t>
            </w:r>
            <w:r>
              <w:rPr>
                <w:rFonts w:hint="eastAsia" w:ascii="Times New Roman" w:hAnsi="Times New Roman" w:cs="Times New Roman"/>
                <w:kern w:val="0"/>
                <w:szCs w:val="21"/>
              </w:rPr>
              <w:t>10</w:t>
            </w:r>
            <w:r>
              <w:rPr>
                <w:rFonts w:ascii="Times New Roman" w:hAnsi="Times New Roman" w:cs="Times New Roman"/>
                <w:kern w:val="0"/>
                <w:szCs w:val="21"/>
              </w:rPr>
              <w:t>分）</w:t>
            </w:r>
          </w:p>
        </w:tc>
        <w:tc>
          <w:tcPr>
            <w:tcW w:w="1352" w:type="dxa"/>
            <w:vAlign w:val="center"/>
          </w:tcPr>
          <w:p w14:paraId="5FB4443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continue"/>
            <w:vAlign w:val="center"/>
          </w:tcPr>
          <w:p w14:paraId="4250220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c>
          <w:tcPr>
            <w:tcW w:w="1000" w:type="dxa"/>
            <w:vAlign w:val="center"/>
          </w:tcPr>
          <w:p w14:paraId="1F2120D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r>
      <w:tr w14:paraId="5016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vMerge w:val="continue"/>
            <w:vAlign w:val="center"/>
          </w:tcPr>
          <w:p w14:paraId="2CD7D76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Cs w:val="21"/>
              </w:rPr>
            </w:pPr>
          </w:p>
        </w:tc>
        <w:tc>
          <w:tcPr>
            <w:tcW w:w="3483" w:type="dxa"/>
            <w:vAlign w:val="center"/>
          </w:tcPr>
          <w:p w14:paraId="371EE37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ascii="Times New Roman" w:hAnsi="Times New Roman" w:cs="Times New Roman"/>
                <w:kern w:val="0"/>
                <w:szCs w:val="21"/>
              </w:rPr>
              <w:t>饮用水源地</w:t>
            </w:r>
            <w:r>
              <w:rPr>
                <w:rFonts w:hint="eastAsia" w:ascii="Times New Roman" w:hAnsi="Times New Roman" w:cs="Times New Roman"/>
                <w:kern w:val="0"/>
                <w:szCs w:val="21"/>
              </w:rPr>
              <w:t>水华、</w:t>
            </w:r>
            <w:r>
              <w:rPr>
                <w:rFonts w:ascii="Times New Roman" w:hAnsi="Times New Roman" w:cs="Times New Roman"/>
                <w:kern w:val="0"/>
                <w:szCs w:val="21"/>
              </w:rPr>
              <w:t>风险源</w:t>
            </w:r>
            <w:r>
              <w:rPr>
                <w:rFonts w:hint="eastAsia" w:ascii="Times New Roman" w:hAnsi="Times New Roman" w:cs="Times New Roman"/>
                <w:kern w:val="0"/>
                <w:szCs w:val="21"/>
              </w:rPr>
              <w:t>及土地利用类型</w:t>
            </w:r>
            <w:r>
              <w:rPr>
                <w:rFonts w:ascii="Times New Roman" w:hAnsi="Times New Roman" w:cs="Times New Roman"/>
                <w:kern w:val="0"/>
                <w:szCs w:val="21"/>
              </w:rPr>
              <w:t>卫星遥感监测统计分析报告（15分）</w:t>
            </w:r>
          </w:p>
        </w:tc>
        <w:tc>
          <w:tcPr>
            <w:tcW w:w="1352" w:type="dxa"/>
            <w:vAlign w:val="center"/>
          </w:tcPr>
          <w:p w14:paraId="4DA1A89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continue"/>
            <w:vAlign w:val="center"/>
          </w:tcPr>
          <w:p w14:paraId="4431EF3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c>
          <w:tcPr>
            <w:tcW w:w="1000" w:type="dxa"/>
            <w:vAlign w:val="center"/>
          </w:tcPr>
          <w:p w14:paraId="5FDF7F8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r>
      <w:tr w14:paraId="7E69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0" w:type="dxa"/>
            <w:vMerge w:val="continue"/>
            <w:vAlign w:val="center"/>
          </w:tcPr>
          <w:p w14:paraId="24FA647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3483" w:type="dxa"/>
            <w:vAlign w:val="center"/>
          </w:tcPr>
          <w:p w14:paraId="7845E1E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ascii="Times New Roman" w:hAnsi="Times New Roman" w:cs="Times New Roman"/>
                <w:kern w:val="0"/>
                <w:szCs w:val="21"/>
              </w:rPr>
              <w:t>污染地块监测统计分析报告</w:t>
            </w:r>
            <w:r>
              <w:rPr>
                <w:rFonts w:hint="eastAsia" w:ascii="Times New Roman" w:hAnsi="Times New Roman" w:cs="Times New Roman"/>
                <w:kern w:val="0"/>
                <w:szCs w:val="21"/>
              </w:rPr>
              <w:t>（5分）</w:t>
            </w:r>
          </w:p>
        </w:tc>
        <w:tc>
          <w:tcPr>
            <w:tcW w:w="1352" w:type="dxa"/>
            <w:vAlign w:val="center"/>
          </w:tcPr>
          <w:p w14:paraId="0977E8F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continue"/>
            <w:vAlign w:val="center"/>
          </w:tcPr>
          <w:p w14:paraId="17F9138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00" w:type="dxa"/>
            <w:vAlign w:val="center"/>
          </w:tcPr>
          <w:p w14:paraId="6E9AD9D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r>
      <w:tr w14:paraId="2770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00" w:type="dxa"/>
            <w:vMerge w:val="continue"/>
            <w:vAlign w:val="center"/>
          </w:tcPr>
          <w:p w14:paraId="795705D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3483" w:type="dxa"/>
            <w:vAlign w:val="center"/>
          </w:tcPr>
          <w:p w14:paraId="13F0292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r>
              <w:rPr>
                <w:rFonts w:hint="eastAsia" w:ascii="Times New Roman" w:hAnsi="Times New Roman" w:cs="Times New Roman"/>
                <w:kern w:val="0"/>
                <w:szCs w:val="21"/>
              </w:rPr>
              <w:t>臭氧及二氧化氮</w:t>
            </w:r>
            <w:r>
              <w:rPr>
                <w:rFonts w:ascii="Times New Roman" w:hAnsi="Times New Roman" w:cs="Times New Roman"/>
                <w:kern w:val="0"/>
                <w:szCs w:val="21"/>
              </w:rPr>
              <w:t>浓度监测统计分析报告（</w:t>
            </w:r>
            <w:r>
              <w:rPr>
                <w:rFonts w:hint="eastAsia" w:ascii="Times New Roman" w:hAnsi="Times New Roman" w:cs="Times New Roman"/>
                <w:kern w:val="0"/>
                <w:szCs w:val="21"/>
              </w:rPr>
              <w:t>15</w:t>
            </w:r>
            <w:r>
              <w:rPr>
                <w:rFonts w:ascii="Times New Roman" w:hAnsi="Times New Roman" w:cs="Times New Roman"/>
                <w:kern w:val="0"/>
                <w:szCs w:val="21"/>
              </w:rPr>
              <w:t>分）</w:t>
            </w:r>
          </w:p>
        </w:tc>
        <w:tc>
          <w:tcPr>
            <w:tcW w:w="1352" w:type="dxa"/>
            <w:vAlign w:val="center"/>
          </w:tcPr>
          <w:p w14:paraId="5D56F0B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87" w:type="dxa"/>
            <w:vMerge w:val="continue"/>
            <w:vAlign w:val="center"/>
          </w:tcPr>
          <w:p w14:paraId="1D61390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c>
          <w:tcPr>
            <w:tcW w:w="1000" w:type="dxa"/>
            <w:vAlign w:val="center"/>
          </w:tcPr>
          <w:p w14:paraId="4299F59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kern w:val="0"/>
                <w:szCs w:val="21"/>
              </w:rPr>
            </w:pPr>
          </w:p>
        </w:tc>
      </w:tr>
      <w:tr w14:paraId="5EFF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3" w:type="dxa"/>
            <w:gridSpan w:val="2"/>
            <w:vAlign w:val="center"/>
          </w:tcPr>
          <w:p w14:paraId="20AA574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r>
              <w:rPr>
                <w:rFonts w:hint="eastAsia" w:ascii="Times New Roman" w:hAnsi="Times New Roman" w:cs="Times New Roman"/>
                <w:b/>
                <w:bCs/>
                <w:kern w:val="0"/>
                <w:szCs w:val="21"/>
              </w:rPr>
              <w:t>合计</w:t>
            </w:r>
          </w:p>
        </w:tc>
        <w:tc>
          <w:tcPr>
            <w:tcW w:w="1352" w:type="dxa"/>
            <w:vAlign w:val="center"/>
          </w:tcPr>
          <w:p w14:paraId="0ED0F94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c>
          <w:tcPr>
            <w:tcW w:w="1087" w:type="dxa"/>
            <w:vAlign w:val="center"/>
          </w:tcPr>
          <w:p w14:paraId="669A530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c>
          <w:tcPr>
            <w:tcW w:w="1000" w:type="dxa"/>
            <w:vAlign w:val="center"/>
          </w:tcPr>
          <w:p w14:paraId="221914F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Cs w:val="21"/>
              </w:rPr>
            </w:pPr>
          </w:p>
        </w:tc>
      </w:tr>
    </w:tbl>
    <w:p w14:paraId="34D4C361">
      <w:pPr>
        <w:rPr>
          <w:rFonts w:ascii="Times New Roman" w:hAnsi="Times New Roman" w:eastAsia="宋体" w:cs="Times New Roman"/>
          <w:color w:val="000000"/>
          <w:sz w:val="24"/>
          <w:szCs w:val="24"/>
        </w:rPr>
      </w:pPr>
    </w:p>
    <w:p w14:paraId="0EA32D76">
      <w:pPr>
        <w:spacing w:line="360" w:lineRule="auto"/>
        <w:ind w:firstLine="420" w:firstLineChars="200"/>
      </w:pPr>
    </w:p>
    <w:p w14:paraId="471C25BE">
      <w:pPr>
        <w:autoSpaceDE w:val="0"/>
        <w:autoSpaceDN w:val="0"/>
        <w:adjustRightInd w:val="0"/>
        <w:spacing w:line="360" w:lineRule="auto"/>
        <w:ind w:firstLine="560" w:firstLineChars="200"/>
        <w:jc w:val="left"/>
        <w:rPr>
          <w:rFonts w:ascii="宋体" w:hAnsi="宋体" w:cs="宋体"/>
          <w:sz w:val="28"/>
          <w:szCs w:val="28"/>
        </w:rPr>
      </w:pPr>
      <w:r>
        <w:rPr>
          <w:rFonts w:hint="eastAsia" w:ascii="宋体" w:hAnsi="宋体" w:cs="宋体"/>
          <w:sz w:val="28"/>
          <w:szCs w:val="28"/>
        </w:rPr>
        <w:br w:type="page"/>
      </w:r>
    </w:p>
    <w:p w14:paraId="467C8AF6">
      <w:pPr>
        <w:spacing w:line="360" w:lineRule="auto"/>
        <w:ind w:firstLine="602" w:firstLineChars="200"/>
        <w:jc w:val="center"/>
        <w:outlineLvl w:val="0"/>
        <w:rPr>
          <w:rFonts w:ascii="宋体" w:hAnsi="宋体" w:cs="宋体"/>
          <w:b/>
          <w:bCs/>
          <w:sz w:val="30"/>
          <w:szCs w:val="30"/>
        </w:rPr>
      </w:pPr>
      <w:bookmarkStart w:id="78" w:name="_Toc21968"/>
      <w:r>
        <w:rPr>
          <w:rFonts w:hint="eastAsia" w:ascii="宋体" w:hAnsi="宋体" w:cs="宋体"/>
          <w:b/>
          <w:bCs/>
          <w:sz w:val="30"/>
          <w:szCs w:val="30"/>
        </w:rPr>
        <w:t>第五部分 单一来源采购评审原则及成交办法</w:t>
      </w:r>
      <w:bookmarkEnd w:id="59"/>
      <w:bookmarkEnd w:id="60"/>
      <w:bookmarkEnd w:id="61"/>
      <w:bookmarkEnd w:id="62"/>
      <w:bookmarkEnd w:id="63"/>
      <w:bookmarkEnd w:id="78"/>
    </w:p>
    <w:p w14:paraId="731CAD8E">
      <w:pPr>
        <w:pStyle w:val="40"/>
        <w:spacing w:line="360" w:lineRule="auto"/>
        <w:rPr>
          <w:rFonts w:ascii="宋体" w:hAnsi="宋体" w:cs="宋体"/>
        </w:rPr>
      </w:pPr>
    </w:p>
    <w:p w14:paraId="63FBB08D">
      <w:pPr>
        <w:spacing w:line="360" w:lineRule="auto"/>
        <w:ind w:firstLine="480" w:firstLineChars="200"/>
        <w:rPr>
          <w:rFonts w:ascii="宋体" w:hAnsi="宋体" w:cs="宋体"/>
          <w:sz w:val="24"/>
        </w:rPr>
      </w:pPr>
      <w:r>
        <w:rPr>
          <w:rFonts w:hint="eastAsia" w:ascii="宋体" w:hAnsi="宋体" w:cs="宋体"/>
          <w:sz w:val="24"/>
        </w:rPr>
        <w:t>本次单一来源采购应本着“公平、公开、公正及诚实信用”的原则进行。</w:t>
      </w:r>
    </w:p>
    <w:p w14:paraId="298739AA">
      <w:pPr>
        <w:spacing w:line="360" w:lineRule="auto"/>
        <w:ind w:firstLine="480" w:firstLineChars="200"/>
        <w:rPr>
          <w:rFonts w:ascii="宋体" w:hAnsi="宋体" w:cs="宋体"/>
          <w:sz w:val="24"/>
        </w:rPr>
      </w:pPr>
      <w:r>
        <w:rPr>
          <w:rFonts w:hint="eastAsia" w:ascii="宋体" w:hAnsi="宋体" w:cs="宋体"/>
          <w:sz w:val="24"/>
        </w:rPr>
        <w:t>单一来源供应商递交采购响应文件，该响应文件应符合采购文件的要求。</w:t>
      </w:r>
    </w:p>
    <w:p w14:paraId="15FCAEB9">
      <w:pPr>
        <w:spacing w:line="360" w:lineRule="auto"/>
        <w:ind w:firstLine="480" w:firstLineChars="200"/>
        <w:rPr>
          <w:rFonts w:ascii="宋体" w:hAnsi="宋体" w:cs="宋体"/>
          <w:sz w:val="24"/>
        </w:rPr>
      </w:pPr>
      <w:r>
        <w:rPr>
          <w:rFonts w:hint="eastAsia" w:ascii="宋体" w:hAnsi="宋体" w:cs="宋体"/>
          <w:sz w:val="24"/>
        </w:rPr>
        <w:t>采购代理公司按照从河南省政府采购专家库中随机抽取的评审专家与采购人代表组成评审小组，评审小组首先审核供应商的采购响应文件是否满足采购文件的要求，然后依据单一来源采购文件中采购需求，评审供应商的技术文件是否基本符合要求或者做出完善承诺。</w:t>
      </w:r>
    </w:p>
    <w:p w14:paraId="52C01063">
      <w:pPr>
        <w:pStyle w:val="6"/>
        <w:spacing w:line="360" w:lineRule="auto"/>
        <w:ind w:firstLine="480"/>
        <w:rPr>
          <w:rFonts w:ascii="宋体" w:hAnsi="宋体" w:cs="宋体"/>
          <w:sz w:val="24"/>
        </w:rPr>
      </w:pPr>
      <w:r>
        <w:rPr>
          <w:rFonts w:hint="eastAsia" w:ascii="宋体" w:hAnsi="宋体" w:cs="宋体"/>
          <w:sz w:val="24"/>
        </w:rPr>
        <w:t>供应商根据自身实力及上述承诺进行第二轮报价，以响应报价函形式进行报价，再次报价不得高于前一轮响应文件中的报价；</w:t>
      </w:r>
    </w:p>
    <w:p w14:paraId="3844F1D2">
      <w:pPr>
        <w:spacing w:line="360" w:lineRule="auto"/>
        <w:ind w:firstLine="480" w:firstLineChars="200"/>
        <w:rPr>
          <w:rFonts w:ascii="宋体" w:hAnsi="宋体" w:cs="宋体"/>
          <w:sz w:val="24"/>
        </w:rPr>
      </w:pPr>
      <w:r>
        <w:rPr>
          <w:rFonts w:hint="eastAsia" w:ascii="宋体" w:hAnsi="宋体" w:cs="宋体"/>
          <w:sz w:val="24"/>
        </w:rPr>
        <w:t>评审小组与供应商商定合理的成交价格并保证采购项目质量确定成交供应商，由评审小组成员在协商记录上签字。</w:t>
      </w:r>
    </w:p>
    <w:p w14:paraId="4FC61EFC">
      <w:pPr>
        <w:spacing w:line="360" w:lineRule="auto"/>
        <w:ind w:firstLine="480" w:firstLineChars="200"/>
        <w:rPr>
          <w:rFonts w:ascii="宋体" w:hAnsi="宋体" w:cs="宋体"/>
          <w:sz w:val="24"/>
        </w:rPr>
        <w:sectPr>
          <w:footerReference r:id="rId9" w:type="first"/>
          <w:footerReference r:id="rId8" w:type="default"/>
          <w:pgSz w:w="11906" w:h="16838"/>
          <w:pgMar w:top="1134" w:right="1134" w:bottom="1134" w:left="1134" w:header="851" w:footer="992" w:gutter="0"/>
          <w:pgNumType w:start="18"/>
          <w:cols w:space="0" w:num="1"/>
          <w:titlePg/>
          <w:docGrid w:linePitch="312" w:charSpace="0"/>
        </w:sectPr>
      </w:pPr>
    </w:p>
    <w:p w14:paraId="3E07959B">
      <w:pPr>
        <w:pStyle w:val="40"/>
        <w:spacing w:line="360" w:lineRule="auto"/>
        <w:rPr>
          <w:rFonts w:ascii="宋体" w:hAnsi="宋体" w:cs="宋体"/>
        </w:rPr>
      </w:pPr>
    </w:p>
    <w:p w14:paraId="20B88250">
      <w:pPr>
        <w:spacing w:line="360" w:lineRule="auto"/>
        <w:rPr>
          <w:rFonts w:ascii="宋体" w:hAnsi="宋体" w:cs="宋体"/>
        </w:rPr>
      </w:pPr>
    </w:p>
    <w:p w14:paraId="3C34D9B6">
      <w:pPr>
        <w:spacing w:line="360" w:lineRule="auto"/>
        <w:rPr>
          <w:rFonts w:ascii="宋体" w:hAnsi="宋体" w:cs="宋体"/>
        </w:rPr>
      </w:pPr>
    </w:p>
    <w:p w14:paraId="6F819453">
      <w:pPr>
        <w:spacing w:line="360" w:lineRule="auto"/>
        <w:rPr>
          <w:rFonts w:ascii="宋体" w:hAnsi="宋体" w:cs="宋体"/>
        </w:rPr>
      </w:pPr>
    </w:p>
    <w:p w14:paraId="4C291C8D">
      <w:pPr>
        <w:spacing w:line="360" w:lineRule="auto"/>
        <w:rPr>
          <w:rFonts w:ascii="宋体" w:hAnsi="宋体" w:cs="宋体"/>
        </w:rPr>
      </w:pPr>
    </w:p>
    <w:p w14:paraId="51A3660A">
      <w:pPr>
        <w:spacing w:line="360" w:lineRule="auto"/>
        <w:rPr>
          <w:rFonts w:ascii="宋体" w:hAnsi="宋体" w:cs="宋体"/>
        </w:rPr>
      </w:pPr>
    </w:p>
    <w:p w14:paraId="0E1C2096">
      <w:pPr>
        <w:spacing w:line="360" w:lineRule="auto"/>
        <w:rPr>
          <w:rFonts w:ascii="宋体" w:hAnsi="宋体" w:cs="宋体"/>
        </w:rPr>
      </w:pPr>
    </w:p>
    <w:p w14:paraId="355FFC47">
      <w:pPr>
        <w:spacing w:line="360" w:lineRule="auto"/>
        <w:rPr>
          <w:rFonts w:ascii="宋体" w:hAnsi="宋体" w:cs="宋体"/>
        </w:rPr>
      </w:pPr>
    </w:p>
    <w:p w14:paraId="5BEE48B3">
      <w:pPr>
        <w:spacing w:line="360" w:lineRule="auto"/>
        <w:rPr>
          <w:rFonts w:ascii="宋体" w:hAnsi="宋体" w:cs="宋体"/>
        </w:rPr>
      </w:pPr>
    </w:p>
    <w:p w14:paraId="0B2AC326">
      <w:pPr>
        <w:spacing w:line="360" w:lineRule="auto"/>
        <w:rPr>
          <w:rFonts w:ascii="宋体" w:hAnsi="宋体" w:cs="宋体"/>
        </w:rPr>
      </w:pPr>
    </w:p>
    <w:p w14:paraId="200947EC">
      <w:pPr>
        <w:spacing w:line="360" w:lineRule="auto"/>
        <w:rPr>
          <w:rFonts w:ascii="宋体" w:hAnsi="宋体" w:cs="宋体"/>
        </w:rPr>
      </w:pPr>
    </w:p>
    <w:p w14:paraId="30936EC5">
      <w:pPr>
        <w:spacing w:line="360" w:lineRule="auto"/>
        <w:rPr>
          <w:rFonts w:ascii="宋体" w:hAnsi="宋体" w:cs="宋体"/>
        </w:rPr>
      </w:pPr>
    </w:p>
    <w:p w14:paraId="6761C607">
      <w:pPr>
        <w:spacing w:line="360" w:lineRule="auto"/>
        <w:rPr>
          <w:rFonts w:ascii="宋体" w:hAnsi="宋体" w:cs="宋体"/>
        </w:rPr>
      </w:pPr>
    </w:p>
    <w:p w14:paraId="2573170C">
      <w:pPr>
        <w:spacing w:line="360" w:lineRule="auto"/>
        <w:rPr>
          <w:rFonts w:ascii="宋体" w:hAnsi="宋体" w:cs="宋体"/>
        </w:rPr>
      </w:pPr>
    </w:p>
    <w:p w14:paraId="03D20130">
      <w:pPr>
        <w:spacing w:line="360" w:lineRule="auto"/>
        <w:ind w:firstLine="602"/>
        <w:jc w:val="center"/>
        <w:outlineLvl w:val="0"/>
        <w:rPr>
          <w:rFonts w:ascii="宋体" w:hAnsi="宋体" w:cs="宋体"/>
          <w:b/>
          <w:bCs/>
          <w:sz w:val="30"/>
          <w:szCs w:val="30"/>
        </w:rPr>
      </w:pPr>
      <w:bookmarkStart w:id="79" w:name="_Toc15004"/>
      <w:bookmarkStart w:id="80" w:name="_Toc19392"/>
      <w:bookmarkStart w:id="81" w:name="_Toc28184"/>
      <w:bookmarkStart w:id="82" w:name="_Toc31482"/>
      <w:bookmarkStart w:id="83" w:name="_Toc24075"/>
      <w:bookmarkStart w:id="84" w:name="_Toc12795"/>
      <w:bookmarkStart w:id="85" w:name="_Toc13279"/>
      <w:bookmarkStart w:id="86" w:name="_Toc15973"/>
      <w:bookmarkStart w:id="87" w:name="_Toc23788"/>
      <w:r>
        <w:rPr>
          <w:rFonts w:hint="eastAsia" w:ascii="宋体" w:hAnsi="宋体" w:cs="宋体"/>
          <w:b/>
          <w:bCs/>
          <w:sz w:val="30"/>
          <w:szCs w:val="30"/>
        </w:rPr>
        <w:t>第六部分 响应文件格式</w:t>
      </w:r>
      <w:bookmarkEnd w:id="79"/>
      <w:bookmarkEnd w:id="80"/>
      <w:bookmarkEnd w:id="81"/>
      <w:bookmarkEnd w:id="82"/>
      <w:bookmarkEnd w:id="83"/>
      <w:bookmarkEnd w:id="84"/>
      <w:bookmarkEnd w:id="85"/>
      <w:bookmarkEnd w:id="86"/>
      <w:bookmarkEnd w:id="87"/>
    </w:p>
    <w:p w14:paraId="34D4AAB9">
      <w:pPr>
        <w:spacing w:line="360" w:lineRule="auto"/>
        <w:rPr>
          <w:rFonts w:ascii="宋体" w:hAnsi="宋体" w:cs="宋体"/>
          <w:lang w:val="zh-CN"/>
        </w:rPr>
      </w:pPr>
    </w:p>
    <w:p w14:paraId="491D4DFB">
      <w:pPr>
        <w:spacing w:line="360" w:lineRule="auto"/>
        <w:ind w:firstLine="640"/>
        <w:jc w:val="center"/>
        <w:rPr>
          <w:rFonts w:ascii="宋体" w:hAnsi="宋体" w:cs="宋体"/>
          <w:spacing w:val="40"/>
          <w:sz w:val="24"/>
          <w:lang w:val="zh-CN"/>
        </w:rPr>
      </w:pPr>
      <w:r>
        <w:rPr>
          <w:rFonts w:hint="eastAsia" w:ascii="宋体" w:hAnsi="宋体" w:cs="宋体"/>
          <w:spacing w:val="40"/>
          <w:sz w:val="24"/>
          <w:lang w:val="zh-CN"/>
        </w:rPr>
        <w:br w:type="page"/>
      </w:r>
    </w:p>
    <w:p w14:paraId="70B0112F">
      <w:pPr>
        <w:spacing w:line="360" w:lineRule="auto"/>
        <w:ind w:firstLine="803"/>
        <w:jc w:val="center"/>
        <w:rPr>
          <w:rFonts w:ascii="宋体" w:hAnsi="宋体" w:cs="宋体"/>
          <w:b/>
          <w:spacing w:val="40"/>
          <w:sz w:val="32"/>
          <w:szCs w:val="32"/>
          <w:u w:val="single"/>
        </w:rPr>
      </w:pPr>
    </w:p>
    <w:p w14:paraId="33C18603">
      <w:pPr>
        <w:spacing w:line="360" w:lineRule="auto"/>
        <w:ind w:firstLine="803"/>
        <w:jc w:val="center"/>
        <w:rPr>
          <w:rFonts w:ascii="宋体" w:hAnsi="宋体" w:cs="宋体"/>
          <w:b/>
          <w:spacing w:val="40"/>
          <w:sz w:val="32"/>
          <w:szCs w:val="32"/>
        </w:rPr>
      </w:pPr>
      <w:r>
        <w:rPr>
          <w:rFonts w:hint="eastAsia" w:ascii="宋体" w:hAnsi="宋体" w:cs="宋体"/>
          <w:b/>
          <w:spacing w:val="40"/>
          <w:sz w:val="32"/>
          <w:szCs w:val="32"/>
          <w:u w:val="single"/>
        </w:rPr>
        <w:t xml:space="preserve">                  </w:t>
      </w:r>
      <w:r>
        <w:rPr>
          <w:rFonts w:hint="eastAsia" w:ascii="宋体" w:hAnsi="宋体" w:cs="宋体"/>
          <w:b/>
          <w:spacing w:val="40"/>
          <w:sz w:val="32"/>
          <w:szCs w:val="32"/>
          <w:lang w:val="zh-CN"/>
        </w:rPr>
        <w:t>【项目名称】</w:t>
      </w:r>
    </w:p>
    <w:p w14:paraId="7623E1F9">
      <w:pPr>
        <w:spacing w:line="360" w:lineRule="auto"/>
        <w:rPr>
          <w:rFonts w:ascii="宋体" w:hAnsi="宋体" w:cs="宋体"/>
        </w:rPr>
      </w:pPr>
    </w:p>
    <w:p w14:paraId="4EBC9293">
      <w:pPr>
        <w:spacing w:line="360" w:lineRule="auto"/>
        <w:rPr>
          <w:rFonts w:ascii="宋体" w:hAnsi="宋体" w:cs="宋体"/>
        </w:rPr>
      </w:pPr>
      <w:bookmarkStart w:id="88" w:name="_Toc205541112"/>
    </w:p>
    <w:bookmarkEnd w:id="64"/>
    <w:p w14:paraId="3D0B9226">
      <w:pPr>
        <w:spacing w:line="360" w:lineRule="auto"/>
        <w:rPr>
          <w:rFonts w:ascii="宋体" w:hAnsi="宋体" w:cs="宋体"/>
        </w:rPr>
      </w:pPr>
    </w:p>
    <w:p w14:paraId="5F121A79">
      <w:pPr>
        <w:pStyle w:val="43"/>
        <w:spacing w:line="360" w:lineRule="auto"/>
        <w:rPr>
          <w:rFonts w:ascii="宋体" w:hAnsi="宋体" w:cs="宋体"/>
        </w:rPr>
      </w:pPr>
    </w:p>
    <w:p w14:paraId="670687FF">
      <w:pPr>
        <w:pStyle w:val="43"/>
        <w:spacing w:line="360" w:lineRule="auto"/>
        <w:rPr>
          <w:rFonts w:ascii="宋体" w:hAnsi="宋体" w:cs="宋体"/>
        </w:rPr>
      </w:pPr>
    </w:p>
    <w:p w14:paraId="6ED4A086">
      <w:pPr>
        <w:pStyle w:val="43"/>
        <w:spacing w:line="360" w:lineRule="auto"/>
        <w:rPr>
          <w:rFonts w:ascii="宋体" w:hAnsi="宋体" w:cs="宋体"/>
        </w:rPr>
      </w:pPr>
    </w:p>
    <w:p w14:paraId="042E221D">
      <w:pPr>
        <w:pStyle w:val="43"/>
        <w:spacing w:line="360" w:lineRule="auto"/>
        <w:rPr>
          <w:rFonts w:ascii="宋体" w:hAnsi="宋体" w:cs="宋体"/>
        </w:rPr>
      </w:pPr>
    </w:p>
    <w:p w14:paraId="54ABF9BC">
      <w:pPr>
        <w:spacing w:line="360" w:lineRule="auto"/>
        <w:rPr>
          <w:rFonts w:ascii="宋体" w:hAnsi="宋体" w:cs="宋体"/>
        </w:rPr>
      </w:pPr>
    </w:p>
    <w:p w14:paraId="2C4117D6">
      <w:pPr>
        <w:spacing w:line="360" w:lineRule="auto"/>
        <w:rPr>
          <w:rFonts w:ascii="宋体" w:hAnsi="宋体" w:cs="宋体"/>
        </w:rPr>
      </w:pPr>
    </w:p>
    <w:p w14:paraId="549D9B9B">
      <w:pPr>
        <w:spacing w:line="360" w:lineRule="auto"/>
        <w:ind w:firstLine="1043"/>
        <w:jc w:val="center"/>
        <w:rPr>
          <w:rFonts w:ascii="宋体" w:hAnsi="宋体" w:cs="宋体"/>
          <w:b/>
          <w:spacing w:val="40"/>
          <w:sz w:val="44"/>
          <w:szCs w:val="44"/>
          <w:lang w:val="zh-CN"/>
        </w:rPr>
      </w:pPr>
      <w:bookmarkStart w:id="89" w:name="_Toc229280229"/>
      <w:r>
        <w:rPr>
          <w:rFonts w:hint="eastAsia" w:ascii="宋体" w:hAnsi="宋体" w:cs="宋体"/>
          <w:b/>
          <w:spacing w:val="40"/>
          <w:sz w:val="44"/>
          <w:szCs w:val="44"/>
        </w:rPr>
        <w:t>单一来源</w:t>
      </w:r>
      <w:r>
        <w:rPr>
          <w:rFonts w:hint="eastAsia" w:ascii="宋体" w:hAnsi="宋体" w:cs="宋体"/>
          <w:b/>
          <w:spacing w:val="40"/>
          <w:sz w:val="44"/>
          <w:szCs w:val="44"/>
          <w:lang w:val="zh-CN"/>
        </w:rPr>
        <w:t>响应</w:t>
      </w:r>
      <w:bookmarkEnd w:id="88"/>
      <w:bookmarkEnd w:id="89"/>
      <w:r>
        <w:rPr>
          <w:rFonts w:hint="eastAsia" w:ascii="宋体" w:hAnsi="宋体" w:cs="宋体"/>
          <w:b/>
          <w:spacing w:val="40"/>
          <w:sz w:val="44"/>
          <w:szCs w:val="44"/>
          <w:lang w:val="zh-CN"/>
        </w:rPr>
        <w:t>文件</w:t>
      </w:r>
    </w:p>
    <w:p w14:paraId="1144E94D">
      <w:pPr>
        <w:spacing w:line="360" w:lineRule="auto"/>
        <w:ind w:firstLine="482" w:firstLineChars="200"/>
        <w:jc w:val="center"/>
        <w:rPr>
          <w:rFonts w:ascii="宋体" w:hAnsi="宋体" w:cs="宋体"/>
          <w:b/>
          <w:sz w:val="24"/>
        </w:rPr>
      </w:pPr>
      <w:r>
        <w:rPr>
          <w:rFonts w:hint="eastAsia" w:ascii="宋体" w:hAnsi="宋体" w:cs="宋体"/>
          <w:b/>
          <w:sz w:val="24"/>
        </w:rPr>
        <w:t>采购编号：</w:t>
      </w:r>
    </w:p>
    <w:p w14:paraId="133A1B89">
      <w:pPr>
        <w:spacing w:line="360" w:lineRule="auto"/>
        <w:ind w:firstLine="482" w:firstLineChars="200"/>
        <w:rPr>
          <w:rFonts w:ascii="宋体" w:hAnsi="宋体" w:cs="宋体"/>
          <w:b/>
          <w:sz w:val="24"/>
        </w:rPr>
      </w:pPr>
      <w:r>
        <w:rPr>
          <w:rFonts w:hint="eastAsia" w:ascii="宋体" w:hAnsi="宋体" w:cs="宋体"/>
          <w:b/>
          <w:sz w:val="24"/>
        </w:rPr>
        <w:t xml:space="preserve"> </w:t>
      </w:r>
    </w:p>
    <w:p w14:paraId="036D32E3">
      <w:pPr>
        <w:spacing w:line="360" w:lineRule="auto"/>
        <w:ind w:firstLine="482" w:firstLineChars="200"/>
        <w:rPr>
          <w:rFonts w:ascii="宋体" w:hAnsi="宋体" w:cs="宋体"/>
          <w:b/>
          <w:sz w:val="24"/>
        </w:rPr>
      </w:pPr>
      <w:r>
        <w:rPr>
          <w:rFonts w:hint="eastAsia" w:ascii="宋体" w:hAnsi="宋体" w:cs="宋体"/>
          <w:b/>
          <w:sz w:val="24"/>
        </w:rPr>
        <w:t xml:space="preserve">  </w:t>
      </w:r>
    </w:p>
    <w:p w14:paraId="2ED9CAA4">
      <w:pPr>
        <w:spacing w:line="360" w:lineRule="auto"/>
        <w:ind w:firstLine="482" w:firstLineChars="200"/>
        <w:rPr>
          <w:rFonts w:ascii="宋体" w:hAnsi="宋体" w:cs="宋体"/>
          <w:b/>
          <w:sz w:val="24"/>
        </w:rPr>
      </w:pPr>
      <w:r>
        <w:rPr>
          <w:rFonts w:hint="eastAsia" w:ascii="宋体" w:hAnsi="宋体" w:cs="宋体"/>
          <w:b/>
          <w:sz w:val="24"/>
        </w:rPr>
        <w:t xml:space="preserve"> </w:t>
      </w:r>
    </w:p>
    <w:p w14:paraId="4FBBA2D4">
      <w:pPr>
        <w:spacing w:line="360" w:lineRule="auto"/>
        <w:ind w:firstLine="482"/>
        <w:jc w:val="center"/>
        <w:rPr>
          <w:rFonts w:ascii="宋体" w:hAnsi="宋体" w:cs="宋体"/>
          <w:b/>
          <w:sz w:val="24"/>
        </w:rPr>
      </w:pPr>
    </w:p>
    <w:p w14:paraId="7454F7E6">
      <w:pPr>
        <w:pStyle w:val="43"/>
        <w:spacing w:line="360" w:lineRule="auto"/>
        <w:ind w:firstLine="482"/>
        <w:rPr>
          <w:rFonts w:ascii="宋体" w:hAnsi="宋体" w:cs="宋体"/>
          <w:b/>
        </w:rPr>
      </w:pPr>
    </w:p>
    <w:p w14:paraId="27ED3450">
      <w:pPr>
        <w:pStyle w:val="43"/>
        <w:spacing w:line="360" w:lineRule="auto"/>
        <w:ind w:firstLine="482"/>
        <w:rPr>
          <w:rFonts w:ascii="宋体" w:hAnsi="宋体" w:cs="宋体"/>
          <w:b/>
        </w:rPr>
      </w:pPr>
    </w:p>
    <w:p w14:paraId="1D75AB6B">
      <w:pPr>
        <w:pStyle w:val="43"/>
        <w:spacing w:line="360" w:lineRule="auto"/>
        <w:ind w:firstLine="482"/>
        <w:rPr>
          <w:rFonts w:ascii="宋体" w:hAnsi="宋体" w:cs="宋体"/>
          <w:b/>
        </w:rPr>
      </w:pPr>
    </w:p>
    <w:p w14:paraId="60118E06">
      <w:pPr>
        <w:spacing w:line="360" w:lineRule="auto"/>
        <w:ind w:firstLine="482"/>
        <w:jc w:val="center"/>
        <w:rPr>
          <w:rFonts w:ascii="宋体" w:hAnsi="宋体" w:cs="宋体"/>
          <w:b/>
          <w:sz w:val="24"/>
        </w:rPr>
      </w:pPr>
    </w:p>
    <w:p w14:paraId="38EA22F8">
      <w:pPr>
        <w:spacing w:line="360" w:lineRule="auto"/>
        <w:ind w:firstLine="482"/>
        <w:jc w:val="center"/>
        <w:rPr>
          <w:rFonts w:ascii="宋体" w:hAnsi="宋体" w:cs="宋体"/>
          <w:b/>
          <w:sz w:val="24"/>
        </w:rPr>
      </w:pPr>
    </w:p>
    <w:p w14:paraId="61227101">
      <w:pPr>
        <w:spacing w:line="360" w:lineRule="auto"/>
        <w:ind w:firstLine="482"/>
        <w:jc w:val="center"/>
        <w:rPr>
          <w:rFonts w:ascii="宋体" w:hAnsi="宋体" w:cs="宋体"/>
          <w:b/>
          <w:sz w:val="24"/>
        </w:rPr>
      </w:pPr>
      <w:r>
        <w:rPr>
          <w:rFonts w:hint="eastAsia" w:ascii="宋体" w:hAnsi="宋体" w:cs="宋体"/>
          <w:b/>
          <w:sz w:val="24"/>
        </w:rPr>
        <w:t>供应商：</w:t>
      </w:r>
      <w:r>
        <w:rPr>
          <w:rFonts w:hint="eastAsia" w:ascii="宋体" w:hAnsi="宋体" w:cs="宋体"/>
          <w:b/>
          <w:sz w:val="24"/>
          <w:u w:val="single"/>
        </w:rPr>
        <w:t xml:space="preserve">                      </w:t>
      </w:r>
      <w:r>
        <w:rPr>
          <w:rFonts w:hint="eastAsia" w:ascii="宋体" w:hAnsi="宋体" w:cs="宋体"/>
          <w:b/>
          <w:sz w:val="24"/>
        </w:rPr>
        <w:t>（盖单位公章）</w:t>
      </w:r>
    </w:p>
    <w:p w14:paraId="3C4DB195">
      <w:pPr>
        <w:spacing w:line="360" w:lineRule="auto"/>
        <w:ind w:firstLine="482"/>
        <w:jc w:val="center"/>
        <w:rPr>
          <w:rFonts w:ascii="宋体" w:hAnsi="宋体" w:cs="宋体"/>
          <w:b/>
          <w:sz w:val="24"/>
        </w:rPr>
      </w:pPr>
    </w:p>
    <w:p w14:paraId="1543FBC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2"/>
        <w:jc w:val="center"/>
        <w:rPr>
          <w:rFonts w:ascii="宋体" w:hAnsi="宋体" w:cs="宋体"/>
          <w:b/>
          <w:sz w:val="24"/>
        </w:rPr>
      </w:pPr>
      <w:r>
        <w:rPr>
          <w:rFonts w:hint="eastAsia" w:ascii="宋体" w:hAnsi="宋体" w:cs="宋体"/>
          <w:b/>
          <w:sz w:val="24"/>
        </w:rPr>
        <w:t>法定代表人或其委托代理人：</w:t>
      </w:r>
      <w:r>
        <w:rPr>
          <w:rFonts w:hint="eastAsia" w:ascii="宋体" w:hAnsi="宋体" w:cs="宋体"/>
          <w:b/>
          <w:sz w:val="24"/>
          <w:u w:val="single"/>
        </w:rPr>
        <w:t xml:space="preserve">              </w:t>
      </w:r>
      <w:r>
        <w:rPr>
          <w:rFonts w:hint="eastAsia" w:ascii="宋体" w:hAnsi="宋体" w:cs="宋体"/>
          <w:b/>
          <w:sz w:val="24"/>
        </w:rPr>
        <w:t>（签字或盖章）</w:t>
      </w:r>
    </w:p>
    <w:p w14:paraId="205BD2FB">
      <w:pPr>
        <w:spacing w:line="360" w:lineRule="auto"/>
        <w:ind w:firstLine="482"/>
        <w:rPr>
          <w:rFonts w:ascii="宋体" w:hAnsi="宋体" w:cs="宋体"/>
          <w:b/>
          <w:sz w:val="24"/>
          <w:u w:val="single"/>
        </w:rPr>
      </w:pPr>
    </w:p>
    <w:p w14:paraId="06E3B153">
      <w:pPr>
        <w:spacing w:line="360" w:lineRule="auto"/>
        <w:ind w:firstLine="482"/>
        <w:jc w:val="center"/>
        <w:rPr>
          <w:rFonts w:ascii="宋体" w:hAnsi="宋体" w:cs="宋体"/>
          <w:b/>
          <w:sz w:val="24"/>
        </w:rPr>
      </w:pP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
          <w:sz w:val="24"/>
          <w:u w:val="single"/>
        </w:rPr>
        <w:t xml:space="preserve">    </w:t>
      </w:r>
      <w:r>
        <w:rPr>
          <w:rFonts w:hint="eastAsia" w:ascii="宋体" w:hAnsi="宋体" w:cs="宋体"/>
          <w:b/>
          <w:sz w:val="24"/>
        </w:rPr>
        <w:t>月</w:t>
      </w:r>
      <w:r>
        <w:rPr>
          <w:rFonts w:hint="eastAsia" w:ascii="宋体" w:hAnsi="宋体" w:cs="宋体"/>
          <w:b/>
          <w:sz w:val="24"/>
          <w:u w:val="single"/>
        </w:rPr>
        <w:t xml:space="preserve">    </w:t>
      </w:r>
      <w:r>
        <w:rPr>
          <w:rFonts w:hint="eastAsia" w:ascii="宋体" w:hAnsi="宋体" w:cs="宋体"/>
          <w:b/>
          <w:sz w:val="24"/>
        </w:rPr>
        <w:t>日</w:t>
      </w:r>
    </w:p>
    <w:p w14:paraId="4456C679">
      <w:pPr>
        <w:spacing w:line="360" w:lineRule="auto"/>
        <w:ind w:firstLine="482"/>
        <w:jc w:val="center"/>
        <w:rPr>
          <w:rFonts w:hint="eastAsia" w:ascii="宋体" w:hAnsi="宋体" w:cs="宋体"/>
          <w:b/>
          <w:bCs/>
          <w:sz w:val="30"/>
          <w:szCs w:val="30"/>
        </w:rPr>
      </w:pPr>
      <w:bookmarkStart w:id="90" w:name="_Toc421713295"/>
      <w:bookmarkStart w:id="91" w:name="_Toc403994052"/>
      <w:bookmarkStart w:id="92" w:name="_Toc402721767"/>
      <w:bookmarkStart w:id="93" w:name="_Toc402961880"/>
    </w:p>
    <w:p w14:paraId="455D2557">
      <w:pPr>
        <w:spacing w:line="360" w:lineRule="auto"/>
        <w:ind w:firstLine="482"/>
        <w:jc w:val="center"/>
        <w:rPr>
          <w:rFonts w:hint="eastAsia" w:ascii="宋体" w:hAnsi="宋体" w:cs="宋体"/>
          <w:b/>
          <w:bCs/>
          <w:sz w:val="30"/>
          <w:szCs w:val="30"/>
        </w:rPr>
      </w:pPr>
    </w:p>
    <w:p w14:paraId="469F76CE">
      <w:pPr>
        <w:spacing w:line="360" w:lineRule="auto"/>
        <w:ind w:firstLine="482"/>
        <w:jc w:val="center"/>
        <w:rPr>
          <w:rFonts w:hint="eastAsia" w:ascii="宋体" w:hAnsi="宋体" w:cs="宋体"/>
          <w:b/>
          <w:bCs/>
          <w:sz w:val="30"/>
          <w:szCs w:val="30"/>
        </w:rPr>
      </w:pPr>
    </w:p>
    <w:p w14:paraId="0ECD5FC4">
      <w:pPr>
        <w:spacing w:line="360" w:lineRule="auto"/>
        <w:ind w:firstLine="482"/>
        <w:jc w:val="center"/>
        <w:rPr>
          <w:rFonts w:ascii="宋体" w:hAnsi="宋体" w:cs="宋体"/>
          <w:b/>
          <w:bCs/>
          <w:sz w:val="24"/>
        </w:rPr>
      </w:pPr>
      <w:r>
        <w:rPr>
          <w:rFonts w:hint="eastAsia" w:ascii="宋体" w:hAnsi="宋体" w:cs="宋体"/>
          <w:b/>
          <w:bCs/>
          <w:sz w:val="30"/>
          <w:szCs w:val="30"/>
        </w:rPr>
        <w:t>目  录</w:t>
      </w:r>
      <w:bookmarkEnd w:id="90"/>
      <w:bookmarkEnd w:id="91"/>
      <w:bookmarkEnd w:id="92"/>
      <w:bookmarkEnd w:id="93"/>
    </w:p>
    <w:p w14:paraId="24963F06">
      <w:pPr>
        <w:autoSpaceDE w:val="0"/>
        <w:autoSpaceDN w:val="0"/>
        <w:adjustRightInd w:val="0"/>
        <w:spacing w:line="360" w:lineRule="auto"/>
        <w:ind w:firstLine="560"/>
        <w:jc w:val="center"/>
        <w:rPr>
          <w:rFonts w:ascii="宋体" w:hAnsi="宋体" w:cs="宋体"/>
          <w:kern w:val="0"/>
          <w:sz w:val="28"/>
          <w:szCs w:val="28"/>
        </w:rPr>
      </w:pPr>
    </w:p>
    <w:p w14:paraId="49F0D1EE">
      <w:pPr>
        <w:spacing w:line="360" w:lineRule="auto"/>
        <w:ind w:firstLine="480" w:firstLineChars="200"/>
        <w:rPr>
          <w:rFonts w:hint="eastAsia" w:ascii="宋体" w:hAnsi="宋体" w:cs="宋体"/>
          <w:sz w:val="24"/>
        </w:rPr>
      </w:pPr>
    </w:p>
    <w:p w14:paraId="6DEC359B">
      <w:pPr>
        <w:spacing w:line="360" w:lineRule="auto"/>
        <w:ind w:firstLine="480" w:firstLineChars="200"/>
        <w:rPr>
          <w:rFonts w:ascii="宋体" w:hAnsi="宋体" w:cs="宋体"/>
          <w:sz w:val="24"/>
        </w:rPr>
      </w:pPr>
      <w:r>
        <w:rPr>
          <w:rFonts w:hint="eastAsia" w:ascii="宋体" w:hAnsi="宋体" w:cs="宋体"/>
          <w:sz w:val="24"/>
        </w:rPr>
        <w:t>一、响应函及响应函附录</w:t>
      </w:r>
    </w:p>
    <w:p w14:paraId="168C1820">
      <w:pPr>
        <w:spacing w:line="360" w:lineRule="auto"/>
        <w:ind w:firstLine="480" w:firstLineChars="200"/>
        <w:rPr>
          <w:rFonts w:ascii="宋体" w:hAnsi="宋体" w:cs="宋体"/>
          <w:sz w:val="24"/>
        </w:rPr>
      </w:pPr>
      <w:r>
        <w:rPr>
          <w:rFonts w:hint="eastAsia" w:ascii="宋体" w:hAnsi="宋体" w:cs="宋体"/>
          <w:sz w:val="24"/>
        </w:rPr>
        <w:t>二、法定代表人身份证明</w:t>
      </w:r>
    </w:p>
    <w:p w14:paraId="2C6BBAA8">
      <w:pPr>
        <w:spacing w:line="360" w:lineRule="auto"/>
        <w:ind w:firstLine="480" w:firstLineChars="200"/>
        <w:rPr>
          <w:rFonts w:ascii="宋体" w:hAnsi="宋体" w:cs="宋体"/>
          <w:sz w:val="24"/>
        </w:rPr>
      </w:pPr>
      <w:r>
        <w:rPr>
          <w:rFonts w:hint="eastAsia" w:ascii="宋体" w:hAnsi="宋体" w:cs="宋体"/>
          <w:sz w:val="24"/>
        </w:rPr>
        <w:t>三、授权委托书</w:t>
      </w:r>
    </w:p>
    <w:p w14:paraId="577846BF">
      <w:pPr>
        <w:spacing w:line="360" w:lineRule="auto"/>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lang w:eastAsia="zh-CN"/>
        </w:rPr>
        <w:t>技术服务偏离</w:t>
      </w:r>
      <w:r>
        <w:rPr>
          <w:rFonts w:hint="eastAsia" w:ascii="宋体" w:hAnsi="宋体" w:cs="宋体"/>
          <w:sz w:val="24"/>
        </w:rPr>
        <w:t>表</w:t>
      </w:r>
    </w:p>
    <w:p w14:paraId="77FA2F06">
      <w:pPr>
        <w:spacing w:line="360" w:lineRule="auto"/>
        <w:ind w:firstLine="480" w:firstLineChars="200"/>
        <w:rPr>
          <w:rFonts w:ascii="宋体" w:hAnsi="宋体" w:cs="宋体"/>
          <w:sz w:val="24"/>
        </w:rPr>
      </w:pPr>
      <w:r>
        <w:rPr>
          <w:rFonts w:hint="eastAsia" w:ascii="宋体" w:hAnsi="宋体" w:cs="宋体"/>
          <w:sz w:val="24"/>
        </w:rPr>
        <w:t>五、资格审查资料</w:t>
      </w:r>
    </w:p>
    <w:p w14:paraId="36141E71">
      <w:pPr>
        <w:spacing w:line="360" w:lineRule="auto"/>
        <w:ind w:firstLine="480" w:firstLineChars="200"/>
        <w:rPr>
          <w:rFonts w:ascii="宋体" w:hAnsi="宋体" w:cs="宋体"/>
          <w:sz w:val="24"/>
        </w:rPr>
      </w:pPr>
      <w:r>
        <w:rPr>
          <w:rFonts w:hint="eastAsia" w:ascii="宋体" w:hAnsi="宋体" w:cs="宋体"/>
          <w:sz w:val="24"/>
        </w:rPr>
        <w:t>六、服务方案</w:t>
      </w:r>
    </w:p>
    <w:p w14:paraId="234C70EA">
      <w:pPr>
        <w:spacing w:line="360" w:lineRule="auto"/>
        <w:ind w:firstLine="480" w:firstLineChars="200"/>
        <w:rPr>
          <w:rFonts w:ascii="宋体" w:hAnsi="宋体" w:cs="宋体"/>
          <w:b/>
          <w:sz w:val="24"/>
        </w:rPr>
      </w:pPr>
      <w:r>
        <w:rPr>
          <w:rFonts w:hint="eastAsia" w:ascii="宋体" w:hAnsi="宋体" w:cs="宋体"/>
          <w:sz w:val="24"/>
        </w:rPr>
        <w:t>七、其他资料</w:t>
      </w:r>
    </w:p>
    <w:p w14:paraId="31253A54">
      <w:pPr>
        <w:spacing w:line="360" w:lineRule="auto"/>
        <w:ind w:firstLine="482"/>
        <w:jc w:val="center"/>
        <w:outlineLvl w:val="1"/>
        <w:rPr>
          <w:rFonts w:ascii="宋体" w:hAnsi="宋体" w:cs="宋体"/>
          <w:b/>
          <w:bCs/>
          <w:sz w:val="32"/>
          <w:szCs w:val="32"/>
        </w:rPr>
      </w:pPr>
      <w:r>
        <w:rPr>
          <w:rFonts w:hint="eastAsia" w:ascii="宋体" w:hAnsi="宋体" w:cs="宋体"/>
          <w:b/>
          <w:sz w:val="24"/>
        </w:rPr>
        <w:br w:type="page"/>
      </w:r>
      <w:bookmarkStart w:id="94" w:name="_Toc14035"/>
      <w:bookmarkStart w:id="95" w:name="_Toc5095"/>
      <w:bookmarkStart w:id="96" w:name="_Toc3936"/>
      <w:bookmarkStart w:id="97" w:name="_Toc19393"/>
      <w:bookmarkStart w:id="98" w:name="_Toc15861"/>
      <w:bookmarkStart w:id="99" w:name="_Toc1171"/>
      <w:bookmarkStart w:id="100" w:name="_Toc10423"/>
      <w:bookmarkStart w:id="101" w:name="_Toc13368"/>
      <w:bookmarkStart w:id="102" w:name="_Toc28922"/>
      <w:bookmarkStart w:id="103" w:name="_Toc27867"/>
      <w:r>
        <w:rPr>
          <w:rFonts w:hint="eastAsia" w:ascii="宋体" w:hAnsi="宋体" w:cs="宋体"/>
          <w:b/>
          <w:bCs/>
          <w:sz w:val="32"/>
          <w:szCs w:val="32"/>
        </w:rPr>
        <w:t>一、响应函</w:t>
      </w:r>
      <w:bookmarkEnd w:id="94"/>
      <w:r>
        <w:rPr>
          <w:rFonts w:hint="eastAsia" w:ascii="宋体" w:hAnsi="宋体" w:cs="宋体"/>
          <w:b/>
          <w:bCs/>
          <w:sz w:val="32"/>
          <w:szCs w:val="32"/>
        </w:rPr>
        <w:t>及响应函附录</w:t>
      </w:r>
      <w:bookmarkEnd w:id="95"/>
      <w:bookmarkEnd w:id="96"/>
      <w:bookmarkEnd w:id="97"/>
      <w:bookmarkEnd w:id="98"/>
      <w:bookmarkEnd w:id="99"/>
      <w:bookmarkEnd w:id="100"/>
      <w:bookmarkEnd w:id="101"/>
      <w:bookmarkEnd w:id="102"/>
      <w:bookmarkEnd w:id="103"/>
    </w:p>
    <w:p w14:paraId="5FAED53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2"/>
        <w:jc w:val="center"/>
        <w:rPr>
          <w:rFonts w:ascii="宋体" w:hAnsi="宋体" w:cs="宋体"/>
          <w:b/>
          <w:bCs/>
          <w:sz w:val="28"/>
          <w:szCs w:val="28"/>
        </w:rPr>
      </w:pPr>
      <w:r>
        <w:rPr>
          <w:rFonts w:hint="eastAsia" w:ascii="宋体" w:hAnsi="宋体" w:cs="宋体"/>
          <w:b/>
          <w:bCs/>
          <w:sz w:val="28"/>
          <w:szCs w:val="28"/>
        </w:rPr>
        <w:t>（一）响应函</w:t>
      </w:r>
    </w:p>
    <w:p w14:paraId="1BDA6E5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rPr>
        <w:t>（采购人名称）：</w:t>
      </w:r>
    </w:p>
    <w:p w14:paraId="6E5AD49C">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1．我方己仔细研究了</w:t>
      </w:r>
      <w:r>
        <w:rPr>
          <w:rFonts w:hint="eastAsia" w:ascii="宋体" w:hAnsi="宋体" w:cs="宋体"/>
          <w:sz w:val="24"/>
          <w:u w:val="single"/>
        </w:rPr>
        <w:t xml:space="preserve">           </w:t>
      </w:r>
      <w:r>
        <w:rPr>
          <w:rFonts w:hint="eastAsia" w:ascii="宋体" w:hAnsi="宋体" w:cs="宋体"/>
          <w:sz w:val="24"/>
        </w:rPr>
        <w:t>（项目名称）单一来源采购文件的全部内容，我们决定参加该项目的单一来源采购活动，愿意以人民币（大写）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）的总报价，按合同约定完成所有的内容。</w:t>
      </w:r>
    </w:p>
    <w:p w14:paraId="4FAE3B8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2．我方承诺在协商有效期内不修改、撤销响应文件。</w:t>
      </w:r>
    </w:p>
    <w:p w14:paraId="79B9EAA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3．如我方成交：</w:t>
      </w:r>
    </w:p>
    <w:p w14:paraId="19ED758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（1）我方承诺在收到成交通知书后，在成交通知书规定的期限内与你方签订合同。</w:t>
      </w:r>
    </w:p>
    <w:p w14:paraId="1C4E958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（2）随同本响应函递交的响应函附录属于合同文件的组成部分。</w:t>
      </w:r>
    </w:p>
    <w:p w14:paraId="6E2CD13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4.响应有效期为响应文件截止之日起 60 日历天。</w:t>
      </w:r>
      <w:r>
        <w:rPr>
          <w:rFonts w:hint="eastAsia" w:hAnsi="宋体"/>
          <w:sz w:val="24"/>
          <w:highlight w:val="none"/>
        </w:rPr>
        <w:t>如果成交，有效期延长至合同终止日止。</w:t>
      </w:r>
    </w:p>
    <w:p w14:paraId="3C07E3A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5.我方愿意提供贵单位可能另外要求的、与协商有关的文件资料，并保证我方已提供和将要提供的文件是真实的、准确的。</w:t>
      </w:r>
    </w:p>
    <w:p w14:paraId="3170708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3840" w:firstLineChars="1600"/>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49F502C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3840" w:firstLineChars="1600"/>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（签字或盖章）</w:t>
      </w:r>
    </w:p>
    <w:p w14:paraId="2E924C07">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3840" w:firstLineChars="16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45DFE9FC">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3840" w:firstLineChars="1600"/>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41155237">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3840" w:firstLineChars="1600"/>
        <w:rPr>
          <w:rFonts w:hint="eastAsia" w:ascii="宋体" w:hAnsi="宋体" w:cs="宋体"/>
          <w:sz w:val="24"/>
          <w:u w:val="single"/>
        </w:rPr>
      </w:pPr>
      <w:r>
        <w:rPr>
          <w:rFonts w:hint="eastAsia" w:ascii="宋体" w:hAnsi="宋体" w:cs="宋体"/>
          <w:sz w:val="24"/>
          <w:u w:val="single"/>
        </w:rPr>
        <w:t xml:space="preserve">传真：           </w:t>
      </w:r>
    </w:p>
    <w:p w14:paraId="7A7F2FF6">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3840" w:firstLineChars="1600"/>
        <w:rPr>
          <w:rFonts w:ascii="宋体" w:hAnsi="宋体" w:cs="宋体"/>
          <w:sz w:val="24"/>
        </w:rPr>
      </w:pPr>
      <w:r>
        <w:rPr>
          <w:rFonts w:hint="eastAsia" w:ascii="宋体" w:hAnsi="宋体" w:cs="宋体"/>
          <w:sz w:val="24"/>
          <w:u w:val="single"/>
        </w:rPr>
        <w:t xml:space="preserve">邮政编码：           </w:t>
      </w:r>
    </w:p>
    <w:p w14:paraId="4FF975C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3840" w:firstLineChars="16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D23E9C">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2"/>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（二）响应函附录</w:t>
      </w:r>
    </w:p>
    <w:tbl>
      <w:tblPr>
        <w:tblStyle w:val="25"/>
        <w:tblW w:w="0" w:type="auto"/>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6150"/>
      </w:tblGrid>
      <w:tr w14:paraId="0106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969" w:type="dxa"/>
            <w:vAlign w:val="center"/>
          </w:tcPr>
          <w:p w14:paraId="5A6C1425">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项目名称</w:t>
            </w:r>
          </w:p>
        </w:tc>
        <w:tc>
          <w:tcPr>
            <w:tcW w:w="6150" w:type="dxa"/>
            <w:vAlign w:val="center"/>
          </w:tcPr>
          <w:p w14:paraId="1747D203">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p>
        </w:tc>
      </w:tr>
      <w:tr w14:paraId="64F0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969" w:type="dxa"/>
            <w:vAlign w:val="center"/>
          </w:tcPr>
          <w:p w14:paraId="5C55CFB0">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int="eastAsia" w:ascii="宋体" w:hAnsi="宋体" w:eastAsia="宋体" w:cs="宋体"/>
                <w:sz w:val="24"/>
                <w:lang w:eastAsia="zh-CN"/>
              </w:rPr>
            </w:pPr>
            <w:r>
              <w:rPr>
                <w:rFonts w:hint="eastAsia" w:ascii="宋体" w:hAnsi="宋体" w:cs="宋体"/>
                <w:sz w:val="24"/>
                <w:lang w:eastAsia="zh-CN"/>
              </w:rPr>
              <w:t>采购编号</w:t>
            </w:r>
          </w:p>
        </w:tc>
        <w:tc>
          <w:tcPr>
            <w:tcW w:w="6150" w:type="dxa"/>
            <w:vAlign w:val="center"/>
          </w:tcPr>
          <w:p w14:paraId="6E90248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p>
        </w:tc>
      </w:tr>
      <w:tr w14:paraId="4ECB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969" w:type="dxa"/>
            <w:vAlign w:val="center"/>
          </w:tcPr>
          <w:p w14:paraId="0C8765ED">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供应商名称</w:t>
            </w:r>
          </w:p>
        </w:tc>
        <w:tc>
          <w:tcPr>
            <w:tcW w:w="6150" w:type="dxa"/>
            <w:vAlign w:val="center"/>
          </w:tcPr>
          <w:p w14:paraId="0DBA31AA">
            <w:pPr>
              <w:pStyle w:val="23"/>
              <w:spacing w:after="0" w:line="360" w:lineRule="auto"/>
              <w:ind w:firstLine="200"/>
              <w:rPr>
                <w:rFonts w:ascii="宋体" w:hAnsi="宋体" w:cs="宋体"/>
              </w:rPr>
            </w:pPr>
          </w:p>
        </w:tc>
      </w:tr>
      <w:tr w14:paraId="1AC6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969" w:type="dxa"/>
            <w:vAlign w:val="center"/>
          </w:tcPr>
          <w:p w14:paraId="63087D14">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响应报价</w:t>
            </w:r>
          </w:p>
        </w:tc>
        <w:tc>
          <w:tcPr>
            <w:tcW w:w="6150" w:type="dxa"/>
            <w:vAlign w:val="center"/>
          </w:tcPr>
          <w:p w14:paraId="3274BCC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大写：</w:t>
            </w:r>
          </w:p>
          <w:p w14:paraId="405E970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rPr>
            </w:pPr>
            <w:r>
              <w:rPr>
                <w:rFonts w:hint="eastAsia" w:ascii="宋体" w:hAnsi="宋体" w:cs="宋体"/>
                <w:sz w:val="24"/>
              </w:rPr>
              <w:t>小写：</w:t>
            </w:r>
          </w:p>
        </w:tc>
      </w:tr>
      <w:tr w14:paraId="575B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969" w:type="dxa"/>
            <w:shd w:val="clear" w:color="auto" w:fill="auto"/>
            <w:vAlign w:val="center"/>
          </w:tcPr>
          <w:p w14:paraId="3264CDDE">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响应内容</w:t>
            </w:r>
          </w:p>
        </w:tc>
        <w:tc>
          <w:tcPr>
            <w:tcW w:w="6150" w:type="dxa"/>
            <w:shd w:val="clear" w:color="auto" w:fill="auto"/>
            <w:vAlign w:val="center"/>
          </w:tcPr>
          <w:p w14:paraId="450A4408">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p>
        </w:tc>
      </w:tr>
      <w:tr w14:paraId="2453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969" w:type="dxa"/>
            <w:vAlign w:val="center"/>
          </w:tcPr>
          <w:p w14:paraId="68A150DD">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服务期限</w:t>
            </w:r>
          </w:p>
        </w:tc>
        <w:tc>
          <w:tcPr>
            <w:tcW w:w="6150" w:type="dxa"/>
            <w:vAlign w:val="center"/>
          </w:tcPr>
          <w:p w14:paraId="252891BB">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p>
        </w:tc>
      </w:tr>
      <w:tr w14:paraId="6A0F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969" w:type="dxa"/>
            <w:vAlign w:val="center"/>
          </w:tcPr>
          <w:p w14:paraId="24F2E89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服务质量</w:t>
            </w:r>
          </w:p>
        </w:tc>
        <w:tc>
          <w:tcPr>
            <w:tcW w:w="6150" w:type="dxa"/>
            <w:vAlign w:val="center"/>
          </w:tcPr>
          <w:p w14:paraId="1D636CAC">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p>
        </w:tc>
      </w:tr>
      <w:tr w14:paraId="6112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969" w:type="dxa"/>
            <w:vAlign w:val="center"/>
          </w:tcPr>
          <w:p w14:paraId="04D9931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服务地点</w:t>
            </w:r>
          </w:p>
        </w:tc>
        <w:tc>
          <w:tcPr>
            <w:tcW w:w="6150" w:type="dxa"/>
            <w:vAlign w:val="center"/>
          </w:tcPr>
          <w:p w14:paraId="4DA5C1AD">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p>
        </w:tc>
      </w:tr>
      <w:tr w14:paraId="63C6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969" w:type="dxa"/>
            <w:vAlign w:val="center"/>
          </w:tcPr>
          <w:p w14:paraId="55C3446B">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响应有效期</w:t>
            </w:r>
          </w:p>
        </w:tc>
        <w:tc>
          <w:tcPr>
            <w:tcW w:w="6150" w:type="dxa"/>
            <w:vAlign w:val="center"/>
          </w:tcPr>
          <w:p w14:paraId="58F042D0">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p>
        </w:tc>
      </w:tr>
      <w:tr w14:paraId="35FA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rPr>
        <w:tc>
          <w:tcPr>
            <w:tcW w:w="2969" w:type="dxa"/>
            <w:vAlign w:val="center"/>
          </w:tcPr>
          <w:p w14:paraId="064C02D9">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其他声明</w:t>
            </w:r>
          </w:p>
        </w:tc>
        <w:tc>
          <w:tcPr>
            <w:tcW w:w="6150" w:type="dxa"/>
            <w:vAlign w:val="center"/>
          </w:tcPr>
          <w:p w14:paraId="1F04D08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p>
        </w:tc>
      </w:tr>
    </w:tbl>
    <w:p w14:paraId="4191D3B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p>
    <w:p w14:paraId="2008FC1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p>
    <w:p w14:paraId="572E492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2400" w:firstLineChars="1000"/>
        <w:jc w:val="center"/>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03F3064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2400" w:firstLineChars="1000"/>
        <w:jc w:val="center"/>
        <w:rPr>
          <w:rFonts w:ascii="宋体" w:hAnsi="宋体" w:cs="宋体"/>
          <w:sz w:val="24"/>
        </w:rPr>
      </w:pPr>
      <w:r>
        <w:rPr>
          <w:rFonts w:hint="eastAsia" w:ascii="宋体" w:hAnsi="宋体" w:cs="宋体"/>
          <w:sz w:val="24"/>
        </w:rPr>
        <w:t>法定代表人或其委托代理人： （签字或盖章）</w:t>
      </w:r>
    </w:p>
    <w:p w14:paraId="4C1D8206">
      <w:pPr>
        <w:spacing w:line="360" w:lineRule="auto"/>
        <w:ind w:firstLine="480"/>
        <w:jc w:val="center"/>
        <w:outlineLvl w:val="1"/>
        <w:rPr>
          <w:rFonts w:ascii="宋体" w:hAnsi="宋体" w:cs="宋体"/>
          <w:sz w:val="24"/>
        </w:rPr>
      </w:pPr>
      <w:bookmarkStart w:id="104" w:name="_Toc7823"/>
      <w:bookmarkStart w:id="105" w:name="_Toc8396"/>
      <w:bookmarkStart w:id="106" w:name="_Toc4755"/>
      <w:r>
        <w:rPr>
          <w:rFonts w:hint="eastAsia" w:ascii="宋体" w:hAnsi="宋体" w:cs="宋体"/>
          <w:sz w:val="24"/>
        </w:rPr>
        <w:t>年    月    日</w:t>
      </w:r>
      <w:bookmarkEnd w:id="104"/>
      <w:bookmarkEnd w:id="105"/>
      <w:bookmarkEnd w:id="106"/>
      <w:bookmarkStart w:id="107" w:name="_Toc27182"/>
      <w:bookmarkStart w:id="108" w:name="_Toc2230"/>
      <w:bookmarkStart w:id="109" w:name="_Toc25794"/>
      <w:bookmarkStart w:id="110" w:name="_Toc24123"/>
      <w:bookmarkStart w:id="111" w:name="_Toc4276"/>
      <w:bookmarkStart w:id="112" w:name="_Toc29940"/>
      <w:bookmarkStart w:id="113" w:name="_Toc11567"/>
      <w:bookmarkStart w:id="114" w:name="_Toc11683"/>
      <w:bookmarkStart w:id="115" w:name="_Toc11277"/>
      <w:bookmarkStart w:id="116" w:name="_Toc19754"/>
      <w:bookmarkStart w:id="117" w:name="_Toc31227"/>
    </w:p>
    <w:p w14:paraId="5529806A">
      <w:pPr>
        <w:spacing w:line="360" w:lineRule="auto"/>
        <w:rPr>
          <w:rFonts w:ascii="宋体" w:hAnsi="宋体" w:cs="宋体"/>
          <w:sz w:val="24"/>
        </w:rPr>
      </w:pPr>
      <w:r>
        <w:rPr>
          <w:rFonts w:hint="eastAsia" w:ascii="宋体" w:hAnsi="宋体" w:cs="宋体"/>
          <w:sz w:val="24"/>
        </w:rPr>
        <w:br w:type="page"/>
      </w:r>
    </w:p>
    <w:p w14:paraId="3D803310">
      <w:pPr>
        <w:spacing w:line="360" w:lineRule="auto"/>
        <w:ind w:firstLine="643"/>
        <w:jc w:val="center"/>
        <w:outlineLvl w:val="1"/>
        <w:rPr>
          <w:rFonts w:ascii="宋体" w:hAnsi="宋体" w:cs="宋体"/>
          <w:b/>
          <w:bCs/>
          <w:sz w:val="32"/>
          <w:szCs w:val="32"/>
        </w:rPr>
      </w:pPr>
      <w:bookmarkStart w:id="118" w:name="_Toc24655"/>
      <w:r>
        <w:rPr>
          <w:rFonts w:hint="eastAsia" w:ascii="宋体" w:hAnsi="宋体" w:cs="宋体"/>
          <w:b/>
          <w:bCs/>
          <w:sz w:val="32"/>
          <w:szCs w:val="32"/>
        </w:rPr>
        <w:t>二、法定代表人身份证明</w:t>
      </w:r>
      <w:bookmarkEnd w:id="107"/>
      <w:bookmarkEnd w:id="108"/>
      <w:bookmarkEnd w:id="109"/>
      <w:bookmarkEnd w:id="110"/>
      <w:bookmarkEnd w:id="111"/>
      <w:bookmarkEnd w:id="112"/>
      <w:bookmarkEnd w:id="113"/>
      <w:bookmarkEnd w:id="114"/>
      <w:bookmarkEnd w:id="115"/>
      <w:bookmarkEnd w:id="116"/>
      <w:bookmarkEnd w:id="117"/>
      <w:bookmarkEnd w:id="118"/>
    </w:p>
    <w:p w14:paraId="44208EA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rPr>
          <w:rFonts w:ascii="宋体" w:hAnsi="宋体" w:cs="宋体"/>
          <w:sz w:val="24"/>
        </w:rPr>
      </w:pPr>
    </w:p>
    <w:p w14:paraId="052A6667">
      <w:pPr>
        <w:spacing w:line="360" w:lineRule="auto"/>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1F95A862">
      <w:pPr>
        <w:spacing w:line="360" w:lineRule="auto"/>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p>
    <w:p w14:paraId="12C37D57">
      <w:pPr>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7DB792ED">
      <w:pPr>
        <w:spacing w:line="360" w:lineRule="auto"/>
        <w:rPr>
          <w:rFonts w:ascii="宋体" w:hAnsi="宋体" w:cs="宋体"/>
          <w:sz w:val="24"/>
        </w:rPr>
      </w:pPr>
      <w:r>
        <w:rPr>
          <w:rFonts w:hint="eastAsia" w:ascii="宋体" w:hAnsi="宋体" w:cs="宋体"/>
          <w:sz w:val="24"/>
        </w:rPr>
        <w:t>成立时间：</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FD6F782">
      <w:pPr>
        <w:spacing w:line="360" w:lineRule="auto"/>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p>
    <w:p w14:paraId="3B9268D4">
      <w:pPr>
        <w:spacing w:line="360" w:lineRule="auto"/>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职务：</w:t>
      </w:r>
      <w:r>
        <w:rPr>
          <w:rFonts w:hint="eastAsia" w:ascii="宋体" w:hAnsi="宋体" w:cs="宋体"/>
          <w:sz w:val="24"/>
          <w:u w:val="single"/>
        </w:rPr>
        <w:t xml:space="preserve">      </w:t>
      </w:r>
    </w:p>
    <w:p w14:paraId="2B92FCF2">
      <w:pPr>
        <w:spacing w:line="360" w:lineRule="auto"/>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252D03CB">
      <w:pPr>
        <w:spacing w:line="360" w:lineRule="auto"/>
        <w:ind w:firstLine="480" w:firstLineChars="200"/>
        <w:rPr>
          <w:rFonts w:ascii="宋体" w:hAnsi="宋体" w:cs="宋体"/>
          <w:sz w:val="24"/>
        </w:rPr>
      </w:pPr>
      <w:r>
        <w:rPr>
          <w:rFonts w:hint="eastAsia" w:ascii="宋体" w:hAnsi="宋体" w:cs="宋体"/>
          <w:sz w:val="24"/>
        </w:rPr>
        <w:t>特此证明。</w:t>
      </w:r>
    </w:p>
    <w:p w14:paraId="215DD787">
      <w:pPr>
        <w:spacing w:line="360" w:lineRule="auto"/>
        <w:rPr>
          <w:rFonts w:ascii="宋体" w:hAnsi="宋体" w:cs="宋体"/>
          <w:sz w:val="24"/>
        </w:rPr>
      </w:pPr>
      <w:r>
        <w:rPr>
          <w:rFonts w:hint="eastAsia" w:ascii="宋体" w:hAnsi="宋体" w:cs="宋体"/>
          <w:sz w:val="24"/>
        </w:rPr>
        <w:t>附：法定代表人身份证复印件</w:t>
      </w:r>
    </w:p>
    <w:p w14:paraId="44168B44">
      <w:pPr>
        <w:spacing w:line="360" w:lineRule="auto"/>
        <w:rPr>
          <w:rFonts w:ascii="宋体" w:hAnsi="宋体" w:cs="宋体"/>
          <w:sz w:val="24"/>
        </w:rPr>
      </w:pPr>
    </w:p>
    <w:p w14:paraId="4E47C938">
      <w:pPr>
        <w:spacing w:line="360" w:lineRule="auto"/>
        <w:rPr>
          <w:rFonts w:ascii="宋体" w:hAnsi="宋体" w:cs="宋体"/>
          <w:sz w:val="24"/>
        </w:rPr>
      </w:pPr>
    </w:p>
    <w:p w14:paraId="00797538">
      <w:pPr>
        <w:spacing w:line="360" w:lineRule="auto"/>
        <w:jc w:val="righ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4EE4CB9B">
      <w:pPr>
        <w:spacing w:line="360" w:lineRule="auto"/>
        <w:jc w:val="right"/>
        <w:rPr>
          <w:rFonts w:ascii="宋体" w:hAnsi="宋体" w:cs="宋体"/>
          <w:sz w:val="24"/>
        </w:rPr>
      </w:pPr>
    </w:p>
    <w:p w14:paraId="29DB2672">
      <w:pPr>
        <w:spacing w:line="360" w:lineRule="auto"/>
        <w:ind w:firstLine="4080" w:firstLineChars="1700"/>
        <w:jc w:val="right"/>
        <w:rPr>
          <w:rFonts w:ascii="宋体" w:hAnsi="宋体" w:cs="宋体"/>
          <w:szCs w:val="21"/>
        </w:rPr>
      </w:pP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hint="eastAsia" w:ascii="宋体" w:hAnsi="宋体" w:cs="宋体"/>
          <w:szCs w:val="21"/>
        </w:rPr>
        <w:t xml:space="preserve">        </w:t>
      </w:r>
    </w:p>
    <w:p w14:paraId="0735F5DD">
      <w:pPr>
        <w:spacing w:line="360" w:lineRule="auto"/>
        <w:ind w:firstLine="400"/>
        <w:jc w:val="center"/>
        <w:rPr>
          <w:rFonts w:ascii="宋体" w:hAnsi="宋体" w:cs="宋体"/>
          <w:sz w:val="20"/>
          <w:szCs w:val="20"/>
        </w:rPr>
      </w:pPr>
    </w:p>
    <w:p w14:paraId="14656320">
      <w:pPr>
        <w:spacing w:line="360" w:lineRule="auto"/>
        <w:ind w:firstLine="562"/>
        <w:jc w:val="center"/>
        <w:outlineLvl w:val="1"/>
        <w:rPr>
          <w:rFonts w:ascii="宋体" w:hAnsi="宋体" w:cs="宋体"/>
          <w:b/>
          <w:bCs/>
          <w:sz w:val="32"/>
          <w:szCs w:val="32"/>
        </w:rPr>
      </w:pPr>
      <w:bookmarkStart w:id="119" w:name="_Toc144974861"/>
      <w:bookmarkStart w:id="120" w:name="_Toc241459819"/>
      <w:bookmarkStart w:id="121" w:name="_Toc152045792"/>
      <w:bookmarkStart w:id="122" w:name="_Toc152042581"/>
      <w:bookmarkStart w:id="123" w:name="_Toc179632812"/>
      <w:bookmarkStart w:id="124" w:name="_Toc20551"/>
      <w:bookmarkStart w:id="125" w:name="_Toc342296576"/>
      <w:r>
        <w:rPr>
          <w:rFonts w:hint="eastAsia" w:ascii="宋体" w:hAnsi="宋体" w:cs="宋体"/>
          <w:b/>
          <w:bCs/>
          <w:sz w:val="28"/>
          <w:szCs w:val="28"/>
        </w:rPr>
        <w:br w:type="page"/>
      </w:r>
      <w:bookmarkStart w:id="126" w:name="_Toc18359"/>
      <w:bookmarkStart w:id="127" w:name="_Toc13471"/>
      <w:bookmarkStart w:id="128" w:name="_Toc10670"/>
      <w:bookmarkStart w:id="129" w:name="_Toc28895"/>
      <w:bookmarkStart w:id="130" w:name="_Toc9988"/>
      <w:bookmarkStart w:id="131" w:name="_Toc12067"/>
      <w:bookmarkStart w:id="132" w:name="_Toc17051"/>
      <w:bookmarkStart w:id="133" w:name="_Toc20030"/>
      <w:bookmarkStart w:id="134" w:name="_Toc11870"/>
      <w:bookmarkStart w:id="135" w:name="_Toc10206"/>
      <w:r>
        <w:rPr>
          <w:rFonts w:hint="eastAsia" w:ascii="宋体" w:hAnsi="宋体" w:cs="宋体"/>
          <w:b/>
          <w:bCs/>
          <w:sz w:val="32"/>
          <w:szCs w:val="32"/>
        </w:rPr>
        <w:t>三、授权委托书</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800D503">
      <w:pPr>
        <w:pStyle w:val="45"/>
        <w:spacing w:line="360" w:lineRule="auto"/>
        <w:rPr>
          <w:rFonts w:ascii="宋体" w:hAnsi="宋体" w:cs="宋体"/>
        </w:rPr>
      </w:pPr>
    </w:p>
    <w:p w14:paraId="475D8FE3">
      <w:pPr>
        <w:topLinePunct/>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（供应商名称）的法定代表人，现委托我单位</w:t>
      </w:r>
      <w:r>
        <w:rPr>
          <w:rFonts w:hint="eastAsia" w:ascii="宋体" w:hAnsi="宋体" w:cs="宋体"/>
          <w:sz w:val="24"/>
          <w:u w:val="single"/>
        </w:rPr>
        <w:t xml:space="preserve">         </w:t>
      </w:r>
      <w:r>
        <w:rPr>
          <w:rFonts w:hint="eastAsia" w:ascii="宋体" w:hAnsi="宋体" w:cs="宋体"/>
          <w:sz w:val="24"/>
        </w:rPr>
        <w:t>（姓名）身份证号：</w:t>
      </w:r>
      <w:r>
        <w:rPr>
          <w:rFonts w:hint="eastAsia" w:ascii="宋体" w:hAnsi="宋体" w:cs="宋体"/>
          <w:sz w:val="24"/>
          <w:u w:val="single"/>
        </w:rPr>
        <w:t xml:space="preserve">               </w:t>
      </w:r>
      <w:r>
        <w:rPr>
          <w:rFonts w:hint="eastAsia" w:ascii="宋体" w:hAnsi="宋体" w:cs="宋体"/>
          <w:sz w:val="24"/>
        </w:rPr>
        <w:t>为我方代理人。代理人根据授权，以我方名义签署、澄清、说明、补正、修改</w:t>
      </w:r>
      <w:r>
        <w:rPr>
          <w:rFonts w:hint="eastAsia" w:ascii="宋体" w:hAnsi="宋体" w:cs="宋体"/>
          <w:sz w:val="24"/>
          <w:u w:val="single"/>
        </w:rPr>
        <w:t xml:space="preserve">           （项目名称）</w:t>
      </w:r>
      <w:r>
        <w:rPr>
          <w:rFonts w:hint="eastAsia" w:ascii="宋体" w:hAnsi="宋体" w:cs="宋体"/>
          <w:sz w:val="24"/>
        </w:rPr>
        <w:t>响应文件的其他事项，其法律后果由我方承担。</w:t>
      </w:r>
    </w:p>
    <w:p w14:paraId="2394A88A">
      <w:pPr>
        <w:spacing w:line="360" w:lineRule="auto"/>
        <w:ind w:firstLine="48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r>
        <w:rPr>
          <w:rFonts w:hint="eastAsia" w:ascii="宋体" w:hAnsi="宋体" w:cs="宋体"/>
          <w:sz w:val="24"/>
        </w:rPr>
        <w:t>。</w:t>
      </w:r>
    </w:p>
    <w:p w14:paraId="0DE3574E">
      <w:pPr>
        <w:spacing w:line="360" w:lineRule="auto"/>
        <w:ind w:firstLine="480" w:firstLineChars="200"/>
        <w:rPr>
          <w:rFonts w:ascii="宋体" w:hAnsi="宋体" w:cs="宋体"/>
          <w:sz w:val="24"/>
        </w:rPr>
      </w:pPr>
    </w:p>
    <w:p w14:paraId="67D78856">
      <w:pPr>
        <w:spacing w:line="360" w:lineRule="auto"/>
        <w:ind w:firstLine="480" w:firstLineChars="200"/>
        <w:rPr>
          <w:rFonts w:ascii="宋体" w:hAnsi="宋体" w:cs="宋体"/>
          <w:sz w:val="24"/>
        </w:rPr>
      </w:pPr>
      <w:r>
        <w:rPr>
          <w:rFonts w:hint="eastAsia" w:ascii="宋体" w:hAnsi="宋体" w:cs="宋体"/>
          <w:sz w:val="24"/>
        </w:rPr>
        <w:t>代理人无转委托权。</w:t>
      </w:r>
    </w:p>
    <w:p w14:paraId="78097DF2">
      <w:pPr>
        <w:spacing w:line="360" w:lineRule="auto"/>
        <w:ind w:firstLine="480" w:firstLineChars="200"/>
        <w:rPr>
          <w:rFonts w:ascii="宋体" w:hAnsi="宋体" w:cs="宋体"/>
          <w:sz w:val="24"/>
        </w:rPr>
      </w:pPr>
    </w:p>
    <w:p w14:paraId="0AC2D421">
      <w:pPr>
        <w:spacing w:line="360" w:lineRule="auto"/>
        <w:ind w:firstLine="480" w:firstLineChars="200"/>
        <w:rPr>
          <w:rFonts w:ascii="宋体" w:hAnsi="宋体" w:cs="宋体"/>
          <w:sz w:val="24"/>
        </w:rPr>
      </w:pPr>
      <w:r>
        <w:rPr>
          <w:rFonts w:hint="eastAsia" w:ascii="宋体" w:hAnsi="宋体" w:cs="宋体"/>
          <w:sz w:val="24"/>
        </w:rPr>
        <w:t>附：法定代表人身份证明和被委托人身份证复印件</w:t>
      </w:r>
    </w:p>
    <w:p w14:paraId="25F84199">
      <w:pPr>
        <w:spacing w:line="360" w:lineRule="auto"/>
        <w:rPr>
          <w:rFonts w:ascii="宋体" w:hAnsi="宋体" w:cs="宋体"/>
          <w:sz w:val="24"/>
        </w:rPr>
      </w:pPr>
    </w:p>
    <w:p w14:paraId="6B082636">
      <w:pPr>
        <w:spacing w:line="360" w:lineRule="auto"/>
        <w:rPr>
          <w:rFonts w:ascii="宋体" w:hAnsi="宋体" w:cs="宋体"/>
          <w:sz w:val="24"/>
        </w:rPr>
      </w:pPr>
    </w:p>
    <w:p w14:paraId="04337691">
      <w:pPr>
        <w:spacing w:line="360" w:lineRule="auto"/>
        <w:rPr>
          <w:rFonts w:ascii="宋体" w:hAnsi="宋体" w:cs="宋体"/>
          <w:sz w:val="24"/>
        </w:rPr>
      </w:pPr>
    </w:p>
    <w:p w14:paraId="5A6F87F0">
      <w:pPr>
        <w:spacing w:line="360" w:lineRule="auto"/>
        <w:ind w:firstLine="3600" w:firstLineChars="1500"/>
        <w:jc w:val="lef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342B43AA">
      <w:pPr>
        <w:spacing w:line="360" w:lineRule="auto"/>
        <w:ind w:firstLine="3600" w:firstLineChars="1500"/>
        <w:jc w:val="left"/>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14:paraId="0E64EC8C">
      <w:pPr>
        <w:spacing w:line="360" w:lineRule="auto"/>
        <w:ind w:firstLine="3600" w:firstLineChars="1500"/>
        <w:jc w:val="left"/>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（签字或盖章）</w:t>
      </w:r>
    </w:p>
    <w:p w14:paraId="0BD5ACE5">
      <w:pPr>
        <w:pStyle w:val="23"/>
        <w:spacing w:after="0" w:line="360" w:lineRule="auto"/>
        <w:ind w:firstLine="200"/>
        <w:rPr>
          <w:rFonts w:ascii="宋体" w:hAnsi="宋体" w:cs="宋体"/>
        </w:rPr>
      </w:pPr>
    </w:p>
    <w:p w14:paraId="71AAA1AE">
      <w:pPr>
        <w:spacing w:line="360" w:lineRule="auto"/>
        <w:ind w:firstLine="5040" w:firstLineChars="2100"/>
        <w:rPr>
          <w:rFonts w:ascii="宋体" w:hAnsi="宋体" w:cs="宋体"/>
          <w:sz w:val="24"/>
          <w:u w:val="single"/>
        </w:rPr>
      </w:pPr>
    </w:p>
    <w:p w14:paraId="19557336">
      <w:pPr>
        <w:spacing w:line="360" w:lineRule="auto"/>
        <w:ind w:firstLine="5040" w:firstLineChars="2100"/>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6A2F13B">
      <w:pPr>
        <w:spacing w:line="360" w:lineRule="auto"/>
        <w:ind w:firstLine="482"/>
        <w:rPr>
          <w:rFonts w:ascii="宋体" w:hAnsi="宋体" w:cs="宋体"/>
          <w:b/>
          <w:sz w:val="24"/>
        </w:rPr>
      </w:pPr>
    </w:p>
    <w:p w14:paraId="160284B0">
      <w:pPr>
        <w:pStyle w:val="45"/>
        <w:spacing w:line="360" w:lineRule="auto"/>
        <w:rPr>
          <w:rFonts w:ascii="宋体" w:hAnsi="宋体" w:cs="宋体"/>
        </w:rPr>
      </w:pPr>
    </w:p>
    <w:p w14:paraId="14D646C1">
      <w:pPr>
        <w:spacing w:line="360" w:lineRule="auto"/>
        <w:jc w:val="center"/>
        <w:outlineLvl w:val="1"/>
        <w:rPr>
          <w:rFonts w:ascii="宋体" w:hAnsi="宋体" w:cs="宋体"/>
          <w:b/>
          <w:bCs/>
          <w:sz w:val="32"/>
          <w:szCs w:val="32"/>
        </w:rPr>
      </w:pPr>
      <w:r>
        <w:rPr>
          <w:rFonts w:hint="eastAsia" w:ascii="宋体" w:hAnsi="宋体" w:cs="宋体"/>
        </w:rPr>
        <w:br w:type="page"/>
      </w:r>
      <w:bookmarkStart w:id="136" w:name="_Toc26666"/>
      <w:bookmarkStart w:id="137" w:name="_Toc25577"/>
      <w:bookmarkStart w:id="138" w:name="_Toc6594"/>
      <w:bookmarkStart w:id="139" w:name="_Toc13262"/>
      <w:bookmarkStart w:id="140" w:name="_Toc28374"/>
      <w:bookmarkStart w:id="141" w:name="_Toc6385"/>
      <w:bookmarkStart w:id="142" w:name="_Toc24415"/>
      <w:bookmarkStart w:id="143" w:name="_Toc6253"/>
      <w:bookmarkStart w:id="144" w:name="_Toc32286"/>
      <w:bookmarkStart w:id="145" w:name="_Toc24845"/>
      <w:bookmarkStart w:id="146" w:name="_Toc28291"/>
      <w:bookmarkStart w:id="147" w:name="_Toc27354"/>
      <w:r>
        <w:rPr>
          <w:rFonts w:hint="eastAsia" w:ascii="宋体" w:hAnsi="宋体" w:cs="宋体"/>
          <w:b/>
          <w:bCs/>
          <w:sz w:val="32"/>
          <w:szCs w:val="32"/>
        </w:rPr>
        <w:t>四、</w:t>
      </w:r>
      <w:bookmarkEnd w:id="136"/>
      <w:bookmarkEnd w:id="137"/>
      <w:r>
        <w:rPr>
          <w:rFonts w:hint="eastAsia" w:ascii="宋体" w:hAnsi="宋体" w:cs="宋体"/>
          <w:b/>
          <w:bCs/>
          <w:sz w:val="32"/>
          <w:szCs w:val="32"/>
          <w:lang w:eastAsia="zh-CN"/>
        </w:rPr>
        <w:t>技术服务偏离</w:t>
      </w:r>
      <w:r>
        <w:rPr>
          <w:rFonts w:hint="eastAsia" w:ascii="宋体" w:hAnsi="宋体" w:cs="宋体"/>
          <w:b/>
          <w:bCs/>
          <w:sz w:val="32"/>
          <w:szCs w:val="32"/>
        </w:rPr>
        <w:t>表</w:t>
      </w:r>
      <w:bookmarkEnd w:id="138"/>
      <w:bookmarkEnd w:id="139"/>
      <w:bookmarkEnd w:id="140"/>
      <w:bookmarkEnd w:id="141"/>
      <w:bookmarkEnd w:id="142"/>
      <w:bookmarkEnd w:id="143"/>
      <w:bookmarkEnd w:id="144"/>
      <w:bookmarkEnd w:id="145"/>
      <w:bookmarkEnd w:id="146"/>
      <w:bookmarkEnd w:id="147"/>
    </w:p>
    <w:tbl>
      <w:tblPr>
        <w:tblStyle w:val="2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2"/>
        <w:gridCol w:w="2753"/>
        <w:gridCol w:w="2633"/>
        <w:gridCol w:w="1394"/>
        <w:gridCol w:w="1858"/>
      </w:tblGrid>
      <w:tr w14:paraId="1069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862" w:type="dxa"/>
            <w:vAlign w:val="center"/>
          </w:tcPr>
          <w:p w14:paraId="163B4E08">
            <w:pPr>
              <w:spacing w:line="360" w:lineRule="auto"/>
              <w:jc w:val="center"/>
              <w:rPr>
                <w:rFonts w:ascii="宋体" w:hAnsi="宋体" w:cs="宋体"/>
              </w:rPr>
            </w:pPr>
            <w:bookmarkStart w:id="148" w:name="_Toc11701"/>
            <w:bookmarkStart w:id="149" w:name="_Toc316374253"/>
            <w:bookmarkStart w:id="150" w:name="_Toc355808037"/>
            <w:bookmarkStart w:id="151" w:name="_Toc19214"/>
            <w:r>
              <w:rPr>
                <w:rFonts w:hint="eastAsia" w:ascii="宋体" w:hAnsi="宋体" w:cs="宋体"/>
              </w:rPr>
              <w:t>序号</w:t>
            </w:r>
          </w:p>
        </w:tc>
        <w:tc>
          <w:tcPr>
            <w:tcW w:w="2753" w:type="dxa"/>
            <w:vAlign w:val="center"/>
          </w:tcPr>
          <w:p w14:paraId="285F482A">
            <w:pPr>
              <w:spacing w:line="360" w:lineRule="auto"/>
              <w:jc w:val="center"/>
              <w:rPr>
                <w:rFonts w:ascii="宋体" w:hAnsi="宋体" w:cs="宋体"/>
              </w:rPr>
            </w:pPr>
            <w:r>
              <w:rPr>
                <w:rFonts w:hint="eastAsia" w:ascii="宋体" w:hAnsi="宋体" w:cs="宋体"/>
                <w:kern w:val="0"/>
              </w:rPr>
              <w:t>单一来源文件要求</w:t>
            </w:r>
          </w:p>
        </w:tc>
        <w:tc>
          <w:tcPr>
            <w:tcW w:w="2633" w:type="dxa"/>
            <w:vAlign w:val="center"/>
          </w:tcPr>
          <w:p w14:paraId="55BD070A">
            <w:pPr>
              <w:spacing w:line="360" w:lineRule="auto"/>
              <w:jc w:val="center"/>
              <w:rPr>
                <w:rFonts w:ascii="宋体" w:hAnsi="宋体" w:cs="宋体"/>
              </w:rPr>
            </w:pPr>
            <w:r>
              <w:rPr>
                <w:rFonts w:hint="eastAsia" w:ascii="宋体" w:hAnsi="宋体" w:cs="宋体"/>
              </w:rPr>
              <w:t>响应文件响应情况</w:t>
            </w:r>
          </w:p>
        </w:tc>
        <w:tc>
          <w:tcPr>
            <w:tcW w:w="1394" w:type="dxa"/>
            <w:vAlign w:val="center"/>
          </w:tcPr>
          <w:p w14:paraId="3BDAB81F">
            <w:pPr>
              <w:spacing w:line="360" w:lineRule="auto"/>
              <w:jc w:val="center"/>
              <w:rPr>
                <w:rFonts w:ascii="宋体" w:hAnsi="宋体" w:cs="宋体"/>
              </w:rPr>
            </w:pPr>
            <w:r>
              <w:rPr>
                <w:rFonts w:hint="eastAsia" w:ascii="宋体" w:hAnsi="宋体" w:cs="宋体"/>
              </w:rPr>
              <w:t>偏离说明</w:t>
            </w:r>
          </w:p>
        </w:tc>
        <w:tc>
          <w:tcPr>
            <w:tcW w:w="1858" w:type="dxa"/>
            <w:vAlign w:val="center"/>
          </w:tcPr>
          <w:p w14:paraId="17AA1B65">
            <w:pPr>
              <w:spacing w:line="360" w:lineRule="auto"/>
              <w:jc w:val="center"/>
              <w:rPr>
                <w:rFonts w:ascii="宋体" w:hAnsi="宋体" w:cs="宋体"/>
              </w:rPr>
            </w:pPr>
            <w:r>
              <w:rPr>
                <w:rFonts w:hint="eastAsia" w:ascii="宋体" w:hAnsi="宋体" w:cs="宋体"/>
              </w:rPr>
              <w:t>备注</w:t>
            </w:r>
          </w:p>
        </w:tc>
      </w:tr>
      <w:tr w14:paraId="0690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862" w:type="dxa"/>
            <w:vAlign w:val="center"/>
          </w:tcPr>
          <w:p w14:paraId="7BAE7437">
            <w:pPr>
              <w:spacing w:line="360" w:lineRule="auto"/>
              <w:jc w:val="center"/>
              <w:rPr>
                <w:rFonts w:ascii="宋体" w:hAnsi="宋体" w:cs="宋体"/>
              </w:rPr>
            </w:pPr>
            <w:r>
              <w:rPr>
                <w:rFonts w:hint="eastAsia" w:ascii="宋体" w:hAnsi="宋体" w:cs="宋体"/>
              </w:rPr>
              <w:t>1</w:t>
            </w:r>
          </w:p>
        </w:tc>
        <w:tc>
          <w:tcPr>
            <w:tcW w:w="2753" w:type="dxa"/>
            <w:vAlign w:val="center"/>
          </w:tcPr>
          <w:p w14:paraId="0A1ABFB7">
            <w:pPr>
              <w:spacing w:line="360" w:lineRule="auto"/>
              <w:jc w:val="left"/>
              <w:rPr>
                <w:rFonts w:ascii="宋体" w:hAnsi="宋体" w:cs="宋体"/>
              </w:rPr>
            </w:pPr>
          </w:p>
        </w:tc>
        <w:tc>
          <w:tcPr>
            <w:tcW w:w="2633" w:type="dxa"/>
            <w:vAlign w:val="center"/>
          </w:tcPr>
          <w:p w14:paraId="3BA16379">
            <w:pPr>
              <w:spacing w:line="360" w:lineRule="auto"/>
              <w:jc w:val="center"/>
              <w:rPr>
                <w:rFonts w:ascii="宋体" w:hAnsi="宋体" w:cs="宋体"/>
              </w:rPr>
            </w:pPr>
          </w:p>
        </w:tc>
        <w:tc>
          <w:tcPr>
            <w:tcW w:w="1394" w:type="dxa"/>
            <w:vAlign w:val="center"/>
          </w:tcPr>
          <w:p w14:paraId="6F659DDF">
            <w:pPr>
              <w:spacing w:line="360" w:lineRule="auto"/>
              <w:jc w:val="center"/>
              <w:rPr>
                <w:rFonts w:ascii="宋体" w:hAnsi="宋体" w:cs="宋体"/>
              </w:rPr>
            </w:pPr>
          </w:p>
        </w:tc>
        <w:tc>
          <w:tcPr>
            <w:tcW w:w="1858" w:type="dxa"/>
            <w:vAlign w:val="center"/>
          </w:tcPr>
          <w:p w14:paraId="579A32B1">
            <w:pPr>
              <w:spacing w:line="360" w:lineRule="auto"/>
              <w:jc w:val="center"/>
              <w:rPr>
                <w:rFonts w:ascii="宋体" w:hAnsi="宋体" w:cs="宋体"/>
              </w:rPr>
            </w:pPr>
          </w:p>
        </w:tc>
      </w:tr>
      <w:tr w14:paraId="6DA5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862" w:type="dxa"/>
            <w:vAlign w:val="center"/>
          </w:tcPr>
          <w:p w14:paraId="71A06027">
            <w:pPr>
              <w:pStyle w:val="9"/>
              <w:ind w:firstLine="420"/>
              <w:jc w:val="center"/>
              <w:rPr>
                <w:rFonts w:ascii="宋体" w:hAnsi="宋体" w:cs="宋体"/>
                <w:sz w:val="21"/>
              </w:rPr>
            </w:pPr>
            <w:r>
              <w:rPr>
                <w:rFonts w:hint="eastAsia" w:ascii="宋体" w:hAnsi="宋体" w:cs="宋体"/>
                <w:sz w:val="21"/>
              </w:rPr>
              <w:t>2</w:t>
            </w:r>
          </w:p>
        </w:tc>
        <w:tc>
          <w:tcPr>
            <w:tcW w:w="2753" w:type="dxa"/>
            <w:vAlign w:val="center"/>
          </w:tcPr>
          <w:p w14:paraId="59C950C4">
            <w:pPr>
              <w:spacing w:line="360" w:lineRule="auto"/>
              <w:jc w:val="left"/>
              <w:rPr>
                <w:rFonts w:ascii="宋体" w:hAnsi="宋体" w:cs="宋体"/>
                <w:kern w:val="0"/>
                <w:szCs w:val="22"/>
              </w:rPr>
            </w:pPr>
          </w:p>
        </w:tc>
        <w:tc>
          <w:tcPr>
            <w:tcW w:w="2633" w:type="dxa"/>
            <w:vAlign w:val="center"/>
          </w:tcPr>
          <w:p w14:paraId="631A6E3E">
            <w:pPr>
              <w:spacing w:line="360" w:lineRule="auto"/>
              <w:jc w:val="center"/>
              <w:rPr>
                <w:rFonts w:ascii="宋体" w:hAnsi="宋体" w:cs="宋体"/>
              </w:rPr>
            </w:pPr>
          </w:p>
        </w:tc>
        <w:tc>
          <w:tcPr>
            <w:tcW w:w="1394" w:type="dxa"/>
            <w:vAlign w:val="center"/>
          </w:tcPr>
          <w:p w14:paraId="6FB85357">
            <w:pPr>
              <w:spacing w:line="360" w:lineRule="auto"/>
              <w:jc w:val="center"/>
              <w:rPr>
                <w:rFonts w:ascii="宋体" w:hAnsi="宋体" w:cs="宋体"/>
              </w:rPr>
            </w:pPr>
          </w:p>
        </w:tc>
        <w:tc>
          <w:tcPr>
            <w:tcW w:w="1858" w:type="dxa"/>
            <w:vAlign w:val="center"/>
          </w:tcPr>
          <w:p w14:paraId="175A2C56">
            <w:pPr>
              <w:spacing w:line="360" w:lineRule="auto"/>
              <w:jc w:val="center"/>
              <w:rPr>
                <w:rFonts w:ascii="宋体" w:hAnsi="宋体" w:cs="宋体"/>
              </w:rPr>
            </w:pPr>
          </w:p>
        </w:tc>
      </w:tr>
      <w:tr w14:paraId="43D8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exact"/>
          <w:jc w:val="center"/>
        </w:trPr>
        <w:tc>
          <w:tcPr>
            <w:tcW w:w="862" w:type="dxa"/>
            <w:vAlign w:val="center"/>
          </w:tcPr>
          <w:p w14:paraId="3F627288">
            <w:pPr>
              <w:pStyle w:val="9"/>
              <w:ind w:firstLine="420"/>
              <w:jc w:val="center"/>
              <w:rPr>
                <w:rFonts w:ascii="宋体" w:hAnsi="宋体" w:cs="宋体"/>
                <w:sz w:val="21"/>
              </w:rPr>
            </w:pPr>
            <w:r>
              <w:rPr>
                <w:rFonts w:hint="eastAsia" w:ascii="宋体" w:hAnsi="宋体" w:cs="宋体"/>
                <w:sz w:val="21"/>
              </w:rPr>
              <w:t>3</w:t>
            </w:r>
          </w:p>
        </w:tc>
        <w:tc>
          <w:tcPr>
            <w:tcW w:w="2753" w:type="dxa"/>
            <w:vAlign w:val="center"/>
          </w:tcPr>
          <w:p w14:paraId="32D2A360">
            <w:pPr>
              <w:spacing w:line="360" w:lineRule="auto"/>
              <w:jc w:val="left"/>
              <w:rPr>
                <w:rFonts w:ascii="宋体" w:hAnsi="宋体" w:cs="宋体"/>
                <w:kern w:val="0"/>
                <w:szCs w:val="22"/>
              </w:rPr>
            </w:pPr>
          </w:p>
        </w:tc>
        <w:tc>
          <w:tcPr>
            <w:tcW w:w="2633" w:type="dxa"/>
            <w:vAlign w:val="center"/>
          </w:tcPr>
          <w:p w14:paraId="2CB77E73">
            <w:pPr>
              <w:spacing w:line="360" w:lineRule="auto"/>
              <w:jc w:val="center"/>
              <w:rPr>
                <w:rFonts w:ascii="宋体" w:hAnsi="宋体" w:cs="宋体"/>
              </w:rPr>
            </w:pPr>
          </w:p>
        </w:tc>
        <w:tc>
          <w:tcPr>
            <w:tcW w:w="1394" w:type="dxa"/>
            <w:vAlign w:val="center"/>
          </w:tcPr>
          <w:p w14:paraId="10D9D81D">
            <w:pPr>
              <w:spacing w:line="360" w:lineRule="auto"/>
              <w:jc w:val="center"/>
              <w:rPr>
                <w:rFonts w:ascii="宋体" w:hAnsi="宋体" w:cs="宋体"/>
              </w:rPr>
            </w:pPr>
          </w:p>
        </w:tc>
        <w:tc>
          <w:tcPr>
            <w:tcW w:w="1858" w:type="dxa"/>
            <w:vAlign w:val="center"/>
          </w:tcPr>
          <w:p w14:paraId="3A59444D">
            <w:pPr>
              <w:spacing w:line="360" w:lineRule="auto"/>
              <w:jc w:val="center"/>
              <w:rPr>
                <w:rFonts w:ascii="宋体" w:hAnsi="宋体" w:cs="宋体"/>
              </w:rPr>
            </w:pPr>
          </w:p>
        </w:tc>
      </w:tr>
      <w:tr w14:paraId="33BD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8" w:hRule="exact"/>
          <w:jc w:val="center"/>
        </w:trPr>
        <w:tc>
          <w:tcPr>
            <w:tcW w:w="862" w:type="dxa"/>
            <w:vAlign w:val="center"/>
          </w:tcPr>
          <w:p w14:paraId="1FE1CF6D">
            <w:pPr>
              <w:spacing w:line="360" w:lineRule="auto"/>
              <w:jc w:val="center"/>
              <w:rPr>
                <w:rFonts w:ascii="宋体" w:hAnsi="宋体" w:cs="宋体"/>
              </w:rPr>
            </w:pPr>
            <w:r>
              <w:rPr>
                <w:rFonts w:hint="eastAsia" w:ascii="宋体" w:hAnsi="宋体" w:cs="宋体"/>
              </w:rPr>
              <w:t>4</w:t>
            </w:r>
          </w:p>
        </w:tc>
        <w:tc>
          <w:tcPr>
            <w:tcW w:w="2753" w:type="dxa"/>
            <w:vAlign w:val="center"/>
          </w:tcPr>
          <w:p w14:paraId="32EC7168">
            <w:pPr>
              <w:spacing w:line="360" w:lineRule="auto"/>
              <w:jc w:val="left"/>
              <w:rPr>
                <w:rFonts w:ascii="宋体" w:hAnsi="宋体" w:cs="宋体"/>
                <w:kern w:val="0"/>
                <w:szCs w:val="22"/>
              </w:rPr>
            </w:pPr>
          </w:p>
        </w:tc>
        <w:tc>
          <w:tcPr>
            <w:tcW w:w="2633" w:type="dxa"/>
            <w:vAlign w:val="center"/>
          </w:tcPr>
          <w:p w14:paraId="7553CA78">
            <w:pPr>
              <w:spacing w:line="360" w:lineRule="auto"/>
              <w:jc w:val="center"/>
              <w:rPr>
                <w:rFonts w:ascii="宋体" w:hAnsi="宋体" w:cs="宋体"/>
              </w:rPr>
            </w:pPr>
          </w:p>
        </w:tc>
        <w:tc>
          <w:tcPr>
            <w:tcW w:w="1394" w:type="dxa"/>
            <w:vAlign w:val="center"/>
          </w:tcPr>
          <w:p w14:paraId="7496148F">
            <w:pPr>
              <w:spacing w:line="360" w:lineRule="auto"/>
              <w:jc w:val="center"/>
              <w:rPr>
                <w:rFonts w:ascii="宋体" w:hAnsi="宋体" w:cs="宋体"/>
              </w:rPr>
            </w:pPr>
          </w:p>
        </w:tc>
        <w:tc>
          <w:tcPr>
            <w:tcW w:w="1858" w:type="dxa"/>
            <w:vAlign w:val="center"/>
          </w:tcPr>
          <w:p w14:paraId="56AB579E">
            <w:pPr>
              <w:spacing w:line="360" w:lineRule="auto"/>
              <w:jc w:val="center"/>
              <w:rPr>
                <w:rFonts w:ascii="宋体" w:hAnsi="宋体" w:cs="宋体"/>
              </w:rPr>
            </w:pPr>
          </w:p>
        </w:tc>
      </w:tr>
      <w:tr w14:paraId="7DC5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5" w:hRule="exact"/>
          <w:jc w:val="center"/>
        </w:trPr>
        <w:tc>
          <w:tcPr>
            <w:tcW w:w="862" w:type="dxa"/>
            <w:vAlign w:val="center"/>
          </w:tcPr>
          <w:p w14:paraId="539CB7AB">
            <w:pPr>
              <w:spacing w:line="360" w:lineRule="auto"/>
              <w:jc w:val="center"/>
              <w:rPr>
                <w:rFonts w:ascii="宋体" w:hAnsi="宋体" w:cs="宋体"/>
              </w:rPr>
            </w:pPr>
            <w:r>
              <w:rPr>
                <w:rFonts w:hint="eastAsia" w:ascii="宋体" w:hAnsi="宋体" w:cs="宋体"/>
              </w:rPr>
              <w:t>5</w:t>
            </w:r>
          </w:p>
        </w:tc>
        <w:tc>
          <w:tcPr>
            <w:tcW w:w="2753" w:type="dxa"/>
            <w:vAlign w:val="center"/>
          </w:tcPr>
          <w:p w14:paraId="5936C84E">
            <w:pPr>
              <w:spacing w:line="360" w:lineRule="auto"/>
              <w:jc w:val="left"/>
              <w:rPr>
                <w:rFonts w:ascii="宋体" w:hAnsi="宋体" w:cs="宋体"/>
                <w:kern w:val="0"/>
                <w:szCs w:val="22"/>
              </w:rPr>
            </w:pPr>
          </w:p>
        </w:tc>
        <w:tc>
          <w:tcPr>
            <w:tcW w:w="2633" w:type="dxa"/>
            <w:vAlign w:val="center"/>
          </w:tcPr>
          <w:p w14:paraId="7A6BCCF9">
            <w:pPr>
              <w:spacing w:line="360" w:lineRule="auto"/>
              <w:jc w:val="center"/>
              <w:rPr>
                <w:rFonts w:ascii="宋体" w:hAnsi="宋体" w:cs="宋体"/>
              </w:rPr>
            </w:pPr>
          </w:p>
        </w:tc>
        <w:tc>
          <w:tcPr>
            <w:tcW w:w="1394" w:type="dxa"/>
            <w:vAlign w:val="center"/>
          </w:tcPr>
          <w:p w14:paraId="50C4CA06">
            <w:pPr>
              <w:spacing w:line="360" w:lineRule="auto"/>
              <w:jc w:val="center"/>
              <w:rPr>
                <w:rFonts w:ascii="宋体" w:hAnsi="宋体" w:cs="宋体"/>
              </w:rPr>
            </w:pPr>
          </w:p>
        </w:tc>
        <w:tc>
          <w:tcPr>
            <w:tcW w:w="1858" w:type="dxa"/>
            <w:vAlign w:val="center"/>
          </w:tcPr>
          <w:p w14:paraId="0E3251BA">
            <w:pPr>
              <w:spacing w:line="360" w:lineRule="auto"/>
              <w:jc w:val="center"/>
              <w:rPr>
                <w:rFonts w:ascii="宋体" w:hAnsi="宋体" w:cs="宋体"/>
              </w:rPr>
            </w:pPr>
          </w:p>
        </w:tc>
      </w:tr>
    </w:tbl>
    <w:p w14:paraId="32D43070">
      <w:pPr>
        <w:spacing w:line="360" w:lineRule="auto"/>
        <w:rPr>
          <w:rFonts w:ascii="宋体" w:hAnsi="宋体" w:cs="宋体"/>
          <w:kern w:val="0"/>
        </w:rPr>
      </w:pPr>
      <w:r>
        <w:rPr>
          <w:rFonts w:hint="eastAsia" w:ascii="宋体" w:hAnsi="宋体" w:cs="宋体"/>
          <w:kern w:val="0"/>
        </w:rPr>
        <w:t>说明：</w:t>
      </w:r>
    </w:p>
    <w:p w14:paraId="1040E73C">
      <w:pPr>
        <w:spacing w:line="360" w:lineRule="auto"/>
        <w:rPr>
          <w:rFonts w:ascii="宋体" w:hAnsi="宋体" w:cs="宋体"/>
          <w:kern w:val="0"/>
        </w:rPr>
      </w:pPr>
      <w:r>
        <w:rPr>
          <w:rFonts w:hint="eastAsia" w:ascii="宋体" w:hAnsi="宋体" w:cs="宋体"/>
          <w:kern w:val="0"/>
        </w:rPr>
        <w:t>1.表中“单一来源文件要求”一栏按单一来源文件中规定的各项要求逐项填写（如服务期限、服务地点、服务质量、招标范围、对供应商资格要求、合同条款中的要求、对供应商报价要求等内容）。</w:t>
      </w:r>
    </w:p>
    <w:p w14:paraId="26D8CCD0">
      <w:pPr>
        <w:spacing w:line="360" w:lineRule="auto"/>
        <w:rPr>
          <w:rFonts w:ascii="宋体" w:hAnsi="宋体" w:cs="宋体"/>
          <w:kern w:val="0"/>
        </w:rPr>
      </w:pPr>
      <w:r>
        <w:rPr>
          <w:rFonts w:hint="eastAsia" w:ascii="宋体" w:hAnsi="宋体" w:cs="宋体"/>
        </w:rPr>
        <w:t>2.</w:t>
      </w:r>
      <w:r>
        <w:rPr>
          <w:rFonts w:hint="eastAsia" w:ascii="宋体" w:hAnsi="宋体" w:cs="宋体"/>
          <w:kern w:val="0"/>
        </w:rPr>
        <w:t>表中“</w:t>
      </w:r>
      <w:r>
        <w:rPr>
          <w:rFonts w:hint="eastAsia" w:ascii="宋体" w:hAnsi="宋体" w:cs="宋体"/>
        </w:rPr>
        <w:t>响应文件响应情况</w:t>
      </w:r>
      <w:r>
        <w:rPr>
          <w:rFonts w:hint="eastAsia" w:ascii="宋体" w:hAnsi="宋体" w:cs="宋体"/>
          <w:kern w:val="0"/>
        </w:rPr>
        <w:t>”一栏供应商根据“单一来源文件要求”要求的内容进行响应填写。</w:t>
      </w:r>
    </w:p>
    <w:p w14:paraId="2FC94B57">
      <w:pPr>
        <w:spacing w:line="360" w:lineRule="auto"/>
        <w:rPr>
          <w:rFonts w:ascii="宋体" w:hAnsi="宋体" w:cs="宋体"/>
          <w:kern w:val="0"/>
        </w:rPr>
      </w:pPr>
      <w:r>
        <w:rPr>
          <w:rFonts w:hint="eastAsia" w:ascii="宋体" w:hAnsi="宋体" w:cs="宋体"/>
          <w:kern w:val="0"/>
        </w:rPr>
        <w:t>3.表中“偏离说明”一栏供应商对“单一来源文件要求”与“响应文件响应”进行对比后填写偏离说明。（如：无偏离请填写“无偏离”的字样；正偏离请填写“正偏离”字样并对在“备注”一栏对正偏离进行具体说明；负偏离请填写“负偏离”字样并在“备注”一栏对负偏离进行具体说明。</w:t>
      </w:r>
    </w:p>
    <w:p w14:paraId="599BA853">
      <w:pPr>
        <w:spacing w:line="360" w:lineRule="auto"/>
        <w:rPr>
          <w:rFonts w:ascii="宋体" w:hAnsi="宋体" w:cs="宋体"/>
          <w:kern w:val="0"/>
        </w:rPr>
      </w:pPr>
      <w:r>
        <w:rPr>
          <w:rFonts w:hint="eastAsia" w:ascii="宋体" w:hAnsi="宋体" w:cs="宋体"/>
          <w:kern w:val="0"/>
        </w:rPr>
        <w:t>4.本表中商务条款不允许负偏离。</w:t>
      </w:r>
    </w:p>
    <w:p w14:paraId="0B88F049">
      <w:pPr>
        <w:spacing w:line="360" w:lineRule="auto"/>
        <w:rPr>
          <w:rFonts w:ascii="宋体" w:hAnsi="宋体" w:cs="宋体"/>
          <w:kern w:val="0"/>
        </w:rPr>
      </w:pPr>
      <w:r>
        <w:rPr>
          <w:rFonts w:hint="eastAsia" w:ascii="宋体" w:hAnsi="宋体" w:cs="宋体"/>
          <w:kern w:val="0"/>
        </w:rPr>
        <w:t>5.除</w:t>
      </w:r>
      <w:r>
        <w:rPr>
          <w:rFonts w:hint="eastAsia" w:ascii="宋体" w:hAnsi="宋体" w:cs="宋体"/>
          <w:kern w:val="0"/>
          <w:lang w:eastAsia="zh-CN"/>
        </w:rPr>
        <w:t>技术服务偏离表</w:t>
      </w:r>
      <w:r>
        <w:rPr>
          <w:rFonts w:hint="eastAsia" w:ascii="宋体" w:hAnsi="宋体" w:cs="宋体"/>
          <w:kern w:val="0"/>
        </w:rPr>
        <w:t>列出的偏差外，供应商响应单一来源文件的全部要求</w:t>
      </w:r>
    </w:p>
    <w:p w14:paraId="0B4D4C3A">
      <w:pPr>
        <w:spacing w:line="360" w:lineRule="auto"/>
        <w:ind w:firstLine="480"/>
        <w:jc w:val="left"/>
        <w:rPr>
          <w:rFonts w:ascii="宋体" w:hAnsi="宋体" w:cs="宋体"/>
          <w:sz w:val="24"/>
        </w:rPr>
      </w:pPr>
    </w:p>
    <w:p w14:paraId="6843FA26">
      <w:pPr>
        <w:spacing w:line="360" w:lineRule="auto"/>
        <w:ind w:firstLine="480"/>
        <w:jc w:val="lef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26FC42AF">
      <w:pPr>
        <w:spacing w:line="360" w:lineRule="auto"/>
        <w:ind w:firstLine="240" w:firstLineChars="100"/>
        <w:jc w:val="right"/>
        <w:rPr>
          <w:rFonts w:hint="eastAsia" w:ascii="宋体" w:hAnsi="宋体" w:cs="宋体"/>
          <w:sz w:val="24"/>
        </w:rPr>
      </w:pPr>
    </w:p>
    <w:p w14:paraId="2B8AF591">
      <w:pPr>
        <w:spacing w:line="360" w:lineRule="auto"/>
        <w:ind w:firstLine="240" w:firstLineChars="100"/>
        <w:jc w:val="right"/>
        <w:rPr>
          <w:rFonts w:ascii="宋体" w:hAnsi="宋体" w:cs="宋体"/>
          <w:sz w:val="24"/>
        </w:rPr>
      </w:pP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29B5AA5">
      <w:pPr>
        <w:spacing w:line="360" w:lineRule="auto"/>
        <w:ind w:firstLine="482"/>
        <w:jc w:val="center"/>
        <w:outlineLvl w:val="1"/>
        <w:rPr>
          <w:rFonts w:ascii="宋体" w:hAnsi="宋体" w:cs="宋体"/>
          <w:b/>
          <w:bCs/>
          <w:sz w:val="32"/>
          <w:szCs w:val="32"/>
        </w:rPr>
      </w:pPr>
      <w:bookmarkStart w:id="152" w:name="_Toc36844814"/>
      <w:bookmarkStart w:id="153" w:name="_Toc23962692"/>
      <w:r>
        <w:rPr>
          <w:rFonts w:hint="eastAsia" w:ascii="宋体" w:hAnsi="宋体" w:cs="宋体"/>
          <w:b/>
          <w:sz w:val="24"/>
        </w:rPr>
        <w:br w:type="page"/>
      </w:r>
      <w:bookmarkEnd w:id="152"/>
      <w:bookmarkEnd w:id="153"/>
      <w:bookmarkStart w:id="154" w:name="_Toc2988"/>
      <w:bookmarkStart w:id="155" w:name="_Toc6468"/>
      <w:bookmarkStart w:id="156" w:name="_Toc414"/>
      <w:bookmarkStart w:id="157" w:name="_Toc29918"/>
      <w:bookmarkStart w:id="158" w:name="_Toc16516"/>
      <w:bookmarkStart w:id="159" w:name="_Toc25867"/>
      <w:bookmarkStart w:id="160" w:name="_Toc19367"/>
      <w:bookmarkStart w:id="161" w:name="_Toc7052"/>
      <w:bookmarkStart w:id="162" w:name="_Toc16338"/>
      <w:bookmarkStart w:id="163" w:name="_Toc30907"/>
      <w:r>
        <w:rPr>
          <w:rFonts w:hint="eastAsia" w:ascii="宋体" w:hAnsi="宋体" w:cs="宋体"/>
          <w:b/>
          <w:bCs/>
          <w:sz w:val="32"/>
          <w:szCs w:val="32"/>
        </w:rPr>
        <w:t>五、</w:t>
      </w:r>
      <w:bookmarkEnd w:id="148"/>
      <w:bookmarkEnd w:id="149"/>
      <w:bookmarkEnd w:id="150"/>
      <w:bookmarkEnd w:id="151"/>
      <w:r>
        <w:rPr>
          <w:rFonts w:hint="eastAsia" w:ascii="宋体" w:hAnsi="宋体" w:cs="宋体"/>
          <w:b/>
          <w:bCs/>
          <w:sz w:val="32"/>
          <w:szCs w:val="32"/>
        </w:rPr>
        <w:t>资格审查资料</w:t>
      </w:r>
      <w:bookmarkEnd w:id="154"/>
      <w:bookmarkEnd w:id="155"/>
      <w:bookmarkEnd w:id="156"/>
      <w:bookmarkEnd w:id="157"/>
      <w:bookmarkEnd w:id="158"/>
      <w:bookmarkEnd w:id="159"/>
      <w:bookmarkEnd w:id="160"/>
      <w:bookmarkEnd w:id="161"/>
      <w:bookmarkEnd w:id="162"/>
      <w:bookmarkEnd w:id="163"/>
    </w:p>
    <w:p w14:paraId="5258C419">
      <w:pPr>
        <w:spacing w:line="360" w:lineRule="auto"/>
        <w:ind w:firstLine="482"/>
        <w:outlineLvl w:val="2"/>
        <w:rPr>
          <w:rFonts w:ascii="宋体" w:hAnsi="宋体" w:cs="宋体"/>
          <w:b/>
          <w:bCs/>
          <w:sz w:val="24"/>
        </w:rPr>
      </w:pPr>
      <w:bookmarkStart w:id="164" w:name="_Toc26654"/>
      <w:bookmarkStart w:id="165" w:name="_Toc20915"/>
      <w:bookmarkStart w:id="166" w:name="_Toc17463"/>
      <w:bookmarkStart w:id="167" w:name="_Toc21445"/>
      <w:bookmarkStart w:id="168" w:name="_Toc29480"/>
      <w:bookmarkStart w:id="169" w:name="_Toc20851"/>
      <w:bookmarkStart w:id="170" w:name="_Toc29753"/>
      <w:bookmarkStart w:id="171" w:name="_Toc16366"/>
      <w:bookmarkStart w:id="172" w:name="_Toc17727"/>
      <w:bookmarkStart w:id="173" w:name="_Toc31024"/>
      <w:r>
        <w:rPr>
          <w:rFonts w:hint="eastAsia" w:ascii="宋体" w:hAnsi="宋体" w:cs="宋体"/>
          <w:b/>
          <w:bCs/>
          <w:sz w:val="24"/>
        </w:rPr>
        <w:t>（一）</w:t>
      </w:r>
      <w:bookmarkEnd w:id="164"/>
      <w:bookmarkEnd w:id="165"/>
      <w:r>
        <w:rPr>
          <w:rFonts w:hint="eastAsia" w:ascii="宋体" w:hAnsi="宋体" w:cs="宋体"/>
          <w:b/>
          <w:bCs/>
          <w:sz w:val="24"/>
        </w:rPr>
        <w:t>营业执照等证明材料</w:t>
      </w:r>
      <w:bookmarkEnd w:id="166"/>
      <w:bookmarkEnd w:id="167"/>
      <w:bookmarkEnd w:id="168"/>
      <w:bookmarkEnd w:id="169"/>
      <w:bookmarkEnd w:id="170"/>
      <w:bookmarkEnd w:id="171"/>
      <w:bookmarkEnd w:id="172"/>
      <w:bookmarkEnd w:id="173"/>
    </w:p>
    <w:p w14:paraId="39EF8279">
      <w:pPr>
        <w:spacing w:line="360" w:lineRule="auto"/>
        <w:ind w:firstLine="482"/>
        <w:outlineLvl w:val="2"/>
        <w:rPr>
          <w:rFonts w:ascii="宋体" w:hAnsi="宋体" w:cs="宋体"/>
          <w:b/>
          <w:bCs/>
          <w:sz w:val="24"/>
        </w:rPr>
      </w:pPr>
      <w:bookmarkStart w:id="174" w:name="_Toc2722"/>
      <w:bookmarkStart w:id="175" w:name="_Toc28501"/>
      <w:bookmarkStart w:id="176" w:name="_Toc24618"/>
      <w:bookmarkStart w:id="177" w:name="_Toc21406"/>
      <w:bookmarkStart w:id="178" w:name="_Toc31565"/>
      <w:bookmarkStart w:id="179" w:name="_Toc12547813"/>
      <w:bookmarkStart w:id="180" w:name="_Toc10096"/>
      <w:bookmarkStart w:id="181" w:name="_Toc28444"/>
      <w:bookmarkStart w:id="182" w:name="_Toc20475"/>
      <w:bookmarkStart w:id="183" w:name="_Toc31956"/>
      <w:bookmarkStart w:id="184" w:name="_Toc6318"/>
      <w:bookmarkStart w:id="185" w:name="_Toc1797"/>
      <w:r>
        <w:rPr>
          <w:rFonts w:hint="eastAsia" w:ascii="宋体" w:hAnsi="宋体" w:cs="宋体"/>
          <w:b/>
          <w:bCs/>
          <w:sz w:val="24"/>
        </w:rPr>
        <w:t>（二）近年财务状况</w:t>
      </w:r>
      <w:bookmarkEnd w:id="174"/>
      <w:bookmarkEnd w:id="175"/>
      <w:bookmarkEnd w:id="176"/>
      <w:bookmarkEnd w:id="177"/>
      <w:bookmarkEnd w:id="178"/>
      <w:bookmarkEnd w:id="179"/>
      <w:bookmarkEnd w:id="180"/>
      <w:bookmarkEnd w:id="181"/>
      <w:bookmarkEnd w:id="182"/>
      <w:bookmarkEnd w:id="183"/>
      <w:bookmarkEnd w:id="184"/>
      <w:bookmarkEnd w:id="185"/>
    </w:p>
    <w:p w14:paraId="252894CA">
      <w:pPr>
        <w:spacing w:line="360" w:lineRule="auto"/>
        <w:ind w:firstLine="480" w:firstLineChars="200"/>
        <w:jc w:val="left"/>
        <w:rPr>
          <w:rFonts w:ascii="宋体" w:hAnsi="宋体" w:cs="宋体"/>
          <w:sz w:val="24"/>
        </w:rPr>
      </w:pPr>
      <w:r>
        <w:rPr>
          <w:rFonts w:hint="eastAsia" w:ascii="宋体" w:hAnsi="宋体" w:cs="宋体"/>
          <w:sz w:val="24"/>
        </w:rPr>
        <w:t>2024年度经审计的财务报告或银行资信证明</w:t>
      </w:r>
      <w:r>
        <w:rPr>
          <w:rFonts w:hint="eastAsia" w:ascii="宋体" w:hAnsi="宋体" w:cs="宋体"/>
        </w:rPr>
        <w:t>。</w:t>
      </w:r>
    </w:p>
    <w:p w14:paraId="67CB1217">
      <w:pPr>
        <w:spacing w:line="360" w:lineRule="auto"/>
        <w:ind w:firstLine="482"/>
        <w:outlineLvl w:val="2"/>
        <w:rPr>
          <w:rFonts w:ascii="宋体" w:hAnsi="宋体" w:cs="宋体"/>
          <w:b/>
          <w:bCs/>
          <w:sz w:val="24"/>
        </w:rPr>
      </w:pPr>
      <w:bookmarkStart w:id="186" w:name="_Toc7200"/>
      <w:bookmarkStart w:id="187" w:name="_Toc21801"/>
      <w:bookmarkStart w:id="188" w:name="_Toc5997"/>
      <w:bookmarkStart w:id="189" w:name="_Toc25181"/>
      <w:bookmarkStart w:id="190" w:name="_Toc13351"/>
      <w:bookmarkStart w:id="191" w:name="_Toc25810"/>
      <w:bookmarkStart w:id="192" w:name="_Toc6839"/>
      <w:bookmarkStart w:id="193" w:name="_Toc5397"/>
      <w:bookmarkStart w:id="194" w:name="_Toc9193"/>
      <w:r>
        <w:rPr>
          <w:rFonts w:hint="eastAsia" w:ascii="宋体" w:hAnsi="宋体" w:cs="宋体"/>
          <w:b/>
          <w:bCs/>
          <w:sz w:val="24"/>
        </w:rPr>
        <w:t>（三）依法纳税及社保证明材料</w:t>
      </w:r>
      <w:bookmarkEnd w:id="186"/>
      <w:bookmarkEnd w:id="187"/>
      <w:bookmarkEnd w:id="188"/>
      <w:bookmarkEnd w:id="189"/>
      <w:bookmarkEnd w:id="190"/>
      <w:bookmarkEnd w:id="191"/>
      <w:bookmarkEnd w:id="192"/>
      <w:bookmarkEnd w:id="193"/>
      <w:bookmarkEnd w:id="194"/>
    </w:p>
    <w:p w14:paraId="4C4C2D30">
      <w:pPr>
        <w:spacing w:line="360" w:lineRule="auto"/>
        <w:ind w:firstLine="480" w:firstLineChars="200"/>
        <w:rPr>
          <w:rFonts w:ascii="宋体" w:hAnsi="宋体" w:cs="宋体"/>
          <w:sz w:val="24"/>
          <w:highlight w:val="none"/>
        </w:rPr>
      </w:pPr>
      <w:bookmarkStart w:id="195" w:name="_Toc5007"/>
      <w:bookmarkStart w:id="196" w:name="_Toc1368"/>
      <w:r>
        <w:rPr>
          <w:rFonts w:hint="eastAsia" w:ascii="宋体" w:hAnsi="宋体" w:cs="宋体"/>
          <w:color w:val="000000" w:themeColor="text1"/>
          <w:sz w:val="24"/>
          <w14:textFill>
            <w14:solidFill>
              <w14:schemeClr w14:val="tx1"/>
            </w14:solidFill>
          </w14:textFill>
        </w:rPr>
        <w:t>2025年1月1日以来任意3个月的纳税证明和社保缴纳证明，依法免税或不需要缴纳社会保</w:t>
      </w:r>
      <w:r>
        <w:rPr>
          <w:rFonts w:hint="eastAsia" w:ascii="宋体" w:hAnsi="宋体" w:cs="宋体"/>
          <w:color w:val="000000" w:themeColor="text1"/>
          <w:sz w:val="24"/>
          <w:highlight w:val="none"/>
          <w14:textFill>
            <w14:solidFill>
              <w14:schemeClr w14:val="tx1"/>
            </w14:solidFill>
          </w14:textFill>
        </w:rPr>
        <w:t>障资金的，应提供相应文件证明其依法免税或不需要缴纳。</w:t>
      </w:r>
    </w:p>
    <w:p w14:paraId="7966AE07">
      <w:pPr>
        <w:widowControl/>
        <w:spacing w:line="360" w:lineRule="auto"/>
        <w:ind w:firstLine="482"/>
        <w:outlineLvl w:val="2"/>
        <w:rPr>
          <w:rFonts w:ascii="宋体" w:hAnsi="宋体" w:cs="宋体"/>
          <w:b/>
          <w:bCs/>
          <w:sz w:val="24"/>
          <w:highlight w:val="none"/>
        </w:rPr>
      </w:pPr>
      <w:bookmarkStart w:id="197" w:name="_Toc8675"/>
      <w:bookmarkStart w:id="198" w:name="_Toc26675"/>
      <w:bookmarkStart w:id="199" w:name="_Toc5507"/>
      <w:bookmarkStart w:id="200" w:name="_Toc5188"/>
      <w:bookmarkStart w:id="201" w:name="_Toc8947"/>
      <w:bookmarkStart w:id="202" w:name="_Toc26018"/>
      <w:bookmarkStart w:id="203" w:name="_Toc17760"/>
      <w:bookmarkStart w:id="204" w:name="_Toc31595"/>
      <w:r>
        <w:rPr>
          <w:rFonts w:hint="eastAsia" w:ascii="宋体" w:hAnsi="宋体" w:cs="宋体"/>
          <w:b/>
          <w:bCs/>
          <w:sz w:val="24"/>
          <w:highlight w:val="none"/>
        </w:rPr>
        <w:t>（四）</w:t>
      </w:r>
      <w:bookmarkEnd w:id="195"/>
      <w:bookmarkEnd w:id="196"/>
      <w:r>
        <w:rPr>
          <w:rFonts w:hint="eastAsia" w:ascii="宋体" w:hAnsi="宋体" w:cs="宋体"/>
          <w:b/>
          <w:bCs/>
          <w:sz w:val="24"/>
          <w:highlight w:val="none"/>
        </w:rPr>
        <w:t>具备履行合同所必需的设备和专业技术能力</w:t>
      </w:r>
      <w:bookmarkEnd w:id="197"/>
      <w:bookmarkEnd w:id="198"/>
      <w:bookmarkEnd w:id="199"/>
      <w:bookmarkEnd w:id="200"/>
      <w:bookmarkEnd w:id="201"/>
      <w:bookmarkEnd w:id="202"/>
      <w:bookmarkEnd w:id="203"/>
      <w:bookmarkEnd w:id="204"/>
    </w:p>
    <w:p w14:paraId="5AC1A3B2">
      <w:pPr>
        <w:spacing w:line="360" w:lineRule="auto"/>
        <w:ind w:firstLine="480" w:firstLineChars="200"/>
        <w:rPr>
          <w:rFonts w:ascii="宋体" w:hAnsi="宋体" w:cs="宋体"/>
          <w:sz w:val="24"/>
          <w:highlight w:val="none"/>
        </w:rPr>
      </w:pPr>
      <w:r>
        <w:rPr>
          <w:rFonts w:hint="eastAsia" w:ascii="宋体" w:hAnsi="宋体" w:cs="宋体"/>
          <w:sz w:val="24"/>
          <w:highlight w:val="none"/>
        </w:rPr>
        <w:t>提供具有履行合同所必需的设备和专业技术能力的承诺函,加盖公章;</w:t>
      </w:r>
    </w:p>
    <w:p w14:paraId="7475B4FD">
      <w:pPr>
        <w:widowControl/>
        <w:spacing w:line="360" w:lineRule="auto"/>
        <w:ind w:firstLine="482"/>
        <w:outlineLvl w:val="2"/>
        <w:rPr>
          <w:rFonts w:ascii="宋体" w:hAnsi="宋体" w:cs="宋体"/>
          <w:b/>
          <w:bCs/>
          <w:sz w:val="24"/>
        </w:rPr>
      </w:pPr>
      <w:bookmarkStart w:id="205" w:name="_Toc22173"/>
      <w:bookmarkStart w:id="206" w:name="_Toc12547815"/>
      <w:bookmarkStart w:id="207" w:name="_Toc13302"/>
      <w:bookmarkStart w:id="208" w:name="_Toc31138"/>
      <w:bookmarkStart w:id="209" w:name="_Toc15875"/>
      <w:bookmarkStart w:id="210" w:name="_Toc13902"/>
      <w:r>
        <w:rPr>
          <w:rFonts w:hint="eastAsia" w:ascii="宋体" w:hAnsi="宋体" w:cs="宋体"/>
          <w:b/>
          <w:bCs/>
          <w:sz w:val="24"/>
          <w:highlight w:val="none"/>
        </w:rPr>
        <w:t>（五）</w:t>
      </w:r>
      <w:bookmarkEnd w:id="205"/>
      <w:bookmarkEnd w:id="206"/>
      <w:bookmarkEnd w:id="207"/>
      <w:bookmarkEnd w:id="208"/>
      <w:r>
        <w:rPr>
          <w:rFonts w:hint="eastAsia" w:ascii="宋体" w:hAnsi="宋体" w:cs="宋体"/>
          <w:b/>
          <w:bCs/>
          <w:sz w:val="24"/>
          <w:highlight w:val="none"/>
        </w:rPr>
        <w:t>参加政府采购活动前3年内在经营活动中没有重大违</w:t>
      </w:r>
      <w:r>
        <w:rPr>
          <w:rFonts w:hint="eastAsia" w:ascii="宋体" w:hAnsi="宋体" w:cs="宋体"/>
          <w:b/>
          <w:bCs/>
          <w:sz w:val="24"/>
        </w:rPr>
        <w:t>法记录的书面声明</w:t>
      </w:r>
      <w:bookmarkEnd w:id="209"/>
      <w:bookmarkEnd w:id="210"/>
    </w:p>
    <w:p w14:paraId="29CCD68A">
      <w:pPr>
        <w:spacing w:line="360" w:lineRule="auto"/>
        <w:ind w:firstLine="480" w:firstLineChars="200"/>
        <w:jc w:val="left"/>
        <w:rPr>
          <w:rFonts w:ascii="宋体" w:hAnsi="宋体" w:cs="宋体"/>
          <w:sz w:val="24"/>
        </w:rPr>
      </w:pPr>
      <w:r>
        <w:rPr>
          <w:rFonts w:hint="eastAsia" w:ascii="宋体" w:hAnsi="宋体" w:cs="宋体"/>
          <w:sz w:val="24"/>
        </w:rPr>
        <w:t>（格式自拟）</w:t>
      </w:r>
    </w:p>
    <w:p w14:paraId="1909B827">
      <w:pPr>
        <w:spacing w:line="360" w:lineRule="auto"/>
        <w:ind w:firstLine="643"/>
        <w:rPr>
          <w:rFonts w:ascii="宋体" w:hAnsi="宋体" w:cs="宋体"/>
          <w:b/>
          <w:bCs/>
          <w:sz w:val="32"/>
          <w:szCs w:val="32"/>
        </w:rPr>
      </w:pPr>
      <w:bookmarkStart w:id="211" w:name="_Toc23400"/>
      <w:bookmarkStart w:id="212" w:name="_Toc27582"/>
      <w:bookmarkStart w:id="213" w:name="_Toc19356"/>
      <w:bookmarkStart w:id="214" w:name="_Toc18206"/>
      <w:bookmarkStart w:id="215" w:name="_Toc1805"/>
      <w:r>
        <w:rPr>
          <w:rFonts w:hint="eastAsia" w:ascii="宋体" w:hAnsi="宋体" w:cs="宋体"/>
          <w:b/>
          <w:bCs/>
          <w:sz w:val="32"/>
          <w:szCs w:val="32"/>
        </w:rPr>
        <w:br w:type="page"/>
      </w:r>
    </w:p>
    <w:p w14:paraId="7FBA7007">
      <w:pPr>
        <w:spacing w:line="360" w:lineRule="auto"/>
        <w:ind w:firstLine="643"/>
        <w:jc w:val="center"/>
        <w:outlineLvl w:val="1"/>
        <w:rPr>
          <w:rFonts w:ascii="宋体" w:hAnsi="宋体" w:cs="宋体"/>
          <w:b/>
          <w:bCs/>
          <w:sz w:val="32"/>
          <w:szCs w:val="32"/>
        </w:rPr>
      </w:pPr>
      <w:bookmarkStart w:id="216" w:name="_Toc8687"/>
      <w:bookmarkStart w:id="217" w:name="_Toc28198"/>
      <w:bookmarkStart w:id="218" w:name="_Toc5708"/>
      <w:r>
        <w:rPr>
          <w:rFonts w:hint="eastAsia" w:ascii="宋体" w:hAnsi="宋体" w:cs="宋体"/>
          <w:b/>
          <w:bCs/>
          <w:sz w:val="32"/>
          <w:szCs w:val="32"/>
        </w:rPr>
        <w:t>六、服务方案</w:t>
      </w:r>
      <w:bookmarkEnd w:id="211"/>
      <w:bookmarkEnd w:id="216"/>
      <w:bookmarkEnd w:id="217"/>
      <w:bookmarkEnd w:id="218"/>
    </w:p>
    <w:p w14:paraId="613C1920">
      <w:pPr>
        <w:autoSpaceDE w:val="0"/>
        <w:autoSpaceDN w:val="0"/>
        <w:adjustRightInd w:val="0"/>
        <w:spacing w:line="360" w:lineRule="auto"/>
        <w:jc w:val="center"/>
        <w:rPr>
          <w:rFonts w:ascii="宋体" w:hAnsi="宋体" w:cs="宋体"/>
          <w:sz w:val="24"/>
        </w:rPr>
      </w:pPr>
    </w:p>
    <w:p w14:paraId="3345FFAC">
      <w:pPr>
        <w:spacing w:line="360" w:lineRule="auto"/>
        <w:ind w:firstLine="560"/>
        <w:jc w:val="center"/>
        <w:rPr>
          <w:rFonts w:ascii="宋体" w:hAnsi="宋体" w:cs="宋体"/>
          <w:bCs/>
          <w:sz w:val="28"/>
          <w:szCs w:val="28"/>
        </w:rPr>
      </w:pPr>
      <w:r>
        <w:rPr>
          <w:rFonts w:hint="eastAsia" w:ascii="宋体" w:hAnsi="宋体" w:cs="宋体"/>
          <w:bCs/>
          <w:sz w:val="28"/>
          <w:szCs w:val="28"/>
        </w:rPr>
        <w:t>项目实施方案</w:t>
      </w:r>
    </w:p>
    <w:p w14:paraId="5AC07EA5">
      <w:pPr>
        <w:spacing w:line="360" w:lineRule="auto"/>
        <w:ind w:firstLine="560"/>
        <w:jc w:val="center"/>
        <w:rPr>
          <w:rFonts w:ascii="宋体" w:hAnsi="宋体" w:cs="宋体"/>
          <w:bCs/>
          <w:sz w:val="28"/>
          <w:szCs w:val="28"/>
        </w:rPr>
      </w:pPr>
      <w:r>
        <w:rPr>
          <w:rFonts w:hint="eastAsia" w:ascii="宋体" w:hAnsi="宋体" w:cs="宋体"/>
          <w:bCs/>
          <w:sz w:val="28"/>
          <w:szCs w:val="28"/>
        </w:rPr>
        <w:t>（格式自拟）</w:t>
      </w:r>
    </w:p>
    <w:p w14:paraId="579A6642">
      <w:pPr>
        <w:spacing w:line="360" w:lineRule="auto"/>
        <w:jc w:val="left"/>
        <w:rPr>
          <w:rFonts w:ascii="宋体" w:hAnsi="宋体" w:cs="宋体"/>
        </w:rPr>
      </w:pPr>
    </w:p>
    <w:p w14:paraId="50285D64">
      <w:pPr>
        <w:spacing w:line="360" w:lineRule="auto"/>
        <w:jc w:val="left"/>
        <w:rPr>
          <w:rFonts w:ascii="宋体" w:hAnsi="宋体" w:cs="宋体"/>
        </w:rPr>
      </w:pPr>
    </w:p>
    <w:p w14:paraId="48A17EC2">
      <w:pPr>
        <w:pStyle w:val="43"/>
        <w:spacing w:line="360" w:lineRule="auto"/>
        <w:ind w:firstLine="643"/>
        <w:jc w:val="center"/>
        <w:outlineLvl w:val="1"/>
        <w:rPr>
          <w:rFonts w:ascii="宋体" w:hAnsi="宋体" w:cs="宋体"/>
          <w:b/>
          <w:bCs/>
          <w:sz w:val="32"/>
          <w:szCs w:val="32"/>
        </w:rPr>
      </w:pPr>
      <w:r>
        <w:rPr>
          <w:rFonts w:hint="eastAsia" w:ascii="宋体" w:hAnsi="宋体" w:cs="宋体"/>
          <w:b/>
          <w:bCs/>
          <w:sz w:val="32"/>
          <w:szCs w:val="32"/>
        </w:rPr>
        <w:br w:type="page"/>
      </w:r>
      <w:bookmarkEnd w:id="212"/>
      <w:bookmarkEnd w:id="213"/>
      <w:bookmarkEnd w:id="214"/>
      <w:bookmarkEnd w:id="215"/>
      <w:bookmarkStart w:id="219" w:name="_Toc2559"/>
      <w:bookmarkStart w:id="220" w:name="_Toc4839"/>
      <w:bookmarkStart w:id="221" w:name="_Toc24337"/>
      <w:bookmarkStart w:id="222" w:name="_Toc3714"/>
      <w:bookmarkStart w:id="223" w:name="_Toc20553"/>
      <w:bookmarkStart w:id="224" w:name="_Toc13847"/>
      <w:bookmarkStart w:id="225" w:name="_Toc22397"/>
      <w:bookmarkStart w:id="226" w:name="_Toc19929"/>
      <w:bookmarkStart w:id="227" w:name="_Toc22761"/>
      <w:bookmarkStart w:id="228" w:name="_Toc19539"/>
      <w:bookmarkStart w:id="229" w:name="_Toc9472"/>
      <w:bookmarkStart w:id="230" w:name="_Toc17930"/>
      <w:r>
        <w:rPr>
          <w:rFonts w:hint="eastAsia" w:ascii="宋体" w:hAnsi="宋体" w:cs="宋体"/>
          <w:b/>
          <w:bCs/>
          <w:sz w:val="32"/>
          <w:szCs w:val="32"/>
        </w:rPr>
        <w:t>七、其他材料</w:t>
      </w:r>
      <w:bookmarkEnd w:id="219"/>
      <w:bookmarkEnd w:id="220"/>
      <w:bookmarkEnd w:id="221"/>
      <w:bookmarkEnd w:id="222"/>
      <w:bookmarkEnd w:id="223"/>
      <w:bookmarkEnd w:id="224"/>
      <w:bookmarkEnd w:id="225"/>
      <w:bookmarkEnd w:id="226"/>
      <w:bookmarkEnd w:id="227"/>
      <w:bookmarkEnd w:id="228"/>
      <w:bookmarkEnd w:id="229"/>
      <w:bookmarkEnd w:id="230"/>
    </w:p>
    <w:p w14:paraId="14399576">
      <w:pPr>
        <w:spacing w:line="360" w:lineRule="auto"/>
        <w:ind w:firstLine="480" w:firstLineChars="200"/>
        <w:jc w:val="center"/>
        <w:rPr>
          <w:rFonts w:ascii="宋体" w:hAnsi="宋体" w:cs="宋体"/>
          <w:sz w:val="24"/>
        </w:rPr>
      </w:pPr>
      <w:r>
        <w:rPr>
          <w:rFonts w:hint="eastAsia" w:ascii="宋体" w:hAnsi="宋体" w:cs="宋体"/>
          <w:sz w:val="24"/>
        </w:rPr>
        <w:t>供应商可根据单一来源采购文件要求或自身情况附加其他材料；</w:t>
      </w:r>
    </w:p>
    <w:p w14:paraId="544F9AA3">
      <w:pPr>
        <w:widowControl/>
        <w:spacing w:line="360" w:lineRule="auto"/>
        <w:ind w:firstLine="562"/>
        <w:jc w:val="center"/>
        <w:rPr>
          <w:rFonts w:ascii="宋体" w:hAnsi="宋体" w:cs="宋体"/>
          <w:b/>
          <w:bCs/>
          <w:sz w:val="28"/>
          <w:szCs w:val="20"/>
        </w:rPr>
      </w:pPr>
      <w:r>
        <w:rPr>
          <w:rFonts w:hint="eastAsia" w:ascii="宋体" w:hAnsi="宋体" w:cs="宋体"/>
          <w:b/>
          <w:bCs/>
          <w:sz w:val="28"/>
          <w:szCs w:val="20"/>
        </w:rPr>
        <w:t>反商业贿赂承诺书</w:t>
      </w:r>
    </w:p>
    <w:p w14:paraId="105843E4">
      <w:pPr>
        <w:spacing w:line="360" w:lineRule="auto"/>
        <w:rPr>
          <w:rFonts w:ascii="宋体" w:hAnsi="宋体" w:cs="宋体"/>
          <w:sz w:val="24"/>
        </w:rPr>
      </w:pPr>
    </w:p>
    <w:p w14:paraId="720F409E">
      <w:pPr>
        <w:spacing w:line="360" w:lineRule="auto"/>
        <w:rPr>
          <w:rFonts w:ascii="宋体" w:hAnsi="宋体" w:cs="宋体"/>
          <w:sz w:val="24"/>
        </w:rPr>
      </w:pPr>
      <w:r>
        <w:rPr>
          <w:rFonts w:hint="eastAsia" w:ascii="宋体" w:hAnsi="宋体" w:cs="宋体"/>
          <w:sz w:val="24"/>
        </w:rPr>
        <w:t>我公司承诺：</w:t>
      </w:r>
    </w:p>
    <w:p w14:paraId="5205230F">
      <w:pPr>
        <w:spacing w:line="360" w:lineRule="auto"/>
        <w:ind w:firstLine="480"/>
        <w:rPr>
          <w:rFonts w:ascii="宋体" w:hAnsi="宋体" w:cs="宋体"/>
          <w:sz w:val="24"/>
        </w:rPr>
      </w:pPr>
      <w:r>
        <w:rPr>
          <w:rFonts w:hint="eastAsia" w:ascii="宋体" w:hAnsi="宋体" w:cs="宋体"/>
          <w:sz w:val="24"/>
        </w:rPr>
        <w:t>在</w:t>
      </w:r>
      <w:r>
        <w:rPr>
          <w:rFonts w:hint="eastAsia" w:ascii="宋体" w:hAnsi="宋体" w:cs="宋体"/>
          <w:sz w:val="24"/>
          <w:u w:val="single"/>
        </w:rPr>
        <w:t xml:space="preserve">                              </w:t>
      </w:r>
      <w:r>
        <w:rPr>
          <w:rFonts w:hint="eastAsia" w:ascii="宋体" w:hAnsi="宋体" w:cs="宋体"/>
          <w:sz w:val="24"/>
        </w:rPr>
        <w:t>招标活动中，我公司保证做到：</w:t>
      </w:r>
    </w:p>
    <w:p w14:paraId="46DA0B3B">
      <w:pPr>
        <w:spacing w:line="360" w:lineRule="auto"/>
        <w:ind w:firstLine="480"/>
        <w:rPr>
          <w:rFonts w:ascii="宋体" w:hAnsi="宋体" w:cs="宋体"/>
          <w:sz w:val="24"/>
        </w:rPr>
      </w:pPr>
      <w:r>
        <w:rPr>
          <w:rFonts w:hint="eastAsia" w:ascii="宋体" w:hAnsi="宋体" w:cs="宋体"/>
          <w:sz w:val="24"/>
        </w:rPr>
        <w:t>一、公平竞争参加本次招标活动。</w:t>
      </w:r>
    </w:p>
    <w:p w14:paraId="45149E06">
      <w:pPr>
        <w:spacing w:line="360" w:lineRule="auto"/>
        <w:ind w:firstLine="480"/>
        <w:rPr>
          <w:rFonts w:ascii="宋体" w:hAnsi="宋体" w:cs="宋体"/>
          <w:sz w:val="24"/>
        </w:rPr>
      </w:pPr>
      <w:r>
        <w:rPr>
          <w:rFonts w:hint="eastAsia" w:ascii="宋体" w:hAnsi="宋体" w:cs="宋体"/>
          <w:sz w:val="24"/>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14:paraId="6B68DCCD">
      <w:pPr>
        <w:spacing w:line="360" w:lineRule="auto"/>
        <w:ind w:firstLine="480"/>
        <w:rPr>
          <w:rFonts w:ascii="宋体" w:hAnsi="宋体" w:cs="宋体"/>
          <w:sz w:val="24"/>
        </w:rPr>
      </w:pPr>
      <w:r>
        <w:rPr>
          <w:rFonts w:hint="eastAsia" w:ascii="宋体" w:hAnsi="宋体" w:cs="宋体"/>
          <w:sz w:val="24"/>
        </w:rPr>
        <w:t>三、若出现上述行为，我公司及参与投标的工作人员愿意接受按照国家法律法规等有关规定给予的处罚。</w:t>
      </w:r>
    </w:p>
    <w:p w14:paraId="47079CA9">
      <w:pPr>
        <w:spacing w:line="360" w:lineRule="auto"/>
        <w:ind w:firstLine="480"/>
        <w:rPr>
          <w:rFonts w:ascii="宋体" w:hAnsi="宋体" w:cs="宋体"/>
          <w:sz w:val="24"/>
        </w:rPr>
      </w:pPr>
    </w:p>
    <w:p w14:paraId="16DDF237">
      <w:pPr>
        <w:spacing w:line="360" w:lineRule="auto"/>
        <w:ind w:firstLine="480"/>
        <w:rPr>
          <w:rFonts w:ascii="宋体" w:hAnsi="宋体" w:cs="宋体"/>
          <w:sz w:val="24"/>
        </w:rPr>
      </w:pPr>
    </w:p>
    <w:p w14:paraId="4D8B038C">
      <w:pPr>
        <w:spacing w:line="360" w:lineRule="auto"/>
        <w:ind w:firstLine="4320" w:firstLineChars="1800"/>
        <w:jc w:val="lef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1E7B9C9C">
      <w:pPr>
        <w:pStyle w:val="46"/>
        <w:ind w:firstLine="480"/>
        <w:rPr>
          <w:rFonts w:hAnsi="宋体" w:cs="宋体"/>
        </w:rPr>
      </w:pPr>
    </w:p>
    <w:p w14:paraId="71044940">
      <w:pPr>
        <w:autoSpaceDE w:val="0"/>
        <w:autoSpaceDN w:val="0"/>
        <w:adjustRightInd w:val="0"/>
        <w:spacing w:line="360" w:lineRule="auto"/>
        <w:jc w:val="right"/>
        <w:rPr>
          <w:rFonts w:ascii="宋体" w:hAnsi="宋体" w:cs="宋体"/>
          <w:kern w:val="0"/>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CE9E572">
      <w:pPr>
        <w:pStyle w:val="23"/>
        <w:spacing w:after="0" w:line="360" w:lineRule="auto"/>
        <w:ind w:firstLine="200"/>
        <w:rPr>
          <w:rFonts w:ascii="宋体" w:hAnsi="宋体" w:cs="宋体"/>
        </w:rPr>
      </w:pPr>
    </w:p>
    <w:p w14:paraId="1D53B189">
      <w:pPr>
        <w:spacing w:line="240" w:lineRule="auto"/>
        <w:rPr>
          <w:rFonts w:ascii="宋体" w:hAnsi="宋体" w:cs="宋体"/>
          <w:strike/>
          <w:color w:val="FF0000"/>
        </w:rPr>
      </w:pPr>
      <w:r>
        <w:rPr>
          <w:rFonts w:ascii="宋体" w:hAnsi="宋体" w:cs="宋体"/>
          <w:strike/>
          <w:color w:val="FF0000"/>
        </w:rPr>
        <w:br w:type="page"/>
      </w:r>
    </w:p>
    <w:p w14:paraId="107A790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河南省生态环境监测和安全中心河南省空天地一体化环境信息监控系统（一期）数据和运维服务项目廉洁投标承诺书</w:t>
      </w:r>
    </w:p>
    <w:p w14:paraId="11DC42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宋体" w:cs="宋体"/>
          <w:sz w:val="32"/>
          <w:szCs w:val="32"/>
          <w:u w:val="single"/>
          <w:lang w:val="en-US" w:eastAsia="zh-CN"/>
        </w:rPr>
      </w:pPr>
    </w:p>
    <w:p w14:paraId="0979703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河南省生态环境监测和安全中心：</w:t>
      </w:r>
    </w:p>
    <w:p w14:paraId="277B89C0">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为了营造风清气正的政商环境，规范招标采购行为，防范廉政风险，</w:t>
      </w:r>
      <w:r>
        <w:rPr>
          <w:rFonts w:hint="eastAsia" w:ascii="宋体" w:hAnsi="宋体" w:eastAsia="宋体" w:cs="宋体"/>
          <w:sz w:val="28"/>
          <w:szCs w:val="28"/>
          <w:lang w:val="en-US" w:eastAsia="zh-CN"/>
        </w:rPr>
        <w:t>我公司对本次投标工作作出以下廉洁投标承诺：</w:t>
      </w:r>
    </w:p>
    <w:p w14:paraId="0BFB425F">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一、自觉遵守国家法律法规及有关廉政建设制度，不通过明示或暗示手段插手干预</w:t>
      </w:r>
      <w:r>
        <w:rPr>
          <w:rFonts w:hint="eastAsia" w:ascii="宋体" w:hAnsi="宋体" w:eastAsia="宋体" w:cs="宋体"/>
          <w:sz w:val="28"/>
          <w:szCs w:val="28"/>
          <w:lang w:val="en-US" w:eastAsia="zh-CN"/>
        </w:rPr>
        <w:t>项目</w:t>
      </w:r>
      <w:r>
        <w:rPr>
          <w:rFonts w:hint="eastAsia" w:ascii="宋体" w:hAnsi="宋体" w:eastAsia="宋体" w:cs="宋体"/>
          <w:sz w:val="28"/>
          <w:szCs w:val="28"/>
        </w:rPr>
        <w:t>招投标活动。</w:t>
      </w:r>
    </w:p>
    <w:p w14:paraId="630285E1">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二、主动了解</w:t>
      </w:r>
      <w:r>
        <w:rPr>
          <w:rFonts w:hint="eastAsia" w:ascii="宋体" w:hAnsi="宋体" w:eastAsia="宋体" w:cs="宋体"/>
          <w:sz w:val="28"/>
          <w:szCs w:val="28"/>
          <w:lang w:val="en-US" w:eastAsia="zh-CN"/>
        </w:rPr>
        <w:t>河南</w:t>
      </w:r>
      <w:r>
        <w:rPr>
          <w:rFonts w:hint="eastAsia" w:ascii="宋体" w:hAnsi="宋体" w:eastAsia="宋体" w:cs="宋体"/>
          <w:sz w:val="28"/>
          <w:szCs w:val="28"/>
        </w:rPr>
        <w:t>省</w:t>
      </w:r>
      <w:r>
        <w:rPr>
          <w:rFonts w:hint="eastAsia" w:ascii="宋体" w:hAnsi="宋体" w:eastAsia="宋体" w:cs="宋体"/>
          <w:sz w:val="28"/>
          <w:szCs w:val="28"/>
          <w:lang w:val="en-US" w:eastAsia="zh-CN"/>
        </w:rPr>
        <w:t>生态环境监测和安全中心</w:t>
      </w:r>
      <w:r>
        <w:rPr>
          <w:rFonts w:hint="eastAsia" w:ascii="宋体" w:hAnsi="宋体" w:eastAsia="宋体" w:cs="宋体"/>
          <w:sz w:val="28"/>
          <w:szCs w:val="28"/>
        </w:rPr>
        <w:t>招投标纪律，积极执行招投标廉政建设的有关规定。</w:t>
      </w:r>
    </w:p>
    <w:p w14:paraId="6AFECEC3">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三、不使用不正当手段妨碍、排挤其它投标单位或串通投标。</w:t>
      </w:r>
    </w:p>
    <w:p w14:paraId="7A957738">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四、按照招标文件规定的方式进行投标，不隐瞒本单位投标资质的真实情况，投标资质符合规定。</w:t>
      </w:r>
    </w:p>
    <w:p w14:paraId="591942E1">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14:paraId="26434FE0">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六、不向</w:t>
      </w:r>
      <w:r>
        <w:rPr>
          <w:rFonts w:hint="eastAsia" w:ascii="宋体" w:hAnsi="宋体" w:eastAsia="宋体" w:cs="宋体"/>
          <w:sz w:val="28"/>
          <w:szCs w:val="28"/>
          <w:lang w:val="en-US" w:eastAsia="zh-CN"/>
        </w:rPr>
        <w:t>河南</w:t>
      </w:r>
      <w:r>
        <w:rPr>
          <w:rFonts w:hint="eastAsia" w:ascii="宋体" w:hAnsi="宋体" w:eastAsia="宋体" w:cs="宋体"/>
          <w:sz w:val="28"/>
          <w:szCs w:val="28"/>
        </w:rPr>
        <w:t>省</w:t>
      </w:r>
      <w:r>
        <w:rPr>
          <w:rFonts w:hint="eastAsia" w:ascii="宋体" w:hAnsi="宋体" w:eastAsia="宋体" w:cs="宋体"/>
          <w:sz w:val="28"/>
          <w:szCs w:val="28"/>
          <w:lang w:val="en-US" w:eastAsia="zh-CN"/>
        </w:rPr>
        <w:t>生态环境监测和安全中心</w:t>
      </w:r>
      <w:r>
        <w:rPr>
          <w:rFonts w:hint="eastAsia" w:ascii="宋体" w:hAnsi="宋体" w:eastAsia="宋体" w:cs="宋体"/>
          <w:sz w:val="28"/>
          <w:szCs w:val="28"/>
        </w:rPr>
        <w:t>涉及招标的单位及个人支付好处费、介绍费。</w:t>
      </w:r>
    </w:p>
    <w:p w14:paraId="27BB03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七、其他法律法规规定的违反廉洁自律规定的行为。</w:t>
      </w:r>
    </w:p>
    <w:p w14:paraId="4043F0E0">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若</w:t>
      </w:r>
      <w:r>
        <w:rPr>
          <w:rFonts w:hint="eastAsia" w:ascii="宋体" w:hAnsi="宋体" w:eastAsia="宋体" w:cs="宋体"/>
          <w:sz w:val="28"/>
          <w:szCs w:val="28"/>
        </w:rPr>
        <w:t>发生违法违纪行为，</w:t>
      </w:r>
      <w:r>
        <w:rPr>
          <w:rFonts w:hint="eastAsia" w:ascii="宋体" w:hAnsi="宋体" w:eastAsia="宋体" w:cs="宋体"/>
          <w:sz w:val="28"/>
          <w:szCs w:val="28"/>
          <w:lang w:val="en-US" w:eastAsia="zh-CN"/>
        </w:rPr>
        <w:t>同意按照《河南省生态环境监测和安全中心项目采购管理办法（试行）》中的相关规定进行处理，并</w:t>
      </w:r>
      <w:r>
        <w:rPr>
          <w:rFonts w:hint="eastAsia" w:ascii="宋体" w:hAnsi="宋体" w:eastAsia="宋体" w:cs="宋体"/>
          <w:sz w:val="28"/>
          <w:szCs w:val="28"/>
        </w:rPr>
        <w:t>视情节移交主管部门、司法机关处理。</w:t>
      </w:r>
    </w:p>
    <w:p w14:paraId="5C339271">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本公司</w:t>
      </w:r>
      <w:r>
        <w:rPr>
          <w:rFonts w:hint="eastAsia" w:ascii="宋体" w:hAnsi="宋体" w:eastAsia="宋体" w:cs="宋体"/>
          <w:sz w:val="28"/>
          <w:szCs w:val="28"/>
        </w:rPr>
        <w:t>主动接受相关部门和社会公众监督。</w:t>
      </w:r>
    </w:p>
    <w:p w14:paraId="64C0FCC8">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247534D2">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4603C92B">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宋体" w:hAnsi="宋体" w:eastAsia="宋体" w:cs="宋体"/>
          <w:sz w:val="28"/>
          <w:szCs w:val="28"/>
        </w:rPr>
      </w:pPr>
    </w:p>
    <w:p w14:paraId="5A55CCC0">
      <w:pPr>
        <w:keepNext w:val="0"/>
        <w:keepLines w:val="0"/>
        <w:pageBreakBefore w:val="0"/>
        <w:widowControl w:val="0"/>
        <w:kinsoku/>
        <w:wordWrap/>
        <w:overflowPunct/>
        <w:topLinePunct w:val="0"/>
        <w:autoSpaceDE/>
        <w:autoSpaceDN/>
        <w:bidi w:val="0"/>
        <w:adjustRightInd/>
        <w:snapToGrid/>
        <w:spacing w:line="590" w:lineRule="exact"/>
        <w:ind w:firstLine="3920" w:firstLineChars="14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供应商（盖单位公章）：</w:t>
      </w:r>
    </w:p>
    <w:p w14:paraId="3EC26532">
      <w:pPr>
        <w:keepNext w:val="0"/>
        <w:keepLines w:val="0"/>
        <w:pageBreakBefore w:val="0"/>
        <w:widowControl w:val="0"/>
        <w:kinsoku/>
        <w:wordWrap/>
        <w:overflowPunct/>
        <w:topLinePunct w:val="0"/>
        <w:autoSpaceDE/>
        <w:autoSpaceDN/>
        <w:bidi w:val="0"/>
        <w:adjustRightInd/>
        <w:snapToGrid/>
        <w:spacing w:line="590" w:lineRule="exact"/>
        <w:ind w:left="3910" w:leftChars="1862"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法定代表人或</w:t>
      </w:r>
      <w:r>
        <w:rPr>
          <w:rFonts w:hint="eastAsia" w:ascii="宋体" w:hAnsi="宋体" w:cs="宋体"/>
          <w:sz w:val="28"/>
          <w:szCs w:val="28"/>
          <w:lang w:val="en-US" w:eastAsia="zh-CN"/>
        </w:rPr>
        <w:t>委托代理人</w:t>
      </w:r>
      <w:r>
        <w:rPr>
          <w:rFonts w:hint="eastAsia" w:ascii="宋体" w:hAnsi="宋体" w:eastAsia="宋体" w:cs="宋体"/>
          <w:sz w:val="28"/>
          <w:szCs w:val="28"/>
          <w:lang w:val="en-US" w:eastAsia="zh-CN"/>
        </w:rPr>
        <w:t>（签字或盖章）：日      期：</w:t>
      </w:r>
    </w:p>
    <w:p w14:paraId="3C7C71E6">
      <w:pPr>
        <w:spacing w:line="360" w:lineRule="auto"/>
        <w:rPr>
          <w:rFonts w:ascii="宋体" w:hAnsi="宋体" w:cs="宋体"/>
        </w:rPr>
      </w:pPr>
    </w:p>
    <w:sectPr>
      <w:footerReference r:id="rId12" w:type="first"/>
      <w:headerReference r:id="rId10" w:type="default"/>
      <w:footerReference r:id="rId11" w:type="default"/>
      <w:pgSz w:w="11906" w:h="16838"/>
      <w:pgMar w:top="1134" w:right="1134" w:bottom="1134" w:left="1134"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黑体"/>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微软雅黑r">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KSOFABC649A1">
    <w:panose1 w:val="020105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3863">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486F">
    <w:pPr>
      <w:pStyle w:val="16"/>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2844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a:noFill/>
                      </a:ln>
                      <a:effectLst/>
                    </wps:spPr>
                    <wps:txbx>
                      <w:txbxContent>
                        <w:p w14:paraId="3F7F3AB8">
                          <w:pPr>
                            <w:pStyle w:val="16"/>
                            <w:jc w:val="right"/>
                          </w:pPr>
                        </w:p>
                        <w:p w14:paraId="2EBD328C"/>
                      </w:txbxContent>
                    </wps:txbx>
                    <wps:bodyPr wrap="none" lIns="0" tIns="0" rIns="0" bIns="0">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66432;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p0xstAAAAADAQAADwAAAAAAAAABACAAAAAiAAAAZHJzL2Rvd25y&#10;ZXYueG1sUEsBAhQAFAAAAAgAh07iQEQvucfNAQAAmwMAAA4AAAAAAAAAAQAgAAAAHwEAAGRycy9l&#10;Mm9Eb2MueG1sUEsFBgAAAAAGAAYAWQEAAF4FAAAAAA==&#10;">
              <v:fill on="f" focussize="0,0"/>
              <v:stroke on="f"/>
              <v:imagedata o:title=""/>
              <o:lock v:ext="edit" aspectratio="f"/>
              <v:textbox inset="0mm,0mm,0mm,0mm" style="mso-fit-shape-to-text:t;">
                <w:txbxContent>
                  <w:p w14:paraId="3F7F3AB8">
                    <w:pPr>
                      <w:pStyle w:val="16"/>
                      <w:jc w:val="right"/>
                    </w:pPr>
                  </w:p>
                  <w:p w14:paraId="2EBD328C"/>
                </w:txbxContent>
              </v:textbox>
            </v:shape>
          </w:pict>
        </mc:Fallback>
      </mc:AlternateContent>
    </w:r>
  </w:p>
  <w:p w14:paraId="462FDBCB">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B6DEF">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85BD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14:paraId="04C85BD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p w14:paraId="60AAA15D">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6373">
    <w:pPr>
      <w:spacing w:line="176" w:lineRule="auto"/>
      <w:ind w:left="4327"/>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6DA32">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7A6DA32">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D5F9">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31B54">
                          <w:pPr>
                            <w:pStyle w:val="1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5831B54">
                    <w:pPr>
                      <w:pStyle w:val="1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EA9F">
    <w:pPr>
      <w:pStyle w:val="16"/>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2D4F1">
                          <w:pPr>
                            <w:pStyle w:val="1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DE2D4F1">
                    <w:pPr>
                      <w:pStyle w:val="1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77DE">
    <w:pPr>
      <w:pStyle w:val="16"/>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7329A">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D17329A">
                    <w:pPr>
                      <w:pStyle w:val="1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D94FE">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A70B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48A0">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F4697"/>
    <w:multiLevelType w:val="singleLevel"/>
    <w:tmpl w:val="A5FF46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zk4MjBmYTA5ZmJjY2IwZWY3ZTljMWM5ZmQwMzUifQ=="/>
  </w:docVars>
  <w:rsids>
    <w:rsidRoot w:val="4EC942EA"/>
    <w:rsid w:val="00043D95"/>
    <w:rsid w:val="000758CE"/>
    <w:rsid w:val="000937E8"/>
    <w:rsid w:val="000A7054"/>
    <w:rsid w:val="000E063D"/>
    <w:rsid w:val="00100312"/>
    <w:rsid w:val="00117A66"/>
    <w:rsid w:val="0023210A"/>
    <w:rsid w:val="002406F1"/>
    <w:rsid w:val="00296972"/>
    <w:rsid w:val="002B2F54"/>
    <w:rsid w:val="002D35E3"/>
    <w:rsid w:val="002D4792"/>
    <w:rsid w:val="00310DEC"/>
    <w:rsid w:val="003449A7"/>
    <w:rsid w:val="00354209"/>
    <w:rsid w:val="003C23DA"/>
    <w:rsid w:val="003E5506"/>
    <w:rsid w:val="00411507"/>
    <w:rsid w:val="0044387B"/>
    <w:rsid w:val="00454611"/>
    <w:rsid w:val="004A7750"/>
    <w:rsid w:val="00506263"/>
    <w:rsid w:val="00526BE7"/>
    <w:rsid w:val="00557220"/>
    <w:rsid w:val="005A3DFC"/>
    <w:rsid w:val="005C5328"/>
    <w:rsid w:val="005E534F"/>
    <w:rsid w:val="00650278"/>
    <w:rsid w:val="00653AA5"/>
    <w:rsid w:val="00672668"/>
    <w:rsid w:val="006C172D"/>
    <w:rsid w:val="006D1FCA"/>
    <w:rsid w:val="006F6110"/>
    <w:rsid w:val="00722784"/>
    <w:rsid w:val="0079585A"/>
    <w:rsid w:val="007D5BB6"/>
    <w:rsid w:val="007E5B15"/>
    <w:rsid w:val="00843451"/>
    <w:rsid w:val="008C74FF"/>
    <w:rsid w:val="00905A00"/>
    <w:rsid w:val="009233DC"/>
    <w:rsid w:val="00930B45"/>
    <w:rsid w:val="009A26DF"/>
    <w:rsid w:val="009C5BCB"/>
    <w:rsid w:val="00A06B49"/>
    <w:rsid w:val="00A13872"/>
    <w:rsid w:val="00A66F4D"/>
    <w:rsid w:val="00B02941"/>
    <w:rsid w:val="00B6206F"/>
    <w:rsid w:val="00BC0363"/>
    <w:rsid w:val="00C01474"/>
    <w:rsid w:val="00C20D2B"/>
    <w:rsid w:val="00C71E0D"/>
    <w:rsid w:val="00CA21F0"/>
    <w:rsid w:val="00CA3AA3"/>
    <w:rsid w:val="00CD652C"/>
    <w:rsid w:val="00CF3E20"/>
    <w:rsid w:val="00D22F70"/>
    <w:rsid w:val="00D67E5A"/>
    <w:rsid w:val="00D9558D"/>
    <w:rsid w:val="00E35F16"/>
    <w:rsid w:val="00E678D3"/>
    <w:rsid w:val="00E9486A"/>
    <w:rsid w:val="00FB3B8F"/>
    <w:rsid w:val="00FC3F25"/>
    <w:rsid w:val="00FD3043"/>
    <w:rsid w:val="00FE0B7D"/>
    <w:rsid w:val="01595914"/>
    <w:rsid w:val="03092397"/>
    <w:rsid w:val="032770F0"/>
    <w:rsid w:val="03337C91"/>
    <w:rsid w:val="041A65D1"/>
    <w:rsid w:val="05202205"/>
    <w:rsid w:val="05976809"/>
    <w:rsid w:val="05E5102F"/>
    <w:rsid w:val="071E1203"/>
    <w:rsid w:val="076A740A"/>
    <w:rsid w:val="07C06D47"/>
    <w:rsid w:val="085D2B0F"/>
    <w:rsid w:val="087B7D1C"/>
    <w:rsid w:val="0AAC35CD"/>
    <w:rsid w:val="0B4F773C"/>
    <w:rsid w:val="0B606C58"/>
    <w:rsid w:val="0BA107B6"/>
    <w:rsid w:val="0C5B6EC3"/>
    <w:rsid w:val="0CAB533B"/>
    <w:rsid w:val="0E005852"/>
    <w:rsid w:val="0E520394"/>
    <w:rsid w:val="0E7629D8"/>
    <w:rsid w:val="0E88740C"/>
    <w:rsid w:val="0F436433"/>
    <w:rsid w:val="102C0930"/>
    <w:rsid w:val="111933EB"/>
    <w:rsid w:val="12494A94"/>
    <w:rsid w:val="12727926"/>
    <w:rsid w:val="134E3AC4"/>
    <w:rsid w:val="13984D06"/>
    <w:rsid w:val="139B2B86"/>
    <w:rsid w:val="14390110"/>
    <w:rsid w:val="14CA4B7C"/>
    <w:rsid w:val="165C6376"/>
    <w:rsid w:val="16782DD4"/>
    <w:rsid w:val="1691386C"/>
    <w:rsid w:val="16AF39B2"/>
    <w:rsid w:val="17B8545B"/>
    <w:rsid w:val="17F52E7F"/>
    <w:rsid w:val="180369A9"/>
    <w:rsid w:val="183E6C49"/>
    <w:rsid w:val="185B71EE"/>
    <w:rsid w:val="185C5F61"/>
    <w:rsid w:val="18F442C9"/>
    <w:rsid w:val="1AA45AE9"/>
    <w:rsid w:val="1AEF7753"/>
    <w:rsid w:val="1D86477C"/>
    <w:rsid w:val="1E751CCD"/>
    <w:rsid w:val="1FE52D3D"/>
    <w:rsid w:val="21264CB4"/>
    <w:rsid w:val="22AC3FB3"/>
    <w:rsid w:val="23926D76"/>
    <w:rsid w:val="25C71A9A"/>
    <w:rsid w:val="27AC743A"/>
    <w:rsid w:val="27B2271E"/>
    <w:rsid w:val="27FD2AD7"/>
    <w:rsid w:val="28DB31C3"/>
    <w:rsid w:val="292013B8"/>
    <w:rsid w:val="2A1419D8"/>
    <w:rsid w:val="2A3F68BA"/>
    <w:rsid w:val="2ACC3A77"/>
    <w:rsid w:val="2BC00E32"/>
    <w:rsid w:val="2C772216"/>
    <w:rsid w:val="2CF90E52"/>
    <w:rsid w:val="2DFE59E4"/>
    <w:rsid w:val="2E4668D5"/>
    <w:rsid w:val="2E497B58"/>
    <w:rsid w:val="2F91569A"/>
    <w:rsid w:val="2FB4725D"/>
    <w:rsid w:val="305B02AF"/>
    <w:rsid w:val="306C0142"/>
    <w:rsid w:val="317248E4"/>
    <w:rsid w:val="319E509C"/>
    <w:rsid w:val="31E219E6"/>
    <w:rsid w:val="329820FB"/>
    <w:rsid w:val="332A0EC0"/>
    <w:rsid w:val="336A76DF"/>
    <w:rsid w:val="336D115E"/>
    <w:rsid w:val="337D170B"/>
    <w:rsid w:val="34422ABE"/>
    <w:rsid w:val="35F309FC"/>
    <w:rsid w:val="379D28B1"/>
    <w:rsid w:val="37E3465A"/>
    <w:rsid w:val="38A87D9E"/>
    <w:rsid w:val="398914A4"/>
    <w:rsid w:val="3A295D30"/>
    <w:rsid w:val="3A59492E"/>
    <w:rsid w:val="3B070EBC"/>
    <w:rsid w:val="3C1D466B"/>
    <w:rsid w:val="3CE94590"/>
    <w:rsid w:val="3E7A2248"/>
    <w:rsid w:val="41EE5EB8"/>
    <w:rsid w:val="432B42BD"/>
    <w:rsid w:val="43A33453"/>
    <w:rsid w:val="43C47854"/>
    <w:rsid w:val="443F0554"/>
    <w:rsid w:val="447B4313"/>
    <w:rsid w:val="45E76415"/>
    <w:rsid w:val="45E85F84"/>
    <w:rsid w:val="48ED2AF1"/>
    <w:rsid w:val="492A60C8"/>
    <w:rsid w:val="4967143C"/>
    <w:rsid w:val="499B410D"/>
    <w:rsid w:val="49EF3AEA"/>
    <w:rsid w:val="4A4A281E"/>
    <w:rsid w:val="4B3B1CD3"/>
    <w:rsid w:val="4BC82413"/>
    <w:rsid w:val="4CCE44D2"/>
    <w:rsid w:val="4D021F41"/>
    <w:rsid w:val="4D236FD4"/>
    <w:rsid w:val="4DCD7717"/>
    <w:rsid w:val="4EC942EA"/>
    <w:rsid w:val="4F364E1B"/>
    <w:rsid w:val="4F7E24DD"/>
    <w:rsid w:val="4F923421"/>
    <w:rsid w:val="509B5459"/>
    <w:rsid w:val="50E95812"/>
    <w:rsid w:val="544809B8"/>
    <w:rsid w:val="553B0D56"/>
    <w:rsid w:val="555730DF"/>
    <w:rsid w:val="55D87ED3"/>
    <w:rsid w:val="56A33AF4"/>
    <w:rsid w:val="57231423"/>
    <w:rsid w:val="57CF0BDD"/>
    <w:rsid w:val="58513C6C"/>
    <w:rsid w:val="5C494539"/>
    <w:rsid w:val="5C6B7CDD"/>
    <w:rsid w:val="5C9B7ED7"/>
    <w:rsid w:val="5CC8063B"/>
    <w:rsid w:val="5DB42BCF"/>
    <w:rsid w:val="5E6FE362"/>
    <w:rsid w:val="5F7A43FC"/>
    <w:rsid w:val="5F840032"/>
    <w:rsid w:val="5FFB551C"/>
    <w:rsid w:val="61A07E69"/>
    <w:rsid w:val="61EA4D7F"/>
    <w:rsid w:val="62206ADF"/>
    <w:rsid w:val="62C4110A"/>
    <w:rsid w:val="658F3857"/>
    <w:rsid w:val="669518DF"/>
    <w:rsid w:val="685B38B8"/>
    <w:rsid w:val="68725251"/>
    <w:rsid w:val="689A3492"/>
    <w:rsid w:val="694074E3"/>
    <w:rsid w:val="69DA402F"/>
    <w:rsid w:val="6BB41396"/>
    <w:rsid w:val="6CA5599F"/>
    <w:rsid w:val="6FF8013D"/>
    <w:rsid w:val="6FFE2DD5"/>
    <w:rsid w:val="70A6144C"/>
    <w:rsid w:val="70D9313D"/>
    <w:rsid w:val="71FA2E5E"/>
    <w:rsid w:val="721767C3"/>
    <w:rsid w:val="72821DDC"/>
    <w:rsid w:val="72BA17A5"/>
    <w:rsid w:val="72C25048"/>
    <w:rsid w:val="73EA517B"/>
    <w:rsid w:val="750D49B8"/>
    <w:rsid w:val="750F7F9C"/>
    <w:rsid w:val="75954B9B"/>
    <w:rsid w:val="759B32A5"/>
    <w:rsid w:val="76415D85"/>
    <w:rsid w:val="78374455"/>
    <w:rsid w:val="790B02D8"/>
    <w:rsid w:val="7A97500D"/>
    <w:rsid w:val="7BF24EA6"/>
    <w:rsid w:val="7BFFE917"/>
    <w:rsid w:val="7C2F260A"/>
    <w:rsid w:val="7C3C06EB"/>
    <w:rsid w:val="7C58251F"/>
    <w:rsid w:val="7C833431"/>
    <w:rsid w:val="7D1D5D51"/>
    <w:rsid w:val="7DA75BDF"/>
    <w:rsid w:val="7E632C80"/>
    <w:rsid w:val="7FB47435"/>
    <w:rsid w:val="7FBDD296"/>
    <w:rsid w:val="7FDDEF0B"/>
    <w:rsid w:val="CFEBA28D"/>
    <w:rsid w:val="E7B9ECC7"/>
    <w:rsid w:val="ED578061"/>
    <w:rsid w:val="F07F267A"/>
    <w:rsid w:val="F7737DAD"/>
    <w:rsid w:val="FA3EBC25"/>
    <w:rsid w:val="FFBB7CC8"/>
    <w:rsid w:val="FFEED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rFonts w:ascii="仿宋_GB2312" w:eastAsia="仿宋_GB2312"/>
      <w:sz w:val="28"/>
      <w:szCs w:val="32"/>
    </w:rPr>
  </w:style>
  <w:style w:type="paragraph" w:styleId="3">
    <w:name w:val="heading 2"/>
    <w:basedOn w:val="1"/>
    <w:next w:val="1"/>
    <w:autoRedefine/>
    <w:qFormat/>
    <w:uiPriority w:val="0"/>
    <w:pPr>
      <w:keepNext/>
      <w:keepLines/>
      <w:spacing w:before="260" w:after="260" w:line="415" w:lineRule="auto"/>
      <w:jc w:val="center"/>
      <w:outlineLvl w:val="1"/>
    </w:pPr>
    <w:rPr>
      <w:rFonts w:ascii="幼圆" w:hAnsi="Arial" w:eastAsia="楷体_GB2312"/>
      <w:b/>
      <w:sz w:val="24"/>
      <w:szCs w:val="20"/>
    </w:rPr>
  </w:style>
  <w:style w:type="paragraph" w:styleId="4">
    <w:name w:val="heading 3"/>
    <w:basedOn w:val="1"/>
    <w:next w:val="1"/>
    <w:qFormat/>
    <w:uiPriority w:val="99"/>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firstLineChars="200"/>
    </w:pPr>
  </w:style>
  <w:style w:type="paragraph" w:styleId="7">
    <w:name w:val="Body Text 2"/>
    <w:basedOn w:val="1"/>
    <w:autoRedefine/>
    <w:qFormat/>
    <w:uiPriority w:val="0"/>
    <w:pPr>
      <w:spacing w:after="120" w:line="480" w:lineRule="auto"/>
    </w:pPr>
    <w:rPr>
      <w:rFonts w:ascii="Tahoma" w:hAnsi="Tahoma" w:cs="Tahoma"/>
    </w:rPr>
  </w:style>
  <w:style w:type="paragraph" w:styleId="8">
    <w:name w:val="annotation text"/>
    <w:basedOn w:val="1"/>
    <w:link w:val="56"/>
    <w:qFormat/>
    <w:uiPriority w:val="0"/>
    <w:pPr>
      <w:jc w:val="left"/>
    </w:pPr>
  </w:style>
  <w:style w:type="paragraph" w:styleId="9">
    <w:name w:val="Body Text"/>
    <w:basedOn w:val="1"/>
    <w:autoRedefine/>
    <w:qFormat/>
    <w:uiPriority w:val="0"/>
    <w:pPr>
      <w:spacing w:line="360" w:lineRule="auto"/>
      <w:jc w:val="left"/>
    </w:pPr>
    <w:rPr>
      <w:sz w:val="28"/>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qFormat/>
    <w:uiPriority w:val="39"/>
    <w:pPr>
      <w:widowControl/>
      <w:spacing w:after="100" w:line="276" w:lineRule="auto"/>
      <w:ind w:left="440"/>
      <w:jc w:val="left"/>
    </w:pPr>
    <w:rPr>
      <w:rFonts w:ascii="Calibri" w:hAnsi="Calibri"/>
      <w:kern w:val="0"/>
      <w:sz w:val="22"/>
      <w:szCs w:val="22"/>
    </w:rPr>
  </w:style>
  <w:style w:type="paragraph" w:styleId="13">
    <w:name w:val="Plain Text"/>
    <w:basedOn w:val="1"/>
    <w:qFormat/>
    <w:uiPriority w:val="0"/>
    <w:rPr>
      <w:rFonts w:ascii="宋体" w:hAnsi="Courier New"/>
      <w:szCs w:val="20"/>
    </w:rPr>
  </w:style>
  <w:style w:type="paragraph" w:styleId="14">
    <w:name w:val="Date"/>
    <w:basedOn w:val="1"/>
    <w:next w:val="1"/>
    <w:autoRedefine/>
    <w:qFormat/>
    <w:uiPriority w:val="0"/>
    <w:pPr>
      <w:ind w:left="100" w:leftChars="2500"/>
    </w:pPr>
    <w:rPr>
      <w:rFonts w:ascii="仿宋_GB2312" w:eastAsia="仿宋_GB2312"/>
      <w:sz w:val="28"/>
    </w:rPr>
  </w:style>
  <w:style w:type="paragraph" w:styleId="15">
    <w:name w:val="Balloon Text"/>
    <w:basedOn w:val="1"/>
    <w:link w:val="58"/>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right" w:leader="dot" w:pos="8296"/>
      </w:tabs>
      <w:spacing w:after="100" w:line="276" w:lineRule="auto"/>
      <w:jc w:val="left"/>
    </w:pPr>
    <w:rPr>
      <w:rFonts w:ascii="Calibri" w:hAnsi="Calibri"/>
      <w:kern w:val="0"/>
      <w:sz w:val="22"/>
      <w:szCs w:val="22"/>
    </w:rPr>
  </w:style>
  <w:style w:type="paragraph" w:styleId="19">
    <w:name w:val="toc 2"/>
    <w:basedOn w:val="1"/>
    <w:next w:val="1"/>
    <w:autoRedefine/>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qFormat/>
    <w:uiPriority w:val="99"/>
    <w:pPr>
      <w:widowControl/>
      <w:spacing w:before="100" w:beforeAutospacing="1" w:after="100" w:afterAutospacing="1"/>
    </w:pPr>
    <w:rPr>
      <w:rFonts w:ascii="宋体" w:hAnsi="宋体" w:eastAsia="仿宋_GB2312" w:cs="宋体"/>
      <w:sz w:val="32"/>
      <w:szCs w:val="32"/>
    </w:rPr>
  </w:style>
  <w:style w:type="paragraph" w:styleId="21">
    <w:name w:val="Title"/>
    <w:basedOn w:val="1"/>
    <w:next w:val="1"/>
    <w:qFormat/>
    <w:uiPriority w:val="10"/>
    <w:pPr>
      <w:widowControl/>
      <w:spacing w:before="240" w:after="60" w:line="261" w:lineRule="auto"/>
      <w:ind w:left="8" w:hanging="8"/>
      <w:jc w:val="center"/>
      <w:outlineLvl w:val="0"/>
    </w:pPr>
    <w:rPr>
      <w:rFonts w:ascii="Cambria" w:hAnsi="Cambria"/>
      <w:b/>
      <w:bCs/>
      <w:color w:val="000000"/>
      <w:sz w:val="32"/>
      <w:szCs w:val="32"/>
    </w:rPr>
  </w:style>
  <w:style w:type="paragraph" w:styleId="22">
    <w:name w:val="annotation subject"/>
    <w:basedOn w:val="8"/>
    <w:next w:val="8"/>
    <w:link w:val="57"/>
    <w:qFormat/>
    <w:uiPriority w:val="0"/>
    <w:rPr>
      <w:b/>
      <w:bCs/>
    </w:rPr>
  </w:style>
  <w:style w:type="paragraph" w:styleId="23">
    <w:name w:val="Body Text First Indent"/>
    <w:basedOn w:val="9"/>
    <w:autoRedefine/>
    <w:qFormat/>
    <w:uiPriority w:val="0"/>
    <w:pPr>
      <w:spacing w:after="120" w:line="240" w:lineRule="auto"/>
      <w:ind w:firstLine="420" w:firstLineChars="100"/>
    </w:pPr>
    <w:rPr>
      <w:sz w:val="20"/>
    </w:rPr>
  </w:style>
  <w:style w:type="paragraph" w:styleId="24">
    <w:name w:val="Body Text First Indent 2"/>
    <w:basedOn w:val="1"/>
    <w:next w:val="1"/>
    <w:autoRedefine/>
    <w:unhideWhenUsed/>
    <w:qFormat/>
    <w:uiPriority w:val="99"/>
    <w:pPr>
      <w:ind w:firstLine="420" w:firstLineChars="200"/>
    </w:p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qFormat/>
    <w:uiPriority w:val="0"/>
  </w:style>
  <w:style w:type="character" w:styleId="29">
    <w:name w:val="FollowedHyperlink"/>
    <w:basedOn w:val="27"/>
    <w:autoRedefine/>
    <w:qFormat/>
    <w:uiPriority w:val="0"/>
    <w:rPr>
      <w:color w:val="444444"/>
      <w:sz w:val="21"/>
      <w:szCs w:val="21"/>
      <w:u w:val="none"/>
    </w:rPr>
  </w:style>
  <w:style w:type="character" w:styleId="30">
    <w:name w:val="Hyperlink"/>
    <w:basedOn w:val="27"/>
    <w:autoRedefine/>
    <w:qFormat/>
    <w:uiPriority w:val="0"/>
    <w:rPr>
      <w:color w:val="444444"/>
      <w:sz w:val="21"/>
      <w:szCs w:val="21"/>
      <w:u w:val="none"/>
    </w:rPr>
  </w:style>
  <w:style w:type="character" w:styleId="31">
    <w:name w:val="annotation reference"/>
    <w:basedOn w:val="27"/>
    <w:qFormat/>
    <w:uiPriority w:val="0"/>
    <w:rPr>
      <w:sz w:val="21"/>
      <w:szCs w:val="21"/>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Default"/>
    <w:next w:val="1"/>
    <w:autoRedefine/>
    <w:qFormat/>
    <w:uiPriority w:val="0"/>
    <w:pPr>
      <w:widowControl w:val="0"/>
      <w:autoSpaceDE w:val="0"/>
      <w:autoSpaceDN w:val="0"/>
      <w:adjustRightInd w:val="0"/>
    </w:pPr>
    <w:rPr>
      <w:rFonts w:ascii="微软雅黑r" w:hAnsi="Times New Roman" w:eastAsia="微软雅黑r" w:cs="微软雅黑r"/>
      <w:color w:val="000000"/>
      <w:sz w:val="24"/>
      <w:szCs w:val="24"/>
      <w:lang w:val="en-US" w:eastAsia="zh-CN" w:bidi="ar-SA"/>
    </w:rPr>
  </w:style>
  <w:style w:type="paragraph" w:customStyle="1" w:styleId="34">
    <w:name w:val="大标题"/>
    <w:basedOn w:val="1"/>
    <w:next w:val="24"/>
    <w:autoRedefine/>
    <w:qFormat/>
    <w:uiPriority w:val="0"/>
    <w:pPr>
      <w:jc w:val="center"/>
    </w:pPr>
    <w:rPr>
      <w:rFonts w:ascii="Arial" w:hAnsi="Arial"/>
      <w:b/>
      <w:sz w:val="28"/>
    </w:rPr>
  </w:style>
  <w:style w:type="paragraph" w:customStyle="1" w:styleId="35">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36">
    <w:name w:val="Char Char10 Char Char Char Char"/>
    <w:basedOn w:val="1"/>
    <w:next w:val="37"/>
    <w:autoRedefine/>
    <w:qFormat/>
    <w:uiPriority w:val="0"/>
    <w:rPr>
      <w:rFonts w:ascii="Calibri" w:hAnsi="Calibri"/>
      <w:kern w:val="0"/>
    </w:rPr>
  </w:style>
  <w:style w:type="paragraph" w:customStyle="1" w:styleId="37">
    <w:name w:val="xl87"/>
    <w:basedOn w:val="1"/>
    <w:next w:val="38"/>
    <w:autoRedefine/>
    <w:qFormat/>
    <w:uiPriority w:val="0"/>
    <w:pPr>
      <w:widowControl/>
      <w:shd w:val="clear" w:color="FFFFFF" w:fill="FFFFFF"/>
      <w:spacing w:before="280" w:after="280"/>
      <w:jc w:val="right"/>
    </w:pPr>
    <w:rPr>
      <w:rFonts w:ascii="宋体" w:hAnsi="Calibri"/>
      <w:kern w:val="0"/>
      <w:sz w:val="24"/>
    </w:rPr>
  </w:style>
  <w:style w:type="paragraph" w:customStyle="1" w:styleId="38">
    <w:name w:val="xl72"/>
    <w:basedOn w:val="1"/>
    <w:next w:val="14"/>
    <w:autoRedefine/>
    <w:qFormat/>
    <w:uiPriority w:val="0"/>
    <w:pPr>
      <w:widowControl/>
      <w:shd w:val="clear" w:color="FFFFFF" w:fill="FFFFFF"/>
      <w:spacing w:before="280" w:after="280"/>
      <w:jc w:val="right"/>
    </w:pPr>
    <w:rPr>
      <w:rFonts w:ascii="宋体" w:hAnsi="Calibri"/>
      <w:kern w:val="0"/>
      <w:sz w:val="24"/>
    </w:rPr>
  </w:style>
  <w:style w:type="paragraph" w:customStyle="1" w:styleId="39">
    <w:name w:val="_Style 13"/>
    <w:basedOn w:val="2"/>
    <w:next w:val="1"/>
    <w:autoRedefine/>
    <w:qFormat/>
    <w:uiPriority w:val="0"/>
    <w:pPr>
      <w:keepLines/>
      <w:widowControl/>
      <w:spacing w:before="480" w:line="276" w:lineRule="auto"/>
      <w:jc w:val="left"/>
      <w:outlineLvl w:val="9"/>
    </w:pPr>
    <w:rPr>
      <w:rFonts w:ascii="Cambria" w:hAnsi="Cambria" w:eastAsia="宋体"/>
      <w:b/>
      <w:bCs/>
      <w:color w:val="365F91"/>
      <w:kern w:val="0"/>
      <w:szCs w:val="28"/>
    </w:rPr>
  </w:style>
  <w:style w:type="paragraph" w:customStyle="1" w:styleId="40">
    <w:name w:val="列出段落1"/>
    <w:basedOn w:val="1"/>
    <w:autoRedefine/>
    <w:qFormat/>
    <w:uiPriority w:val="0"/>
    <w:pPr>
      <w:ind w:firstLine="420" w:firstLineChars="200"/>
    </w:pPr>
  </w:style>
  <w:style w:type="paragraph" w:customStyle="1" w:styleId="41">
    <w:name w:val="无间隔1"/>
    <w:basedOn w:val="1"/>
    <w:autoRedefine/>
    <w:qFormat/>
    <w:uiPriority w:val="0"/>
    <w:rPr>
      <w:rFonts w:ascii="Calibri" w:hAnsi="Calibri"/>
      <w:szCs w:val="22"/>
    </w:rPr>
  </w:style>
  <w:style w:type="paragraph" w:customStyle="1" w:styleId="42">
    <w:name w:val="列表段落1"/>
    <w:basedOn w:val="1"/>
    <w:autoRedefine/>
    <w:qFormat/>
    <w:uiPriority w:val="34"/>
    <w:pPr>
      <w:ind w:firstLine="420" w:firstLineChars="200"/>
    </w:pPr>
  </w:style>
  <w:style w:type="paragraph" w:customStyle="1" w:styleId="43">
    <w:name w:val="无间隔111"/>
    <w:basedOn w:val="1"/>
    <w:next w:val="1"/>
    <w:autoRedefine/>
    <w:qFormat/>
    <w:uiPriority w:val="1"/>
    <w:pPr>
      <w:spacing w:line="400" w:lineRule="exact"/>
    </w:pPr>
    <w:rPr>
      <w:sz w:val="24"/>
    </w:rPr>
  </w:style>
  <w:style w:type="paragraph" w:customStyle="1" w:styleId="44">
    <w:name w:val="TOC Heading1"/>
    <w:next w:val="1"/>
    <w:autoRedefine/>
    <w:qFormat/>
    <w:uiPriority w:val="99"/>
    <w:pPr>
      <w:wordWrap w:val="0"/>
    </w:pPr>
    <w:rPr>
      <w:rFonts w:ascii="Times New Roman" w:hAnsi="Times New Roman" w:eastAsia="宋体" w:cs="Times New Roman"/>
      <w:sz w:val="32"/>
      <w:szCs w:val="22"/>
      <w:lang w:val="en-US" w:eastAsia="zh-CN" w:bidi="ar-SA"/>
    </w:rPr>
  </w:style>
  <w:style w:type="paragraph" w:customStyle="1" w:styleId="45">
    <w:name w:val="无间隔11"/>
    <w:basedOn w:val="1"/>
    <w:autoRedefine/>
    <w:qFormat/>
    <w:uiPriority w:val="1"/>
    <w:pPr>
      <w:spacing w:line="400" w:lineRule="exact"/>
    </w:pPr>
    <w:rPr>
      <w:sz w:val="24"/>
    </w:rPr>
  </w:style>
  <w:style w:type="paragraph" w:customStyle="1" w:styleId="4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7">
    <w:name w:val="內文 A"/>
    <w:autoRedefine/>
    <w:qFormat/>
    <w:uiPriority w:val="0"/>
    <w:pPr>
      <w:widowControl w:val="0"/>
      <w:jc w:val="both"/>
    </w:pPr>
    <w:rPr>
      <w:rFonts w:hint="eastAsia" w:ascii="Arial Unicode MS" w:hAnsi="Arial Unicode MS" w:eastAsia="Calibri" w:cs="Arial Unicode MS"/>
      <w:color w:val="000000"/>
      <w:kern w:val="2"/>
      <w:sz w:val="21"/>
      <w:szCs w:val="21"/>
      <w:u w:color="000000"/>
      <w:lang w:val="en-US" w:eastAsia="zh-CN" w:bidi="ar-SA"/>
    </w:rPr>
  </w:style>
  <w:style w:type="paragraph" w:customStyle="1" w:styleId="48">
    <w:name w:val="純文字1"/>
    <w:autoRedefine/>
    <w:qFormat/>
    <w:uiPriority w:val="0"/>
    <w:pPr>
      <w:widowControl w:val="0"/>
      <w:jc w:val="both"/>
    </w:pPr>
    <w:rPr>
      <w:rFonts w:ascii="宋体" w:hAnsi="宋体" w:eastAsia="宋体" w:cs="宋体"/>
      <w:color w:val="000000"/>
      <w:kern w:val="2"/>
      <w:sz w:val="21"/>
      <w:szCs w:val="21"/>
      <w:u w:color="000000"/>
      <w:lang w:val="en-US" w:eastAsia="zh-CN" w:bidi="ar-SA"/>
    </w:rPr>
  </w:style>
  <w:style w:type="paragraph" w:customStyle="1" w:styleId="49">
    <w:name w:val="暗色格線 1 - 輔色 21"/>
    <w:autoRedefine/>
    <w:qFormat/>
    <w:uiPriority w:val="0"/>
    <w:pPr>
      <w:widowControl w:val="0"/>
      <w:ind w:firstLine="420"/>
      <w:jc w:val="both"/>
    </w:pPr>
    <w:rPr>
      <w:rFonts w:hint="eastAsia" w:ascii="Arial Unicode MS" w:hAnsi="Arial Unicode MS" w:eastAsia="Calibri" w:cs="Arial Unicode MS"/>
      <w:color w:val="000000"/>
      <w:kern w:val="2"/>
      <w:sz w:val="21"/>
      <w:szCs w:val="21"/>
      <w:u w:color="000000"/>
      <w:lang w:val="en-US" w:eastAsia="zh-CN" w:bidi="ar-SA"/>
    </w:rPr>
  </w:style>
  <w:style w:type="paragraph" w:customStyle="1" w:styleId="50">
    <w:name w:val="列出段落3"/>
    <w:autoRedefine/>
    <w:qFormat/>
    <w:uiPriority w:val="0"/>
    <w:pPr>
      <w:widowControl w:val="0"/>
      <w:ind w:firstLine="420"/>
      <w:jc w:val="both"/>
    </w:pPr>
    <w:rPr>
      <w:rFonts w:hint="eastAsia" w:ascii="Arial Unicode MS" w:hAnsi="Arial Unicode MS" w:eastAsia="Calibri" w:cs="Arial Unicode MS"/>
      <w:color w:val="000000"/>
      <w:kern w:val="2"/>
      <w:sz w:val="21"/>
      <w:szCs w:val="21"/>
      <w:u w:color="000000"/>
      <w:lang w:val="en-US" w:eastAsia="zh-CN" w:bidi="ar-SA"/>
    </w:rPr>
  </w:style>
  <w:style w:type="paragraph" w:customStyle="1" w:styleId="51">
    <w:name w:val="頁尾1"/>
    <w:autoRedefine/>
    <w:qFormat/>
    <w:uiPriority w:val="0"/>
    <w:pPr>
      <w:widowControl w:val="0"/>
      <w:tabs>
        <w:tab w:val="center" w:pos="4153"/>
        <w:tab w:val="right" w:pos="8306"/>
      </w:tabs>
      <w:jc w:val="both"/>
    </w:pPr>
    <w:rPr>
      <w:rFonts w:ascii="Calibri" w:hAnsi="Calibri" w:eastAsia="Arial Unicode MS" w:cs="Arial Unicode MS"/>
      <w:color w:val="000000"/>
      <w:kern w:val="2"/>
      <w:sz w:val="18"/>
      <w:szCs w:val="18"/>
      <w:u w:color="000000"/>
      <w:lang w:val="en-US" w:eastAsia="zh-CN" w:bidi="ar-SA"/>
    </w:rPr>
  </w:style>
  <w:style w:type="character" w:customStyle="1" w:styleId="52">
    <w:name w:val="hover17"/>
    <w:basedOn w:val="27"/>
    <w:autoRedefine/>
    <w:qFormat/>
    <w:uiPriority w:val="0"/>
  </w:style>
  <w:style w:type="paragraph" w:customStyle="1" w:styleId="53">
    <w:name w:val="Table Paragraph"/>
    <w:basedOn w:val="1"/>
    <w:qFormat/>
    <w:uiPriority w:val="99"/>
    <w:rPr>
      <w:rFonts w:ascii="宋体" w:hAnsi="宋体" w:cs="宋体"/>
    </w:rPr>
  </w:style>
  <w:style w:type="paragraph" w:customStyle="1" w:styleId="54">
    <w:name w:val="正文文本缩进1"/>
    <w:basedOn w:val="1"/>
    <w:qFormat/>
    <w:uiPriority w:val="0"/>
    <w:pPr>
      <w:spacing w:line="360" w:lineRule="auto"/>
      <w:ind w:firstLine="480" w:firstLineChars="200"/>
    </w:pPr>
    <w:rPr>
      <w:rFonts w:hint="eastAsia" w:ascii="宋体" w:hAnsi="宋体" w:eastAsia="仿宋"/>
      <w:kern w:val="0"/>
      <w:sz w:val="20"/>
      <w:szCs w:val="21"/>
    </w:rPr>
  </w:style>
  <w:style w:type="paragraph" w:customStyle="1" w:styleId="55">
    <w:name w:val="列出段落2"/>
    <w:basedOn w:val="1"/>
    <w:qFormat/>
    <w:uiPriority w:val="0"/>
    <w:pPr>
      <w:ind w:firstLine="420" w:firstLineChars="200"/>
    </w:pPr>
    <w:rPr>
      <w:rFonts w:ascii="Calibri" w:hAnsi="Calibri" w:eastAsia="仿宋"/>
      <w:szCs w:val="21"/>
    </w:rPr>
  </w:style>
  <w:style w:type="character" w:customStyle="1" w:styleId="56">
    <w:name w:val="批注文字 Char"/>
    <w:basedOn w:val="27"/>
    <w:link w:val="8"/>
    <w:qFormat/>
    <w:uiPriority w:val="0"/>
    <w:rPr>
      <w:kern w:val="2"/>
      <w:sz w:val="21"/>
      <w:szCs w:val="24"/>
    </w:rPr>
  </w:style>
  <w:style w:type="character" w:customStyle="1" w:styleId="57">
    <w:name w:val="批注主题 Char"/>
    <w:basedOn w:val="56"/>
    <w:link w:val="22"/>
    <w:qFormat/>
    <w:uiPriority w:val="0"/>
    <w:rPr>
      <w:b/>
      <w:bCs/>
      <w:kern w:val="2"/>
      <w:sz w:val="21"/>
      <w:szCs w:val="24"/>
    </w:rPr>
  </w:style>
  <w:style w:type="character" w:customStyle="1" w:styleId="58">
    <w:name w:val="批注框文本 Char"/>
    <w:basedOn w:val="27"/>
    <w:link w:val="15"/>
    <w:qFormat/>
    <w:uiPriority w:val="0"/>
    <w:rPr>
      <w:kern w:val="2"/>
      <w:sz w:val="18"/>
      <w:szCs w:val="18"/>
    </w:rPr>
  </w:style>
  <w:style w:type="character" w:customStyle="1" w:styleId="59">
    <w:name w:val="hover16"/>
    <w:basedOn w:val="27"/>
    <w:qFormat/>
    <w:uiPriority w:val="0"/>
  </w:style>
  <w:style w:type="character" w:customStyle="1" w:styleId="60">
    <w:name w:val="hover18"/>
    <w:basedOn w:val="27"/>
    <w:qFormat/>
    <w:uiPriority w:val="0"/>
  </w:style>
  <w:style w:type="paragraph" w:customStyle="1" w:styleId="61">
    <w:name w:val="列表段落"/>
    <w:basedOn w:val="1"/>
    <w:qFormat/>
    <w:uiPriority w:val="99"/>
    <w:pPr>
      <w:ind w:firstLine="420" w:firstLineChars="200"/>
    </w:pPr>
  </w:style>
  <w:style w:type="paragraph" w:customStyle="1" w:styleId="6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63">
    <w:name w:val="_Style 1"/>
    <w:basedOn w:val="1"/>
    <w:autoRedefine/>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9925</Words>
  <Characters>10610</Characters>
  <Lines>116</Lines>
  <Paragraphs>32</Paragraphs>
  <TotalTime>23</TotalTime>
  <ScaleCrop>false</ScaleCrop>
  <LinksUpToDate>false</LinksUpToDate>
  <CharactersWithSpaces>11195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2025-12-10T14:48:00Z</dcterms:created>
  <dc:creator>Administrator</dc:creator>
  <cp:lastModifiedBy>buling~~</cp:lastModifiedBy>
  <dcterms:modified xsi:type="dcterms:W3CDTF">2026-01-15T06:01:19Z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1961ABDF5602468FB171CF4C19AACD59_13</vt:lpwstr>
  </property>
  <property fmtid="{D5CDD505-2E9C-101B-9397-08002B2CF9AE}" pid="4" name="KSOTemplateDocerSaveRecord">
    <vt:lpwstr>eyJoZGlkIjoiYmEyMWVmNzI1OTlmY2I5YWQ3MDhhMWRkMTMwNmMzNDkiLCJ1c2VySWQiOiIxNDg3NTM2ODUxIn0=</vt:lpwstr>
  </property>
</Properties>
</file>