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8"/>
        <w:spacing w:line="240" w:lineRule="auto"/>
        <w:jc w:val="center"/>
        <w:rPr>
          <w:rStyle w:val="62"/>
          <w:rFonts w:ascii="仿宋" w:hAnsi="仿宋" w:eastAsia="仿宋" w:cs="仿宋"/>
          <w:b/>
          <w:bCs/>
          <w:color w:val="auto"/>
          <w:sz w:val="36"/>
          <w:szCs w:val="36"/>
          <w:highlight w:val="none"/>
        </w:rPr>
      </w:pPr>
    </w:p>
    <w:p>
      <w:pPr>
        <w:pStyle w:val="138"/>
        <w:spacing w:line="240" w:lineRule="auto"/>
        <w:jc w:val="center"/>
        <w:rPr>
          <w:rStyle w:val="62"/>
          <w:rFonts w:ascii="仿宋" w:hAnsi="仿宋" w:eastAsia="仿宋" w:cs="仿宋"/>
          <w:b/>
          <w:bCs/>
          <w:color w:val="auto"/>
          <w:sz w:val="36"/>
          <w:szCs w:val="36"/>
          <w:highlight w:val="none"/>
        </w:rPr>
      </w:pPr>
    </w:p>
    <w:p>
      <w:pPr>
        <w:pStyle w:val="138"/>
        <w:spacing w:line="240" w:lineRule="auto"/>
        <w:jc w:val="center"/>
        <w:rPr>
          <w:rStyle w:val="62"/>
          <w:rFonts w:ascii="仿宋" w:hAnsi="仿宋" w:eastAsia="仿宋"/>
          <w:b/>
          <w:color w:val="auto"/>
          <w:sz w:val="32"/>
          <w:szCs w:val="32"/>
          <w:highlight w:val="none"/>
        </w:rPr>
      </w:pPr>
      <w:r>
        <w:rPr>
          <w:rStyle w:val="62"/>
          <w:rFonts w:hint="eastAsia" w:ascii="仿宋" w:hAnsi="仿宋" w:eastAsia="仿宋" w:cs="仿宋"/>
          <w:b/>
          <w:bCs/>
          <w:color w:val="auto"/>
          <w:sz w:val="32"/>
          <w:szCs w:val="32"/>
          <w:highlight w:val="none"/>
        </w:rPr>
        <w:t>潢川一中理化生实验室建设及运动场升级改造项目</w:t>
      </w:r>
    </w:p>
    <w:p>
      <w:pPr>
        <w:pStyle w:val="49"/>
        <w:spacing w:before="312" w:after="312"/>
        <w:rPr>
          <w:rStyle w:val="62"/>
          <w:color w:val="auto"/>
          <w:highlight w:val="none"/>
        </w:rPr>
      </w:pPr>
    </w:p>
    <w:p>
      <w:pPr>
        <w:pStyle w:val="51"/>
        <w:rPr>
          <w:rStyle w:val="62"/>
          <w:color w:val="auto"/>
          <w:highlight w:val="none"/>
        </w:rPr>
      </w:pPr>
    </w:p>
    <w:p>
      <w:pPr>
        <w:spacing w:line="360" w:lineRule="auto"/>
        <w:jc w:val="center"/>
        <w:rPr>
          <w:rStyle w:val="62"/>
          <w:rFonts w:ascii="宋体" w:hAnsi="宋体"/>
          <w:color w:val="auto"/>
          <w:kern w:val="0"/>
          <w:sz w:val="18"/>
          <w:szCs w:val="18"/>
          <w:highlight w:val="none"/>
        </w:rPr>
      </w:pPr>
      <w:r>
        <w:rPr>
          <w:rStyle w:val="62"/>
          <w:rFonts w:hint="eastAsia" w:ascii="仿宋" w:hAnsi="仿宋" w:eastAsia="仿宋" w:cs="仿宋"/>
          <w:b/>
          <w:bCs/>
          <w:color w:val="auto"/>
          <w:sz w:val="84"/>
          <w:szCs w:val="84"/>
          <w:highlight w:val="none"/>
        </w:rPr>
        <w:t>招标</w:t>
      </w:r>
      <w:r>
        <w:rPr>
          <w:rStyle w:val="62"/>
          <w:rFonts w:ascii="仿宋" w:hAnsi="仿宋" w:eastAsia="仿宋" w:cs="仿宋"/>
          <w:b/>
          <w:bCs/>
          <w:color w:val="auto"/>
          <w:sz w:val="84"/>
          <w:szCs w:val="84"/>
          <w:highlight w:val="none"/>
        </w:rPr>
        <w:t>文件</w:t>
      </w:r>
    </w:p>
    <w:p>
      <w:pPr>
        <w:pStyle w:val="49"/>
        <w:rPr>
          <w:color w:val="auto"/>
          <w:highlight w:val="none"/>
        </w:rPr>
      </w:pPr>
    </w:p>
    <w:p>
      <w:pPr>
        <w:pStyle w:val="48"/>
        <w:jc w:val="center"/>
        <w:rPr>
          <w:rStyle w:val="62"/>
          <w:rFonts w:ascii="仿宋" w:hAnsi="仿宋" w:eastAsia="仿宋" w:cs="仿宋"/>
          <w:b/>
          <w:bCs/>
          <w:color w:val="auto"/>
          <w:sz w:val="28"/>
          <w:szCs w:val="28"/>
          <w:highlight w:val="none"/>
        </w:rPr>
      </w:pPr>
      <w:r>
        <w:rPr>
          <w:rStyle w:val="62"/>
          <w:rFonts w:ascii="仿宋" w:hAnsi="仿宋" w:eastAsia="仿宋" w:cs="仿宋"/>
          <w:b/>
          <w:bCs/>
          <w:color w:val="auto"/>
          <w:sz w:val="28"/>
          <w:szCs w:val="28"/>
          <w:highlight w:val="none"/>
        </w:rPr>
        <w:t>采购编号：</w:t>
      </w:r>
      <w:r>
        <w:rPr>
          <w:rStyle w:val="62"/>
          <w:rFonts w:hint="eastAsia" w:ascii="仿宋" w:hAnsi="仿宋" w:eastAsia="仿宋" w:cs="仿宋"/>
          <w:b/>
          <w:bCs/>
          <w:color w:val="auto"/>
          <w:sz w:val="28"/>
          <w:szCs w:val="28"/>
          <w:highlight w:val="none"/>
        </w:rPr>
        <w:t>潢财公开招标-2024-5</w:t>
      </w:r>
    </w:p>
    <w:p>
      <w:pPr>
        <w:pStyle w:val="47"/>
        <w:ind w:firstLine="210"/>
        <w:jc w:val="center"/>
        <w:rPr>
          <w:rStyle w:val="62"/>
          <w:rFonts w:ascii="仿宋" w:hAnsi="仿宋" w:eastAsia="仿宋"/>
          <w:color w:val="auto"/>
          <w:highlight w:val="none"/>
        </w:rPr>
      </w:pPr>
    </w:p>
    <w:p>
      <w:pPr>
        <w:pStyle w:val="48"/>
        <w:rPr>
          <w:rStyle w:val="62"/>
          <w:rFonts w:ascii="仿宋" w:hAnsi="仿宋" w:eastAsia="仿宋"/>
          <w:color w:val="auto"/>
          <w:highlight w:val="none"/>
        </w:rPr>
      </w:pPr>
    </w:p>
    <w:p>
      <w:pPr>
        <w:pStyle w:val="51"/>
        <w:rPr>
          <w:rStyle w:val="62"/>
          <w:rFonts w:ascii="仿宋" w:hAnsi="仿宋" w:eastAsia="仿宋"/>
          <w:b/>
          <w:color w:val="auto"/>
          <w:sz w:val="30"/>
          <w:szCs w:val="30"/>
          <w:highlight w:val="none"/>
        </w:rPr>
      </w:pPr>
    </w:p>
    <w:p>
      <w:pPr>
        <w:rPr>
          <w:rStyle w:val="62"/>
          <w:rFonts w:ascii="仿宋" w:hAnsi="仿宋" w:eastAsia="仿宋"/>
          <w:color w:val="auto"/>
          <w:highlight w:val="none"/>
        </w:rPr>
      </w:pPr>
    </w:p>
    <w:p>
      <w:pPr>
        <w:pStyle w:val="138"/>
        <w:rPr>
          <w:rStyle w:val="62"/>
          <w:rFonts w:ascii="仿宋" w:hAnsi="仿宋" w:eastAsia="仿宋"/>
          <w:color w:val="auto"/>
          <w:highlight w:val="none"/>
        </w:rPr>
      </w:pPr>
    </w:p>
    <w:p>
      <w:pPr>
        <w:rPr>
          <w:rStyle w:val="62"/>
          <w:rFonts w:ascii="仿宋" w:hAnsi="仿宋" w:eastAsia="仿宋"/>
          <w:b/>
          <w:color w:val="auto"/>
          <w:sz w:val="30"/>
          <w:szCs w:val="30"/>
          <w:highlight w:val="none"/>
        </w:rPr>
      </w:pPr>
    </w:p>
    <w:p>
      <w:pPr>
        <w:pStyle w:val="47"/>
        <w:ind w:firstLine="301"/>
        <w:rPr>
          <w:rStyle w:val="62"/>
          <w:rFonts w:ascii="仿宋" w:hAnsi="仿宋" w:eastAsia="仿宋"/>
          <w:b/>
          <w:color w:val="auto"/>
          <w:sz w:val="30"/>
          <w:szCs w:val="30"/>
          <w:highlight w:val="none"/>
        </w:rPr>
      </w:pPr>
    </w:p>
    <w:p>
      <w:pPr>
        <w:rPr>
          <w:rStyle w:val="62"/>
          <w:rFonts w:ascii="仿宋" w:hAnsi="仿宋" w:eastAsia="仿宋"/>
          <w:b/>
          <w:color w:val="auto"/>
          <w:sz w:val="30"/>
          <w:szCs w:val="30"/>
          <w:highlight w:val="none"/>
        </w:rPr>
      </w:pPr>
    </w:p>
    <w:p>
      <w:pPr>
        <w:rPr>
          <w:rStyle w:val="62"/>
          <w:color w:val="auto"/>
          <w:highlight w:val="none"/>
        </w:rPr>
      </w:pPr>
    </w:p>
    <w:p>
      <w:pPr>
        <w:spacing w:line="360" w:lineRule="auto"/>
        <w:rPr>
          <w:rStyle w:val="62"/>
          <w:rFonts w:ascii="仿宋" w:hAnsi="仿宋" w:eastAsia="仿宋"/>
          <w:b/>
          <w:color w:val="auto"/>
          <w:kern w:val="1"/>
          <w:sz w:val="32"/>
          <w:szCs w:val="32"/>
          <w:highlight w:val="none"/>
        </w:rPr>
      </w:pPr>
    </w:p>
    <w:p>
      <w:pPr>
        <w:pStyle w:val="47"/>
        <w:ind w:firstLine="321"/>
        <w:rPr>
          <w:rStyle w:val="62"/>
          <w:rFonts w:ascii="仿宋" w:hAnsi="仿宋" w:eastAsia="仿宋"/>
          <w:b/>
          <w:color w:val="auto"/>
          <w:kern w:val="1"/>
          <w:sz w:val="32"/>
          <w:szCs w:val="32"/>
          <w:highlight w:val="none"/>
        </w:rPr>
      </w:pPr>
    </w:p>
    <w:p>
      <w:pPr>
        <w:rPr>
          <w:color w:val="auto"/>
          <w:highlight w:val="none"/>
        </w:rPr>
      </w:pPr>
    </w:p>
    <w:p>
      <w:pPr>
        <w:spacing w:line="360" w:lineRule="auto"/>
        <w:ind w:firstLine="1606" w:firstLineChars="500"/>
        <w:rPr>
          <w:rStyle w:val="62"/>
          <w:rFonts w:ascii="仿宋" w:hAnsi="仿宋" w:eastAsia="仿宋"/>
          <w:b/>
          <w:color w:val="auto"/>
          <w:kern w:val="1"/>
          <w:sz w:val="32"/>
          <w:szCs w:val="32"/>
          <w:highlight w:val="none"/>
        </w:rPr>
      </w:pPr>
      <w:r>
        <w:rPr>
          <w:rStyle w:val="62"/>
          <w:rFonts w:hint="eastAsia" w:ascii="仿宋" w:hAnsi="仿宋" w:eastAsia="仿宋"/>
          <w:b/>
          <w:color w:val="auto"/>
          <w:kern w:val="1"/>
          <w:sz w:val="32"/>
          <w:szCs w:val="32"/>
          <w:highlight w:val="none"/>
        </w:rPr>
        <w:t>招  标  人</w:t>
      </w:r>
      <w:r>
        <w:rPr>
          <w:rStyle w:val="62"/>
          <w:rFonts w:ascii="仿宋" w:hAnsi="仿宋" w:eastAsia="仿宋"/>
          <w:b/>
          <w:color w:val="auto"/>
          <w:kern w:val="1"/>
          <w:sz w:val="32"/>
          <w:szCs w:val="32"/>
          <w:highlight w:val="none"/>
        </w:rPr>
        <w:t xml:space="preserve">： </w:t>
      </w:r>
      <w:r>
        <w:rPr>
          <w:rStyle w:val="62"/>
          <w:rFonts w:hint="eastAsia" w:ascii="仿宋" w:hAnsi="仿宋" w:eastAsia="仿宋"/>
          <w:b/>
          <w:color w:val="auto"/>
          <w:kern w:val="1"/>
          <w:sz w:val="32"/>
          <w:szCs w:val="32"/>
          <w:highlight w:val="none"/>
        </w:rPr>
        <w:t>河南省潢川县第一中学</w:t>
      </w:r>
    </w:p>
    <w:p>
      <w:pPr>
        <w:spacing w:line="360" w:lineRule="auto"/>
        <w:rPr>
          <w:rStyle w:val="62"/>
          <w:rFonts w:ascii="仿宋" w:hAnsi="仿宋" w:eastAsia="仿宋"/>
          <w:b/>
          <w:color w:val="auto"/>
          <w:kern w:val="1"/>
          <w:sz w:val="32"/>
          <w:szCs w:val="32"/>
          <w:highlight w:val="none"/>
        </w:rPr>
      </w:pPr>
      <w:r>
        <w:rPr>
          <w:rStyle w:val="62"/>
          <w:rFonts w:ascii="仿宋" w:hAnsi="仿宋" w:eastAsia="仿宋"/>
          <w:b/>
          <w:color w:val="auto"/>
          <w:kern w:val="1"/>
          <w:sz w:val="32"/>
          <w:szCs w:val="32"/>
          <w:highlight w:val="none"/>
        </w:rPr>
        <w:t xml:space="preserve">代 理 机 构： </w:t>
      </w:r>
      <w:r>
        <w:rPr>
          <w:rStyle w:val="62"/>
          <w:rFonts w:hint="eastAsia" w:ascii="仿宋" w:hAnsi="仿宋" w:eastAsia="仿宋"/>
          <w:b/>
          <w:color w:val="auto"/>
          <w:kern w:val="1"/>
          <w:sz w:val="32"/>
          <w:szCs w:val="32"/>
          <w:highlight w:val="none"/>
        </w:rPr>
        <w:t>中招（河南）国际工程管理咨询有限公司</w:t>
      </w:r>
    </w:p>
    <w:p>
      <w:pPr>
        <w:spacing w:line="360" w:lineRule="auto"/>
        <w:ind w:firstLine="1606" w:firstLineChars="500"/>
        <w:rPr>
          <w:rStyle w:val="62"/>
          <w:rFonts w:ascii="仿宋" w:hAnsi="仿宋" w:eastAsia="仿宋"/>
          <w:b/>
          <w:color w:val="auto"/>
          <w:kern w:val="1"/>
          <w:sz w:val="32"/>
          <w:szCs w:val="32"/>
          <w:highlight w:val="none"/>
        </w:rPr>
      </w:pPr>
      <w:r>
        <w:rPr>
          <w:rStyle w:val="62"/>
          <w:rFonts w:ascii="仿宋" w:hAnsi="仿宋" w:eastAsia="仿宋"/>
          <w:b/>
          <w:color w:val="auto"/>
          <w:kern w:val="1"/>
          <w:sz w:val="32"/>
          <w:szCs w:val="32"/>
          <w:highlight w:val="none"/>
        </w:rPr>
        <w:t>日       期： 二〇二</w:t>
      </w:r>
      <w:r>
        <w:rPr>
          <w:rStyle w:val="62"/>
          <w:rFonts w:hint="eastAsia" w:ascii="仿宋" w:hAnsi="仿宋" w:eastAsia="仿宋"/>
          <w:b/>
          <w:color w:val="auto"/>
          <w:kern w:val="1"/>
          <w:sz w:val="32"/>
          <w:szCs w:val="32"/>
          <w:highlight w:val="none"/>
        </w:rPr>
        <w:t>四</w:t>
      </w:r>
      <w:r>
        <w:rPr>
          <w:rStyle w:val="62"/>
          <w:rFonts w:ascii="仿宋" w:hAnsi="仿宋" w:eastAsia="仿宋"/>
          <w:b/>
          <w:color w:val="auto"/>
          <w:kern w:val="1"/>
          <w:sz w:val="32"/>
          <w:szCs w:val="32"/>
          <w:highlight w:val="none"/>
        </w:rPr>
        <w:t>年</w:t>
      </w:r>
      <w:r>
        <w:rPr>
          <w:rStyle w:val="62"/>
          <w:rFonts w:hint="eastAsia" w:ascii="仿宋" w:hAnsi="仿宋" w:eastAsia="仿宋"/>
          <w:b/>
          <w:color w:val="auto"/>
          <w:kern w:val="1"/>
          <w:sz w:val="32"/>
          <w:szCs w:val="32"/>
          <w:highlight w:val="none"/>
        </w:rPr>
        <w:t>三</w:t>
      </w:r>
      <w:r>
        <w:rPr>
          <w:rStyle w:val="62"/>
          <w:rFonts w:ascii="仿宋" w:hAnsi="仿宋" w:eastAsia="仿宋"/>
          <w:b/>
          <w:color w:val="auto"/>
          <w:kern w:val="1"/>
          <w:sz w:val="32"/>
          <w:szCs w:val="32"/>
          <w:highlight w:val="none"/>
        </w:rPr>
        <w:t>月</w:t>
      </w:r>
    </w:p>
    <w:p>
      <w:pPr>
        <w:rPr>
          <w:rStyle w:val="62"/>
          <w:rFonts w:ascii="仿宋" w:hAnsi="仿宋" w:eastAsia="仿宋" w:cs="仿宋"/>
          <w:b/>
          <w:bCs/>
          <w:color w:val="auto"/>
          <w:sz w:val="36"/>
          <w:highlight w:val="none"/>
        </w:rPr>
        <w:sectPr>
          <w:footerReference r:id="rId6" w:type="first"/>
          <w:headerReference r:id="rId3" w:type="default"/>
          <w:footerReference r:id="rId4" w:type="default"/>
          <w:footerReference r:id="rId5" w:type="even"/>
          <w:pgSz w:w="11906" w:h="16838"/>
          <w:pgMar w:top="1418" w:right="1134" w:bottom="1418" w:left="1418" w:header="851" w:footer="851" w:gutter="0"/>
          <w:cols w:space="425" w:num="1"/>
          <w:titlePg/>
          <w:docGrid w:type="lines" w:linePitch="312" w:charSpace="0"/>
        </w:sectPr>
      </w:pPr>
    </w:p>
    <w:p>
      <w:pPr>
        <w:jc w:val="center"/>
        <w:rPr>
          <w:rStyle w:val="62"/>
          <w:rFonts w:ascii="仿宋" w:hAnsi="仿宋" w:eastAsia="仿宋" w:cs="仿宋"/>
          <w:b/>
          <w:bCs/>
          <w:color w:val="auto"/>
          <w:sz w:val="36"/>
          <w:highlight w:val="none"/>
        </w:rPr>
      </w:pPr>
      <w:r>
        <w:rPr>
          <w:rStyle w:val="62"/>
          <w:rFonts w:ascii="仿宋" w:hAnsi="仿宋" w:eastAsia="仿宋" w:cs="仿宋"/>
          <w:b/>
          <w:bCs/>
          <w:color w:val="auto"/>
          <w:sz w:val="36"/>
          <w:highlight w:val="none"/>
        </w:rPr>
        <w:t>目   录</w:t>
      </w:r>
    </w:p>
    <w:p>
      <w:pPr>
        <w:pStyle w:val="48"/>
        <w:rPr>
          <w:rStyle w:val="62"/>
          <w:rFonts w:ascii="仿宋" w:hAnsi="仿宋" w:eastAsia="仿宋"/>
          <w:color w:val="auto"/>
          <w:highlight w:val="none"/>
        </w:rPr>
      </w:pPr>
    </w:p>
    <w:p>
      <w:pPr>
        <w:pStyle w:val="146"/>
        <w:tabs>
          <w:tab w:val="right" w:leader="dot" w:pos="9354"/>
        </w:tabs>
        <w:jc w:val="both"/>
        <w:rPr>
          <w:rStyle w:val="62"/>
          <w:rFonts w:ascii="仿宋" w:hAnsi="仿宋" w:eastAsia="仿宋"/>
          <w:color w:val="auto"/>
          <w:sz w:val="32"/>
          <w:szCs w:val="32"/>
          <w:highlight w:val="none"/>
        </w:rPr>
      </w:pPr>
      <w:r>
        <w:rPr>
          <w:rStyle w:val="62"/>
          <w:rFonts w:ascii="仿宋" w:hAnsi="仿宋" w:eastAsia="仿宋"/>
          <w:color w:val="auto"/>
          <w:sz w:val="32"/>
          <w:szCs w:val="32"/>
          <w:highlight w:val="none"/>
        </w:rPr>
        <w:t xml:space="preserve">第一章  </w:t>
      </w:r>
      <w:r>
        <w:rPr>
          <w:rStyle w:val="62"/>
          <w:rFonts w:hint="eastAsia" w:ascii="仿宋" w:hAnsi="仿宋" w:eastAsia="仿宋"/>
          <w:color w:val="auto"/>
          <w:sz w:val="32"/>
          <w:szCs w:val="32"/>
          <w:highlight w:val="none"/>
        </w:rPr>
        <w:t>招标</w:t>
      </w:r>
      <w:r>
        <w:rPr>
          <w:rStyle w:val="62"/>
          <w:rFonts w:ascii="仿宋" w:hAnsi="仿宋" w:eastAsia="仿宋"/>
          <w:color w:val="auto"/>
          <w:sz w:val="32"/>
          <w:szCs w:val="32"/>
          <w:highlight w:val="none"/>
        </w:rPr>
        <w:t>公告</w:t>
      </w:r>
      <w:r>
        <w:rPr>
          <w:rStyle w:val="62"/>
          <w:rFonts w:ascii="仿宋" w:hAnsi="仿宋" w:eastAsia="仿宋"/>
          <w:color w:val="auto"/>
          <w:sz w:val="32"/>
          <w:szCs w:val="32"/>
          <w:highlight w:val="none"/>
        </w:rPr>
        <w:tab/>
      </w:r>
      <w:r>
        <w:rPr>
          <w:rStyle w:val="62"/>
          <w:rFonts w:ascii="仿宋" w:hAnsi="仿宋" w:eastAsia="仿宋"/>
          <w:color w:val="auto"/>
          <w:sz w:val="32"/>
          <w:szCs w:val="32"/>
          <w:highlight w:val="none"/>
        </w:rPr>
        <w:t>2</w:t>
      </w:r>
    </w:p>
    <w:p>
      <w:pPr>
        <w:pStyle w:val="146"/>
        <w:tabs>
          <w:tab w:val="right" w:leader="dot" w:pos="9354"/>
        </w:tabs>
        <w:jc w:val="both"/>
        <w:rPr>
          <w:rStyle w:val="62"/>
          <w:rFonts w:ascii="仿宋" w:hAnsi="仿宋" w:eastAsia="仿宋"/>
          <w:color w:val="auto"/>
          <w:sz w:val="32"/>
          <w:szCs w:val="32"/>
          <w:highlight w:val="none"/>
        </w:rPr>
      </w:pPr>
      <w:r>
        <w:rPr>
          <w:rStyle w:val="62"/>
          <w:rFonts w:ascii="仿宋" w:hAnsi="仿宋" w:eastAsia="仿宋"/>
          <w:color w:val="auto"/>
          <w:sz w:val="32"/>
          <w:szCs w:val="32"/>
          <w:highlight w:val="none"/>
        </w:rPr>
        <w:t xml:space="preserve">第二章  </w:t>
      </w:r>
      <w:r>
        <w:rPr>
          <w:rStyle w:val="62"/>
          <w:rFonts w:hint="eastAsia" w:ascii="仿宋" w:hAnsi="仿宋" w:eastAsia="仿宋"/>
          <w:color w:val="auto"/>
          <w:sz w:val="32"/>
          <w:szCs w:val="32"/>
          <w:highlight w:val="none"/>
        </w:rPr>
        <w:t>投标人</w:t>
      </w:r>
      <w:r>
        <w:rPr>
          <w:rStyle w:val="62"/>
          <w:rFonts w:ascii="仿宋" w:hAnsi="仿宋" w:eastAsia="仿宋"/>
          <w:color w:val="auto"/>
          <w:sz w:val="32"/>
          <w:szCs w:val="32"/>
          <w:highlight w:val="none"/>
        </w:rPr>
        <w:t>须知</w:t>
      </w:r>
      <w:r>
        <w:rPr>
          <w:rStyle w:val="62"/>
          <w:rFonts w:ascii="仿宋" w:hAnsi="仿宋" w:eastAsia="仿宋"/>
          <w:color w:val="auto"/>
          <w:sz w:val="32"/>
          <w:szCs w:val="32"/>
          <w:highlight w:val="none"/>
        </w:rPr>
        <w:tab/>
      </w:r>
      <w:r>
        <w:rPr>
          <w:rStyle w:val="62"/>
          <w:rFonts w:ascii="仿宋" w:hAnsi="仿宋" w:eastAsia="仿宋"/>
          <w:color w:val="auto"/>
          <w:sz w:val="32"/>
          <w:szCs w:val="32"/>
          <w:highlight w:val="none"/>
        </w:rPr>
        <w:t>6</w:t>
      </w:r>
    </w:p>
    <w:p>
      <w:pPr>
        <w:pStyle w:val="146"/>
        <w:tabs>
          <w:tab w:val="right" w:leader="dot" w:pos="9354"/>
        </w:tabs>
        <w:jc w:val="both"/>
        <w:rPr>
          <w:rStyle w:val="62"/>
          <w:rFonts w:ascii="仿宋" w:hAnsi="仿宋" w:eastAsia="仿宋"/>
          <w:color w:val="auto"/>
          <w:sz w:val="32"/>
          <w:szCs w:val="32"/>
          <w:highlight w:val="none"/>
        </w:rPr>
      </w:pPr>
      <w:r>
        <w:rPr>
          <w:rStyle w:val="62"/>
          <w:rFonts w:ascii="仿宋" w:hAnsi="仿宋" w:eastAsia="仿宋" w:cs="仿宋"/>
          <w:bCs/>
          <w:color w:val="auto"/>
          <w:sz w:val="32"/>
          <w:szCs w:val="32"/>
          <w:highlight w:val="none"/>
        </w:rPr>
        <w:t xml:space="preserve">第三章 </w:t>
      </w:r>
      <w:r>
        <w:rPr>
          <w:rStyle w:val="62"/>
          <w:rFonts w:ascii="仿宋" w:hAnsi="仿宋" w:eastAsia="仿宋"/>
          <w:color w:val="auto"/>
          <w:sz w:val="32"/>
          <w:szCs w:val="32"/>
          <w:highlight w:val="none"/>
        </w:rPr>
        <w:t xml:space="preserve"> </w:t>
      </w:r>
      <w:r>
        <w:rPr>
          <w:rStyle w:val="62"/>
          <w:rFonts w:ascii="仿宋" w:hAnsi="仿宋" w:eastAsia="仿宋" w:cs="仿宋"/>
          <w:bCs/>
          <w:color w:val="auto"/>
          <w:sz w:val="32"/>
          <w:szCs w:val="32"/>
          <w:highlight w:val="none"/>
        </w:rPr>
        <w:t>评标办法</w:t>
      </w:r>
      <w:r>
        <w:rPr>
          <w:rStyle w:val="62"/>
          <w:rFonts w:ascii="仿宋" w:hAnsi="仿宋" w:eastAsia="仿宋"/>
          <w:color w:val="auto"/>
          <w:sz w:val="32"/>
          <w:szCs w:val="32"/>
          <w:highlight w:val="none"/>
        </w:rPr>
        <w:tab/>
      </w:r>
      <w:r>
        <w:rPr>
          <w:rStyle w:val="62"/>
          <w:rFonts w:ascii="仿宋" w:hAnsi="仿宋" w:eastAsia="仿宋"/>
          <w:color w:val="auto"/>
          <w:sz w:val="32"/>
          <w:szCs w:val="32"/>
          <w:highlight w:val="none"/>
        </w:rPr>
        <w:t>18</w:t>
      </w:r>
    </w:p>
    <w:p>
      <w:pPr>
        <w:pStyle w:val="146"/>
        <w:tabs>
          <w:tab w:val="right" w:leader="dot" w:pos="9354"/>
        </w:tabs>
        <w:jc w:val="both"/>
        <w:rPr>
          <w:rStyle w:val="62"/>
          <w:rFonts w:ascii="仿宋" w:hAnsi="仿宋" w:eastAsia="仿宋"/>
          <w:color w:val="auto"/>
          <w:sz w:val="32"/>
          <w:szCs w:val="32"/>
          <w:highlight w:val="none"/>
        </w:rPr>
      </w:pPr>
      <w:r>
        <w:rPr>
          <w:rStyle w:val="62"/>
          <w:rFonts w:ascii="仿宋" w:hAnsi="仿宋" w:eastAsia="仿宋"/>
          <w:color w:val="auto"/>
          <w:sz w:val="32"/>
          <w:szCs w:val="32"/>
          <w:highlight w:val="none"/>
        </w:rPr>
        <w:t>第四章  合同条件及格式</w:t>
      </w:r>
      <w:r>
        <w:rPr>
          <w:rStyle w:val="62"/>
          <w:rFonts w:ascii="仿宋" w:hAnsi="仿宋" w:eastAsia="仿宋"/>
          <w:color w:val="auto"/>
          <w:sz w:val="32"/>
          <w:szCs w:val="32"/>
          <w:highlight w:val="none"/>
        </w:rPr>
        <w:tab/>
      </w:r>
      <w:r>
        <w:rPr>
          <w:rStyle w:val="62"/>
          <w:rFonts w:ascii="仿宋" w:hAnsi="仿宋" w:eastAsia="仿宋"/>
          <w:color w:val="auto"/>
          <w:sz w:val="32"/>
          <w:szCs w:val="32"/>
          <w:highlight w:val="none"/>
        </w:rPr>
        <w:t>22</w:t>
      </w:r>
    </w:p>
    <w:p>
      <w:pPr>
        <w:pStyle w:val="146"/>
        <w:tabs>
          <w:tab w:val="right" w:leader="dot" w:pos="9354"/>
        </w:tabs>
        <w:jc w:val="both"/>
        <w:rPr>
          <w:rStyle w:val="62"/>
          <w:rFonts w:ascii="仿宋" w:hAnsi="仿宋" w:eastAsia="仿宋"/>
          <w:color w:val="auto"/>
          <w:sz w:val="32"/>
          <w:szCs w:val="32"/>
          <w:highlight w:val="none"/>
        </w:rPr>
      </w:pPr>
      <w:r>
        <w:rPr>
          <w:rStyle w:val="62"/>
          <w:rFonts w:ascii="仿宋" w:hAnsi="仿宋" w:eastAsia="仿宋"/>
          <w:color w:val="auto"/>
          <w:sz w:val="32"/>
          <w:szCs w:val="32"/>
          <w:highlight w:val="none"/>
        </w:rPr>
        <w:t>第五章  采购需求</w:t>
      </w:r>
      <w:r>
        <w:rPr>
          <w:rStyle w:val="62"/>
          <w:rFonts w:ascii="仿宋" w:hAnsi="仿宋" w:eastAsia="仿宋"/>
          <w:color w:val="auto"/>
          <w:sz w:val="32"/>
          <w:szCs w:val="32"/>
          <w:highlight w:val="none"/>
        </w:rPr>
        <w:tab/>
      </w:r>
      <w:r>
        <w:rPr>
          <w:rStyle w:val="62"/>
          <w:rFonts w:ascii="仿宋" w:hAnsi="仿宋" w:eastAsia="仿宋"/>
          <w:color w:val="auto"/>
          <w:sz w:val="32"/>
          <w:szCs w:val="32"/>
          <w:highlight w:val="none"/>
        </w:rPr>
        <w:t>23</w:t>
      </w:r>
    </w:p>
    <w:p>
      <w:pPr>
        <w:pStyle w:val="146"/>
        <w:tabs>
          <w:tab w:val="right" w:leader="dot" w:pos="9354"/>
        </w:tabs>
        <w:jc w:val="both"/>
        <w:rPr>
          <w:rStyle w:val="62"/>
          <w:rFonts w:ascii="仿宋" w:hAnsi="仿宋" w:eastAsia="仿宋"/>
          <w:color w:val="auto"/>
          <w:sz w:val="32"/>
          <w:szCs w:val="32"/>
          <w:highlight w:val="none"/>
        </w:rPr>
      </w:pPr>
      <w:r>
        <w:rPr>
          <w:rStyle w:val="62"/>
          <w:rFonts w:ascii="仿宋" w:hAnsi="仿宋" w:eastAsia="仿宋" w:cs="仿宋"/>
          <w:bCs/>
          <w:color w:val="auto"/>
          <w:sz w:val="32"/>
          <w:szCs w:val="32"/>
          <w:highlight w:val="none"/>
        </w:rPr>
        <w:t xml:space="preserve">第六章  </w:t>
      </w:r>
      <w:r>
        <w:rPr>
          <w:rStyle w:val="62"/>
          <w:rFonts w:hint="eastAsia" w:ascii="仿宋" w:hAnsi="仿宋" w:eastAsia="仿宋" w:cs="仿宋"/>
          <w:bCs/>
          <w:color w:val="auto"/>
          <w:sz w:val="32"/>
          <w:szCs w:val="32"/>
          <w:highlight w:val="none"/>
        </w:rPr>
        <w:t>投标文件</w:t>
      </w:r>
      <w:r>
        <w:rPr>
          <w:rStyle w:val="62"/>
          <w:rFonts w:ascii="仿宋" w:hAnsi="仿宋" w:eastAsia="仿宋" w:cs="仿宋"/>
          <w:bCs/>
          <w:color w:val="auto"/>
          <w:sz w:val="32"/>
          <w:szCs w:val="32"/>
          <w:highlight w:val="none"/>
        </w:rPr>
        <w:t>格式</w:t>
      </w:r>
      <w:r>
        <w:rPr>
          <w:rStyle w:val="62"/>
          <w:rFonts w:ascii="仿宋" w:hAnsi="仿宋" w:eastAsia="仿宋"/>
          <w:color w:val="auto"/>
          <w:sz w:val="32"/>
          <w:szCs w:val="32"/>
          <w:highlight w:val="none"/>
        </w:rPr>
        <w:tab/>
      </w:r>
      <w:r>
        <w:rPr>
          <w:rStyle w:val="62"/>
          <w:rFonts w:ascii="仿宋" w:hAnsi="仿宋" w:eastAsia="仿宋"/>
          <w:color w:val="auto"/>
          <w:sz w:val="32"/>
          <w:szCs w:val="32"/>
          <w:highlight w:val="none"/>
        </w:rPr>
        <w:t>24</w:t>
      </w:r>
    </w:p>
    <w:p>
      <w:pPr>
        <w:pStyle w:val="146"/>
        <w:tabs>
          <w:tab w:val="right" w:leader="dot" w:pos="9354"/>
        </w:tabs>
        <w:spacing w:line="560" w:lineRule="exact"/>
        <w:ind w:firstLine="420" w:firstLineChars="200"/>
        <w:jc w:val="both"/>
        <w:rPr>
          <w:rStyle w:val="62"/>
          <w:rFonts w:ascii="仿宋" w:hAnsi="仿宋" w:eastAsia="仿宋"/>
          <w:color w:val="auto"/>
          <w:sz w:val="21"/>
          <w:highlight w:val="none"/>
        </w:rPr>
      </w:pPr>
    </w:p>
    <w:p>
      <w:pPr>
        <w:spacing w:line="360" w:lineRule="auto"/>
        <w:rPr>
          <w:rStyle w:val="62"/>
          <w:rFonts w:ascii="仿宋" w:hAnsi="仿宋" w:eastAsia="仿宋"/>
          <w:color w:val="auto"/>
          <w:highlight w:val="none"/>
        </w:rPr>
      </w:pPr>
    </w:p>
    <w:p>
      <w:pPr>
        <w:spacing w:line="360" w:lineRule="auto"/>
        <w:rPr>
          <w:rStyle w:val="62"/>
          <w:rFonts w:ascii="仿宋" w:hAnsi="仿宋" w:eastAsia="仿宋" w:cs="仿宋"/>
          <w:bCs/>
          <w:color w:val="auto"/>
          <w:szCs w:val="21"/>
          <w:highlight w:val="none"/>
        </w:rPr>
        <w:sectPr>
          <w:footerReference r:id="rId9" w:type="first"/>
          <w:headerReference r:id="rId7" w:type="default"/>
          <w:footerReference r:id="rId8" w:type="default"/>
          <w:pgSz w:w="11906" w:h="16838"/>
          <w:pgMar w:top="1418" w:right="1134" w:bottom="1418" w:left="1418" w:header="851" w:footer="851" w:gutter="0"/>
          <w:pgNumType w:start="1"/>
          <w:cols w:space="425" w:num="1"/>
          <w:titlePg/>
          <w:docGrid w:type="lines" w:linePitch="312" w:charSpace="0"/>
        </w:sectPr>
      </w:pPr>
    </w:p>
    <w:p>
      <w:pPr>
        <w:jc w:val="center"/>
        <w:rPr>
          <w:rStyle w:val="62"/>
          <w:rFonts w:ascii="仿宋" w:hAnsi="仿宋" w:eastAsia="仿宋" w:cs="仿宋"/>
          <w:b/>
          <w:bCs/>
          <w:color w:val="auto"/>
          <w:sz w:val="28"/>
          <w:highlight w:val="none"/>
        </w:rPr>
        <w:sectPr>
          <w:headerReference r:id="rId10" w:type="default"/>
          <w:footerReference r:id="rId11" w:type="default"/>
          <w:type w:val="continuous"/>
          <w:pgSz w:w="11906" w:h="16838"/>
          <w:pgMar w:top="1418" w:right="1134" w:bottom="1418" w:left="1418" w:header="851" w:footer="851" w:gutter="0"/>
          <w:cols w:space="425" w:num="1"/>
          <w:docGrid w:type="lines" w:linePitch="312" w:charSpace="0"/>
        </w:sectPr>
      </w:pPr>
    </w:p>
    <w:p>
      <w:pPr>
        <w:jc w:val="center"/>
        <w:rPr>
          <w:rStyle w:val="62"/>
          <w:rFonts w:ascii="仿宋" w:hAnsi="仿宋" w:eastAsia="仿宋"/>
          <w:b/>
          <w:bCs/>
          <w:color w:val="auto"/>
          <w:sz w:val="32"/>
          <w:szCs w:val="32"/>
          <w:highlight w:val="none"/>
        </w:rPr>
      </w:pPr>
      <w:r>
        <w:rPr>
          <w:rStyle w:val="62"/>
          <w:rFonts w:ascii="仿宋" w:hAnsi="仿宋" w:eastAsia="仿宋"/>
          <w:b/>
          <w:bCs/>
          <w:color w:val="auto"/>
          <w:sz w:val="32"/>
          <w:szCs w:val="32"/>
          <w:highlight w:val="none"/>
        </w:rPr>
        <w:t xml:space="preserve">第一章  </w:t>
      </w:r>
      <w:r>
        <w:rPr>
          <w:rStyle w:val="62"/>
          <w:rFonts w:hint="eastAsia" w:ascii="仿宋" w:hAnsi="仿宋" w:eastAsia="仿宋"/>
          <w:b/>
          <w:bCs/>
          <w:color w:val="auto"/>
          <w:sz w:val="32"/>
          <w:szCs w:val="32"/>
          <w:highlight w:val="none"/>
        </w:rPr>
        <w:t>招标</w:t>
      </w:r>
      <w:r>
        <w:rPr>
          <w:rStyle w:val="62"/>
          <w:rFonts w:ascii="仿宋" w:hAnsi="仿宋" w:eastAsia="仿宋"/>
          <w:b/>
          <w:bCs/>
          <w:color w:val="auto"/>
          <w:sz w:val="32"/>
          <w:szCs w:val="32"/>
          <w:highlight w:val="none"/>
        </w:rPr>
        <w:t>公告</w:t>
      </w:r>
    </w:p>
    <w:p>
      <w:pPr>
        <w:spacing w:line="360" w:lineRule="auto"/>
        <w:ind w:firstLine="562" w:firstLineChars="200"/>
        <w:jc w:val="center"/>
        <w:rPr>
          <w:rStyle w:val="62"/>
          <w:rFonts w:ascii="仿宋" w:hAnsi="仿宋" w:eastAsia="仿宋" w:cs="仿宋"/>
          <w:b/>
          <w:bCs/>
          <w:color w:val="auto"/>
          <w:sz w:val="28"/>
          <w:szCs w:val="28"/>
          <w:highlight w:val="none"/>
        </w:rPr>
      </w:pPr>
      <w:r>
        <w:rPr>
          <w:rStyle w:val="62"/>
          <w:rFonts w:hint="eastAsia" w:ascii="仿宋" w:hAnsi="仿宋" w:eastAsia="仿宋" w:cs="仿宋"/>
          <w:b/>
          <w:bCs/>
          <w:color w:val="auto"/>
          <w:sz w:val="28"/>
          <w:szCs w:val="28"/>
          <w:highlight w:val="none"/>
        </w:rPr>
        <w:t>潢川一中理化生实验室建设及运动场升级改造项目</w:t>
      </w:r>
    </w:p>
    <w:p>
      <w:pPr>
        <w:spacing w:line="360" w:lineRule="auto"/>
        <w:ind w:firstLine="562" w:firstLineChars="200"/>
        <w:jc w:val="center"/>
        <w:rPr>
          <w:rStyle w:val="62"/>
          <w:rFonts w:ascii="仿宋" w:hAnsi="仿宋" w:eastAsia="仿宋" w:cs="仿宋"/>
          <w:b/>
          <w:bCs/>
          <w:color w:val="auto"/>
          <w:sz w:val="28"/>
          <w:szCs w:val="28"/>
          <w:highlight w:val="none"/>
        </w:rPr>
      </w:pPr>
      <w:r>
        <w:rPr>
          <w:rStyle w:val="62"/>
          <w:rFonts w:hint="eastAsia" w:ascii="仿宋" w:hAnsi="仿宋" w:eastAsia="仿宋" w:cs="仿宋"/>
          <w:b/>
          <w:bCs/>
          <w:color w:val="auto"/>
          <w:sz w:val="28"/>
          <w:szCs w:val="28"/>
          <w:highlight w:val="none"/>
        </w:rPr>
        <w:t>招标</w:t>
      </w:r>
      <w:r>
        <w:rPr>
          <w:rStyle w:val="62"/>
          <w:rFonts w:ascii="仿宋" w:hAnsi="仿宋" w:eastAsia="仿宋" w:cs="仿宋"/>
          <w:b/>
          <w:bCs/>
          <w:color w:val="auto"/>
          <w:sz w:val="28"/>
          <w:szCs w:val="28"/>
          <w:highlight w:val="none"/>
        </w:rPr>
        <w:t>公告</w:t>
      </w:r>
    </w:p>
    <w:p>
      <w:pPr>
        <w:spacing w:line="360" w:lineRule="auto"/>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 xml:space="preserve">项目概况 </w:t>
      </w:r>
    </w:p>
    <w:p>
      <w:pPr>
        <w:spacing w:line="360" w:lineRule="auto"/>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潢川一中理化生实验室建设及运动场升级改造项目 的潜在投标人应在新郑市公共资源电子交易平台内下载招标文件，并于</w:t>
      </w:r>
      <w:r>
        <w:rPr>
          <w:rStyle w:val="62"/>
          <w:rFonts w:hint="eastAsia" w:ascii="仿宋" w:hAnsi="仿宋" w:eastAsia="仿宋" w:cs="Times New Roman"/>
          <w:color w:val="auto"/>
          <w:sz w:val="24"/>
          <w:highlight w:val="none"/>
          <w:lang w:val="en-US" w:eastAsia="zh-CN"/>
        </w:rPr>
        <w:t>2024</w:t>
      </w:r>
      <w:r>
        <w:rPr>
          <w:rStyle w:val="62"/>
          <w:rFonts w:hint="eastAsia" w:ascii="仿宋" w:hAnsi="仿宋" w:eastAsia="仿宋" w:cs="Times New Roman"/>
          <w:color w:val="auto"/>
          <w:sz w:val="24"/>
          <w:highlight w:val="none"/>
        </w:rPr>
        <w:t>年</w:t>
      </w:r>
      <w:r>
        <w:rPr>
          <w:rStyle w:val="62"/>
          <w:rFonts w:hint="eastAsia" w:ascii="仿宋" w:hAnsi="仿宋" w:eastAsia="仿宋" w:cs="Times New Roman"/>
          <w:color w:val="auto"/>
          <w:sz w:val="24"/>
          <w:highlight w:val="none"/>
          <w:lang w:val="en-US" w:eastAsia="zh-CN"/>
        </w:rPr>
        <w:t>04</w:t>
      </w:r>
      <w:r>
        <w:rPr>
          <w:rStyle w:val="62"/>
          <w:rFonts w:hint="eastAsia" w:ascii="仿宋" w:hAnsi="仿宋" w:eastAsia="仿宋" w:cs="Times New Roman"/>
          <w:color w:val="auto"/>
          <w:sz w:val="24"/>
          <w:highlight w:val="none"/>
        </w:rPr>
        <w:t>月</w:t>
      </w:r>
      <w:r>
        <w:rPr>
          <w:rStyle w:val="62"/>
          <w:rFonts w:hint="eastAsia" w:ascii="仿宋" w:hAnsi="仿宋" w:eastAsia="仿宋" w:cs="Times New Roman"/>
          <w:color w:val="auto"/>
          <w:sz w:val="24"/>
          <w:highlight w:val="none"/>
          <w:lang w:val="en-US" w:eastAsia="zh-CN"/>
        </w:rPr>
        <w:t>09</w:t>
      </w:r>
      <w:r>
        <w:rPr>
          <w:rStyle w:val="62"/>
          <w:rFonts w:hint="eastAsia" w:ascii="仿宋" w:hAnsi="仿宋" w:eastAsia="仿宋" w:cs="Times New Roman"/>
          <w:color w:val="auto"/>
          <w:sz w:val="24"/>
          <w:highlight w:val="none"/>
        </w:rPr>
        <w:t>日9点 30 分（北京时间）前递交投标文件。</w:t>
      </w:r>
    </w:p>
    <w:p>
      <w:pPr>
        <w:spacing w:line="360" w:lineRule="auto"/>
        <w:rPr>
          <w:rStyle w:val="62"/>
          <w:rFonts w:ascii="仿宋" w:hAnsi="仿宋" w:eastAsia="仿宋" w:cs="仿宋"/>
          <w:b/>
          <w:bCs/>
          <w:color w:val="auto"/>
          <w:sz w:val="24"/>
          <w:highlight w:val="none"/>
        </w:rPr>
      </w:pPr>
      <w:r>
        <w:rPr>
          <w:rStyle w:val="62"/>
          <w:rFonts w:ascii="仿宋" w:hAnsi="仿宋" w:eastAsia="仿宋" w:cs="仿宋"/>
          <w:b/>
          <w:bCs/>
          <w:color w:val="auto"/>
          <w:sz w:val="24"/>
          <w:highlight w:val="none"/>
        </w:rPr>
        <w:t xml:space="preserve">一、项目基本情况 </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1、采购项目编号</w:t>
      </w:r>
      <w:r>
        <w:rPr>
          <w:rStyle w:val="62"/>
          <w:rFonts w:ascii="仿宋" w:hAnsi="仿宋" w:eastAsia="仿宋"/>
          <w:color w:val="auto"/>
          <w:sz w:val="24"/>
          <w:highlight w:val="none"/>
        </w:rPr>
        <w:t>：</w:t>
      </w:r>
      <w:r>
        <w:rPr>
          <w:rStyle w:val="62"/>
          <w:rFonts w:hint="eastAsia" w:ascii="仿宋" w:hAnsi="仿宋" w:eastAsia="仿宋"/>
          <w:color w:val="auto"/>
          <w:sz w:val="24"/>
          <w:highlight w:val="none"/>
        </w:rPr>
        <w:t xml:space="preserve"> 潢财公开招标-2024-5</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2、采购项目名称</w:t>
      </w:r>
      <w:r>
        <w:rPr>
          <w:rStyle w:val="62"/>
          <w:rFonts w:ascii="仿宋" w:hAnsi="仿宋" w:eastAsia="仿宋"/>
          <w:color w:val="auto"/>
          <w:sz w:val="24"/>
          <w:highlight w:val="none"/>
        </w:rPr>
        <w:t>：</w:t>
      </w:r>
      <w:r>
        <w:rPr>
          <w:rStyle w:val="62"/>
          <w:rFonts w:hint="eastAsia" w:ascii="仿宋" w:hAnsi="仿宋" w:eastAsia="仿宋"/>
          <w:color w:val="auto"/>
          <w:sz w:val="24"/>
          <w:highlight w:val="none"/>
        </w:rPr>
        <w:t>潢川一中理化生实验室建设及运动场升级改造项目</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3、采购方式：</w:t>
      </w:r>
      <w:r>
        <w:rPr>
          <w:rStyle w:val="62"/>
          <w:rFonts w:hint="eastAsia" w:ascii="仿宋" w:hAnsi="仿宋" w:eastAsia="仿宋" w:cs="Times New Roman"/>
          <w:color w:val="auto"/>
          <w:sz w:val="24"/>
          <w:highlight w:val="none"/>
        </w:rPr>
        <w:t>公开招标</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4、预算金额</w:t>
      </w:r>
      <w:r>
        <w:rPr>
          <w:rStyle w:val="62"/>
          <w:rFonts w:ascii="仿宋" w:hAnsi="仿宋" w:eastAsia="仿宋"/>
          <w:color w:val="auto"/>
          <w:sz w:val="24"/>
          <w:highlight w:val="none"/>
        </w:rPr>
        <w:t>：</w:t>
      </w:r>
      <w:r>
        <w:rPr>
          <w:rStyle w:val="62"/>
          <w:rFonts w:hint="eastAsia" w:ascii="仿宋" w:hAnsi="仿宋" w:eastAsia="仿宋"/>
          <w:color w:val="auto"/>
          <w:sz w:val="24"/>
          <w:highlight w:val="none"/>
        </w:rPr>
        <w:t>5565656.09元</w:t>
      </w:r>
    </w:p>
    <w:p>
      <w:pPr>
        <w:spacing w:line="360" w:lineRule="auto"/>
        <w:ind w:firstLine="482" w:firstLineChars="200"/>
        <w:rPr>
          <w:rStyle w:val="62"/>
          <w:rFonts w:ascii="仿宋" w:hAnsi="仿宋" w:eastAsia="仿宋"/>
          <w:color w:val="auto"/>
          <w:sz w:val="24"/>
          <w:highlight w:val="none"/>
        </w:rPr>
      </w:pPr>
      <w:r>
        <w:rPr>
          <w:rStyle w:val="62"/>
          <w:rFonts w:ascii="仿宋" w:hAnsi="仿宋" w:eastAsia="仿宋" w:cs="仿宋"/>
          <w:b/>
          <w:bCs/>
          <w:color w:val="auto"/>
          <w:sz w:val="24"/>
          <w:highlight w:val="none"/>
        </w:rPr>
        <w:t>最高限价：</w:t>
      </w:r>
      <w:r>
        <w:rPr>
          <w:rStyle w:val="62"/>
          <w:rFonts w:hint="eastAsia" w:ascii="仿宋" w:hAnsi="仿宋" w:eastAsia="仿宋"/>
          <w:color w:val="auto"/>
          <w:sz w:val="24"/>
          <w:highlight w:val="none"/>
        </w:rPr>
        <w:t>5565656.09元</w:t>
      </w:r>
    </w:p>
    <w:tbl>
      <w:tblPr>
        <w:tblStyle w:val="25"/>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898"/>
        <w:gridCol w:w="3920"/>
        <w:gridCol w:w="1521"/>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6"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序号</w:t>
            </w:r>
          </w:p>
        </w:tc>
        <w:tc>
          <w:tcPr>
            <w:tcW w:w="1898"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包号</w:t>
            </w:r>
          </w:p>
        </w:tc>
        <w:tc>
          <w:tcPr>
            <w:tcW w:w="3920"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包名称</w:t>
            </w:r>
          </w:p>
        </w:tc>
        <w:tc>
          <w:tcPr>
            <w:tcW w:w="1521"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包预算（元）</w:t>
            </w:r>
          </w:p>
        </w:tc>
        <w:tc>
          <w:tcPr>
            <w:tcW w:w="1552"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26"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1</w:t>
            </w:r>
          </w:p>
        </w:tc>
        <w:tc>
          <w:tcPr>
            <w:tcW w:w="1898"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1</w:t>
            </w:r>
          </w:p>
        </w:tc>
        <w:tc>
          <w:tcPr>
            <w:tcW w:w="3920"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潢川一中理化生实验室建设及运动场升级改造项目</w:t>
            </w:r>
          </w:p>
        </w:tc>
        <w:tc>
          <w:tcPr>
            <w:tcW w:w="1521"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5565656.09</w:t>
            </w:r>
          </w:p>
        </w:tc>
        <w:tc>
          <w:tcPr>
            <w:tcW w:w="1552" w:type="dxa"/>
            <w:vAlign w:val="center"/>
          </w:tcPr>
          <w:p>
            <w:pPr>
              <w:widowControl w:val="0"/>
              <w:spacing w:line="360" w:lineRule="auto"/>
              <w:jc w:val="center"/>
              <w:rPr>
                <w:rStyle w:val="62"/>
                <w:rFonts w:ascii="仿宋" w:hAnsi="仿宋" w:eastAsia="仿宋" w:cs="Times New Roman"/>
                <w:color w:val="auto"/>
                <w:sz w:val="24"/>
                <w:highlight w:val="none"/>
              </w:rPr>
            </w:pPr>
            <w:r>
              <w:rPr>
                <w:rStyle w:val="62"/>
                <w:rFonts w:hint="eastAsia" w:ascii="仿宋" w:hAnsi="仿宋" w:eastAsia="仿宋" w:cs="Times New Roman"/>
                <w:color w:val="auto"/>
                <w:sz w:val="24"/>
                <w:highlight w:val="none"/>
              </w:rPr>
              <w:t>5565656.09</w:t>
            </w:r>
          </w:p>
        </w:tc>
      </w:tr>
    </w:tbl>
    <w:p>
      <w:pPr>
        <w:pStyle w:val="2"/>
        <w:rPr>
          <w:color w:val="auto"/>
          <w:highlight w:val="none"/>
        </w:rPr>
      </w:pP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5、采购需求</w:t>
      </w:r>
      <w:r>
        <w:rPr>
          <w:rStyle w:val="62"/>
          <w:rFonts w:ascii="仿宋" w:hAnsi="仿宋" w:eastAsia="仿宋"/>
          <w:color w:val="auto"/>
          <w:sz w:val="24"/>
          <w:highlight w:val="none"/>
        </w:rPr>
        <w:t xml:space="preserve">（包括但不限于标的的名称、数量、简要技术需求或服务要求等） </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5.1采购内容：</w:t>
      </w:r>
      <w:r>
        <w:rPr>
          <w:rStyle w:val="62"/>
          <w:rFonts w:hint="eastAsia" w:ascii="仿宋" w:hAnsi="仿宋" w:eastAsia="仿宋"/>
          <w:color w:val="auto"/>
          <w:sz w:val="24"/>
          <w:highlight w:val="none"/>
        </w:rPr>
        <w:t>河南省潢川县第一中学潢川一中理化生实验室建设及运动场升级改造项目进行采购</w:t>
      </w:r>
      <w:r>
        <w:rPr>
          <w:rStyle w:val="62"/>
          <w:rFonts w:ascii="仿宋" w:hAnsi="仿宋" w:eastAsia="仿宋"/>
          <w:color w:val="auto"/>
          <w:sz w:val="24"/>
          <w:highlight w:val="none"/>
        </w:rPr>
        <w:t>，详见</w:t>
      </w:r>
      <w:r>
        <w:rPr>
          <w:rStyle w:val="62"/>
          <w:rFonts w:hint="eastAsia" w:ascii="仿宋" w:hAnsi="仿宋" w:eastAsia="仿宋"/>
          <w:color w:val="auto"/>
          <w:sz w:val="24"/>
          <w:highlight w:val="none"/>
        </w:rPr>
        <w:t>招标</w:t>
      </w:r>
      <w:r>
        <w:rPr>
          <w:rStyle w:val="62"/>
          <w:rFonts w:ascii="仿宋" w:hAnsi="仿宋" w:eastAsia="仿宋"/>
          <w:color w:val="auto"/>
          <w:sz w:val="24"/>
          <w:highlight w:val="none"/>
        </w:rPr>
        <w:t>文件。</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5.2质量要求：符合国家相关标准。</w:t>
      </w:r>
    </w:p>
    <w:p>
      <w:pPr>
        <w:pStyle w:val="3"/>
        <w:ind w:firstLine="480" w:firstLineChars="200"/>
        <w:rPr>
          <w:color w:val="auto"/>
          <w:highlight w:val="none"/>
        </w:rPr>
      </w:pPr>
      <w:r>
        <w:rPr>
          <w:rStyle w:val="62"/>
          <w:rFonts w:hint="eastAsia" w:ascii="仿宋" w:hAnsi="仿宋" w:eastAsia="仿宋"/>
          <w:color w:val="auto"/>
          <w:sz w:val="24"/>
          <w:highlight w:val="none"/>
        </w:rPr>
        <w:t>5.3质保期：1年</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6、合同履行期限</w:t>
      </w:r>
      <w:r>
        <w:rPr>
          <w:rStyle w:val="62"/>
          <w:rFonts w:ascii="仿宋" w:hAnsi="仿宋" w:eastAsia="仿宋"/>
          <w:color w:val="auto"/>
          <w:sz w:val="24"/>
          <w:highlight w:val="none"/>
        </w:rPr>
        <w:t>：</w:t>
      </w:r>
      <w:r>
        <w:rPr>
          <w:rStyle w:val="62"/>
          <w:rFonts w:hint="eastAsia" w:ascii="仿宋" w:hAnsi="仿宋" w:eastAsia="仿宋" w:cs="Times New Roman"/>
          <w:color w:val="auto"/>
          <w:sz w:val="24"/>
          <w:highlight w:val="none"/>
        </w:rPr>
        <w:t xml:space="preserve">  60日历天</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7、本项目是否接受联合体投标</w:t>
      </w:r>
      <w:r>
        <w:rPr>
          <w:rStyle w:val="62"/>
          <w:rFonts w:ascii="仿宋" w:hAnsi="仿宋" w:eastAsia="仿宋"/>
          <w:color w:val="auto"/>
          <w:sz w:val="24"/>
          <w:highlight w:val="none"/>
        </w:rPr>
        <w:t xml:space="preserve">：否  </w:t>
      </w:r>
      <w:r>
        <w:rPr>
          <w:rStyle w:val="62"/>
          <w:rFonts w:ascii="仿宋" w:hAnsi="仿宋" w:eastAsia="仿宋"/>
          <w:color w:val="auto"/>
          <w:sz w:val="24"/>
          <w:highlight w:val="none"/>
        </w:rPr>
        <w:tab/>
      </w:r>
    </w:p>
    <w:p>
      <w:pPr>
        <w:spacing w:line="360" w:lineRule="auto"/>
        <w:rPr>
          <w:rStyle w:val="62"/>
          <w:rFonts w:ascii="仿宋" w:hAnsi="仿宋" w:eastAsia="仿宋" w:cs="仿宋"/>
          <w:b/>
          <w:bCs/>
          <w:color w:val="auto"/>
          <w:sz w:val="24"/>
          <w:highlight w:val="none"/>
        </w:rPr>
      </w:pPr>
      <w:r>
        <w:rPr>
          <w:rStyle w:val="62"/>
          <w:rFonts w:ascii="仿宋" w:hAnsi="仿宋" w:eastAsia="仿宋" w:cs="仿宋"/>
          <w:b/>
          <w:bCs/>
          <w:color w:val="auto"/>
          <w:sz w:val="24"/>
          <w:highlight w:val="none"/>
        </w:rPr>
        <w:t xml:space="preserve">二、申请人资格要求： </w:t>
      </w:r>
    </w:p>
    <w:p>
      <w:pPr>
        <w:spacing w:line="360" w:lineRule="auto"/>
        <w:ind w:firstLine="240" w:firstLineChars="100"/>
        <w:rPr>
          <w:rStyle w:val="62"/>
          <w:rFonts w:ascii="仿宋" w:hAnsi="仿宋" w:eastAsia="仿宋"/>
          <w:color w:val="auto"/>
          <w:sz w:val="24"/>
          <w:highlight w:val="none"/>
        </w:rPr>
      </w:pPr>
      <w:r>
        <w:rPr>
          <w:rStyle w:val="62"/>
          <w:rFonts w:ascii="仿宋" w:hAnsi="仿宋" w:eastAsia="仿宋"/>
          <w:color w:val="auto"/>
          <w:sz w:val="24"/>
          <w:highlight w:val="none"/>
        </w:rPr>
        <w:t>1、满足《中华人民共和国政府采购法》第二十二条规定</w:t>
      </w:r>
    </w:p>
    <w:p>
      <w:pPr>
        <w:spacing w:line="360" w:lineRule="auto"/>
        <w:ind w:firstLine="240" w:firstLineChars="100"/>
        <w:rPr>
          <w:rStyle w:val="62"/>
          <w:rFonts w:ascii="仿宋" w:hAnsi="仿宋" w:eastAsia="仿宋"/>
          <w:color w:val="auto"/>
          <w:sz w:val="24"/>
          <w:highlight w:val="none"/>
        </w:rPr>
      </w:pPr>
      <w:r>
        <w:rPr>
          <w:rStyle w:val="62"/>
          <w:rFonts w:hint="eastAsia" w:ascii="仿宋" w:hAnsi="仿宋" w:eastAsia="仿宋"/>
          <w:color w:val="auto"/>
          <w:sz w:val="24"/>
          <w:highlight w:val="none"/>
        </w:rPr>
        <w:t>2.落实政府采购政策满足的资格要求：</w:t>
      </w:r>
    </w:p>
    <w:p>
      <w:pPr>
        <w:spacing w:line="360" w:lineRule="auto"/>
        <w:ind w:firstLine="240" w:firstLineChars="100"/>
        <w:rPr>
          <w:rStyle w:val="62"/>
          <w:rFonts w:ascii="仿宋" w:hAnsi="仿宋" w:eastAsia="仿宋"/>
          <w:color w:val="auto"/>
          <w:sz w:val="24"/>
          <w:highlight w:val="none"/>
        </w:rPr>
      </w:pPr>
      <w:r>
        <w:rPr>
          <w:rStyle w:val="62"/>
          <w:rFonts w:hint="eastAsia" w:ascii="仿宋" w:hAnsi="仿宋" w:eastAsia="仿宋"/>
          <w:color w:val="auto"/>
          <w:sz w:val="24"/>
          <w:highlight w:val="none"/>
        </w:rPr>
        <w:t>2.1 本项目非专门面向中小企业采购【该项目符合《政府采购促进中小企业发展管理办法》（财库【2020】46号）第六条第三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pPr>
        <w:spacing w:line="360" w:lineRule="auto"/>
        <w:ind w:firstLine="240" w:firstLineChars="100"/>
        <w:rPr>
          <w:rStyle w:val="62"/>
          <w:rFonts w:ascii="仿宋" w:hAnsi="仿宋" w:eastAsia="仿宋"/>
          <w:color w:val="auto"/>
          <w:sz w:val="24"/>
          <w:highlight w:val="none"/>
        </w:rPr>
      </w:pPr>
      <w:r>
        <w:rPr>
          <w:rStyle w:val="62"/>
          <w:rFonts w:ascii="仿宋" w:hAnsi="仿宋" w:eastAsia="仿宋"/>
          <w:color w:val="auto"/>
          <w:sz w:val="24"/>
          <w:highlight w:val="none"/>
        </w:rPr>
        <w:t>3、本项目的特定资格要求</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（1）</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必须满足《中华人民共和国政府采购法》第二十二条之规定：</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①</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具有有效合格企业营业执照、税务登记证、组织机构代码证或提供（三证合一后）营业执照；</w:t>
      </w:r>
    </w:p>
    <w:p>
      <w:pPr>
        <w:spacing w:line="360" w:lineRule="auto"/>
        <w:ind w:firstLine="480" w:firstLineChars="200"/>
        <w:rPr>
          <w:rStyle w:val="62"/>
          <w:rFonts w:ascii="黑体" w:hAnsi="黑体" w:eastAsia="黑体" w:cs="黑体"/>
          <w:b/>
          <w:bCs/>
          <w:color w:val="auto"/>
          <w:sz w:val="24"/>
          <w:highlight w:val="none"/>
        </w:rPr>
      </w:pPr>
      <w:r>
        <w:rPr>
          <w:rStyle w:val="62"/>
          <w:rFonts w:ascii="仿宋" w:hAnsi="仿宋" w:eastAsia="仿宋"/>
          <w:color w:val="auto"/>
          <w:sz w:val="24"/>
          <w:highlight w:val="none"/>
        </w:rPr>
        <w:t>②</w:t>
      </w:r>
      <w:r>
        <w:rPr>
          <w:rStyle w:val="62"/>
          <w:rFonts w:hint="eastAsia" w:ascii="仿宋" w:hAnsi="仿宋" w:eastAsia="仿宋"/>
          <w:color w:val="auto"/>
          <w:sz w:val="24"/>
          <w:highlight w:val="none"/>
        </w:rPr>
        <w:t>具有履行合同所必须的设备和专业技术</w:t>
      </w:r>
      <w:r>
        <w:rPr>
          <w:rStyle w:val="62"/>
          <w:rFonts w:hint="eastAsia" w:ascii="仿宋" w:hAnsi="仿宋" w:eastAsia="仿宋" w:cs="Times New Roman"/>
          <w:color w:val="auto"/>
          <w:sz w:val="24"/>
          <w:highlight w:val="none"/>
        </w:rPr>
        <w:t>能力（提供书面承诺书）；</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③参加政府采购活动近三年内，在经营活动中没有重大违法记录（</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 xml:space="preserve">自行承诺）； </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④有依法缴纳税收和社会保障资金的良好记录（提供</w:t>
      </w:r>
      <w:r>
        <w:rPr>
          <w:rStyle w:val="62"/>
          <w:rFonts w:hint="eastAsia" w:ascii="仿宋" w:hAnsi="仿宋" w:eastAsia="仿宋"/>
          <w:color w:val="auto"/>
          <w:sz w:val="24"/>
          <w:highlight w:val="none"/>
        </w:rPr>
        <w:t>近半年</w:t>
      </w:r>
      <w:r>
        <w:rPr>
          <w:rStyle w:val="62"/>
          <w:rFonts w:ascii="仿宋" w:hAnsi="仿宋" w:eastAsia="仿宋"/>
          <w:color w:val="auto"/>
          <w:sz w:val="24"/>
          <w:highlight w:val="none"/>
        </w:rPr>
        <w:t>以来任意</w:t>
      </w:r>
      <w:r>
        <w:rPr>
          <w:rStyle w:val="62"/>
          <w:rFonts w:hint="eastAsia" w:ascii="仿宋" w:hAnsi="仿宋" w:eastAsia="仿宋"/>
          <w:color w:val="auto"/>
          <w:sz w:val="24"/>
          <w:highlight w:val="none"/>
        </w:rPr>
        <w:t>一</w:t>
      </w:r>
      <w:r>
        <w:rPr>
          <w:rStyle w:val="62"/>
          <w:rFonts w:ascii="仿宋" w:hAnsi="仿宋" w:eastAsia="仿宋"/>
          <w:color w:val="auto"/>
          <w:sz w:val="24"/>
          <w:highlight w:val="none"/>
        </w:rPr>
        <w:t>个月依法缴纳税收和社会保障资金的记录，依法免税或不需要缴纳社会保障资金的</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，应提供相应证明文件）；</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⑤具有良好的商业信誉和健全的财务会计制度（</w:t>
      </w:r>
      <w:r>
        <w:rPr>
          <w:rFonts w:hint="eastAsia" w:ascii="仿宋" w:hAnsi="仿宋" w:eastAsia="仿宋" w:cs="仿宋"/>
          <w:color w:val="auto"/>
          <w:sz w:val="24"/>
          <w:highlight w:val="none"/>
        </w:rPr>
        <w:t>提供2022年度审计报告</w:t>
      </w:r>
      <w:r>
        <w:rPr>
          <w:rStyle w:val="62"/>
          <w:rFonts w:ascii="仿宋" w:hAnsi="仿宋" w:eastAsia="仿宋"/>
          <w:color w:val="auto"/>
          <w:sz w:val="24"/>
          <w:highlight w:val="none"/>
        </w:rPr>
        <w:t>）；</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w:t>
      </w:r>
      <w:r>
        <w:rPr>
          <w:rStyle w:val="62"/>
          <w:rFonts w:hint="eastAsia" w:ascii="仿宋" w:hAnsi="仿宋" w:eastAsia="仿宋"/>
          <w:color w:val="auto"/>
          <w:sz w:val="24"/>
          <w:highlight w:val="none"/>
        </w:rPr>
        <w:t>2</w:t>
      </w:r>
      <w:r>
        <w:rPr>
          <w:rStyle w:val="62"/>
          <w:rFonts w:ascii="仿宋" w:hAnsi="仿宋" w:eastAsia="仿宋"/>
          <w:color w:val="auto"/>
          <w:sz w:val="24"/>
          <w:highlight w:val="none"/>
        </w:rPr>
        <w:t>）依据《财政部关于在政府采购活动中查询及使用信用记录有关问题的通知》（财库〔2016〕125号），</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被“信用中国”网站（www.creditchina.gov.cn）列入失信被执行人、政府采购不良行为记录、重大税收违法案件当事人，被“中国政府采购”网站（www.ccgp.gov.cn）列入政府采购严重违法失信行为记录名单的将被拒绝参与本项目政府采购活动；</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w:t>
      </w:r>
      <w:r>
        <w:rPr>
          <w:rStyle w:val="62"/>
          <w:rFonts w:hint="eastAsia" w:ascii="仿宋" w:hAnsi="仿宋" w:eastAsia="仿宋"/>
          <w:color w:val="auto"/>
          <w:sz w:val="24"/>
          <w:highlight w:val="none"/>
        </w:rPr>
        <w:t>3</w:t>
      </w:r>
      <w:r>
        <w:rPr>
          <w:rStyle w:val="62"/>
          <w:rFonts w:ascii="仿宋" w:hAnsi="仿宋" w:eastAsia="仿宋"/>
          <w:color w:val="auto"/>
          <w:sz w:val="24"/>
          <w:highlight w:val="none"/>
        </w:rPr>
        <w:t>）本项目不接受联合体投标</w:t>
      </w:r>
      <w:r>
        <w:rPr>
          <w:rStyle w:val="62"/>
          <w:rFonts w:hint="eastAsia" w:ascii="仿宋" w:hAnsi="仿宋" w:eastAsia="仿宋"/>
          <w:color w:val="auto"/>
          <w:sz w:val="24"/>
          <w:highlight w:val="none"/>
        </w:rPr>
        <w:t>；</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三、获取</w:t>
      </w:r>
      <w:r>
        <w:rPr>
          <w:rStyle w:val="62"/>
          <w:rFonts w:hint="eastAsia" w:ascii="仿宋" w:hAnsi="仿宋" w:eastAsia="仿宋" w:cs="仿宋"/>
          <w:b/>
          <w:bCs/>
          <w:color w:val="auto"/>
          <w:sz w:val="24"/>
          <w:highlight w:val="none"/>
        </w:rPr>
        <w:t>招标</w:t>
      </w:r>
      <w:r>
        <w:rPr>
          <w:rStyle w:val="62"/>
          <w:rFonts w:ascii="仿宋" w:hAnsi="仿宋" w:eastAsia="仿宋" w:cs="仿宋"/>
          <w:b/>
          <w:bCs/>
          <w:color w:val="auto"/>
          <w:sz w:val="24"/>
          <w:highlight w:val="none"/>
        </w:rPr>
        <w:t>文件</w:t>
      </w:r>
      <w:r>
        <w:rPr>
          <w:rStyle w:val="62"/>
          <w:rFonts w:ascii="仿宋" w:hAnsi="仿宋" w:eastAsia="仿宋"/>
          <w:color w:val="auto"/>
          <w:sz w:val="24"/>
          <w:highlight w:val="none"/>
        </w:rPr>
        <w:t xml:space="preserve"> </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1、时间：</w:t>
      </w:r>
      <w:r>
        <w:rPr>
          <w:rStyle w:val="62"/>
          <w:rFonts w:hint="eastAsia" w:ascii="仿宋" w:hAnsi="仿宋" w:eastAsia="仿宋" w:cs="Times New Roman"/>
          <w:color w:val="auto"/>
          <w:sz w:val="24"/>
          <w:highlight w:val="none"/>
        </w:rPr>
        <w:t>2024年</w:t>
      </w:r>
      <w:r>
        <w:rPr>
          <w:rStyle w:val="62"/>
          <w:rFonts w:hint="eastAsia" w:ascii="仿宋" w:hAnsi="仿宋" w:eastAsia="仿宋" w:cs="Times New Roman"/>
          <w:color w:val="auto"/>
          <w:sz w:val="24"/>
          <w:highlight w:val="none"/>
          <w:lang w:val="en-US" w:eastAsia="zh-CN"/>
        </w:rPr>
        <w:t>03</w:t>
      </w:r>
      <w:r>
        <w:rPr>
          <w:rStyle w:val="62"/>
          <w:rFonts w:hint="eastAsia" w:ascii="仿宋" w:hAnsi="仿宋" w:eastAsia="仿宋" w:cs="Times New Roman"/>
          <w:color w:val="auto"/>
          <w:sz w:val="24"/>
          <w:highlight w:val="none"/>
        </w:rPr>
        <w:t xml:space="preserve">月 </w:t>
      </w:r>
      <w:r>
        <w:rPr>
          <w:rStyle w:val="62"/>
          <w:rFonts w:hint="eastAsia" w:ascii="仿宋" w:hAnsi="仿宋" w:eastAsia="仿宋" w:cs="Times New Roman"/>
          <w:color w:val="auto"/>
          <w:sz w:val="24"/>
          <w:highlight w:val="none"/>
          <w:lang w:val="en-US" w:eastAsia="zh-CN"/>
        </w:rPr>
        <w:t>19</w:t>
      </w:r>
      <w:bookmarkStart w:id="463" w:name="_GoBack"/>
      <w:bookmarkEnd w:id="463"/>
      <w:r>
        <w:rPr>
          <w:rStyle w:val="62"/>
          <w:rFonts w:hint="eastAsia" w:ascii="仿宋" w:hAnsi="仿宋" w:eastAsia="仿宋" w:cs="Times New Roman"/>
          <w:color w:val="auto"/>
          <w:sz w:val="24"/>
          <w:highlight w:val="none"/>
        </w:rPr>
        <w:t xml:space="preserve"> 日至2024年 </w:t>
      </w:r>
      <w:r>
        <w:rPr>
          <w:rStyle w:val="62"/>
          <w:rFonts w:hint="eastAsia" w:ascii="仿宋" w:hAnsi="仿宋" w:eastAsia="仿宋" w:cs="Times New Roman"/>
          <w:color w:val="auto"/>
          <w:sz w:val="24"/>
          <w:highlight w:val="none"/>
          <w:lang w:val="en-US" w:eastAsia="zh-CN"/>
        </w:rPr>
        <w:t>03</w:t>
      </w:r>
      <w:r>
        <w:rPr>
          <w:rStyle w:val="62"/>
          <w:rFonts w:hint="eastAsia" w:ascii="仿宋" w:hAnsi="仿宋" w:eastAsia="仿宋" w:cs="Times New Roman"/>
          <w:color w:val="auto"/>
          <w:sz w:val="24"/>
          <w:highlight w:val="none"/>
        </w:rPr>
        <w:t xml:space="preserve"> 月 </w:t>
      </w:r>
      <w:r>
        <w:rPr>
          <w:rStyle w:val="62"/>
          <w:rFonts w:hint="eastAsia" w:ascii="仿宋" w:hAnsi="仿宋" w:eastAsia="仿宋" w:cs="Times New Roman"/>
          <w:color w:val="auto"/>
          <w:sz w:val="24"/>
          <w:highlight w:val="none"/>
          <w:lang w:val="en-US" w:eastAsia="zh-CN"/>
        </w:rPr>
        <w:t>26</w:t>
      </w:r>
      <w:r>
        <w:rPr>
          <w:rStyle w:val="62"/>
          <w:rFonts w:hint="eastAsia" w:ascii="仿宋" w:hAnsi="仿宋" w:eastAsia="仿宋" w:cs="Times New Roman"/>
          <w:color w:val="auto"/>
          <w:sz w:val="24"/>
          <w:highlight w:val="none"/>
        </w:rPr>
        <w:t xml:space="preserve"> 日</w:t>
      </w:r>
      <w:r>
        <w:rPr>
          <w:rStyle w:val="62"/>
          <w:rFonts w:hint="eastAsia" w:ascii="仿宋" w:hAnsi="仿宋" w:eastAsia="仿宋"/>
          <w:color w:val="auto"/>
          <w:sz w:val="24"/>
          <w:highlight w:val="none"/>
        </w:rPr>
        <w:t>（北京时间）。</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2、地点：在新郑市公共资源电子交易平台内下载。</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3、方式：</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（1）投标企业须完善更新新郑市公共资源交易中心企业信息并取得数字证书（详见新郑市公共资源交易中心网站-通知公告-《关于数字证书(CA)互认功能上线试运行的通知》）。</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（2）登陆新郑市公共资源电子交易平台下载。</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（3）获取招标文件后，登录新郑市公共资源交易中心网站-下载专区--《投标人操作手册》下载最新版本的投标文件制作工具安装包，并使用安装后的最新版本投标文件制作工具制作电子投标文件。</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（4）售价：0元</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四、</w:t>
      </w:r>
      <w:r>
        <w:rPr>
          <w:rStyle w:val="62"/>
          <w:rFonts w:hint="eastAsia" w:ascii="仿宋" w:hAnsi="仿宋" w:eastAsia="仿宋" w:cs="仿宋"/>
          <w:b/>
          <w:bCs/>
          <w:color w:val="auto"/>
          <w:sz w:val="24"/>
          <w:highlight w:val="none"/>
        </w:rPr>
        <w:t>投标文件</w:t>
      </w:r>
      <w:r>
        <w:rPr>
          <w:rStyle w:val="62"/>
          <w:rFonts w:ascii="仿宋" w:hAnsi="仿宋" w:eastAsia="仿宋" w:cs="仿宋"/>
          <w:b/>
          <w:bCs/>
          <w:color w:val="auto"/>
          <w:sz w:val="24"/>
          <w:highlight w:val="none"/>
        </w:rPr>
        <w:t>提交</w:t>
      </w:r>
      <w:r>
        <w:rPr>
          <w:rStyle w:val="62"/>
          <w:rFonts w:ascii="仿宋" w:hAnsi="仿宋" w:eastAsia="仿宋"/>
          <w:color w:val="auto"/>
          <w:sz w:val="24"/>
          <w:highlight w:val="none"/>
        </w:rPr>
        <w:t xml:space="preserve"> </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1、时间：</w:t>
      </w:r>
      <w:r>
        <w:rPr>
          <w:rStyle w:val="62"/>
          <w:rFonts w:hint="eastAsia" w:ascii="仿宋" w:hAnsi="仿宋" w:eastAsia="仿宋" w:cs="Times New Roman"/>
          <w:color w:val="auto"/>
          <w:sz w:val="24"/>
          <w:highlight w:val="none"/>
        </w:rPr>
        <w:t xml:space="preserve">2024年 </w:t>
      </w:r>
      <w:r>
        <w:rPr>
          <w:rStyle w:val="62"/>
          <w:rFonts w:hint="eastAsia" w:ascii="仿宋" w:hAnsi="仿宋" w:eastAsia="仿宋" w:cs="Times New Roman"/>
          <w:color w:val="auto"/>
          <w:sz w:val="24"/>
          <w:highlight w:val="none"/>
          <w:lang w:val="en-US" w:eastAsia="zh-CN"/>
        </w:rPr>
        <w:t>04</w:t>
      </w:r>
      <w:r>
        <w:rPr>
          <w:rStyle w:val="62"/>
          <w:rFonts w:hint="eastAsia" w:ascii="仿宋" w:hAnsi="仿宋" w:eastAsia="仿宋" w:cs="Times New Roman"/>
          <w:color w:val="auto"/>
          <w:sz w:val="24"/>
          <w:highlight w:val="none"/>
        </w:rPr>
        <w:t xml:space="preserve"> 月 </w:t>
      </w:r>
      <w:r>
        <w:rPr>
          <w:rStyle w:val="62"/>
          <w:rFonts w:hint="eastAsia" w:ascii="仿宋" w:hAnsi="仿宋" w:eastAsia="仿宋" w:cs="Times New Roman"/>
          <w:color w:val="auto"/>
          <w:sz w:val="24"/>
          <w:highlight w:val="none"/>
          <w:lang w:val="en-US" w:eastAsia="zh-CN"/>
        </w:rPr>
        <w:t>09</w:t>
      </w:r>
      <w:r>
        <w:rPr>
          <w:rStyle w:val="62"/>
          <w:rFonts w:hint="eastAsia" w:ascii="仿宋" w:hAnsi="仿宋" w:eastAsia="仿宋" w:cs="Times New Roman"/>
          <w:color w:val="auto"/>
          <w:sz w:val="24"/>
          <w:highlight w:val="none"/>
        </w:rPr>
        <w:t xml:space="preserve">  日9</w:t>
      </w:r>
      <w:r>
        <w:rPr>
          <w:rStyle w:val="62"/>
          <w:rFonts w:hint="eastAsia" w:ascii="仿宋" w:hAnsi="仿宋" w:eastAsia="仿宋"/>
          <w:color w:val="auto"/>
          <w:sz w:val="24"/>
          <w:highlight w:val="none"/>
        </w:rPr>
        <w:t>时30分（北京时间）。</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2、地点：在新郑市公共资源电子交易平台中加密上传电子投标文件。</w:t>
      </w:r>
    </w:p>
    <w:p>
      <w:pPr>
        <w:spacing w:line="360" w:lineRule="auto"/>
        <w:rPr>
          <w:rStyle w:val="62"/>
          <w:rFonts w:ascii="仿宋" w:hAnsi="仿宋" w:eastAsia="仿宋" w:cs="仿宋"/>
          <w:b/>
          <w:bCs/>
          <w:color w:val="auto"/>
          <w:sz w:val="24"/>
          <w:highlight w:val="none"/>
        </w:rPr>
      </w:pPr>
      <w:r>
        <w:rPr>
          <w:rStyle w:val="62"/>
          <w:rFonts w:hint="eastAsia" w:ascii="仿宋" w:hAnsi="仿宋" w:eastAsia="仿宋" w:cs="仿宋"/>
          <w:bCs/>
          <w:color w:val="auto"/>
          <w:sz w:val="24"/>
          <w:highlight w:val="none"/>
        </w:rPr>
        <w:t xml:space="preserve"> </w:t>
      </w:r>
      <w:r>
        <w:rPr>
          <w:rStyle w:val="62"/>
          <w:rFonts w:ascii="仿宋" w:hAnsi="仿宋" w:eastAsia="仿宋" w:cs="仿宋"/>
          <w:b/>
          <w:bCs/>
          <w:color w:val="auto"/>
          <w:sz w:val="24"/>
          <w:highlight w:val="none"/>
        </w:rPr>
        <w:t>五、</w:t>
      </w:r>
      <w:r>
        <w:rPr>
          <w:rStyle w:val="62"/>
          <w:rFonts w:hint="eastAsia" w:ascii="仿宋" w:hAnsi="仿宋" w:eastAsia="仿宋" w:cs="仿宋"/>
          <w:b/>
          <w:bCs/>
          <w:color w:val="auto"/>
          <w:sz w:val="24"/>
          <w:highlight w:val="none"/>
        </w:rPr>
        <w:t>投标文件</w:t>
      </w:r>
      <w:r>
        <w:rPr>
          <w:rStyle w:val="62"/>
          <w:rFonts w:ascii="仿宋" w:hAnsi="仿宋" w:eastAsia="仿宋" w:cs="仿宋"/>
          <w:b/>
          <w:bCs/>
          <w:color w:val="auto"/>
          <w:sz w:val="24"/>
          <w:highlight w:val="none"/>
        </w:rPr>
        <w:t xml:space="preserve">开启 </w:t>
      </w:r>
    </w:p>
    <w:p>
      <w:pPr>
        <w:spacing w:line="360" w:lineRule="auto"/>
        <w:ind w:firstLine="480" w:firstLineChars="200"/>
        <w:rPr>
          <w:rStyle w:val="62"/>
          <w:rFonts w:ascii="仿宋" w:hAnsi="仿宋" w:eastAsia="仿宋"/>
          <w:color w:val="auto"/>
          <w:sz w:val="24"/>
          <w:highlight w:val="none"/>
        </w:rPr>
      </w:pPr>
      <w:r>
        <w:rPr>
          <w:rStyle w:val="62"/>
          <w:rFonts w:hint="eastAsia" w:ascii="仿宋" w:hAnsi="仿宋" w:eastAsia="仿宋"/>
          <w:color w:val="auto"/>
          <w:sz w:val="24"/>
          <w:highlight w:val="none"/>
        </w:rPr>
        <w:t>1、时间：</w:t>
      </w:r>
      <w:r>
        <w:rPr>
          <w:rStyle w:val="62"/>
          <w:rFonts w:hint="eastAsia" w:ascii="仿宋" w:hAnsi="仿宋" w:eastAsia="仿宋" w:cs="Times New Roman"/>
          <w:color w:val="auto"/>
          <w:sz w:val="24"/>
          <w:highlight w:val="none"/>
        </w:rPr>
        <w:t xml:space="preserve">2024年 </w:t>
      </w:r>
      <w:r>
        <w:rPr>
          <w:rStyle w:val="62"/>
          <w:rFonts w:hint="eastAsia" w:ascii="仿宋" w:hAnsi="仿宋" w:eastAsia="仿宋" w:cs="Times New Roman"/>
          <w:color w:val="auto"/>
          <w:sz w:val="24"/>
          <w:highlight w:val="none"/>
          <w:lang w:val="en-US" w:eastAsia="zh-CN"/>
        </w:rPr>
        <w:t>04</w:t>
      </w:r>
      <w:r>
        <w:rPr>
          <w:rStyle w:val="62"/>
          <w:rFonts w:hint="eastAsia" w:ascii="仿宋" w:hAnsi="仿宋" w:eastAsia="仿宋" w:cs="Times New Roman"/>
          <w:color w:val="auto"/>
          <w:sz w:val="24"/>
          <w:highlight w:val="none"/>
        </w:rPr>
        <w:t xml:space="preserve"> 月  </w:t>
      </w:r>
      <w:r>
        <w:rPr>
          <w:rStyle w:val="62"/>
          <w:rFonts w:hint="eastAsia" w:ascii="仿宋" w:hAnsi="仿宋" w:eastAsia="仿宋" w:cs="Times New Roman"/>
          <w:color w:val="auto"/>
          <w:sz w:val="24"/>
          <w:highlight w:val="none"/>
          <w:lang w:val="en-US" w:eastAsia="zh-CN"/>
        </w:rPr>
        <w:t>09</w:t>
      </w:r>
      <w:r>
        <w:rPr>
          <w:rStyle w:val="62"/>
          <w:rFonts w:hint="eastAsia" w:ascii="仿宋" w:hAnsi="仿宋" w:eastAsia="仿宋" w:cs="Times New Roman"/>
          <w:color w:val="auto"/>
          <w:sz w:val="24"/>
          <w:highlight w:val="none"/>
        </w:rPr>
        <w:t xml:space="preserve"> 日9</w:t>
      </w:r>
      <w:r>
        <w:rPr>
          <w:rStyle w:val="62"/>
          <w:rFonts w:hint="eastAsia" w:ascii="仿宋" w:hAnsi="仿宋" w:eastAsia="仿宋"/>
          <w:color w:val="auto"/>
          <w:sz w:val="24"/>
          <w:highlight w:val="none"/>
        </w:rPr>
        <w:t>时30分（北京时间）。</w:t>
      </w:r>
    </w:p>
    <w:p>
      <w:pPr>
        <w:widowControl w:val="0"/>
        <w:spacing w:line="420" w:lineRule="exact"/>
        <w:ind w:firstLine="480"/>
        <w:textAlignment w:val="auto"/>
        <w:rPr>
          <w:rStyle w:val="62"/>
          <w:rFonts w:ascii="仿宋" w:hAnsi="仿宋" w:eastAsia="仿宋"/>
          <w:color w:val="auto"/>
          <w:sz w:val="24"/>
          <w:highlight w:val="none"/>
        </w:rPr>
      </w:pPr>
      <w:r>
        <w:rPr>
          <w:rStyle w:val="62"/>
          <w:rFonts w:hint="eastAsia" w:ascii="仿宋" w:hAnsi="仿宋" w:eastAsia="仿宋"/>
          <w:color w:val="auto"/>
          <w:sz w:val="24"/>
          <w:highlight w:val="none"/>
        </w:rPr>
        <w:t>2、地点：新郑市不见面开标大厅。通过PC登录新郑市公共资源交易中心网站，进入不见面开标大厅（详见新郑市公共资源交易中心网站--办事指南--服务指南《新郑市公共资源交易中心不见面开标操作说明》）。</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 xml:space="preserve">六、发布公告的媒介及公告期限 </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本次</w:t>
      </w:r>
      <w:r>
        <w:rPr>
          <w:rStyle w:val="62"/>
          <w:rFonts w:hint="eastAsia" w:ascii="仿宋" w:hAnsi="仿宋" w:eastAsia="仿宋"/>
          <w:color w:val="auto"/>
          <w:sz w:val="24"/>
          <w:highlight w:val="none"/>
        </w:rPr>
        <w:t>招标</w:t>
      </w:r>
      <w:r>
        <w:rPr>
          <w:rStyle w:val="62"/>
          <w:rFonts w:ascii="仿宋" w:hAnsi="仿宋" w:eastAsia="仿宋"/>
          <w:color w:val="auto"/>
          <w:sz w:val="24"/>
          <w:highlight w:val="none"/>
        </w:rPr>
        <w:t>公告在《河南省政府采购网》、</w:t>
      </w:r>
      <w:r>
        <w:rPr>
          <w:rStyle w:val="62"/>
          <w:rFonts w:hint="eastAsia" w:ascii="仿宋" w:hAnsi="仿宋" w:eastAsia="仿宋"/>
          <w:color w:val="auto"/>
          <w:sz w:val="24"/>
          <w:highlight w:val="none"/>
        </w:rPr>
        <w:t>《新郑市公共资源交易中心》</w:t>
      </w:r>
      <w:r>
        <w:rPr>
          <w:rStyle w:val="62"/>
          <w:rFonts w:ascii="仿宋" w:hAnsi="仿宋" w:eastAsia="仿宋"/>
          <w:color w:val="auto"/>
          <w:sz w:val="24"/>
          <w:highlight w:val="none"/>
        </w:rPr>
        <w:t>网上发布。</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公告期限为五个工作日。</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七、其他补充事宜</w:t>
      </w:r>
      <w:r>
        <w:rPr>
          <w:rStyle w:val="62"/>
          <w:rFonts w:ascii="仿宋" w:hAnsi="仿宋" w:eastAsia="仿宋"/>
          <w:color w:val="auto"/>
          <w:sz w:val="24"/>
          <w:highlight w:val="none"/>
        </w:rPr>
        <w:t xml:space="preserve"> </w:t>
      </w:r>
    </w:p>
    <w:p>
      <w:pPr>
        <w:pStyle w:val="21"/>
        <w:shd w:val="clear" w:color="auto" w:fill="FFFFFF"/>
        <w:spacing w:beforeAutospacing="0" w:afterAutospacing="0" w:line="23" w:lineRule="atLeast"/>
        <w:ind w:firstLine="420"/>
        <w:jc w:val="both"/>
        <w:rPr>
          <w:rStyle w:val="62"/>
          <w:rFonts w:ascii="仿宋" w:hAnsi="仿宋" w:eastAsia="仿宋"/>
          <w:color w:val="auto"/>
          <w:kern w:val="2"/>
          <w:highlight w:val="none"/>
        </w:rPr>
      </w:pPr>
      <w:r>
        <w:rPr>
          <w:rStyle w:val="62"/>
          <w:rFonts w:hint="eastAsia" w:ascii="仿宋" w:hAnsi="仿宋" w:eastAsia="仿宋"/>
          <w:color w:val="auto"/>
          <w:kern w:val="2"/>
          <w:highlight w:val="none"/>
        </w:rPr>
        <w:t>1.拟参与本项目的各潜在投标人，在项目投标截止时间前请及时更新市场主体信息库的相关信息（如营业执照、资质证书、财务状况报告等），应确保各类证书在有效期内，否则可能影响正常投标，由此造成的后果自行承担。</w:t>
      </w:r>
    </w:p>
    <w:p>
      <w:pPr>
        <w:pStyle w:val="21"/>
        <w:shd w:val="clear" w:color="auto" w:fill="FFFFFF"/>
        <w:spacing w:beforeAutospacing="0" w:afterAutospacing="0" w:line="23" w:lineRule="atLeast"/>
        <w:ind w:firstLine="420"/>
        <w:jc w:val="both"/>
        <w:rPr>
          <w:rStyle w:val="62"/>
          <w:rFonts w:ascii="仿宋" w:hAnsi="仿宋" w:eastAsia="仿宋"/>
          <w:color w:val="auto"/>
          <w:kern w:val="2"/>
          <w:highlight w:val="none"/>
        </w:rPr>
      </w:pPr>
      <w:r>
        <w:rPr>
          <w:rStyle w:val="62"/>
          <w:rFonts w:hint="eastAsia" w:ascii="仿宋" w:hAnsi="仿宋" w:eastAsia="仿宋"/>
          <w:color w:val="auto"/>
          <w:kern w:val="2"/>
          <w:highlight w:val="none"/>
        </w:rPr>
        <w:t>2.本项目执行促进中小型企业发展政策（监狱企业、残疾人福利性企业视同小微企业）、强制采购节能产品、优先采购节能环保产品等政府采购政策。</w:t>
      </w:r>
    </w:p>
    <w:p>
      <w:pPr>
        <w:spacing w:line="360" w:lineRule="auto"/>
        <w:rPr>
          <w:rStyle w:val="62"/>
          <w:rFonts w:ascii="仿宋" w:hAnsi="仿宋" w:eastAsia="仿宋"/>
          <w:color w:val="auto"/>
          <w:sz w:val="24"/>
          <w:highlight w:val="none"/>
        </w:rPr>
      </w:pPr>
      <w:r>
        <w:rPr>
          <w:rStyle w:val="62"/>
          <w:rFonts w:ascii="仿宋" w:hAnsi="仿宋" w:eastAsia="仿宋" w:cs="仿宋"/>
          <w:b/>
          <w:bCs/>
          <w:color w:val="auto"/>
          <w:sz w:val="24"/>
          <w:highlight w:val="none"/>
        </w:rPr>
        <w:t>八、凡对本次招标提出询问，请按照以下方式联系</w:t>
      </w:r>
      <w:r>
        <w:rPr>
          <w:rStyle w:val="62"/>
          <w:rFonts w:ascii="仿宋" w:hAnsi="仿宋" w:eastAsia="仿宋"/>
          <w:color w:val="auto"/>
          <w:sz w:val="24"/>
          <w:highlight w:val="none"/>
        </w:rPr>
        <w:t xml:space="preserve"> </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hint="eastAsia" w:ascii="仿宋" w:hAnsi="仿宋" w:eastAsia="仿宋" w:cs="仿宋"/>
          <w:bCs/>
          <w:color w:val="auto"/>
          <w:sz w:val="24"/>
          <w:szCs w:val="24"/>
          <w:highlight w:val="none"/>
        </w:rPr>
        <w:t>招 标 人</w:t>
      </w:r>
      <w:r>
        <w:rPr>
          <w:rStyle w:val="62"/>
          <w:rFonts w:ascii="仿宋" w:hAnsi="仿宋" w:eastAsia="仿宋" w:cs="仿宋"/>
          <w:bCs/>
          <w:color w:val="auto"/>
          <w:sz w:val="24"/>
          <w:szCs w:val="24"/>
          <w:highlight w:val="none"/>
        </w:rPr>
        <w:t>：</w:t>
      </w:r>
      <w:r>
        <w:rPr>
          <w:rStyle w:val="62"/>
          <w:rFonts w:hint="eastAsia" w:ascii="仿宋" w:hAnsi="仿宋" w:eastAsia="仿宋" w:cs="仿宋"/>
          <w:bCs/>
          <w:color w:val="auto"/>
          <w:sz w:val="24"/>
          <w:szCs w:val="24"/>
          <w:highlight w:val="none"/>
        </w:rPr>
        <w:t>河南省潢川县第一中学</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ascii="仿宋" w:hAnsi="仿宋" w:eastAsia="仿宋" w:cs="仿宋"/>
          <w:bCs/>
          <w:color w:val="auto"/>
          <w:sz w:val="24"/>
          <w:szCs w:val="24"/>
          <w:highlight w:val="none"/>
        </w:rPr>
        <w:t>地    址：</w:t>
      </w:r>
      <w:r>
        <w:rPr>
          <w:rStyle w:val="62"/>
          <w:rFonts w:hint="eastAsia" w:ascii="仿宋" w:hAnsi="仿宋" w:eastAsia="仿宋" w:cs="仿宋"/>
          <w:bCs/>
          <w:color w:val="auto"/>
          <w:sz w:val="24"/>
          <w:szCs w:val="24"/>
          <w:highlight w:val="none"/>
        </w:rPr>
        <w:t xml:space="preserve"> 河南省信阳市潢川县迎宾路与106国道交汇处东北350米 </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ascii="仿宋" w:hAnsi="仿宋" w:eastAsia="仿宋" w:cs="仿宋"/>
          <w:bCs/>
          <w:color w:val="auto"/>
          <w:sz w:val="24"/>
          <w:szCs w:val="24"/>
          <w:highlight w:val="none"/>
        </w:rPr>
        <w:t>联 系 人：</w:t>
      </w:r>
      <w:r>
        <w:rPr>
          <w:rStyle w:val="62"/>
          <w:rFonts w:hint="eastAsia" w:ascii="仿宋" w:hAnsi="仿宋" w:eastAsia="仿宋" w:cs="仿宋"/>
          <w:bCs/>
          <w:color w:val="auto"/>
          <w:sz w:val="24"/>
          <w:szCs w:val="24"/>
          <w:highlight w:val="none"/>
        </w:rPr>
        <w:t xml:space="preserve"> 曾先生</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ascii="仿宋" w:hAnsi="仿宋" w:eastAsia="仿宋" w:cs="仿宋"/>
          <w:bCs/>
          <w:color w:val="auto"/>
          <w:sz w:val="24"/>
          <w:szCs w:val="24"/>
          <w:highlight w:val="none"/>
        </w:rPr>
        <w:t>联系电话：</w:t>
      </w:r>
      <w:r>
        <w:rPr>
          <w:rStyle w:val="62"/>
          <w:rFonts w:hint="eastAsia" w:ascii="仿宋" w:hAnsi="仿宋" w:eastAsia="仿宋" w:cs="仿宋"/>
          <w:bCs/>
          <w:color w:val="auto"/>
          <w:sz w:val="24"/>
          <w:szCs w:val="24"/>
          <w:highlight w:val="none"/>
        </w:rPr>
        <w:t xml:space="preserve"> 13183368915</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ascii="仿宋" w:hAnsi="仿宋" w:eastAsia="仿宋" w:cs="仿宋"/>
          <w:bCs/>
          <w:color w:val="auto"/>
          <w:sz w:val="24"/>
          <w:szCs w:val="24"/>
          <w:highlight w:val="none"/>
        </w:rPr>
        <w:t>代理机构：</w:t>
      </w:r>
      <w:r>
        <w:rPr>
          <w:rStyle w:val="62"/>
          <w:rFonts w:hint="eastAsia" w:ascii="仿宋" w:hAnsi="仿宋" w:eastAsia="仿宋" w:cs="仿宋"/>
          <w:bCs/>
          <w:color w:val="auto"/>
          <w:sz w:val="24"/>
          <w:szCs w:val="24"/>
          <w:highlight w:val="none"/>
        </w:rPr>
        <w:t>中招（河南）国际工程管理咨询有限公司</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hint="eastAsia" w:ascii="仿宋" w:hAnsi="仿宋" w:eastAsia="仿宋" w:cs="仿宋"/>
          <w:bCs/>
          <w:color w:val="auto"/>
          <w:sz w:val="24"/>
          <w:szCs w:val="24"/>
          <w:highlight w:val="none"/>
        </w:rPr>
        <w:t>地    址：河南省信阳市羊山新区前程大厦3楼</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hint="eastAsia" w:ascii="仿宋" w:hAnsi="仿宋" w:eastAsia="仿宋" w:cs="仿宋"/>
          <w:bCs/>
          <w:color w:val="auto"/>
          <w:sz w:val="24"/>
          <w:szCs w:val="24"/>
          <w:highlight w:val="none"/>
        </w:rPr>
        <w:t>联 系 人：李先生</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hint="eastAsia" w:ascii="仿宋" w:hAnsi="仿宋" w:eastAsia="仿宋" w:cs="仿宋"/>
          <w:bCs/>
          <w:color w:val="auto"/>
          <w:sz w:val="24"/>
          <w:szCs w:val="24"/>
          <w:highlight w:val="none"/>
        </w:rPr>
        <w:t>联系电话：13526040227</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ascii="仿宋" w:hAnsi="仿宋" w:eastAsia="仿宋" w:cs="仿宋"/>
          <w:bCs/>
          <w:color w:val="auto"/>
          <w:sz w:val="24"/>
          <w:szCs w:val="24"/>
          <w:highlight w:val="none"/>
        </w:rPr>
        <w:t>监督部门信息：</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ascii="仿宋" w:hAnsi="仿宋" w:eastAsia="仿宋" w:cs="仿宋"/>
          <w:bCs/>
          <w:color w:val="auto"/>
          <w:sz w:val="24"/>
          <w:szCs w:val="24"/>
          <w:highlight w:val="none"/>
        </w:rPr>
        <w:t xml:space="preserve">监督单位名称：潢川县政府采购管理办公室 </w:t>
      </w:r>
    </w:p>
    <w:p>
      <w:pPr>
        <w:pStyle w:val="122"/>
        <w:spacing w:line="360" w:lineRule="auto"/>
        <w:ind w:firstLine="480" w:firstLineChars="200"/>
        <w:rPr>
          <w:rStyle w:val="62"/>
          <w:rFonts w:ascii="仿宋" w:hAnsi="仿宋" w:eastAsia="仿宋" w:cs="仿宋"/>
          <w:bCs/>
          <w:color w:val="auto"/>
          <w:sz w:val="24"/>
          <w:szCs w:val="24"/>
          <w:highlight w:val="none"/>
        </w:rPr>
      </w:pPr>
      <w:r>
        <w:rPr>
          <w:rStyle w:val="62"/>
          <w:rFonts w:ascii="仿宋" w:hAnsi="仿宋" w:eastAsia="仿宋" w:cs="仿宋"/>
          <w:bCs/>
          <w:color w:val="auto"/>
          <w:sz w:val="24"/>
          <w:szCs w:val="24"/>
          <w:highlight w:val="none"/>
        </w:rPr>
        <w:t>联  系 方 式：0376-5528602</w:t>
      </w:r>
    </w:p>
    <w:p>
      <w:pPr>
        <w:pStyle w:val="52"/>
        <w:tabs>
          <w:tab w:val="center" w:pos="4738"/>
          <w:tab w:val="left" w:pos="7573"/>
        </w:tabs>
        <w:spacing w:line="240" w:lineRule="exact"/>
        <w:jc w:val="left"/>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br w:type="page"/>
      </w:r>
    </w:p>
    <w:p>
      <w:pPr>
        <w:pStyle w:val="52"/>
        <w:tabs>
          <w:tab w:val="center" w:pos="4738"/>
          <w:tab w:val="left" w:pos="7573"/>
        </w:tabs>
        <w:spacing w:line="400" w:lineRule="exact"/>
        <w:jc w:val="left"/>
        <w:rPr>
          <w:rStyle w:val="62"/>
          <w:rFonts w:ascii="仿宋" w:hAnsi="仿宋" w:eastAsia="仿宋"/>
          <w:color w:val="auto"/>
          <w:highlight w:val="none"/>
        </w:rPr>
      </w:pPr>
      <w:r>
        <w:rPr>
          <w:rStyle w:val="62"/>
          <w:rFonts w:ascii="仿宋" w:hAnsi="仿宋" w:eastAsia="仿宋"/>
          <w:color w:val="auto"/>
          <w:sz w:val="21"/>
          <w:szCs w:val="21"/>
          <w:highlight w:val="none"/>
        </w:rPr>
        <w:tab/>
      </w:r>
      <w:r>
        <w:rPr>
          <w:rStyle w:val="62"/>
          <w:rFonts w:ascii="仿宋" w:hAnsi="仿宋" w:eastAsia="仿宋"/>
          <w:color w:val="auto"/>
          <w:kern w:val="0"/>
          <w:sz w:val="28"/>
          <w:highlight w:val="none"/>
        </w:rPr>
        <w:t xml:space="preserve">第二章  </w:t>
      </w:r>
      <w:r>
        <w:rPr>
          <w:rStyle w:val="62"/>
          <w:rFonts w:hint="eastAsia" w:ascii="仿宋" w:hAnsi="仿宋" w:eastAsia="仿宋"/>
          <w:color w:val="auto"/>
          <w:kern w:val="0"/>
          <w:sz w:val="28"/>
          <w:highlight w:val="none"/>
        </w:rPr>
        <w:t>投标人</w:t>
      </w:r>
      <w:r>
        <w:rPr>
          <w:rStyle w:val="62"/>
          <w:rFonts w:ascii="仿宋" w:hAnsi="仿宋" w:eastAsia="仿宋"/>
          <w:color w:val="auto"/>
          <w:kern w:val="0"/>
          <w:sz w:val="28"/>
          <w:highlight w:val="none"/>
        </w:rPr>
        <w:t>须知</w:t>
      </w:r>
      <w:r>
        <w:rPr>
          <w:rStyle w:val="62"/>
          <w:rFonts w:ascii="仿宋" w:hAnsi="仿宋" w:eastAsia="仿宋"/>
          <w:color w:val="auto"/>
          <w:highlight w:val="none"/>
        </w:rPr>
        <w:tab/>
      </w:r>
    </w:p>
    <w:p>
      <w:pPr>
        <w:pStyle w:val="53"/>
        <w:tabs>
          <w:tab w:val="center" w:pos="4737"/>
          <w:tab w:val="left" w:pos="7588"/>
        </w:tabs>
        <w:jc w:val="left"/>
        <w:rPr>
          <w:rStyle w:val="62"/>
          <w:rFonts w:ascii="仿宋" w:hAnsi="仿宋" w:eastAsia="仿宋"/>
          <w:color w:val="auto"/>
          <w:highlight w:val="none"/>
        </w:rPr>
      </w:pPr>
      <w:r>
        <w:rPr>
          <w:rStyle w:val="62"/>
          <w:rFonts w:ascii="仿宋" w:hAnsi="仿宋" w:eastAsia="仿宋"/>
          <w:color w:val="auto"/>
          <w:highlight w:val="none"/>
        </w:rPr>
        <w:tab/>
      </w:r>
      <w:r>
        <w:rPr>
          <w:rStyle w:val="62"/>
          <w:rFonts w:hint="eastAsia" w:ascii="仿宋" w:hAnsi="仿宋" w:eastAsia="仿宋"/>
          <w:color w:val="auto"/>
          <w:highlight w:val="none"/>
        </w:rPr>
        <w:t>投标人</w:t>
      </w:r>
      <w:r>
        <w:rPr>
          <w:rStyle w:val="62"/>
          <w:rFonts w:ascii="仿宋" w:hAnsi="仿宋" w:eastAsia="仿宋"/>
          <w:color w:val="auto"/>
          <w:highlight w:val="none"/>
        </w:rPr>
        <w:t>须知前附表</w:t>
      </w:r>
      <w:r>
        <w:rPr>
          <w:rStyle w:val="62"/>
          <w:rFonts w:ascii="仿宋" w:hAnsi="仿宋" w:eastAsia="仿宋"/>
          <w:color w:val="auto"/>
          <w:highlight w:val="none"/>
        </w:rPr>
        <w:tab/>
      </w:r>
    </w:p>
    <w:tbl>
      <w:tblPr>
        <w:tblStyle w:val="24"/>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2498"/>
        <w:gridCol w:w="6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序号</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条 款 名 称</w:t>
            </w:r>
          </w:p>
        </w:tc>
        <w:tc>
          <w:tcPr>
            <w:tcW w:w="6094"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编 列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1</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招标人</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招 标 人：河南省潢川县第一中学</w:t>
            </w:r>
          </w:p>
          <w:p>
            <w:pP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地    址： 河南省信阳市潢川县迎宾路与106国道交汇处东北350米</w:t>
            </w:r>
          </w:p>
          <w:p>
            <w:pP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联 系 人： 曾先生</w:t>
            </w:r>
          </w:p>
          <w:p>
            <w:pP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联系电话： 13183368915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代理机构</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s="仿宋"/>
                <w:bCs/>
                <w:color w:val="auto"/>
                <w:sz w:val="24"/>
                <w:highlight w:val="none"/>
              </w:rPr>
            </w:pPr>
            <w:r>
              <w:rPr>
                <w:rStyle w:val="62"/>
                <w:rFonts w:ascii="仿宋" w:hAnsi="仿宋" w:eastAsia="仿宋" w:cs="仿宋"/>
                <w:bCs/>
                <w:color w:val="auto"/>
                <w:sz w:val="24"/>
                <w:highlight w:val="none"/>
              </w:rPr>
              <w:t>代理机构：</w:t>
            </w:r>
            <w:r>
              <w:rPr>
                <w:rStyle w:val="62"/>
                <w:rFonts w:hint="eastAsia" w:ascii="仿宋" w:hAnsi="仿宋" w:eastAsia="仿宋" w:cs="仿宋"/>
                <w:bCs/>
                <w:color w:val="auto"/>
                <w:sz w:val="24"/>
                <w:highlight w:val="none"/>
              </w:rPr>
              <w:t>中招（河南）国际工程管理咨询有限公司</w:t>
            </w:r>
          </w:p>
          <w:p>
            <w:pPr>
              <w:rPr>
                <w:rStyle w:val="62"/>
                <w:rFonts w:ascii="仿宋" w:hAnsi="仿宋" w:eastAsia="仿宋" w:cs="仿宋"/>
                <w:bCs/>
                <w:color w:val="auto"/>
                <w:sz w:val="24"/>
                <w:highlight w:val="none"/>
              </w:rPr>
            </w:pPr>
            <w:r>
              <w:rPr>
                <w:rStyle w:val="62"/>
                <w:rFonts w:hint="eastAsia" w:ascii="仿宋" w:hAnsi="仿宋" w:eastAsia="仿宋" w:cs="仿宋"/>
                <w:bCs/>
                <w:color w:val="auto"/>
                <w:sz w:val="24"/>
                <w:highlight w:val="none"/>
              </w:rPr>
              <w:t>地    址：河南省信阳市羊山新区前程大厦3楼</w:t>
            </w:r>
          </w:p>
          <w:p>
            <w:pPr>
              <w:rPr>
                <w:rStyle w:val="62"/>
                <w:rFonts w:ascii="仿宋" w:hAnsi="仿宋" w:eastAsia="仿宋" w:cs="仿宋"/>
                <w:bCs/>
                <w:color w:val="auto"/>
                <w:sz w:val="24"/>
                <w:highlight w:val="none"/>
              </w:rPr>
            </w:pPr>
            <w:r>
              <w:rPr>
                <w:rStyle w:val="62"/>
                <w:rFonts w:hint="eastAsia" w:ascii="仿宋" w:hAnsi="仿宋" w:eastAsia="仿宋" w:cs="仿宋"/>
                <w:bCs/>
                <w:color w:val="auto"/>
                <w:sz w:val="24"/>
                <w:highlight w:val="none"/>
              </w:rPr>
              <w:t>联 系 人：李先生</w:t>
            </w:r>
          </w:p>
          <w:p>
            <w:pPr>
              <w:rPr>
                <w:rStyle w:val="62"/>
                <w:rFonts w:ascii="仿宋" w:hAnsi="仿宋" w:eastAsia="仿宋"/>
                <w:color w:val="auto"/>
                <w:kern w:val="0"/>
                <w:sz w:val="24"/>
                <w:highlight w:val="none"/>
              </w:rPr>
            </w:pPr>
            <w:r>
              <w:rPr>
                <w:rStyle w:val="62"/>
                <w:rFonts w:hint="eastAsia" w:ascii="仿宋" w:hAnsi="仿宋" w:eastAsia="仿宋" w:cs="仿宋"/>
                <w:bCs/>
                <w:color w:val="auto"/>
                <w:sz w:val="24"/>
                <w:highlight w:val="none"/>
              </w:rPr>
              <w:t>联系电话：13526040227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3</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采购方式</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4</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项目名称</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潢川一中理化生实验室建设及运动场升级改造项目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5</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资金来源</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6</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资金落实情况</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7</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招标</w:t>
            </w:r>
            <w:r>
              <w:rPr>
                <w:rStyle w:val="62"/>
                <w:rFonts w:ascii="仿宋" w:hAnsi="仿宋" w:eastAsia="仿宋"/>
                <w:color w:val="auto"/>
                <w:kern w:val="0"/>
                <w:sz w:val="24"/>
                <w:highlight w:val="none"/>
              </w:rPr>
              <w:t>范围</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本项目采购清单全部内容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8</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质量要求</w:t>
            </w:r>
          </w:p>
        </w:tc>
        <w:tc>
          <w:tcPr>
            <w:tcW w:w="6094" w:type="dxa"/>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highlight w:val="none"/>
              </w:rPr>
            </w:pPr>
            <w:r>
              <w:rPr>
                <w:rStyle w:val="62"/>
                <w:rFonts w:ascii="仿宋" w:hAnsi="仿宋" w:eastAsia="仿宋"/>
                <w:color w:val="auto"/>
                <w:highlight w:val="none"/>
              </w:rPr>
              <w:t>符合国家相关标准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9</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合同履行期限</w:t>
            </w:r>
          </w:p>
        </w:tc>
        <w:tc>
          <w:tcPr>
            <w:tcW w:w="6094" w:type="dxa"/>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highlight w:val="none"/>
              </w:rPr>
            </w:pPr>
            <w:r>
              <w:rPr>
                <w:rStyle w:val="62"/>
                <w:rFonts w:hint="eastAsia" w:ascii="仿宋" w:hAnsi="仿宋" w:eastAsia="仿宋" w:cs="Times New Roman"/>
                <w:color w:val="auto"/>
                <w:kern w:val="0"/>
                <w:sz w:val="24"/>
                <w:szCs w:val="24"/>
                <w:highlight w:val="none"/>
                <w:lang w:val="en-US" w:eastAsia="zh-CN" w:bidi="ar-SA"/>
              </w:rPr>
              <w:t xml:space="preserve">    60日历天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10</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投标人</w:t>
            </w:r>
            <w:r>
              <w:rPr>
                <w:rStyle w:val="62"/>
                <w:rFonts w:ascii="仿宋" w:hAnsi="仿宋" w:eastAsia="仿宋"/>
                <w:color w:val="auto"/>
                <w:kern w:val="0"/>
                <w:sz w:val="24"/>
                <w:highlight w:val="none"/>
              </w:rPr>
              <w:t>资质条件</w:t>
            </w:r>
          </w:p>
        </w:tc>
        <w:tc>
          <w:tcPr>
            <w:tcW w:w="6094"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240" w:firstLineChars="100"/>
              <w:rPr>
                <w:rStyle w:val="62"/>
                <w:rFonts w:ascii="仿宋" w:hAnsi="仿宋" w:eastAsia="仿宋"/>
                <w:color w:val="auto"/>
                <w:sz w:val="24"/>
                <w:highlight w:val="none"/>
              </w:rPr>
            </w:pPr>
            <w:r>
              <w:rPr>
                <w:rStyle w:val="62"/>
                <w:rFonts w:ascii="仿宋" w:hAnsi="仿宋" w:eastAsia="仿宋"/>
                <w:color w:val="auto"/>
                <w:sz w:val="24"/>
                <w:highlight w:val="none"/>
              </w:rPr>
              <w:t>1、满足《中华人民共和国政府采购法》第二十二条规定</w:t>
            </w:r>
          </w:p>
          <w:p>
            <w:pPr>
              <w:spacing w:line="360" w:lineRule="auto"/>
              <w:ind w:firstLine="240" w:firstLineChars="100"/>
              <w:rPr>
                <w:rStyle w:val="62"/>
                <w:rFonts w:ascii="仿宋" w:hAnsi="仿宋" w:eastAsia="仿宋"/>
                <w:color w:val="auto"/>
                <w:sz w:val="24"/>
                <w:highlight w:val="none"/>
              </w:rPr>
            </w:pPr>
            <w:r>
              <w:rPr>
                <w:rStyle w:val="62"/>
                <w:rFonts w:hint="eastAsia" w:ascii="仿宋" w:hAnsi="仿宋" w:eastAsia="仿宋"/>
                <w:color w:val="auto"/>
                <w:sz w:val="24"/>
                <w:highlight w:val="none"/>
              </w:rPr>
              <w:t>2.落实政府采购政策满足的资格要求：</w:t>
            </w:r>
          </w:p>
          <w:p>
            <w:pPr>
              <w:spacing w:line="360" w:lineRule="auto"/>
              <w:ind w:firstLine="240" w:firstLineChars="100"/>
              <w:rPr>
                <w:rStyle w:val="62"/>
                <w:rFonts w:ascii="仿宋" w:hAnsi="仿宋" w:eastAsia="仿宋"/>
                <w:color w:val="auto"/>
                <w:sz w:val="24"/>
                <w:highlight w:val="none"/>
              </w:rPr>
            </w:pPr>
            <w:r>
              <w:rPr>
                <w:rStyle w:val="62"/>
                <w:rFonts w:hint="eastAsia" w:ascii="仿宋" w:hAnsi="仿宋" w:eastAsia="仿宋"/>
                <w:color w:val="auto"/>
                <w:sz w:val="24"/>
                <w:highlight w:val="none"/>
              </w:rPr>
              <w:t>2.1 本项目非专门面向中小企业采购【该项目符合《政府采购促进中小企业发展管理办法》（财库【2020】46号）第六条第三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pPr>
              <w:spacing w:line="360" w:lineRule="auto"/>
              <w:ind w:firstLine="240" w:firstLineChars="100"/>
              <w:rPr>
                <w:rStyle w:val="62"/>
                <w:rFonts w:ascii="仿宋" w:hAnsi="仿宋" w:eastAsia="仿宋"/>
                <w:color w:val="auto"/>
                <w:sz w:val="24"/>
                <w:highlight w:val="none"/>
              </w:rPr>
            </w:pPr>
            <w:r>
              <w:rPr>
                <w:rStyle w:val="62"/>
                <w:rFonts w:ascii="仿宋" w:hAnsi="仿宋" w:eastAsia="仿宋"/>
                <w:color w:val="auto"/>
                <w:sz w:val="24"/>
                <w:highlight w:val="none"/>
              </w:rPr>
              <w:t>3、本项目的特定资格要求</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（1）</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必须满足《中华人民共和国政府采购法》第二十二条之规定：</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①</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具有有效合格企业营业执照、税务登记证、组织机构代码证或提供（三证合一后）营业执照；</w:t>
            </w:r>
          </w:p>
          <w:p>
            <w:pPr>
              <w:spacing w:line="360" w:lineRule="auto"/>
              <w:ind w:firstLine="480" w:firstLineChars="200"/>
              <w:rPr>
                <w:rStyle w:val="62"/>
                <w:rFonts w:ascii="黑体" w:hAnsi="黑体" w:eastAsia="黑体" w:cs="黑体"/>
                <w:b/>
                <w:bCs/>
                <w:color w:val="auto"/>
                <w:sz w:val="24"/>
                <w:highlight w:val="none"/>
              </w:rPr>
            </w:pPr>
            <w:r>
              <w:rPr>
                <w:rStyle w:val="62"/>
                <w:rFonts w:ascii="仿宋" w:hAnsi="仿宋" w:eastAsia="仿宋"/>
                <w:color w:val="auto"/>
                <w:sz w:val="24"/>
                <w:highlight w:val="none"/>
              </w:rPr>
              <w:t>②</w:t>
            </w:r>
            <w:r>
              <w:rPr>
                <w:rStyle w:val="62"/>
                <w:rFonts w:hint="eastAsia" w:ascii="仿宋" w:hAnsi="仿宋" w:eastAsia="仿宋"/>
                <w:color w:val="auto"/>
                <w:sz w:val="24"/>
                <w:highlight w:val="none"/>
              </w:rPr>
              <w:t>具有履行合同所必须的设备和专业技术</w:t>
            </w:r>
            <w:r>
              <w:rPr>
                <w:rStyle w:val="62"/>
                <w:rFonts w:hint="eastAsia" w:ascii="仿宋" w:hAnsi="仿宋" w:eastAsia="仿宋" w:cs="Times New Roman"/>
                <w:color w:val="auto"/>
                <w:sz w:val="24"/>
                <w:highlight w:val="none"/>
              </w:rPr>
              <w:t>能力（提供书面承诺书）；</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③参加政府采购活动近三年内，在经营活动中没有重大违法记录（</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 xml:space="preserve">自行承诺）； </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④有依法缴纳税收和社会保障资金的良好记录（提供</w:t>
            </w:r>
            <w:r>
              <w:rPr>
                <w:rStyle w:val="62"/>
                <w:rFonts w:hint="eastAsia" w:ascii="仿宋" w:hAnsi="仿宋" w:eastAsia="仿宋"/>
                <w:color w:val="auto"/>
                <w:sz w:val="24"/>
                <w:highlight w:val="none"/>
              </w:rPr>
              <w:t>近半年</w:t>
            </w:r>
            <w:r>
              <w:rPr>
                <w:rStyle w:val="62"/>
                <w:rFonts w:ascii="仿宋" w:hAnsi="仿宋" w:eastAsia="仿宋"/>
                <w:color w:val="auto"/>
                <w:sz w:val="24"/>
                <w:highlight w:val="none"/>
              </w:rPr>
              <w:t>以来任意</w:t>
            </w:r>
            <w:r>
              <w:rPr>
                <w:rStyle w:val="62"/>
                <w:rFonts w:hint="eastAsia" w:ascii="仿宋" w:hAnsi="仿宋" w:eastAsia="仿宋"/>
                <w:color w:val="auto"/>
                <w:sz w:val="24"/>
                <w:highlight w:val="none"/>
              </w:rPr>
              <w:t>一</w:t>
            </w:r>
            <w:r>
              <w:rPr>
                <w:rStyle w:val="62"/>
                <w:rFonts w:ascii="仿宋" w:hAnsi="仿宋" w:eastAsia="仿宋"/>
                <w:color w:val="auto"/>
                <w:sz w:val="24"/>
                <w:highlight w:val="none"/>
              </w:rPr>
              <w:t>个月依法缴纳税收和社会保障资金的记录，依法免税或不需要缴纳社会保障资金的</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，应提供相应证明文件）；</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⑤具有良好的商业信誉和健全的财务会计制度（</w:t>
            </w:r>
            <w:r>
              <w:rPr>
                <w:rFonts w:hint="eastAsia" w:ascii="仿宋" w:hAnsi="仿宋" w:eastAsia="仿宋" w:cs="仿宋"/>
                <w:color w:val="auto"/>
                <w:sz w:val="24"/>
                <w:highlight w:val="none"/>
              </w:rPr>
              <w:t>提供2022年度审计报告</w:t>
            </w:r>
            <w:r>
              <w:rPr>
                <w:rStyle w:val="62"/>
                <w:rFonts w:ascii="仿宋" w:hAnsi="仿宋" w:eastAsia="仿宋"/>
                <w:color w:val="auto"/>
                <w:sz w:val="24"/>
                <w:highlight w:val="none"/>
              </w:rPr>
              <w:t>）；</w:t>
            </w:r>
          </w:p>
          <w:p>
            <w:pPr>
              <w:spacing w:line="360" w:lineRule="auto"/>
              <w:ind w:firstLine="480" w:firstLineChars="200"/>
              <w:rPr>
                <w:rStyle w:val="62"/>
                <w:rFonts w:ascii="仿宋" w:hAnsi="仿宋" w:eastAsia="仿宋"/>
                <w:color w:val="auto"/>
                <w:sz w:val="24"/>
                <w:highlight w:val="none"/>
              </w:rPr>
            </w:pPr>
            <w:r>
              <w:rPr>
                <w:rStyle w:val="62"/>
                <w:rFonts w:ascii="仿宋" w:hAnsi="仿宋" w:eastAsia="仿宋"/>
                <w:color w:val="auto"/>
                <w:sz w:val="24"/>
                <w:highlight w:val="none"/>
              </w:rPr>
              <w:t>（</w:t>
            </w:r>
            <w:r>
              <w:rPr>
                <w:rStyle w:val="62"/>
                <w:rFonts w:hint="eastAsia" w:ascii="仿宋" w:hAnsi="仿宋" w:eastAsia="仿宋"/>
                <w:color w:val="auto"/>
                <w:sz w:val="24"/>
                <w:highlight w:val="none"/>
              </w:rPr>
              <w:t>2</w:t>
            </w:r>
            <w:r>
              <w:rPr>
                <w:rStyle w:val="62"/>
                <w:rFonts w:ascii="仿宋" w:hAnsi="仿宋" w:eastAsia="仿宋"/>
                <w:color w:val="auto"/>
                <w:sz w:val="24"/>
                <w:highlight w:val="none"/>
              </w:rPr>
              <w:t>）依据《财政部关于在政府采购活动中查询及使用信用记录有关问题的通知》（财库〔2016〕125号），</w:t>
            </w: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被“信用中国”网站（www.creditchina.gov.cn）列入失信被执行人、政府采购不良行为记录、重大税收违法案件当事人，被“中国政府采购”网站（www.ccgp.gov.cn）列入政府采购严重违法失信行为记录名单的将被拒绝参与本项目政府采购活动；</w:t>
            </w:r>
          </w:p>
          <w:p>
            <w:pPr>
              <w:spacing w:line="360" w:lineRule="auto"/>
              <w:ind w:firstLine="480" w:firstLineChars="200"/>
              <w:rPr>
                <w:rStyle w:val="62"/>
                <w:rFonts w:ascii="仿宋" w:hAnsi="仿宋" w:eastAsia="仿宋"/>
                <w:b/>
                <w:color w:val="auto"/>
                <w:sz w:val="24"/>
                <w:highlight w:val="none"/>
              </w:rPr>
            </w:pPr>
            <w:r>
              <w:rPr>
                <w:rStyle w:val="62"/>
                <w:rFonts w:ascii="仿宋" w:hAnsi="仿宋" w:eastAsia="仿宋"/>
                <w:color w:val="auto"/>
                <w:sz w:val="24"/>
                <w:highlight w:val="none"/>
              </w:rPr>
              <w:t>（</w:t>
            </w:r>
            <w:r>
              <w:rPr>
                <w:rStyle w:val="62"/>
                <w:rFonts w:hint="eastAsia" w:ascii="仿宋" w:hAnsi="仿宋" w:eastAsia="仿宋"/>
                <w:color w:val="auto"/>
                <w:sz w:val="24"/>
                <w:highlight w:val="none"/>
              </w:rPr>
              <w:t>3</w:t>
            </w:r>
            <w:r>
              <w:rPr>
                <w:rStyle w:val="62"/>
                <w:rFonts w:ascii="仿宋" w:hAnsi="仿宋" w:eastAsia="仿宋"/>
                <w:color w:val="auto"/>
                <w:sz w:val="24"/>
                <w:highlight w:val="none"/>
              </w:rPr>
              <w:t>）本项目不接受联合体投标</w:t>
            </w:r>
            <w:r>
              <w:rPr>
                <w:rStyle w:val="62"/>
                <w:rFonts w:hint="eastAsia" w:ascii="仿宋" w:hAnsi="仿宋" w:eastAsia="仿宋"/>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hint="eastAsia" w:ascii="仿宋" w:hAnsi="仿宋" w:eastAsia="仿宋"/>
                <w:color w:val="auto"/>
                <w:sz w:val="24"/>
                <w:highlight w:val="none"/>
              </w:rPr>
              <w:t>11</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hint="eastAsia" w:ascii="仿宋" w:hAnsi="仿宋" w:eastAsia="仿宋"/>
                <w:color w:val="auto"/>
                <w:sz w:val="24"/>
                <w:highlight w:val="none"/>
              </w:rPr>
              <w:t>投标人</w:t>
            </w:r>
            <w:r>
              <w:rPr>
                <w:rStyle w:val="62"/>
                <w:rFonts w:ascii="仿宋" w:hAnsi="仿宋" w:eastAsia="仿宋"/>
                <w:color w:val="auto"/>
                <w:sz w:val="24"/>
                <w:highlight w:val="none"/>
              </w:rPr>
              <w:t>提出问题的截止时间</w:t>
            </w:r>
          </w:p>
        </w:tc>
        <w:tc>
          <w:tcPr>
            <w:tcW w:w="6094" w:type="dxa"/>
            <w:tcBorders>
              <w:top w:val="single" w:color="000000" w:sz="4" w:space="0"/>
              <w:left w:val="single" w:color="000000" w:sz="4" w:space="0"/>
              <w:bottom w:val="single" w:color="000000" w:sz="4" w:space="0"/>
              <w:right w:val="single" w:color="000000" w:sz="4" w:space="0"/>
            </w:tcBorders>
            <w:vAlign w:val="center"/>
          </w:tcPr>
          <w:p>
            <w:pPr>
              <w:pStyle w:val="122"/>
              <w:rPr>
                <w:rStyle w:val="62"/>
                <w:rFonts w:ascii="仿宋" w:hAnsi="仿宋" w:eastAsia="仿宋"/>
                <w:color w:val="auto"/>
                <w:sz w:val="24"/>
                <w:szCs w:val="24"/>
                <w:highlight w:val="none"/>
              </w:rPr>
            </w:pPr>
            <w:r>
              <w:rPr>
                <w:rStyle w:val="62"/>
                <w:rFonts w:ascii="仿宋" w:hAnsi="仿宋" w:eastAsia="仿宋"/>
                <w:color w:val="auto"/>
                <w:sz w:val="24"/>
                <w:szCs w:val="24"/>
                <w:highlight w:val="none"/>
              </w:rPr>
              <w:t>递交</w:t>
            </w:r>
            <w:r>
              <w:rPr>
                <w:rStyle w:val="62"/>
                <w:rFonts w:hint="eastAsia" w:ascii="仿宋" w:hAnsi="仿宋" w:eastAsia="仿宋"/>
                <w:color w:val="auto"/>
                <w:sz w:val="24"/>
                <w:szCs w:val="24"/>
                <w:highlight w:val="none"/>
              </w:rPr>
              <w:t>投标文件</w:t>
            </w:r>
            <w:r>
              <w:rPr>
                <w:rStyle w:val="62"/>
                <w:rFonts w:ascii="仿宋" w:hAnsi="仿宋" w:eastAsia="仿宋"/>
                <w:color w:val="auto"/>
                <w:sz w:val="24"/>
                <w:szCs w:val="24"/>
                <w:highlight w:val="none"/>
              </w:rPr>
              <w:t>截止之日</w:t>
            </w:r>
            <w:r>
              <w:rPr>
                <w:rStyle w:val="62"/>
                <w:rFonts w:hint="eastAsia" w:ascii="仿宋" w:hAnsi="仿宋" w:eastAsia="仿宋"/>
                <w:color w:val="auto"/>
                <w:sz w:val="24"/>
                <w:szCs w:val="24"/>
                <w:highlight w:val="none"/>
              </w:rPr>
              <w:t>10</w:t>
            </w:r>
            <w:r>
              <w:rPr>
                <w:rStyle w:val="62"/>
                <w:rFonts w:ascii="仿宋" w:hAnsi="仿宋" w:eastAsia="仿宋"/>
                <w:color w:val="auto"/>
                <w:sz w:val="24"/>
                <w:szCs w:val="24"/>
                <w:highlight w:val="none"/>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hint="eastAsia" w:ascii="仿宋" w:hAnsi="仿宋" w:eastAsia="仿宋"/>
                <w:color w:val="auto"/>
                <w:sz w:val="24"/>
                <w:highlight w:val="none"/>
              </w:rPr>
              <w:t>12</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hint="eastAsia" w:ascii="仿宋" w:hAnsi="仿宋" w:eastAsia="仿宋"/>
                <w:color w:val="auto"/>
                <w:sz w:val="24"/>
                <w:highlight w:val="none"/>
              </w:rPr>
              <w:t>招标人</w:t>
            </w:r>
            <w:r>
              <w:rPr>
                <w:rStyle w:val="62"/>
                <w:rFonts w:ascii="仿宋" w:hAnsi="仿宋" w:eastAsia="仿宋"/>
                <w:color w:val="auto"/>
                <w:sz w:val="24"/>
                <w:highlight w:val="none"/>
              </w:rPr>
              <w:t xml:space="preserve">书面澄清的时间 </w:t>
            </w:r>
          </w:p>
        </w:tc>
        <w:tc>
          <w:tcPr>
            <w:tcW w:w="6094" w:type="dxa"/>
            <w:tcBorders>
              <w:top w:val="single" w:color="000000" w:sz="4" w:space="0"/>
              <w:left w:val="single" w:color="000000" w:sz="4" w:space="0"/>
              <w:bottom w:val="single" w:color="000000" w:sz="4" w:space="0"/>
              <w:right w:val="single" w:color="000000" w:sz="4" w:space="0"/>
            </w:tcBorders>
            <w:vAlign w:val="center"/>
          </w:tcPr>
          <w:p>
            <w:pPr>
              <w:pStyle w:val="122"/>
              <w:rPr>
                <w:rStyle w:val="62"/>
                <w:rFonts w:ascii="仿宋" w:hAnsi="仿宋" w:eastAsia="仿宋"/>
                <w:color w:val="auto"/>
                <w:sz w:val="24"/>
                <w:szCs w:val="24"/>
                <w:highlight w:val="none"/>
              </w:rPr>
            </w:pPr>
            <w:r>
              <w:rPr>
                <w:rStyle w:val="62"/>
                <w:rFonts w:ascii="仿宋" w:hAnsi="仿宋" w:eastAsia="仿宋"/>
                <w:color w:val="auto"/>
                <w:sz w:val="24"/>
                <w:szCs w:val="24"/>
                <w:highlight w:val="none"/>
              </w:rPr>
              <w:t>递交</w:t>
            </w:r>
            <w:r>
              <w:rPr>
                <w:rStyle w:val="62"/>
                <w:rFonts w:hint="eastAsia" w:ascii="仿宋" w:hAnsi="仿宋" w:eastAsia="仿宋"/>
                <w:color w:val="auto"/>
                <w:sz w:val="24"/>
                <w:szCs w:val="24"/>
                <w:highlight w:val="none"/>
              </w:rPr>
              <w:t>投标文件</w:t>
            </w:r>
            <w:r>
              <w:rPr>
                <w:rStyle w:val="62"/>
                <w:rFonts w:ascii="仿宋" w:hAnsi="仿宋" w:eastAsia="仿宋"/>
                <w:color w:val="auto"/>
                <w:sz w:val="24"/>
                <w:szCs w:val="24"/>
                <w:highlight w:val="none"/>
              </w:rPr>
              <w:t>截止之日</w:t>
            </w:r>
            <w:r>
              <w:rPr>
                <w:rStyle w:val="62"/>
                <w:rFonts w:hint="eastAsia" w:ascii="仿宋" w:hAnsi="仿宋" w:eastAsia="仿宋"/>
                <w:color w:val="auto"/>
                <w:sz w:val="24"/>
                <w:szCs w:val="24"/>
                <w:highlight w:val="none"/>
              </w:rPr>
              <w:t>15</w:t>
            </w:r>
            <w:r>
              <w:rPr>
                <w:rStyle w:val="62"/>
                <w:rFonts w:ascii="仿宋" w:hAnsi="仿宋" w:eastAsia="仿宋"/>
                <w:color w:val="auto"/>
                <w:sz w:val="24"/>
                <w:szCs w:val="24"/>
                <w:highlight w:val="none"/>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hint="eastAsia" w:ascii="仿宋" w:hAnsi="仿宋" w:eastAsia="仿宋"/>
                <w:color w:val="auto"/>
                <w:sz w:val="24"/>
                <w:highlight w:val="none"/>
              </w:rPr>
              <w:t>13</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ascii="仿宋" w:hAnsi="仿宋" w:eastAsia="仿宋"/>
                <w:color w:val="auto"/>
                <w:sz w:val="24"/>
                <w:highlight w:val="none"/>
              </w:rPr>
              <w:t>分  包</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sz w:val="24"/>
                <w:highlight w:val="none"/>
              </w:rPr>
            </w:pPr>
            <w:r>
              <w:rPr>
                <w:rStyle w:val="62"/>
                <w:rFonts w:ascii="仿宋" w:hAnsi="仿宋" w:eastAsia="仿宋"/>
                <w:color w:val="auto"/>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hint="eastAsia" w:ascii="仿宋" w:hAnsi="仿宋" w:eastAsia="仿宋"/>
                <w:color w:val="auto"/>
                <w:sz w:val="24"/>
                <w:highlight w:val="none"/>
              </w:rPr>
              <w:t>14</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ascii="仿宋" w:hAnsi="仿宋" w:eastAsia="仿宋"/>
                <w:color w:val="auto"/>
                <w:sz w:val="24"/>
                <w:highlight w:val="none"/>
              </w:rPr>
              <w:t>是否接受选择性报价方案</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不接受：</w:t>
            </w:r>
            <w:r>
              <w:rPr>
                <w:rStyle w:val="62"/>
                <w:rFonts w:hint="eastAsia" w:ascii="仿宋" w:hAnsi="仿宋" w:eastAsia="仿宋"/>
                <w:color w:val="auto"/>
                <w:kern w:val="0"/>
                <w:sz w:val="24"/>
                <w:highlight w:val="none"/>
              </w:rPr>
              <w:t>投标文件</w:t>
            </w:r>
            <w:r>
              <w:rPr>
                <w:rStyle w:val="62"/>
                <w:rFonts w:ascii="仿宋" w:hAnsi="仿宋" w:eastAsia="仿宋"/>
                <w:color w:val="auto"/>
                <w:kern w:val="0"/>
                <w:sz w:val="24"/>
                <w:highlight w:val="none"/>
              </w:rPr>
              <w:t>只允许一个报价方案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15</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构成</w:t>
            </w:r>
            <w:r>
              <w:rPr>
                <w:rStyle w:val="62"/>
                <w:rFonts w:hint="eastAsia" w:ascii="仿宋" w:hAnsi="仿宋" w:eastAsia="仿宋"/>
                <w:color w:val="auto"/>
                <w:kern w:val="0"/>
                <w:sz w:val="24"/>
                <w:highlight w:val="none"/>
              </w:rPr>
              <w:t>招标</w:t>
            </w:r>
            <w:r>
              <w:rPr>
                <w:rStyle w:val="62"/>
                <w:rFonts w:ascii="仿宋" w:hAnsi="仿宋" w:eastAsia="仿宋"/>
                <w:color w:val="auto"/>
                <w:kern w:val="0"/>
                <w:sz w:val="24"/>
                <w:highlight w:val="none"/>
              </w:rPr>
              <w:t>文件的其他材料</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招标</w:t>
            </w:r>
            <w:r>
              <w:rPr>
                <w:rStyle w:val="62"/>
                <w:rFonts w:ascii="仿宋" w:hAnsi="仿宋" w:eastAsia="仿宋"/>
                <w:color w:val="auto"/>
                <w:kern w:val="0"/>
                <w:sz w:val="24"/>
                <w:highlight w:val="none"/>
              </w:rPr>
              <w:t>文件的澄清、修改及有关补充通知为</w:t>
            </w:r>
            <w:r>
              <w:rPr>
                <w:rStyle w:val="62"/>
                <w:rFonts w:hint="eastAsia" w:ascii="仿宋" w:hAnsi="仿宋" w:eastAsia="仿宋"/>
                <w:color w:val="auto"/>
                <w:kern w:val="0"/>
                <w:sz w:val="24"/>
                <w:highlight w:val="none"/>
              </w:rPr>
              <w:t>招标</w:t>
            </w:r>
            <w:r>
              <w:rPr>
                <w:rStyle w:val="62"/>
                <w:rFonts w:ascii="仿宋" w:hAnsi="仿宋" w:eastAsia="仿宋"/>
                <w:color w:val="auto"/>
                <w:kern w:val="0"/>
                <w:sz w:val="24"/>
                <w:highlight w:val="none"/>
              </w:rPr>
              <w:t>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16</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投标</w:t>
            </w:r>
            <w:r>
              <w:rPr>
                <w:rStyle w:val="62"/>
                <w:rFonts w:ascii="仿宋" w:hAnsi="仿宋" w:eastAsia="仿宋"/>
                <w:color w:val="auto"/>
                <w:kern w:val="0"/>
                <w:sz w:val="24"/>
                <w:highlight w:val="none"/>
              </w:rPr>
              <w:t>有效期</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60日历天（</w:t>
            </w:r>
            <w:r>
              <w:rPr>
                <w:rStyle w:val="62"/>
                <w:rFonts w:hint="eastAsia" w:ascii="仿宋" w:hAnsi="仿宋" w:eastAsia="仿宋"/>
                <w:color w:val="auto"/>
                <w:kern w:val="0"/>
                <w:sz w:val="24"/>
                <w:highlight w:val="none"/>
              </w:rPr>
              <w:t>投标</w:t>
            </w:r>
            <w:r>
              <w:rPr>
                <w:rStyle w:val="62"/>
                <w:rFonts w:ascii="仿宋" w:hAnsi="仿宋" w:eastAsia="仿宋"/>
                <w:color w:val="auto"/>
                <w:kern w:val="0"/>
                <w:sz w:val="24"/>
                <w:highlight w:val="none"/>
              </w:rPr>
              <w:t>截止之日起）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17</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保证金</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b/>
                <w:color w:val="auto"/>
                <w:sz w:val="24"/>
                <w:highlight w:val="none"/>
              </w:rPr>
            </w:pPr>
            <w:r>
              <w:rPr>
                <w:rStyle w:val="62"/>
                <w:rFonts w:ascii="仿宋" w:hAnsi="仿宋" w:eastAsia="仿宋"/>
                <w:color w:val="auto"/>
                <w:sz w:val="24"/>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18</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签字或盖章要求</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见</w:t>
            </w:r>
            <w:r>
              <w:rPr>
                <w:rStyle w:val="62"/>
                <w:rFonts w:hint="eastAsia" w:ascii="仿宋" w:hAnsi="仿宋" w:eastAsia="仿宋"/>
                <w:color w:val="auto"/>
                <w:kern w:val="0"/>
                <w:sz w:val="24"/>
                <w:highlight w:val="none"/>
              </w:rPr>
              <w:t>投标文件</w:t>
            </w:r>
            <w:r>
              <w:rPr>
                <w:rStyle w:val="62"/>
                <w:rFonts w:ascii="仿宋" w:hAnsi="仿宋" w:eastAsia="仿宋"/>
                <w:color w:val="auto"/>
                <w:kern w:val="0"/>
                <w:sz w:val="24"/>
                <w:highlight w:val="none"/>
              </w:rPr>
              <w:t>“第六章</w:t>
            </w:r>
            <w:r>
              <w:rPr>
                <w:rStyle w:val="62"/>
                <w:rFonts w:hint="eastAsia" w:ascii="仿宋" w:hAnsi="仿宋" w:eastAsia="仿宋"/>
                <w:color w:val="auto"/>
                <w:kern w:val="0"/>
                <w:sz w:val="24"/>
                <w:highlight w:val="none"/>
              </w:rPr>
              <w:t>投标文件</w:t>
            </w:r>
            <w:r>
              <w:rPr>
                <w:rStyle w:val="62"/>
                <w:rFonts w:ascii="仿宋" w:hAnsi="仿宋" w:eastAsia="仿宋"/>
                <w:color w:val="auto"/>
                <w:kern w:val="0"/>
                <w:sz w:val="24"/>
                <w:highlight w:val="none"/>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19</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投标文件</w:t>
            </w:r>
            <w:r>
              <w:rPr>
                <w:rStyle w:val="62"/>
                <w:rFonts w:ascii="仿宋" w:hAnsi="仿宋" w:eastAsia="仿宋"/>
                <w:color w:val="auto"/>
                <w:kern w:val="0"/>
                <w:sz w:val="24"/>
                <w:highlight w:val="none"/>
              </w:rPr>
              <w:t>份数</w:t>
            </w:r>
          </w:p>
        </w:tc>
        <w:tc>
          <w:tcPr>
            <w:tcW w:w="6094" w:type="dxa"/>
            <w:tcBorders>
              <w:top w:val="single" w:color="000000" w:sz="4" w:space="0"/>
              <w:left w:val="single" w:color="000000" w:sz="4" w:space="0"/>
              <w:bottom w:val="single" w:color="000000" w:sz="4" w:space="0"/>
              <w:right w:val="single" w:color="000000" w:sz="4" w:space="0"/>
            </w:tcBorders>
            <w:vAlign w:val="center"/>
          </w:tcPr>
          <w:p>
            <w:pPr>
              <w:pStyle w:val="48"/>
              <w:rPr>
                <w:rStyle w:val="62"/>
                <w:rFonts w:ascii="仿宋" w:hAnsi="仿宋" w:eastAsia="仿宋"/>
                <w:color w:val="auto"/>
                <w:highlight w:val="none"/>
              </w:rPr>
            </w:pPr>
            <w:r>
              <w:rPr>
                <w:rStyle w:val="62"/>
                <w:rFonts w:ascii="仿宋" w:hAnsi="仿宋" w:eastAsia="仿宋"/>
                <w:color w:val="auto"/>
                <w:highlight w:val="none"/>
              </w:rPr>
              <w:t>加密的电子</w:t>
            </w:r>
            <w:r>
              <w:rPr>
                <w:rStyle w:val="62"/>
                <w:rFonts w:hint="eastAsia" w:ascii="仿宋" w:hAnsi="仿宋" w:eastAsia="仿宋"/>
                <w:color w:val="auto"/>
                <w:highlight w:val="none"/>
              </w:rPr>
              <w:t>投标文件</w:t>
            </w:r>
            <w:r>
              <w:rPr>
                <w:rStyle w:val="62"/>
                <w:rFonts w:ascii="仿宋" w:hAnsi="仿宋" w:eastAsia="仿宋"/>
                <w:color w:val="auto"/>
                <w:highlight w:val="none"/>
              </w:rPr>
              <w:t>壹份（在系统指定位置上传）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20</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投标文件</w:t>
            </w:r>
            <w:r>
              <w:rPr>
                <w:rStyle w:val="62"/>
                <w:rFonts w:ascii="仿宋" w:hAnsi="仿宋" w:eastAsia="仿宋"/>
                <w:color w:val="auto"/>
                <w:kern w:val="0"/>
                <w:sz w:val="24"/>
                <w:highlight w:val="none"/>
              </w:rPr>
              <w:t>递交截止时间</w:t>
            </w:r>
          </w:p>
        </w:tc>
        <w:tc>
          <w:tcPr>
            <w:tcW w:w="6094" w:type="dxa"/>
            <w:tcBorders>
              <w:top w:val="single" w:color="000000" w:sz="4" w:space="0"/>
              <w:left w:val="single" w:color="000000" w:sz="4" w:space="0"/>
              <w:bottom w:val="single" w:color="000000" w:sz="4" w:space="0"/>
              <w:right w:val="single" w:color="000000" w:sz="4" w:space="0"/>
            </w:tcBorders>
            <w:vAlign w:val="center"/>
          </w:tcPr>
          <w:p>
            <w:pPr>
              <w:ind w:firstLine="117" w:firstLineChars="49"/>
              <w:rPr>
                <w:rStyle w:val="62"/>
                <w:rFonts w:ascii="仿宋" w:hAnsi="仿宋" w:eastAsia="仿宋"/>
                <w:color w:val="auto"/>
                <w:sz w:val="24"/>
                <w:highlight w:val="none"/>
              </w:rPr>
            </w:pPr>
            <w:r>
              <w:rPr>
                <w:rStyle w:val="62"/>
                <w:rFonts w:hint="eastAsia" w:ascii="仿宋" w:hAnsi="仿宋" w:eastAsia="仿宋"/>
                <w:color w:val="auto"/>
                <w:kern w:val="0"/>
                <w:sz w:val="24"/>
                <w:highlight w:val="none"/>
                <w:lang w:val="en-US" w:eastAsia="zh-CN"/>
              </w:rPr>
              <w:t>2024</w:t>
            </w:r>
            <w:r>
              <w:rPr>
                <w:rStyle w:val="62"/>
                <w:rFonts w:ascii="仿宋" w:hAnsi="仿宋" w:eastAsia="仿宋"/>
                <w:color w:val="auto"/>
                <w:kern w:val="0"/>
                <w:sz w:val="24"/>
                <w:highlight w:val="none"/>
              </w:rPr>
              <w:t>年</w:t>
            </w:r>
            <w:r>
              <w:rPr>
                <w:rStyle w:val="62"/>
                <w:rFonts w:hint="eastAsia" w:ascii="仿宋" w:hAnsi="仿宋" w:eastAsia="仿宋"/>
                <w:color w:val="auto"/>
                <w:kern w:val="0"/>
                <w:sz w:val="24"/>
                <w:highlight w:val="none"/>
                <w:lang w:val="en-US" w:eastAsia="zh-CN"/>
              </w:rPr>
              <w:t>04</w:t>
            </w:r>
            <w:r>
              <w:rPr>
                <w:rStyle w:val="62"/>
                <w:rFonts w:ascii="仿宋" w:hAnsi="仿宋" w:eastAsia="仿宋"/>
                <w:color w:val="auto"/>
                <w:kern w:val="0"/>
                <w:sz w:val="24"/>
                <w:highlight w:val="none"/>
              </w:rPr>
              <w:t>月</w:t>
            </w:r>
            <w:r>
              <w:rPr>
                <w:rStyle w:val="62"/>
                <w:rFonts w:hint="eastAsia" w:ascii="仿宋" w:hAnsi="仿宋" w:eastAsia="仿宋"/>
                <w:color w:val="auto"/>
                <w:kern w:val="0"/>
                <w:sz w:val="24"/>
                <w:highlight w:val="none"/>
                <w:lang w:val="en-US" w:eastAsia="zh-CN"/>
              </w:rPr>
              <w:t>09</w:t>
            </w:r>
            <w:r>
              <w:rPr>
                <w:rStyle w:val="62"/>
                <w:rFonts w:ascii="仿宋" w:hAnsi="仿宋" w:eastAsia="仿宋"/>
                <w:color w:val="auto"/>
                <w:kern w:val="0"/>
                <w:sz w:val="24"/>
                <w:highlight w:val="none"/>
              </w:rPr>
              <w:t>日9时30分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21</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时间和地点</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sz w:val="24"/>
                <w:highlight w:val="none"/>
              </w:rPr>
            </w:pPr>
            <w:r>
              <w:rPr>
                <w:rStyle w:val="62"/>
                <w:rFonts w:ascii="仿宋" w:hAnsi="仿宋" w:eastAsia="仿宋"/>
                <w:color w:val="auto"/>
                <w:sz w:val="24"/>
                <w:highlight w:val="none"/>
              </w:rPr>
              <w:t>时间：同</w:t>
            </w:r>
            <w:r>
              <w:rPr>
                <w:rStyle w:val="62"/>
                <w:rFonts w:hint="eastAsia" w:ascii="仿宋" w:hAnsi="仿宋" w:eastAsia="仿宋"/>
                <w:color w:val="auto"/>
                <w:sz w:val="24"/>
                <w:highlight w:val="none"/>
              </w:rPr>
              <w:t>投标文件</w:t>
            </w:r>
            <w:r>
              <w:rPr>
                <w:rStyle w:val="62"/>
                <w:rFonts w:ascii="仿宋" w:hAnsi="仿宋" w:eastAsia="仿宋"/>
                <w:color w:val="auto"/>
                <w:sz w:val="24"/>
                <w:highlight w:val="none"/>
              </w:rPr>
              <w:t>递交截止时间</w:t>
            </w:r>
          </w:p>
          <w:p>
            <w:pPr>
              <w:rPr>
                <w:rStyle w:val="62"/>
                <w:rFonts w:ascii="仿宋" w:hAnsi="仿宋" w:eastAsia="仿宋"/>
                <w:color w:val="auto"/>
                <w:kern w:val="0"/>
                <w:sz w:val="24"/>
                <w:highlight w:val="none"/>
              </w:rPr>
            </w:pPr>
            <w:r>
              <w:rPr>
                <w:rStyle w:val="62"/>
                <w:rFonts w:ascii="仿宋" w:hAnsi="仿宋" w:eastAsia="仿宋"/>
                <w:color w:val="auto"/>
                <w:sz w:val="24"/>
                <w:highlight w:val="none"/>
              </w:rPr>
              <w:t>地点：同递交</w:t>
            </w:r>
            <w:r>
              <w:rPr>
                <w:rStyle w:val="62"/>
                <w:rFonts w:hint="eastAsia" w:ascii="仿宋" w:hAnsi="仿宋" w:eastAsia="仿宋"/>
                <w:color w:val="auto"/>
                <w:sz w:val="24"/>
                <w:highlight w:val="none"/>
              </w:rPr>
              <w:t>投标文件</w:t>
            </w:r>
            <w:r>
              <w:rPr>
                <w:rStyle w:val="62"/>
                <w:rFonts w:ascii="仿宋" w:hAnsi="仿宋" w:eastAsia="仿宋"/>
                <w:color w:val="auto"/>
                <w:sz w:val="24"/>
                <w:highlight w:val="none"/>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22</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评标委员会</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sz w:val="24"/>
                <w:highlight w:val="none"/>
              </w:rPr>
            </w:pPr>
            <w:r>
              <w:rPr>
                <w:rStyle w:val="62"/>
                <w:rFonts w:hint="eastAsia" w:ascii="仿宋" w:hAnsi="仿宋" w:eastAsia="仿宋"/>
                <w:color w:val="auto"/>
                <w:kern w:val="0"/>
                <w:sz w:val="24"/>
                <w:highlight w:val="none"/>
              </w:rPr>
              <w:t>评标委员会</w:t>
            </w:r>
            <w:r>
              <w:rPr>
                <w:rStyle w:val="62"/>
                <w:rFonts w:ascii="仿宋" w:hAnsi="仿宋" w:eastAsia="仿宋"/>
                <w:color w:val="auto"/>
                <w:kern w:val="0"/>
                <w:sz w:val="24"/>
                <w:highlight w:val="none"/>
              </w:rPr>
              <w:t>由</w:t>
            </w:r>
            <w:r>
              <w:rPr>
                <w:rStyle w:val="62"/>
                <w:rFonts w:ascii="仿宋" w:hAnsi="仿宋" w:eastAsia="仿宋"/>
                <w:color w:val="auto"/>
                <w:kern w:val="0"/>
                <w:sz w:val="24"/>
                <w:highlight w:val="none"/>
                <w:u w:val="single" w:color="000000"/>
              </w:rPr>
              <w:t xml:space="preserve"> </w:t>
            </w:r>
            <w:r>
              <w:rPr>
                <w:rStyle w:val="62"/>
                <w:rFonts w:hint="eastAsia" w:ascii="仿宋" w:hAnsi="仿宋" w:eastAsia="仿宋"/>
                <w:color w:val="auto"/>
                <w:kern w:val="0"/>
                <w:sz w:val="24"/>
                <w:highlight w:val="none"/>
                <w:u w:val="single" w:color="000000"/>
              </w:rPr>
              <w:t>5</w:t>
            </w:r>
            <w:r>
              <w:rPr>
                <w:rStyle w:val="62"/>
                <w:rFonts w:ascii="仿宋" w:hAnsi="仿宋" w:eastAsia="仿宋"/>
                <w:color w:val="auto"/>
                <w:kern w:val="0"/>
                <w:sz w:val="24"/>
                <w:highlight w:val="none"/>
                <w:u w:val="single" w:color="000000"/>
              </w:rPr>
              <w:t xml:space="preserve"> </w:t>
            </w:r>
            <w:r>
              <w:rPr>
                <w:rStyle w:val="62"/>
                <w:rFonts w:ascii="仿宋" w:hAnsi="仿宋" w:eastAsia="仿宋"/>
                <w:color w:val="auto"/>
                <w:kern w:val="0"/>
                <w:sz w:val="24"/>
                <w:highlight w:val="none"/>
              </w:rPr>
              <w:t>人，其中业主评委</w:t>
            </w:r>
            <w:r>
              <w:rPr>
                <w:rStyle w:val="62"/>
                <w:rFonts w:ascii="仿宋" w:hAnsi="仿宋" w:eastAsia="仿宋"/>
                <w:color w:val="auto"/>
                <w:kern w:val="0"/>
                <w:sz w:val="24"/>
                <w:highlight w:val="none"/>
                <w:u w:val="single" w:color="000000"/>
              </w:rPr>
              <w:t xml:space="preserve"> 1 </w:t>
            </w:r>
            <w:r>
              <w:rPr>
                <w:rStyle w:val="62"/>
                <w:rFonts w:ascii="仿宋" w:hAnsi="仿宋" w:eastAsia="仿宋"/>
                <w:color w:val="auto"/>
                <w:kern w:val="0"/>
                <w:sz w:val="24"/>
                <w:highlight w:val="none"/>
              </w:rPr>
              <w:t>人，</w:t>
            </w:r>
            <w:r>
              <w:rPr>
                <w:rStyle w:val="62"/>
                <w:rFonts w:hint="eastAsia" w:ascii="仿宋" w:hAnsi="仿宋" w:eastAsia="仿宋"/>
                <w:color w:val="auto"/>
                <w:kern w:val="0"/>
                <w:sz w:val="24"/>
                <w:highlight w:val="none"/>
              </w:rPr>
              <w:t>经济、技术</w:t>
            </w:r>
            <w:r>
              <w:rPr>
                <w:rStyle w:val="62"/>
                <w:rFonts w:ascii="仿宋" w:hAnsi="仿宋" w:eastAsia="仿宋"/>
                <w:color w:val="auto"/>
                <w:kern w:val="0"/>
                <w:sz w:val="24"/>
                <w:highlight w:val="none"/>
              </w:rPr>
              <w:t>专家</w:t>
            </w:r>
            <w:r>
              <w:rPr>
                <w:rStyle w:val="62"/>
                <w:rFonts w:ascii="仿宋" w:hAnsi="仿宋" w:eastAsia="仿宋"/>
                <w:color w:val="auto"/>
                <w:kern w:val="0"/>
                <w:sz w:val="24"/>
                <w:highlight w:val="none"/>
                <w:u w:val="single" w:color="000000"/>
              </w:rPr>
              <w:t xml:space="preserve"> </w:t>
            </w:r>
            <w:r>
              <w:rPr>
                <w:rStyle w:val="62"/>
                <w:rFonts w:hint="eastAsia" w:ascii="仿宋" w:hAnsi="仿宋" w:eastAsia="仿宋"/>
                <w:color w:val="auto"/>
                <w:kern w:val="0"/>
                <w:sz w:val="24"/>
                <w:highlight w:val="none"/>
                <w:u w:val="single" w:color="000000"/>
              </w:rPr>
              <w:t>4</w:t>
            </w:r>
            <w:r>
              <w:rPr>
                <w:rStyle w:val="62"/>
                <w:rFonts w:ascii="仿宋" w:hAnsi="仿宋" w:eastAsia="仿宋"/>
                <w:color w:val="auto"/>
                <w:kern w:val="0"/>
                <w:sz w:val="24"/>
                <w:highlight w:val="none"/>
              </w:rPr>
              <w:t>人。专家从符合条件的专家库中随机抽取。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23</w:t>
            </w:r>
          </w:p>
        </w:tc>
        <w:tc>
          <w:tcPr>
            <w:tcW w:w="2498"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highlight w:val="none"/>
              </w:rPr>
            </w:pPr>
            <w:r>
              <w:rPr>
                <w:rStyle w:val="62"/>
                <w:rFonts w:ascii="仿宋" w:hAnsi="仿宋" w:eastAsia="仿宋"/>
                <w:color w:val="auto"/>
                <w:highlight w:val="none"/>
              </w:rPr>
              <w:t>资格审查</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由</w:t>
            </w:r>
            <w:r>
              <w:rPr>
                <w:rStyle w:val="62"/>
                <w:rFonts w:hint="eastAsia" w:ascii="仿宋" w:hAnsi="仿宋" w:eastAsia="仿宋"/>
                <w:color w:val="auto"/>
                <w:kern w:val="0"/>
                <w:sz w:val="24"/>
                <w:highlight w:val="none"/>
              </w:rPr>
              <w:t>招标人</w:t>
            </w:r>
            <w:r>
              <w:rPr>
                <w:rStyle w:val="62"/>
                <w:rFonts w:ascii="仿宋" w:hAnsi="仿宋" w:eastAsia="仿宋"/>
                <w:color w:val="auto"/>
                <w:kern w:val="0"/>
                <w:sz w:val="24"/>
                <w:highlight w:val="none"/>
              </w:rPr>
              <w:t>代表或委托代理机构进行资格审查，人数为1人。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24</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是否授权</w:t>
            </w:r>
            <w:r>
              <w:rPr>
                <w:rStyle w:val="62"/>
                <w:rFonts w:hint="eastAsia" w:ascii="仿宋" w:hAnsi="仿宋" w:eastAsia="仿宋"/>
                <w:color w:val="auto"/>
                <w:kern w:val="0"/>
                <w:sz w:val="24"/>
                <w:highlight w:val="none"/>
              </w:rPr>
              <w:t>评标委员会</w:t>
            </w:r>
            <w:r>
              <w:rPr>
                <w:rStyle w:val="62"/>
                <w:rFonts w:ascii="仿宋" w:hAnsi="仿宋" w:eastAsia="仿宋"/>
                <w:color w:val="auto"/>
                <w:kern w:val="0"/>
                <w:sz w:val="24"/>
                <w:highlight w:val="none"/>
              </w:rPr>
              <w:t>确定成交人</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olor w:val="auto"/>
                <w:kern w:val="0"/>
                <w:sz w:val="24"/>
                <w:highlight w:val="none"/>
              </w:rPr>
            </w:pPr>
            <w:r>
              <w:rPr>
                <w:rStyle w:val="62"/>
                <w:rFonts w:hint="eastAsia" w:ascii="仿宋" w:hAnsi="仿宋" w:eastAsia="仿宋"/>
                <w:color w:val="auto"/>
                <w:sz w:val="24"/>
                <w:highlight w:val="none"/>
              </w:rPr>
              <w:t>否，推荐</w:t>
            </w:r>
            <w:r>
              <w:rPr>
                <w:rStyle w:val="62"/>
                <w:rFonts w:hint="eastAsia" w:ascii="仿宋" w:hAnsi="仿宋" w:eastAsia="仿宋"/>
                <w:color w:val="auto"/>
                <w:sz w:val="24"/>
                <w:highlight w:val="none"/>
                <w:u w:val="single"/>
              </w:rPr>
              <w:t>3</w:t>
            </w:r>
            <w:r>
              <w:rPr>
                <w:rStyle w:val="62"/>
                <w:rFonts w:hint="eastAsia" w:ascii="仿宋" w:hAnsi="仿宋" w:eastAsia="仿宋"/>
                <w:color w:val="auto"/>
                <w:sz w:val="24"/>
                <w:highlight w:val="none"/>
              </w:rPr>
              <w:t>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25</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ascii="仿宋" w:hAnsi="仿宋" w:eastAsia="仿宋"/>
                <w:color w:val="auto"/>
                <w:kern w:val="0"/>
                <w:sz w:val="24"/>
                <w:highlight w:val="none"/>
              </w:rPr>
              <w:t>招标控制价</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s="Times New Roman"/>
                <w:color w:val="auto"/>
                <w:sz w:val="24"/>
                <w:highlight w:val="none"/>
              </w:rPr>
            </w:pPr>
            <w:r>
              <w:rPr>
                <w:rStyle w:val="62"/>
                <w:rFonts w:hint="eastAsia" w:ascii="仿宋" w:hAnsi="仿宋" w:eastAsia="仿宋"/>
                <w:color w:val="auto"/>
                <w:sz w:val="24"/>
                <w:highlight w:val="none"/>
              </w:rPr>
              <w:t>招标控制价：5565656.09元</w:t>
            </w:r>
          </w:p>
          <w:p>
            <w:pPr>
              <w:rPr>
                <w:rStyle w:val="62"/>
                <w:rFonts w:ascii="仿宋" w:hAnsi="仿宋" w:eastAsia="仿宋"/>
                <w:color w:val="auto"/>
                <w:sz w:val="24"/>
                <w:highlight w:val="none"/>
              </w:rPr>
            </w:pPr>
            <w:r>
              <w:rPr>
                <w:rStyle w:val="62"/>
                <w:rFonts w:hint="eastAsia" w:ascii="仿宋" w:hAnsi="仿宋" w:eastAsia="仿宋"/>
                <w:color w:val="auto"/>
                <w:sz w:val="24"/>
                <w:highlight w:val="none"/>
              </w:rPr>
              <w:t>注：招标控制价是最高投标限价，投标报价超出招标控制价的否决其投标。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26</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付款方式</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支付节点和比例详询采购人，以合同签订为准。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27</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sz w:val="24"/>
                <w:highlight w:val="none"/>
              </w:rPr>
            </w:pPr>
            <w:r>
              <w:rPr>
                <w:rStyle w:val="62"/>
                <w:rFonts w:ascii="仿宋" w:hAnsi="仿宋" w:eastAsia="仿宋"/>
                <w:color w:val="auto"/>
                <w:sz w:val="24"/>
                <w:highlight w:val="none"/>
              </w:rPr>
              <w:t>相关费用</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1、代理费收费约定：</w:t>
            </w:r>
          </w:p>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本项目代理服务费由中标企业支付，供应商报价应包含该项目代理服务费。</w:t>
            </w:r>
          </w:p>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2、本项目代理服务费按不高于“豫招协【2023】002号”规定的收费标准收取，中标人领取中标通知书时向采购代理机构一次性付清。本项目中标服务费的收取按差额定率累进法计算，单标段合计上限不得超过10万元。</w:t>
            </w:r>
          </w:p>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3、收费标准：</w:t>
            </w:r>
          </w:p>
          <w:p>
            <w:pPr>
              <w:jc w:val="left"/>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100万元以下（含100万元）以下部分费率为1.7% ；</w:t>
            </w:r>
          </w:p>
          <w:p>
            <w:pPr>
              <w:jc w:val="left"/>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100-500万元（含500万元）以下部分费率为1.2%；</w:t>
            </w:r>
          </w:p>
          <w:p>
            <w:pPr>
              <w:jc w:val="left"/>
              <w:rPr>
                <w:rStyle w:val="62"/>
                <w:rFonts w:ascii="仿宋" w:hAnsi="仿宋" w:eastAsia="仿宋" w:cs="Times New Roman"/>
                <w:color w:val="auto"/>
                <w:kern w:val="0"/>
                <w:sz w:val="24"/>
                <w:highlight w:val="none"/>
              </w:rPr>
            </w:pPr>
            <w:r>
              <w:rPr>
                <w:rStyle w:val="62"/>
                <w:rFonts w:ascii="仿宋" w:hAnsi="仿宋" w:eastAsia="仿宋" w:cs="Times New Roman"/>
                <w:color w:val="auto"/>
                <w:kern w:val="0"/>
                <w:sz w:val="24"/>
                <w:highlight w:val="none"/>
              </w:rPr>
              <w:t>500-1000万元（含1000万元）</w:t>
            </w:r>
            <w:r>
              <w:rPr>
                <w:rStyle w:val="62"/>
                <w:rFonts w:hint="eastAsia" w:ascii="仿宋" w:hAnsi="仿宋" w:eastAsia="仿宋" w:cs="Times New Roman"/>
                <w:color w:val="auto"/>
                <w:kern w:val="0"/>
                <w:sz w:val="24"/>
                <w:highlight w:val="none"/>
              </w:rPr>
              <w:t>以下部分费率为    0.8%；</w:t>
            </w:r>
          </w:p>
          <w:p>
            <w:pPr>
              <w:pStyle w:val="2"/>
              <w:ind w:firstLine="0"/>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服务费交纳账号：中招（河南）国际工程管理咨询有限公司</w:t>
            </w:r>
          </w:p>
          <w:p>
            <w:pPr>
              <w:rPr>
                <w:color w:val="auto"/>
                <w:highlight w:val="none"/>
              </w:rPr>
            </w:pPr>
            <w:r>
              <w:rPr>
                <w:rStyle w:val="62"/>
                <w:rFonts w:hint="eastAsia" w:ascii="仿宋" w:hAnsi="仿宋" w:eastAsia="仿宋" w:cs="Times New Roman"/>
                <w:color w:val="auto"/>
                <w:kern w:val="0"/>
                <w:sz w:val="24"/>
                <w:highlight w:val="none"/>
              </w:rPr>
              <w:t>账号：941003010101218889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olor w:val="auto"/>
                <w:kern w:val="0"/>
                <w:sz w:val="24"/>
                <w:highlight w:val="none"/>
              </w:rPr>
            </w:pPr>
            <w:r>
              <w:rPr>
                <w:rStyle w:val="62"/>
                <w:rFonts w:hint="eastAsia" w:ascii="仿宋" w:hAnsi="仿宋" w:eastAsia="仿宋"/>
                <w:color w:val="auto"/>
                <w:kern w:val="0"/>
                <w:sz w:val="24"/>
                <w:highlight w:val="none"/>
              </w:rPr>
              <w:t>28</w:t>
            </w:r>
          </w:p>
        </w:tc>
        <w:tc>
          <w:tcPr>
            <w:tcW w:w="2498" w:type="dxa"/>
            <w:tcBorders>
              <w:top w:val="single" w:color="000000" w:sz="4" w:space="0"/>
              <w:left w:val="single" w:color="000000" w:sz="4" w:space="0"/>
              <w:bottom w:val="single" w:color="000000" w:sz="4" w:space="0"/>
              <w:right w:val="single" w:color="000000" w:sz="4" w:space="0"/>
            </w:tcBorders>
            <w:vAlign w:val="center"/>
          </w:tcPr>
          <w:p>
            <w:pPr>
              <w:jc w:val="center"/>
              <w:rPr>
                <w:rStyle w:val="62"/>
                <w:rFonts w:ascii="仿宋" w:hAnsi="仿宋" w:eastAsia="仿宋" w:cs="仿宋"/>
                <w:b/>
                <w:bCs/>
                <w:color w:val="auto"/>
                <w:sz w:val="24"/>
                <w:highlight w:val="none"/>
              </w:rPr>
            </w:pPr>
            <w:r>
              <w:rPr>
                <w:rStyle w:val="62"/>
                <w:rFonts w:ascii="仿宋" w:hAnsi="仿宋" w:eastAsia="仿宋" w:cs="仿宋"/>
                <w:b/>
                <w:bCs/>
                <w:color w:val="auto"/>
                <w:sz w:val="24"/>
                <w:highlight w:val="none"/>
              </w:rPr>
              <w:t>其他说明</w:t>
            </w:r>
          </w:p>
        </w:tc>
        <w:tc>
          <w:tcPr>
            <w:tcW w:w="6094" w:type="dxa"/>
            <w:tcBorders>
              <w:top w:val="single" w:color="000000" w:sz="4" w:space="0"/>
              <w:left w:val="single" w:color="000000" w:sz="4" w:space="0"/>
              <w:bottom w:val="single" w:color="000000" w:sz="4" w:space="0"/>
              <w:right w:val="single" w:color="000000" w:sz="4" w:space="0"/>
            </w:tcBorders>
            <w:vAlign w:val="center"/>
          </w:tcPr>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1、招标文件前后不一致的以《投标人须知前附表》为准，解释顺序按页码顺序；其它未尽事宜，按国家有关法律、法规执行。</w:t>
            </w:r>
          </w:p>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2、电子响应文件制作时，由系统自动生成（或预置）的章节与招标文件所提供的格式不符时，以系统自动生成（或预置）格式为准，视为满足招标文件格式要求。</w:t>
            </w:r>
          </w:p>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3、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Style w:val="62"/>
                <w:rFonts w:ascii="仿宋" w:hAnsi="仿宋" w:eastAsia="仿宋" w:cs="Times New Roman"/>
                <w:color w:val="auto"/>
                <w:kern w:val="0"/>
                <w:sz w:val="24"/>
                <w:highlight w:val="none"/>
              </w:rPr>
            </w:pPr>
            <w:r>
              <w:rPr>
                <w:rStyle w:val="62"/>
                <w:rFonts w:hint="eastAsia" w:ascii="仿宋" w:hAnsi="仿宋" w:eastAsia="仿宋" w:cs="Times New Roman"/>
                <w:color w:val="auto"/>
                <w:kern w:val="0"/>
                <w:sz w:val="24"/>
                <w:highlight w:val="none"/>
              </w:rPr>
              <w:t>4、供应商认为采购文件、采购过程和中标结果使自己的权益受到损害的,可以在知道或者应知其权益受到损害之日起七个工作日内，按照政府采购质疑和投诉办法（中华人民共和国财政部令94号）以书面形式向采购人或采购代理机构提出质疑（邮寄件、传真件不予受理），逾期不再接收。</w:t>
            </w:r>
          </w:p>
          <w:p>
            <w:pPr>
              <w:rPr>
                <w:rStyle w:val="62"/>
                <w:rFonts w:ascii="仿宋" w:hAnsi="仿宋" w:eastAsia="仿宋"/>
                <w:color w:val="auto"/>
                <w:sz w:val="24"/>
                <w:highlight w:val="none"/>
              </w:rPr>
            </w:pPr>
            <w:r>
              <w:rPr>
                <w:rStyle w:val="62"/>
                <w:rFonts w:hint="eastAsia" w:ascii="仿宋" w:hAnsi="仿宋" w:eastAsia="仿宋" w:cs="Times New Roman"/>
                <w:color w:val="auto"/>
                <w:kern w:val="0"/>
                <w:sz w:val="24"/>
                <w:highlight w:val="none"/>
              </w:rPr>
              <w:t>5、本次采购标的对应的中小企业划分标准所属行业为其他未列明行业。</w:t>
            </w:r>
          </w:p>
        </w:tc>
      </w:tr>
    </w:tbl>
    <w:p>
      <w:pPr>
        <w:keepNext/>
        <w:keepLines/>
        <w:spacing w:line="360" w:lineRule="auto"/>
        <w:outlineLvl w:val="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1.总则</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1.1项目概况</w:t>
      </w:r>
      <w:r>
        <w:rPr>
          <w:rFonts w:hint="eastAsia" w:asciiTheme="minorEastAsia" w:hAnsiTheme="minorEastAsia" w:eastAsiaTheme="minorEastAsia" w:cstheme="minorEastAsia"/>
          <w:bCs/>
          <w:color w:val="auto"/>
          <w:sz w:val="24"/>
          <w:highlight w:val="none"/>
        </w:rPr>
        <w:tab/>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1.1.1 根据《中华人民共和国政府采购法》、《中华人民共和国政府采购法实施条例》等有关法律、法规和规章的规定，本招标项目已具备招标条件，现对本项目进行公开招标采购。</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1.1.2 招标人：见投标人须知前附表。</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1.1.3 代理机构：见投标人须知前附表。</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1.1.4 项目名称：见投标人须知前附表。</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1.1.5 最高限价：见投标人须知前附表。</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1.1.6采购方式：见投标人须知前附表。</w:t>
      </w:r>
    </w:p>
    <w:p>
      <w:pPr>
        <w:tabs>
          <w:tab w:val="left" w:pos="17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1.2资金来源和落实情况</w:t>
      </w:r>
    </w:p>
    <w:p>
      <w:pPr>
        <w:tabs>
          <w:tab w:val="left" w:pos="17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1.2.1资金来源：见投标人须知前附表。</w:t>
      </w:r>
    </w:p>
    <w:p>
      <w:pPr>
        <w:tabs>
          <w:tab w:val="left" w:pos="17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1.3 招标范围、质量要求、合同履行期限</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1.3.1 招标范围：见投标人须知前附表。</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1.3.2 服务要求：见第五章招标技术要求。</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1.3.3合同履行期限：见投标人须知前附表。</w:t>
      </w:r>
    </w:p>
    <w:p>
      <w:pPr>
        <w:tabs>
          <w:tab w:val="left" w:pos="17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1.4 投标人资格要求 </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1.4.1 投标人资格要求：见投标人须知前附表。</w:t>
      </w:r>
    </w:p>
    <w:p>
      <w:pPr>
        <w:tabs>
          <w:tab w:val="left" w:pos="181"/>
          <w:tab w:val="left" w:pos="35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1.4.2 是否接受联合体投标：见投标人须知前附表。</w:t>
      </w:r>
    </w:p>
    <w:p>
      <w:pPr>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1.4.3 投标人不得存在下列情形之一：</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(l）为招标人不具有独立法人资格的附属机构（单位）； </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(2）为本项目前期准备提供咨询服务的；</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(3）为本项目提供代理机构服务的；</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(4）与本项目的代理机构机构同为一个法定代表人的；</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(5）与本项目的代理机构机构相互控股或参股的；</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(6）与本项目的代理机构机构相互任职或工作的；</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(7）被责令停业的；</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(8）被暂停或取消投标资格的；</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(9）财产被接管或冻结的；</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(10）在最近三年内有骗取中标或严重违约情况的。</w:t>
      </w:r>
      <w:bookmarkStart w:id="0" w:name="_Toc297211670"/>
    </w:p>
    <w:p>
      <w:pPr>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1.5 付款方式</w:t>
      </w:r>
      <w:bookmarkEnd w:id="0"/>
      <w:r>
        <w:rPr>
          <w:rFonts w:hint="eastAsia" w:asciiTheme="minorEastAsia" w:hAnsiTheme="minorEastAsia" w:eastAsiaTheme="minorEastAsia" w:cstheme="minorEastAsia"/>
          <w:bCs/>
          <w:color w:val="auto"/>
          <w:sz w:val="24"/>
          <w:highlight w:val="none"/>
        </w:rPr>
        <w:t>:见投标人须知前附表。</w:t>
      </w:r>
    </w:p>
    <w:p>
      <w:pPr>
        <w:numPr>
          <w:ilvl w:val="1"/>
          <w:numId w:val="4"/>
        </w:numP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 费用承担</w:t>
      </w:r>
    </w:p>
    <w:p>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投标人准备和参加投标活动发生的费用自理。</w:t>
      </w:r>
    </w:p>
    <w:p>
      <w:pPr>
        <w:numPr>
          <w:ilvl w:val="1"/>
          <w:numId w:val="4"/>
        </w:numP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 保密</w:t>
      </w:r>
    </w:p>
    <w:p>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参与招标投标活动的各方应对招标文件和投标文件中的商业和技术等秘密保密，违者应对由此造成的后果承担法律责任。</w:t>
      </w:r>
    </w:p>
    <w:p>
      <w:pPr>
        <w:numPr>
          <w:ilvl w:val="1"/>
          <w:numId w:val="4"/>
        </w:numP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语言文字</w:t>
      </w:r>
    </w:p>
    <w:p>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除专用术语外，与招标投标有关的语言均使用中文。必要时专用术语应附有中文注释。</w:t>
      </w:r>
    </w:p>
    <w:p>
      <w:pPr>
        <w:numPr>
          <w:ilvl w:val="1"/>
          <w:numId w:val="4"/>
        </w:numP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计量单位</w:t>
      </w:r>
    </w:p>
    <w:p>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所有计量均采用中华人民共和国法定计量单位。</w:t>
      </w:r>
    </w:p>
    <w:p>
      <w:pPr>
        <w:keepNext/>
        <w:keepLines/>
        <w:spacing w:line="360" w:lineRule="auto"/>
        <w:outlineLvl w:val="1"/>
        <w:rPr>
          <w:rFonts w:asciiTheme="minorEastAsia" w:hAnsiTheme="minorEastAsia" w:eastAsiaTheme="minorEastAsia" w:cstheme="minorEastAsia"/>
          <w:b/>
          <w:color w:val="auto"/>
          <w:sz w:val="24"/>
          <w:highlight w:val="none"/>
        </w:rPr>
      </w:pPr>
      <w:bookmarkStart w:id="1" w:name="_Toc244935164"/>
      <w:bookmarkStart w:id="2" w:name="_Toc23421"/>
      <w:bookmarkStart w:id="3" w:name="_Toc234213529"/>
      <w:bookmarkStart w:id="4" w:name="_Toc26937"/>
      <w:bookmarkStart w:id="5" w:name="_Toc414956952"/>
      <w:bookmarkStart w:id="6" w:name="_Toc244934195"/>
      <w:bookmarkStart w:id="7" w:name="_Toc191983616"/>
      <w:r>
        <w:rPr>
          <w:rFonts w:hint="eastAsia" w:asciiTheme="minorEastAsia" w:hAnsiTheme="minorEastAsia" w:eastAsiaTheme="minorEastAsia" w:cstheme="minorEastAsia"/>
          <w:b/>
          <w:color w:val="auto"/>
          <w:sz w:val="24"/>
          <w:highlight w:val="none"/>
        </w:rPr>
        <w:t xml:space="preserve">2. </w:t>
      </w:r>
      <w:bookmarkEnd w:id="1"/>
      <w:bookmarkEnd w:id="2"/>
      <w:bookmarkEnd w:id="3"/>
      <w:bookmarkEnd w:id="4"/>
      <w:bookmarkEnd w:id="5"/>
      <w:bookmarkEnd w:id="6"/>
      <w:bookmarkEnd w:id="7"/>
      <w:r>
        <w:rPr>
          <w:rFonts w:hint="eastAsia" w:asciiTheme="minorEastAsia" w:hAnsiTheme="minorEastAsia" w:eastAsiaTheme="minorEastAsia" w:cstheme="minorEastAsia"/>
          <w:b/>
          <w:color w:val="auto"/>
          <w:sz w:val="24"/>
          <w:highlight w:val="none"/>
        </w:rPr>
        <w:t>招标文件</w:t>
      </w:r>
    </w:p>
    <w:p>
      <w:pPr>
        <w:spacing w:line="360" w:lineRule="auto"/>
        <w:rPr>
          <w:rFonts w:asciiTheme="minorEastAsia" w:hAnsiTheme="minorEastAsia" w:eastAsiaTheme="minorEastAsia" w:cstheme="minorEastAsia"/>
          <w:bCs/>
          <w:color w:val="auto"/>
          <w:sz w:val="24"/>
          <w:highlight w:val="none"/>
        </w:rPr>
      </w:pPr>
      <w:bookmarkStart w:id="8" w:name="_Toc297211672"/>
      <w:r>
        <w:rPr>
          <w:rFonts w:hint="eastAsia" w:asciiTheme="minorEastAsia" w:hAnsiTheme="minorEastAsia" w:eastAsiaTheme="minorEastAsia" w:cstheme="minorEastAsia"/>
          <w:bCs/>
          <w:color w:val="auto"/>
          <w:sz w:val="24"/>
          <w:highlight w:val="none"/>
        </w:rPr>
        <w:t>2.1 招标文件的组成</w:t>
      </w:r>
      <w:bookmarkEnd w:id="8"/>
    </w:p>
    <w:p>
      <w:pPr>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本招标文件包括：</w:t>
      </w:r>
    </w:p>
    <w:p>
      <w:pPr>
        <w:tabs>
          <w:tab w:val="left" w:pos="525"/>
        </w:tabs>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（1）招标公告；</w:t>
      </w:r>
    </w:p>
    <w:p>
      <w:pPr>
        <w:tabs>
          <w:tab w:val="left" w:pos="525"/>
        </w:tabs>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（2）投标人须知；</w:t>
      </w:r>
    </w:p>
    <w:p>
      <w:pPr>
        <w:tabs>
          <w:tab w:val="left" w:pos="525"/>
        </w:tabs>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（3）评标办法（综合评分法）；</w:t>
      </w:r>
    </w:p>
    <w:p>
      <w:pPr>
        <w:pStyle w:val="2"/>
        <w:ind w:firstLine="21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（4）采购内容及要求；</w:t>
      </w:r>
    </w:p>
    <w:p>
      <w:pPr>
        <w:tabs>
          <w:tab w:val="left" w:pos="525"/>
        </w:tabs>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（5）合同主要条款及格式；</w:t>
      </w:r>
    </w:p>
    <w:p>
      <w:pPr>
        <w:tabs>
          <w:tab w:val="left" w:pos="525"/>
        </w:tabs>
        <w:spacing w:line="360" w:lineRule="auto"/>
        <w:ind w:firstLine="240" w:firstLineChars="1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（6）投标文件格式；</w:t>
      </w:r>
    </w:p>
    <w:p>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根据本章第 2.2.1款和第 2.2.2 款对招标文件所作的澄清、修改，构成招标文件的组成部分。</w:t>
      </w:r>
    </w:p>
    <w:p>
      <w:pPr>
        <w:tabs>
          <w:tab w:val="left" w:pos="170"/>
        </w:tabs>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2.2 招标文件的澄清</w:t>
      </w:r>
    </w:p>
    <w:p>
      <w:pPr>
        <w:spacing w:line="360" w:lineRule="auto"/>
        <w:ind w:firstLine="480" w:firstLineChars="200"/>
        <w:rPr>
          <w:rFonts w:asciiTheme="minorEastAsia" w:hAnsiTheme="minorEastAsia" w:eastAsiaTheme="minorEastAsia" w:cstheme="minorEastAsia"/>
          <w:b/>
          <w:bCs/>
          <w:color w:val="auto"/>
          <w:sz w:val="24"/>
          <w:highlight w:val="none"/>
        </w:rPr>
      </w:pPr>
      <w:bookmarkStart w:id="9" w:name="_Toc414956953"/>
      <w:r>
        <w:rPr>
          <w:rFonts w:hint="eastAsia" w:asciiTheme="minorEastAsia" w:hAnsiTheme="minorEastAsia" w:eastAsiaTheme="minorEastAsia" w:cstheme="minorEastAsia"/>
          <w:color w:val="auto"/>
          <w:sz w:val="24"/>
          <w:highlight w:val="none"/>
        </w:rPr>
        <w:t>2.2.1投标人应仔细阅读和检查招标文件的全部内容。如发现缺页或附件不全，应及时向招标人提出，以便补齐。</w:t>
      </w:r>
      <w:r>
        <w:rPr>
          <w:rFonts w:hint="eastAsia" w:asciiTheme="minorEastAsia" w:hAnsiTheme="minorEastAsia" w:eastAsiaTheme="minorEastAsia" w:cstheme="minorEastAsia"/>
          <w:b/>
          <w:bCs/>
          <w:color w:val="auto"/>
          <w:sz w:val="24"/>
          <w:highlight w:val="none"/>
        </w:rPr>
        <w:t>如有疑问，应在投标人须知前附表规定的时间前以书面形式（包括信函、电报、传真等可以有形表现所载内容的形式，下同），要求招标人对招标文件予以澄清。</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 招标文件的澄清将在投标人须知前附表规定的投标截止时间15天前在新郑市公共资源交易系统</w:t>
      </w:r>
      <w:r>
        <w:rPr>
          <w:rFonts w:hint="eastAsia" w:asciiTheme="minorEastAsia" w:hAnsiTheme="minorEastAsia" w:eastAsiaTheme="minorEastAsia" w:cstheme="minorEastAsia"/>
          <w:b/>
          <w:bCs/>
          <w:color w:val="auto"/>
          <w:sz w:val="24"/>
          <w:highlight w:val="none"/>
        </w:rPr>
        <w:t>“变更公告”或“答疑文件”</w:t>
      </w:r>
      <w:r>
        <w:rPr>
          <w:rFonts w:hint="eastAsia" w:asciiTheme="minorEastAsia" w:hAnsiTheme="minorEastAsia" w:eastAsiaTheme="minorEastAsia" w:cstheme="minorEastAsia"/>
          <w:color w:val="auto"/>
          <w:sz w:val="24"/>
          <w:highlight w:val="none"/>
        </w:rPr>
        <w:t>将澄清内容予以发布，但不指明澄清问题的来源。如果澄清的内容可能影响投标文件编制且发出的时间距投标截止时间不足15天，相应延长投标截止时间。</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2.2.3投标人应在投标文件递交截止时间前及时查看澄清内容，因投标人未及时查看而造成的后果自负。</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Cs/>
          <w:color w:val="auto"/>
          <w:sz w:val="24"/>
          <w:highlight w:val="none"/>
        </w:rPr>
        <w:t>2.3.1在投标截止时间15天前，招标人可以修改招标文件。如有修改，应在新郑市公共资源交易系统“变更公告”或“答疑文件”将修改内容予以发布。如果修改的内容可能影响投标文件编制且发出的时间距投标截止时间不足15天，相应延长投标截止时间。</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2.3.2当招标文件的澄清、修改、补充等在同一内容的表述上不一致时，以最后在新郑市公共资源交易系统发出的文件为准。</w:t>
      </w:r>
    </w:p>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2.3.3投标人应在投标文件递交截止时间前及时查看修改内容，因投标人未及时查看而造成的后果自负。</w:t>
      </w:r>
    </w:p>
    <w:p>
      <w:pPr>
        <w:spacing w:line="360" w:lineRule="auto"/>
        <w:rPr>
          <w:rFonts w:asciiTheme="minorEastAsia" w:hAnsiTheme="minorEastAsia" w:eastAsiaTheme="minorEastAsia" w:cstheme="minorEastAsia"/>
          <w:b/>
          <w:bCs/>
          <w:color w:val="auto"/>
          <w:sz w:val="24"/>
          <w:highlight w:val="none"/>
        </w:rPr>
      </w:pPr>
      <w:bookmarkStart w:id="10" w:name="_Toc17189"/>
      <w:r>
        <w:rPr>
          <w:rFonts w:hint="eastAsia" w:asciiTheme="minorEastAsia" w:hAnsiTheme="minorEastAsia" w:eastAsiaTheme="minorEastAsia" w:cstheme="minorEastAsia"/>
          <w:b/>
          <w:bCs/>
          <w:color w:val="auto"/>
          <w:sz w:val="24"/>
          <w:highlight w:val="none"/>
        </w:rPr>
        <w:t xml:space="preserve">3. </w:t>
      </w:r>
      <w:bookmarkEnd w:id="9"/>
      <w:bookmarkEnd w:id="10"/>
      <w:r>
        <w:rPr>
          <w:rFonts w:hint="eastAsia" w:asciiTheme="minorEastAsia" w:hAnsiTheme="minorEastAsia" w:eastAsiaTheme="minorEastAsia" w:cstheme="minorEastAsia"/>
          <w:b/>
          <w:bCs/>
          <w:color w:val="auto"/>
          <w:sz w:val="24"/>
          <w:highlight w:val="none"/>
        </w:rPr>
        <w:t>投标文件</w:t>
      </w:r>
    </w:p>
    <w:p>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3.1投标文件的组成</w:t>
      </w:r>
    </w:p>
    <w:p>
      <w:pPr>
        <w:spacing w:line="360" w:lineRule="auto"/>
        <w:ind w:firstLine="480" w:firstLineChars="200"/>
        <w:rPr>
          <w:rFonts w:asciiTheme="minorEastAsia" w:hAnsiTheme="minorEastAsia" w:eastAsiaTheme="minorEastAsia" w:cstheme="minorEastAsia"/>
          <w:color w:val="auto"/>
          <w:sz w:val="24"/>
          <w:highlight w:val="none"/>
        </w:rPr>
      </w:pPr>
      <w:bookmarkStart w:id="11" w:name="_Toc297211674"/>
      <w:r>
        <w:rPr>
          <w:rFonts w:hint="eastAsia" w:asciiTheme="minorEastAsia" w:hAnsiTheme="minorEastAsia" w:eastAsiaTheme="minorEastAsia" w:cstheme="minorEastAsia"/>
          <w:color w:val="auto"/>
          <w:sz w:val="24"/>
          <w:highlight w:val="none"/>
        </w:rPr>
        <w:t>详见招标文件第六章“投标文件格式”。</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投标报价</w:t>
      </w:r>
      <w:bookmarkEnd w:id="11"/>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3.2.1参加投标的投标人投标报价，最终结算时以人民币为结算单位，包括税金及其他所有费用的总和，只能有一个报价。本次报价为一次性不可更改的报价，代理机构不接受有任何可选择性的报价。</w:t>
      </w:r>
    </w:p>
    <w:p>
      <w:pPr>
        <w:spacing w:line="400" w:lineRule="exact"/>
        <w:ind w:firstLine="422"/>
        <w:outlineLvl w:val="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 xml:space="preserve">3.3 </w:t>
      </w:r>
      <w:r>
        <w:rPr>
          <w:rFonts w:hint="eastAsia" w:asciiTheme="minorEastAsia" w:hAnsiTheme="minorEastAsia" w:eastAsiaTheme="minorEastAsia" w:cstheme="minorEastAsia"/>
          <w:color w:val="auto"/>
          <w:sz w:val="24"/>
          <w:highlight w:val="none"/>
          <w:lang w:val="zh-CN"/>
        </w:rPr>
        <w:t>小型微型企业认定及评标价格评审</w:t>
      </w:r>
    </w:p>
    <w:tbl>
      <w:tblPr>
        <w:tblStyle w:val="24"/>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ign w:val="center"/>
          </w:tcPr>
          <w:p>
            <w:pPr>
              <w:spacing w:line="400" w:lineRule="exact"/>
              <w:ind w:firstLine="42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内容</w:t>
            </w:r>
          </w:p>
        </w:tc>
        <w:tc>
          <w:tcPr>
            <w:tcW w:w="1561" w:type="dxa"/>
            <w:noWrap/>
            <w:vAlign w:val="center"/>
          </w:tcPr>
          <w:p>
            <w:pPr>
              <w:spacing w:line="400" w:lineRule="exac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大型企业</w:t>
            </w:r>
          </w:p>
        </w:tc>
        <w:tc>
          <w:tcPr>
            <w:tcW w:w="1492" w:type="dxa"/>
            <w:noWrap/>
            <w:vAlign w:val="center"/>
          </w:tcPr>
          <w:p>
            <w:pPr>
              <w:spacing w:line="400" w:lineRule="exac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中型企业</w:t>
            </w:r>
          </w:p>
        </w:tc>
        <w:tc>
          <w:tcPr>
            <w:tcW w:w="2273" w:type="dxa"/>
            <w:noWrap/>
            <w:vAlign w:val="center"/>
          </w:tcPr>
          <w:p>
            <w:pPr>
              <w:spacing w:line="400" w:lineRule="exact"/>
              <w:ind w:firstLine="42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小型企业</w:t>
            </w:r>
          </w:p>
        </w:tc>
        <w:tc>
          <w:tcPr>
            <w:tcW w:w="2094" w:type="dxa"/>
            <w:noWrap/>
            <w:vAlign w:val="center"/>
          </w:tcPr>
          <w:p>
            <w:pPr>
              <w:spacing w:line="400" w:lineRule="exact"/>
              <w:ind w:firstLine="42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ign w:val="center"/>
          </w:tcPr>
          <w:p>
            <w:pPr>
              <w:spacing w:line="400" w:lineRule="exact"/>
              <w:ind w:firstLine="42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价格</w:t>
            </w:r>
          </w:p>
        </w:tc>
        <w:tc>
          <w:tcPr>
            <w:tcW w:w="1561" w:type="dxa"/>
            <w:noWrap/>
            <w:vAlign w:val="center"/>
          </w:tcPr>
          <w:p>
            <w:pPr>
              <w:spacing w:line="400" w:lineRule="exact"/>
              <w:ind w:firstLine="42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报价</w:t>
            </w:r>
          </w:p>
        </w:tc>
        <w:tc>
          <w:tcPr>
            <w:tcW w:w="1492" w:type="dxa"/>
            <w:noWrap/>
            <w:vAlign w:val="center"/>
          </w:tcPr>
          <w:p>
            <w:pPr>
              <w:spacing w:line="400" w:lineRule="exact"/>
              <w:ind w:firstLine="42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报价</w:t>
            </w:r>
          </w:p>
        </w:tc>
        <w:tc>
          <w:tcPr>
            <w:tcW w:w="2273" w:type="dxa"/>
            <w:noWrap/>
            <w:vAlign w:val="center"/>
          </w:tcPr>
          <w:p>
            <w:pPr>
              <w:spacing w:line="400" w:lineRule="exact"/>
              <w:ind w:firstLine="42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报价×（1-</w:t>
            </w: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lang w:val="zh-CN"/>
              </w:rPr>
              <w:t>%）</w:t>
            </w:r>
          </w:p>
        </w:tc>
        <w:tc>
          <w:tcPr>
            <w:tcW w:w="2094" w:type="dxa"/>
            <w:noWrap/>
            <w:vAlign w:val="center"/>
          </w:tcPr>
          <w:p>
            <w:pPr>
              <w:spacing w:line="400" w:lineRule="exact"/>
              <w:ind w:firstLine="42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报价×（1-</w:t>
            </w: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lang w:val="zh-CN"/>
              </w:rPr>
              <w:t>%）</w:t>
            </w:r>
          </w:p>
        </w:tc>
      </w:tr>
    </w:tbl>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w:t>
      </w:r>
      <w:r>
        <w:rPr>
          <w:rFonts w:hint="eastAsia" w:asciiTheme="minorEastAsia" w:hAnsiTheme="minorEastAsia" w:eastAsiaTheme="minorEastAsia" w:cstheme="minorEastAsia"/>
          <w:color w:val="auto"/>
          <w:sz w:val="24"/>
          <w:highlight w:val="none"/>
          <w:lang w:val="zh-CN"/>
        </w:rPr>
        <w:t>根据《政府采购促进中小企业发展管理办法》（财库[20</w:t>
      </w:r>
      <w:r>
        <w:rPr>
          <w:rFonts w:hint="eastAsia" w:asciiTheme="minorEastAsia" w:hAnsiTheme="minorEastAsia" w:eastAsiaTheme="minorEastAsia" w:cstheme="minorEastAsia"/>
          <w:color w:val="auto"/>
          <w:sz w:val="24"/>
          <w:highlight w:val="none"/>
        </w:rPr>
        <w:t>20</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46</w:t>
      </w:r>
      <w:r>
        <w:rPr>
          <w:rFonts w:hint="eastAsia" w:asciiTheme="minorEastAsia" w:hAnsiTheme="minorEastAsia" w:eastAsiaTheme="minorEastAsia" w:cstheme="minorEastAsia"/>
          <w:color w:val="auto"/>
          <w:sz w:val="24"/>
          <w:highlight w:val="none"/>
          <w:lang w:val="zh-CN"/>
        </w:rPr>
        <w:t>号）的规定、《工业和信息化部、国家统计局、国家发展和改革委员会、财政部关于印发中小企业划型标准规定的通知》（工信部联企业[</w:t>
      </w:r>
      <w:r>
        <w:rPr>
          <w:rFonts w:hint="eastAsia" w:asciiTheme="minorEastAsia" w:hAnsiTheme="minorEastAsia" w:eastAsiaTheme="minorEastAsia" w:cstheme="minorEastAsia"/>
          <w:color w:val="auto"/>
          <w:sz w:val="24"/>
          <w:highlight w:val="none"/>
        </w:rPr>
        <w:t>20</w:t>
      </w:r>
      <w:r>
        <w:rPr>
          <w:rFonts w:hint="eastAsia" w:asciiTheme="minorEastAsia" w:hAnsiTheme="minorEastAsia" w:eastAsiaTheme="minorEastAsia" w:cstheme="minorEastAsia"/>
          <w:color w:val="auto"/>
          <w:sz w:val="24"/>
          <w:highlight w:val="none"/>
          <w:lang w:val="zh-CN"/>
        </w:rPr>
        <w:t>11]300号）、河南省财政厅河南省工业和信息化厅《关于政府采购促进小型微型企业发展的实施意见》（豫财购[</w:t>
      </w:r>
      <w:r>
        <w:rPr>
          <w:rFonts w:hint="eastAsia" w:asciiTheme="minorEastAsia" w:hAnsiTheme="minorEastAsia" w:eastAsiaTheme="minorEastAsia" w:cstheme="minorEastAsia"/>
          <w:color w:val="auto"/>
          <w:sz w:val="24"/>
          <w:highlight w:val="none"/>
        </w:rPr>
        <w:t>20</w:t>
      </w:r>
      <w:r>
        <w:rPr>
          <w:rFonts w:hint="eastAsia" w:asciiTheme="minorEastAsia" w:hAnsiTheme="minorEastAsia" w:eastAsiaTheme="minorEastAsia" w:cstheme="minorEastAsia"/>
          <w:color w:val="auto"/>
          <w:sz w:val="24"/>
          <w:highlight w:val="none"/>
          <w:lang w:val="zh-CN"/>
        </w:rPr>
        <w:t>13]14号）</w:t>
      </w:r>
      <w:r>
        <w:rPr>
          <w:rFonts w:hint="eastAsia" w:asciiTheme="minorEastAsia" w:hAnsiTheme="minorEastAsia" w:eastAsiaTheme="minorEastAsia" w:cstheme="minorEastAsia"/>
          <w:color w:val="auto"/>
          <w:sz w:val="24"/>
          <w:highlight w:val="none"/>
        </w:rPr>
        <w:t>《潢川县财政局关于进一步加大政府采购支持中小企业力度的通知》</w:t>
      </w:r>
      <w:r>
        <w:rPr>
          <w:rFonts w:hint="eastAsia" w:asciiTheme="minorEastAsia" w:hAnsiTheme="minorEastAsia" w:eastAsiaTheme="minorEastAsia" w:cstheme="minorEastAsia"/>
          <w:color w:val="auto"/>
          <w:sz w:val="24"/>
          <w:highlight w:val="none"/>
          <w:lang w:val="zh-CN"/>
        </w:rPr>
        <w:t>文件规定，对小型和微型企业产品的价格给予</w:t>
      </w: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lang w:val="zh-CN"/>
        </w:rPr>
        <w:t>%的扣除，用扣除后的价格参与评审。</w:t>
      </w:r>
    </w:p>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spacing w:line="400" w:lineRule="exact"/>
        <w:ind w:firstLine="422"/>
        <w:jc w:val="left"/>
        <w:outlineLvl w:val="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3.4投标有效期</w:t>
      </w:r>
    </w:p>
    <w:p>
      <w:pPr>
        <w:spacing w:line="400" w:lineRule="exact"/>
        <w:ind w:firstLine="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3.4.1在投标人须知前附表规定的投标有效期内，投标人不得要求撤销或修改其投标文件。</w:t>
      </w:r>
    </w:p>
    <w:p>
      <w:pPr>
        <w:spacing w:line="400" w:lineRule="exact"/>
        <w:ind w:firstLine="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3.4.2出现特殊情况需要延长投标有效期的，招标人以书面形式通知所有投标人延长投标有效期。投标人同意延长的，不得要求或被允许修改或撤销其投标文件；投标人拒绝延长的，其投标失效。</w:t>
      </w:r>
    </w:p>
    <w:p>
      <w:pPr>
        <w:spacing w:line="400" w:lineRule="exact"/>
        <w:ind w:firstLine="422"/>
        <w:outlineLvl w:val="2"/>
        <w:rPr>
          <w:rFonts w:asciiTheme="minorEastAsia" w:hAnsiTheme="minorEastAsia" w:eastAsiaTheme="minorEastAsia" w:cstheme="minorEastAsia"/>
          <w:color w:val="auto"/>
          <w:sz w:val="24"/>
          <w:highlight w:val="none"/>
        </w:rPr>
      </w:pPr>
      <w:bookmarkStart w:id="12" w:name="_Toc297211678"/>
      <w:r>
        <w:rPr>
          <w:rFonts w:hint="eastAsia" w:asciiTheme="minorEastAsia" w:hAnsiTheme="minorEastAsia" w:eastAsiaTheme="minorEastAsia" w:cstheme="minorEastAsia"/>
          <w:color w:val="auto"/>
          <w:sz w:val="24"/>
          <w:highlight w:val="none"/>
        </w:rPr>
        <w:t>3.</w:t>
      </w:r>
      <w:bookmarkEnd w:id="12"/>
      <w:r>
        <w:rPr>
          <w:rFonts w:hint="eastAsia" w:asciiTheme="minorEastAsia" w:hAnsiTheme="minorEastAsia" w:eastAsiaTheme="minorEastAsia" w:cstheme="minorEastAsia"/>
          <w:color w:val="auto"/>
          <w:sz w:val="24"/>
          <w:highlight w:val="none"/>
        </w:rPr>
        <w:t>5、投标文件的制作</w:t>
      </w:r>
    </w:p>
    <w:p>
      <w:pPr>
        <w:pStyle w:val="47"/>
        <w:ind w:left="63" w:right="63" w:firstLine="240"/>
        <w:rPr>
          <w:rFonts w:asciiTheme="minorEastAsia" w:hAnsiTheme="minorEastAsia" w:eastAsiaTheme="minorEastAsia" w:cstheme="minorEastAsia"/>
          <w:color w:val="auto"/>
          <w:sz w:val="24"/>
          <w:highlight w:val="none"/>
        </w:rPr>
      </w:pPr>
      <w:bookmarkStart w:id="13" w:name="_Toc16544"/>
      <w:bookmarkStart w:id="14" w:name="_Toc191983618"/>
      <w:bookmarkStart w:id="15" w:name="_Toc10958"/>
      <w:bookmarkStart w:id="16" w:name="_Toc20364"/>
      <w:bookmarkStart w:id="17" w:name="_Toc234213531"/>
      <w:bookmarkStart w:id="18" w:name="_Toc244935166"/>
      <w:bookmarkStart w:id="19" w:name="_Toc22236"/>
      <w:bookmarkStart w:id="20" w:name="_Toc244934197"/>
      <w:r>
        <w:rPr>
          <w:rStyle w:val="62"/>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3.5.1 投标文件应按第六章“投标文件格式”进行编写，如有必要，可以增加附页，作为投标文件的组成部分。其中，投标函附录在满足招标文件实质性要求的基础上，可以提出比招标文件要求更有利于招标人的承诺。</w:t>
      </w:r>
    </w:p>
    <w:p>
      <w:pPr>
        <w:tabs>
          <w:tab w:val="left" w:pos="420"/>
        </w:tabs>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3.5.2投标人通过“新郑市公共资源交易网（http://www.xzggzy.cn/BidOpening/bidopeninghallaction/hall/login）”网站下载中心栏目内下载或招标文件领取页面下载“投标文件制作工具软件”。</w:t>
      </w:r>
    </w:p>
    <w:p>
      <w:pPr>
        <w:tabs>
          <w:tab w:val="left" w:pos="42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3.5.3使用“投标文件制作工具软件”软件制作生成加密版的电子投标文件，软件操作手册可在网站下载中心下载或打开软件后在右上角菜单内领取。</w:t>
      </w:r>
    </w:p>
    <w:p>
      <w:pPr>
        <w:tabs>
          <w:tab w:val="left" w:pos="42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3.5.4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子唱标的开标一览表内容为准。）</w:t>
      </w:r>
    </w:p>
    <w:p>
      <w:pPr>
        <w:tabs>
          <w:tab w:val="left" w:pos="42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3.5.5 招标文件格式所要求包含的全部资料应全部制作在投标文件内，严格按照本项目招标文件所有格式如实填写（不涉及的内容除外），不应存在漏项或缺项，否则将存在投标文件被拒绝的风险。</w:t>
      </w:r>
    </w:p>
    <w:p>
      <w:pPr>
        <w:tabs>
          <w:tab w:val="left" w:pos="42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3.5.6投标人编辑电子投标文件时，最后一步生成电子投标文件时，请使用本单位的企业 CA 数字证书。</w:t>
      </w:r>
    </w:p>
    <w:p>
      <w:pPr>
        <w:spacing w:line="360" w:lineRule="auto"/>
        <w:ind w:firstLine="456" w:firstLineChars="19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3.5.7投标人应按照招标文件的要求，规范、明确、准时的提交投标文件。如果没有按照招标文件的要求提交全部资料并保证所提供全部资料的真实性，或没有对招标文件做出实质性响应，其风险应由投标人自行承担。</w:t>
      </w:r>
    </w:p>
    <w:p>
      <w:pPr>
        <w:rPr>
          <w:b/>
          <w:bCs/>
          <w:color w:val="auto"/>
          <w:sz w:val="24"/>
          <w:highlight w:val="none"/>
        </w:rPr>
      </w:pPr>
      <w:r>
        <w:rPr>
          <w:rFonts w:hint="eastAsia"/>
          <w:b/>
          <w:bCs/>
          <w:color w:val="auto"/>
          <w:sz w:val="24"/>
          <w:highlight w:val="none"/>
        </w:rPr>
        <w:t>4. 投标</w:t>
      </w:r>
      <w:bookmarkEnd w:id="13"/>
      <w:bookmarkEnd w:id="14"/>
      <w:bookmarkEnd w:id="15"/>
      <w:bookmarkEnd w:id="16"/>
      <w:bookmarkEnd w:id="17"/>
      <w:bookmarkEnd w:id="18"/>
      <w:bookmarkEnd w:id="19"/>
      <w:bookmarkEnd w:id="20"/>
    </w:p>
    <w:p>
      <w:pPr>
        <w:rPr>
          <w:color w:val="auto"/>
          <w:sz w:val="24"/>
          <w:highlight w:val="none"/>
        </w:rPr>
      </w:pPr>
      <w:bookmarkStart w:id="21" w:name="_Toc17937"/>
      <w:bookmarkStart w:id="22" w:name="_Toc27558"/>
      <w:bookmarkStart w:id="23" w:name="_Toc21067"/>
      <w:r>
        <w:rPr>
          <w:rFonts w:hint="eastAsia"/>
          <w:color w:val="auto"/>
          <w:sz w:val="24"/>
          <w:highlight w:val="none"/>
        </w:rPr>
        <w:t>4.1 投标文件的上传</w:t>
      </w:r>
      <w:bookmarkEnd w:id="21"/>
      <w:bookmarkEnd w:id="22"/>
      <w:bookmarkEnd w:id="23"/>
    </w:p>
    <w:p>
      <w:pPr>
        <w:rPr>
          <w:color w:val="auto"/>
          <w:sz w:val="24"/>
          <w:highlight w:val="none"/>
        </w:rPr>
      </w:pPr>
      <w:r>
        <w:rPr>
          <w:rFonts w:hint="eastAsia"/>
          <w:color w:val="auto"/>
          <w:sz w:val="24"/>
          <w:highlight w:val="none"/>
        </w:rPr>
        <w:t>4.1.1网上上传的电子投标文件应使用投标人数字证书认证并加密。</w:t>
      </w:r>
    </w:p>
    <w:p>
      <w:pPr>
        <w:rPr>
          <w:color w:val="auto"/>
          <w:sz w:val="24"/>
          <w:highlight w:val="none"/>
        </w:rPr>
      </w:pPr>
      <w:bookmarkStart w:id="24" w:name="_Toc16135"/>
      <w:bookmarkStart w:id="25" w:name="_Toc14497"/>
      <w:bookmarkStart w:id="26" w:name="_Toc1997"/>
      <w:r>
        <w:rPr>
          <w:rFonts w:hint="eastAsia"/>
          <w:color w:val="auto"/>
          <w:sz w:val="24"/>
          <w:highlight w:val="none"/>
        </w:rPr>
        <w:t>4.2 投标文件的递交</w:t>
      </w:r>
      <w:bookmarkEnd w:id="24"/>
      <w:bookmarkEnd w:id="25"/>
      <w:bookmarkEnd w:id="26"/>
    </w:p>
    <w:p>
      <w:pPr>
        <w:pStyle w:val="2"/>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4.2.1电子投标文件的递交</w:t>
      </w:r>
    </w:p>
    <w:p>
      <w:pPr>
        <w:pStyle w:val="2"/>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各投标人应在投标截止时间前上传加密的电子投标文件到系统的指定位置。上传的电子投标文件应使用投标人CA数字证书认证并加密。上传时必须得到交易系统“上传成功”的确认回复后方为上传成功。请投标人在上传前务必认真检查上传投标文件是否完整、正确。</w:t>
      </w:r>
    </w:p>
    <w:p>
      <w:pPr>
        <w:pStyle w:val="5"/>
        <w:numPr>
          <w:ilvl w:val="1"/>
          <w:numId w:val="0"/>
        </w:numPr>
        <w:spacing w:line="400" w:lineRule="exact"/>
        <w:rPr>
          <w:rFonts w:asciiTheme="minorEastAsia" w:hAnsiTheme="minorEastAsia" w:eastAsiaTheme="minorEastAsia" w:cstheme="minorEastAsia"/>
          <w:color w:val="auto"/>
          <w:sz w:val="24"/>
          <w:highlight w:val="none"/>
        </w:rPr>
      </w:pPr>
      <w:bookmarkStart w:id="27" w:name="_Toc7283"/>
      <w:bookmarkStart w:id="28" w:name="_Toc13304"/>
      <w:bookmarkStart w:id="29" w:name="_Toc23893"/>
      <w:r>
        <w:rPr>
          <w:rFonts w:hint="eastAsia" w:asciiTheme="minorEastAsia" w:hAnsiTheme="minorEastAsia" w:eastAsiaTheme="minorEastAsia" w:cstheme="minorEastAsia"/>
          <w:color w:val="auto"/>
          <w:sz w:val="24"/>
          <w:highlight w:val="none"/>
        </w:rPr>
        <w:t>4.3 投标文件的修改与撤回</w:t>
      </w:r>
      <w:bookmarkEnd w:id="27"/>
      <w:bookmarkEnd w:id="28"/>
      <w:bookmarkEnd w:id="29"/>
    </w:p>
    <w:p>
      <w:pPr>
        <w:pStyle w:val="2"/>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4.3.1 在第一章“招标公告”规定的投标截止时间前，投标人可以多次修改或撤回已递交的投标文件，最终投标文件以投标截止时间前完成上传至新郑市公共资源交易中心交易系统最后一份投标文件为准。</w:t>
      </w:r>
    </w:p>
    <w:p>
      <w:pPr>
        <w:pStyle w:val="2"/>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4.3.2修改的投标文件应按照本章第3.5条、第4.2条规定进行制作和递交。</w:t>
      </w:r>
    </w:p>
    <w:p>
      <w:pPr>
        <w:pStyle w:val="5"/>
        <w:numPr>
          <w:ilvl w:val="1"/>
          <w:numId w:val="0"/>
        </w:numPr>
        <w:spacing w:line="400" w:lineRule="exact"/>
        <w:rPr>
          <w:rFonts w:asciiTheme="minorEastAsia" w:hAnsiTheme="minorEastAsia" w:eastAsiaTheme="minorEastAsia" w:cstheme="minorEastAsia"/>
          <w:b/>
          <w:color w:val="auto"/>
          <w:sz w:val="24"/>
          <w:highlight w:val="none"/>
        </w:rPr>
      </w:pPr>
      <w:bookmarkStart w:id="30" w:name="_Toc19095"/>
      <w:bookmarkStart w:id="31" w:name="_Toc244934198"/>
      <w:bookmarkStart w:id="32" w:name="_Toc244935167"/>
      <w:bookmarkStart w:id="33" w:name="_Toc30159"/>
      <w:bookmarkStart w:id="34" w:name="_Toc25793"/>
      <w:bookmarkStart w:id="35" w:name="_Toc31005"/>
      <w:bookmarkStart w:id="36" w:name="_Toc191983619"/>
      <w:bookmarkStart w:id="37" w:name="_Toc234213532"/>
      <w:r>
        <w:rPr>
          <w:rFonts w:hint="eastAsia" w:asciiTheme="minorEastAsia" w:hAnsiTheme="minorEastAsia" w:eastAsiaTheme="minorEastAsia" w:cstheme="minorEastAsia"/>
          <w:b/>
          <w:color w:val="auto"/>
          <w:sz w:val="24"/>
          <w:highlight w:val="none"/>
        </w:rPr>
        <w:t>5. 开标</w:t>
      </w:r>
      <w:bookmarkEnd w:id="30"/>
      <w:bookmarkEnd w:id="31"/>
      <w:bookmarkEnd w:id="32"/>
      <w:bookmarkEnd w:id="33"/>
      <w:bookmarkEnd w:id="34"/>
      <w:bookmarkEnd w:id="35"/>
      <w:bookmarkEnd w:id="36"/>
      <w:bookmarkEnd w:id="37"/>
    </w:p>
    <w:p>
      <w:pPr>
        <w:spacing w:line="400" w:lineRule="exact"/>
        <w:ind w:firstLine="422"/>
        <w:outlineLvl w:val="2"/>
        <w:rPr>
          <w:rFonts w:asciiTheme="minorEastAsia" w:hAnsiTheme="minorEastAsia" w:eastAsiaTheme="minorEastAsia" w:cstheme="minorEastAsia"/>
          <w:bCs/>
          <w:color w:val="auto"/>
          <w:sz w:val="24"/>
          <w:highlight w:val="none"/>
        </w:rPr>
      </w:pPr>
      <w:bookmarkStart w:id="38" w:name="_Toc297211680"/>
      <w:r>
        <w:rPr>
          <w:rFonts w:hint="eastAsia" w:asciiTheme="minorEastAsia" w:hAnsiTheme="minorEastAsia" w:eastAsiaTheme="minorEastAsia" w:cstheme="minorEastAsia"/>
          <w:bCs/>
          <w:color w:val="auto"/>
          <w:sz w:val="24"/>
          <w:highlight w:val="none"/>
        </w:rPr>
        <w:t>5.1开标时间和地点</w:t>
      </w:r>
      <w:bookmarkEnd w:id="38"/>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招标人在规定的投标截止时间（开标时间）和投标人须知前附表规定的地点公开开标。</w:t>
      </w:r>
    </w:p>
    <w:p>
      <w:pPr>
        <w:spacing w:line="400" w:lineRule="exact"/>
        <w:ind w:firstLine="422"/>
        <w:outlineLvl w:val="2"/>
        <w:rPr>
          <w:rFonts w:asciiTheme="minorEastAsia" w:hAnsiTheme="minorEastAsia" w:eastAsiaTheme="minorEastAsia" w:cstheme="minorEastAsia"/>
          <w:bCs/>
          <w:color w:val="auto"/>
          <w:sz w:val="24"/>
          <w:highlight w:val="none"/>
        </w:rPr>
      </w:pPr>
      <w:bookmarkStart w:id="39" w:name="_Toc297211681"/>
      <w:r>
        <w:rPr>
          <w:rFonts w:hint="eastAsia" w:asciiTheme="minorEastAsia" w:hAnsiTheme="minorEastAsia" w:eastAsiaTheme="minorEastAsia" w:cstheme="minorEastAsia"/>
          <w:bCs/>
          <w:color w:val="auto"/>
          <w:sz w:val="24"/>
          <w:highlight w:val="none"/>
        </w:rPr>
        <w:t>5.2 开标程序</w:t>
      </w:r>
      <w:bookmarkEnd w:id="39"/>
    </w:p>
    <w:p>
      <w:pPr>
        <w:spacing w:line="44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  5.2.1本项目采用“不见面开标”交易方式，不见面开标大厅网址为 </w:t>
      </w:r>
      <w:r>
        <w:rPr>
          <w:color w:val="auto"/>
          <w:highlight w:val="none"/>
        </w:rPr>
        <w:fldChar w:fldCharType="begin"/>
      </w:r>
      <w:r>
        <w:rPr>
          <w:color w:val="auto"/>
          <w:highlight w:val="none"/>
        </w:rPr>
        <w:instrText xml:space="preserve"> HYPERLINK "http://117.158.91.68:8095/xxhy，投标人无需寄送和递交非加密的电子投标文件，无需到现场参加开标会议，无需到达现场提交原件资料。" </w:instrText>
      </w:r>
      <w:r>
        <w:rPr>
          <w:color w:val="auto"/>
          <w:highlight w:val="none"/>
        </w:rPr>
        <w:fldChar w:fldCharType="separate"/>
      </w:r>
      <w:r>
        <w:rPr>
          <w:rFonts w:hint="eastAsia" w:asciiTheme="minorEastAsia" w:hAnsiTheme="minorEastAsia" w:eastAsiaTheme="minorEastAsia" w:cstheme="minorEastAsia"/>
          <w:bCs/>
          <w:color w:val="auto"/>
          <w:sz w:val="24"/>
          <w:highlight w:val="none"/>
        </w:rPr>
        <w:t>（http://www.xzggzy.cn/BidOpening/bidopeninghallaction/hall/login），投标人无需寄送和递交非加密的电子投标文件，无需到现场参加开标会议，无需到达现场提交原件资料。</w:t>
      </w:r>
      <w:r>
        <w:rPr>
          <w:rFonts w:hint="eastAsia" w:asciiTheme="minorEastAsia" w:hAnsiTheme="minorEastAsia" w:eastAsiaTheme="minorEastAsia" w:cstheme="minorEastAsia"/>
          <w:bCs/>
          <w:color w:val="auto"/>
          <w:sz w:val="24"/>
          <w:highlight w:val="none"/>
        </w:rPr>
        <w:fldChar w:fldCharType="end"/>
      </w:r>
    </w:p>
    <w:p>
      <w:pPr>
        <w:spacing w:line="44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投标人应当在投标截止时间前，使用投标人CA数字证书登录不见面开标大厅，在线签到并准时参加开标活动，并在规定时间内完成投标文件解密、答疑澄清等。</w:t>
      </w:r>
    </w:p>
    <w:p>
      <w:pPr>
        <w:spacing w:line="44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需在解密开始后10分钟内完成解密（当投标人过多时，解密时间可以适当延长）。在投标文件解密过程中，因投标人原因（如投标人准备不到位、电脑网络问题等），造成无法及时解密的，将被退回投标文件。</w:t>
      </w:r>
    </w:p>
    <w:p>
      <w:pPr>
        <w:spacing w:line="44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不见面开标服务的具体事宜，请查阅新郑市公共资源交易中心网站首页—下载中心—新郑市不见面开标大厅系统操作手册 。</w:t>
      </w:r>
    </w:p>
    <w:p>
      <w:pPr>
        <w:spacing w:line="44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开标过程中，投标人如有异议，须在开标结束前通过系统提出，否则视同认可开标记录。开标结束后，对开标记录的任何异议不再接受。 </w:t>
      </w:r>
    </w:p>
    <w:p>
      <w:pPr>
        <w:pStyle w:val="3"/>
        <w:spacing w:line="400" w:lineRule="exact"/>
        <w:ind w:firstLine="422"/>
        <w:rPr>
          <w:rFonts w:asciiTheme="minorEastAsia" w:hAnsiTheme="minorEastAsia" w:eastAsiaTheme="minorEastAsia" w:cstheme="minorEastAsia"/>
          <w:bCs/>
          <w:color w:val="auto"/>
          <w:sz w:val="24"/>
          <w:highlight w:val="none"/>
        </w:rPr>
      </w:pPr>
      <w:bookmarkStart w:id="40" w:name="_Toc234213533"/>
      <w:bookmarkStart w:id="41" w:name="_Toc244935168"/>
      <w:bookmarkStart w:id="42" w:name="_Toc12176"/>
      <w:bookmarkStart w:id="43" w:name="_Toc191983620"/>
      <w:bookmarkStart w:id="44" w:name="_Toc244934199"/>
      <w:r>
        <w:rPr>
          <w:rFonts w:hint="eastAsia" w:asciiTheme="minorEastAsia" w:hAnsiTheme="minorEastAsia" w:eastAsiaTheme="minorEastAsia" w:cstheme="minorEastAsia"/>
          <w:bCs/>
          <w:color w:val="auto"/>
          <w:sz w:val="24"/>
          <w:highlight w:val="none"/>
        </w:rPr>
        <w:t>5.2.2资格审查</w:t>
      </w:r>
    </w:p>
    <w:p>
      <w:pPr>
        <w:pStyle w:val="3"/>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开标结束后，由招标人代表和代理机构成立资格审查小组，按照“投标人须知前附表1.4.1投标人资格要求”对投标人进行资格审查。</w:t>
      </w:r>
    </w:p>
    <w:p>
      <w:pPr>
        <w:pStyle w:val="3"/>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通过资格审查的响应人不足两家的，按废标处理，招标人应依法重新采购</w:t>
      </w:r>
      <w:r>
        <w:rPr>
          <w:rFonts w:hint="eastAsia" w:asciiTheme="minorEastAsia" w:hAnsiTheme="minorEastAsia" w:eastAsiaTheme="minorEastAsia" w:cstheme="minorEastAsia"/>
          <w:color w:val="auto"/>
          <w:sz w:val="24"/>
          <w:highlight w:val="none"/>
        </w:rPr>
        <w:t xml:space="preserve">。     </w:t>
      </w:r>
    </w:p>
    <w:p>
      <w:pPr>
        <w:pStyle w:val="5"/>
        <w:numPr>
          <w:ilvl w:val="1"/>
          <w:numId w:val="0"/>
        </w:numPr>
        <w:spacing w:line="400" w:lineRule="exact"/>
        <w:rPr>
          <w:rFonts w:asciiTheme="minorEastAsia" w:hAnsiTheme="minorEastAsia" w:eastAsiaTheme="minorEastAsia" w:cstheme="minorEastAsia"/>
          <w:b/>
          <w:bCs/>
          <w:color w:val="auto"/>
          <w:sz w:val="24"/>
          <w:highlight w:val="none"/>
        </w:rPr>
      </w:pPr>
      <w:bookmarkStart w:id="45" w:name="_Toc19941"/>
      <w:bookmarkStart w:id="46" w:name="_Toc20866"/>
      <w:bookmarkStart w:id="47" w:name="_Toc2368"/>
      <w:r>
        <w:rPr>
          <w:rFonts w:hint="eastAsia" w:asciiTheme="minorEastAsia" w:hAnsiTheme="minorEastAsia" w:eastAsiaTheme="minorEastAsia" w:cstheme="minorEastAsia"/>
          <w:b/>
          <w:bCs/>
          <w:color w:val="auto"/>
          <w:sz w:val="24"/>
          <w:highlight w:val="none"/>
        </w:rPr>
        <w:t>6. 评标</w:t>
      </w:r>
      <w:bookmarkEnd w:id="40"/>
      <w:bookmarkEnd w:id="41"/>
      <w:bookmarkEnd w:id="42"/>
      <w:bookmarkEnd w:id="43"/>
      <w:bookmarkEnd w:id="44"/>
      <w:bookmarkEnd w:id="45"/>
      <w:bookmarkEnd w:id="46"/>
      <w:bookmarkEnd w:id="47"/>
    </w:p>
    <w:p>
      <w:pPr>
        <w:spacing w:line="400" w:lineRule="exact"/>
        <w:ind w:firstLine="422"/>
        <w:outlineLvl w:val="2"/>
        <w:rPr>
          <w:rFonts w:asciiTheme="minorEastAsia" w:hAnsiTheme="minorEastAsia" w:eastAsiaTheme="minorEastAsia" w:cstheme="minorEastAsia"/>
          <w:color w:val="auto"/>
          <w:sz w:val="24"/>
          <w:highlight w:val="none"/>
        </w:rPr>
      </w:pPr>
      <w:bookmarkStart w:id="48" w:name="_Toc244935169"/>
      <w:bookmarkStart w:id="49" w:name="_Toc191983621"/>
      <w:bookmarkStart w:id="50" w:name="_Toc244934200"/>
      <w:bookmarkStart w:id="51" w:name="_Toc234213534"/>
      <w:r>
        <w:rPr>
          <w:rFonts w:hint="eastAsia" w:asciiTheme="minorEastAsia" w:hAnsiTheme="minorEastAsia" w:eastAsiaTheme="minorEastAsia" w:cstheme="minorEastAsia"/>
          <w:color w:val="auto"/>
          <w:sz w:val="24"/>
          <w:highlight w:val="none"/>
        </w:rPr>
        <w:t>6.1评标委员会</w:t>
      </w:r>
    </w:p>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6.1.2  评标委员会成员有下列情形之一的，应当回避：</w:t>
      </w:r>
    </w:p>
    <w:p>
      <w:pPr>
        <w:numPr>
          <w:ilvl w:val="0"/>
          <w:numId w:val="5"/>
        </w:numPr>
        <w:spacing w:line="400" w:lineRule="exact"/>
        <w:ind w:left="0"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投标人或投标人的主要负责人的近亲属；</w:t>
      </w:r>
    </w:p>
    <w:p>
      <w:pPr>
        <w:numPr>
          <w:ilvl w:val="0"/>
          <w:numId w:val="5"/>
        </w:numPr>
        <w:spacing w:line="400" w:lineRule="exact"/>
        <w:ind w:left="0"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项目主管部门或者行政监督部门的人员；</w:t>
      </w:r>
    </w:p>
    <w:p>
      <w:pPr>
        <w:numPr>
          <w:ilvl w:val="0"/>
          <w:numId w:val="5"/>
        </w:numPr>
        <w:spacing w:line="400" w:lineRule="exact"/>
        <w:ind w:left="0"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与投标人有经济利益关系，可能影响对投标公正评审的；</w:t>
      </w:r>
    </w:p>
    <w:p>
      <w:pPr>
        <w:numPr>
          <w:ilvl w:val="0"/>
          <w:numId w:val="5"/>
        </w:numPr>
        <w:tabs>
          <w:tab w:val="left" w:pos="0"/>
          <w:tab w:val="clear" w:pos="420"/>
        </w:tabs>
        <w:spacing w:line="400" w:lineRule="exact"/>
        <w:ind w:left="0"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曾因在招标、评标以及其他与招标投标有关活动中从事违法行为而受过行政处罚或刑事处罚的。</w:t>
      </w:r>
    </w:p>
    <w:p>
      <w:pPr>
        <w:spacing w:line="400" w:lineRule="exact"/>
        <w:ind w:firstLine="422"/>
        <w:outlineLvl w:val="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 评标原则</w:t>
      </w:r>
    </w:p>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评标活动遵循公平、公正、科学和择优的原则。</w:t>
      </w:r>
    </w:p>
    <w:p>
      <w:pPr>
        <w:spacing w:line="400" w:lineRule="exact"/>
        <w:ind w:firstLine="422"/>
        <w:outlineLvl w:val="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6.3 评标过程的保密</w:t>
      </w:r>
    </w:p>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公开开标后，直到成交结果公示为止，凡属于对投标文件的审查、澄清、评价和比较的有关资料以及中标候选人的推荐情况、与评标有关的其他任何情况均应严格保密。</w:t>
      </w:r>
    </w:p>
    <w:p>
      <w:pPr>
        <w:spacing w:line="400" w:lineRule="exact"/>
        <w:ind w:firstLine="422"/>
        <w:outlineLvl w:val="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6.4  评标</w:t>
      </w:r>
    </w:p>
    <w:p>
      <w:pPr>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评标委员会按照第三章“评标办法”规定的方法和程序对投标文件进行评审。第三章“评标办法”没有规定的方法和标准，不作为评标依据。</w:t>
      </w:r>
    </w:p>
    <w:bookmarkEnd w:id="48"/>
    <w:bookmarkEnd w:id="49"/>
    <w:bookmarkEnd w:id="50"/>
    <w:bookmarkEnd w:id="51"/>
    <w:p>
      <w:pPr>
        <w:pStyle w:val="5"/>
        <w:numPr>
          <w:ilvl w:val="1"/>
          <w:numId w:val="0"/>
        </w:numPr>
        <w:spacing w:line="400" w:lineRule="exact"/>
        <w:rPr>
          <w:rFonts w:asciiTheme="minorEastAsia" w:hAnsiTheme="minorEastAsia" w:eastAsiaTheme="minorEastAsia" w:cstheme="minorEastAsia"/>
          <w:b/>
          <w:color w:val="auto"/>
          <w:sz w:val="24"/>
          <w:highlight w:val="none"/>
        </w:rPr>
      </w:pPr>
      <w:bookmarkStart w:id="52" w:name="_Toc23847"/>
      <w:bookmarkStart w:id="53" w:name="_Toc184635077"/>
      <w:bookmarkStart w:id="54" w:name="_Toc322"/>
      <w:bookmarkStart w:id="55" w:name="_Toc665"/>
      <w:bookmarkStart w:id="56" w:name="_Toc22044"/>
      <w:r>
        <w:rPr>
          <w:rFonts w:hint="eastAsia" w:asciiTheme="minorEastAsia" w:hAnsiTheme="minorEastAsia" w:eastAsiaTheme="minorEastAsia" w:cstheme="minorEastAsia"/>
          <w:b/>
          <w:color w:val="auto"/>
          <w:sz w:val="24"/>
          <w:highlight w:val="none"/>
        </w:rPr>
        <w:t>7．合同授予</w:t>
      </w:r>
      <w:bookmarkEnd w:id="52"/>
      <w:bookmarkEnd w:id="53"/>
      <w:bookmarkEnd w:id="54"/>
      <w:bookmarkEnd w:id="55"/>
      <w:bookmarkEnd w:id="56"/>
    </w:p>
    <w:p>
      <w:pPr>
        <w:spacing w:line="400" w:lineRule="exact"/>
        <w:ind w:firstLine="422"/>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7.1 定标方式</w:t>
      </w:r>
    </w:p>
    <w:p>
      <w:pPr>
        <w:pStyle w:val="154"/>
        <w:spacing w:line="400" w:lineRule="exac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招标人依据评审小组推荐的中标候选人确定中标人，评审小组推荐中标候选人的人数见响应人须知前附表。招标人自收到评标报告之日起5个工作日内，确定中标人，如发现中标人弄虚作假响应招标文件的，则按照国家相关法律法规进行处罚，列入政府采购黑名单，并做经济处罚。</w:t>
      </w:r>
    </w:p>
    <w:p>
      <w:pPr>
        <w:pStyle w:val="154"/>
        <w:spacing w:line="400" w:lineRule="exac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中标候选人验证通过后，招标人依据评标报告确定的中标候选人名单中按顺序确定中标人，若第一中标人放弃成交、因不可抗力不能履行合同、不按照招标文件要求提交履约保证金，或者被查实存在影响中标结果的违法行为等情形，不符合中标条件的，招标人可以按照评审小组提出的中标候选人名单排序依次确定其他中标候选人为中标人，也可以重新采购。</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评审小组经评审，认为所有响应均不符合招标文件要求的，可以否决所有响应，所有响应被否决后，招标人可以重新采购。</w:t>
      </w:r>
    </w:p>
    <w:p>
      <w:pPr>
        <w:spacing w:line="400" w:lineRule="exact"/>
        <w:ind w:firstLine="422"/>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7.2 中标通知</w:t>
      </w:r>
    </w:p>
    <w:p>
      <w:pPr>
        <w:spacing w:line="400" w:lineRule="exact"/>
        <w:ind w:firstLine="422"/>
        <w:outlineLvl w:val="2"/>
        <w:rPr>
          <w:rFonts w:asciiTheme="minorEastAsia" w:hAnsiTheme="minorEastAsia" w:eastAsiaTheme="minorEastAsia" w:cstheme="minorEastAsia"/>
          <w:bCs/>
          <w:color w:val="auto"/>
          <w:sz w:val="24"/>
          <w:highlight w:val="none"/>
        </w:rPr>
      </w:pPr>
      <w:bookmarkStart w:id="57" w:name="_Toc278027739"/>
      <w:bookmarkStart w:id="58" w:name="_Toc184635079"/>
      <w:r>
        <w:rPr>
          <w:rFonts w:hint="eastAsia" w:asciiTheme="minorEastAsia" w:hAnsiTheme="minorEastAsia" w:eastAsiaTheme="minorEastAsia" w:cstheme="minorEastAsia"/>
          <w:bCs/>
          <w:color w:val="auto"/>
          <w:sz w:val="24"/>
          <w:highlight w:val="none"/>
        </w:rPr>
        <w:t>在本章第3.4 款规定的响应有效期内，招标人以书面形式向中标人发出中标通知书，同时将评审结果通知未中标的响应人。</w:t>
      </w:r>
    </w:p>
    <w:p>
      <w:pPr>
        <w:spacing w:line="400" w:lineRule="exact"/>
        <w:ind w:firstLine="422"/>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7.3 履约保证金：无</w:t>
      </w:r>
    </w:p>
    <w:p>
      <w:pPr>
        <w:spacing w:line="400" w:lineRule="exact"/>
        <w:ind w:firstLine="422"/>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7.4签订合同</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 7.4.1 招标人和中标人应当自中标通知书发出之日起1-7天内，根据招标文件和中标人的投标文件订立书面合同。中标人无正当理由拒签合同的，招标人取消其中标资格。</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 7.4.2 发出中标通知书后，招标人无正当理由拒签合同的，给中标人造成损失的，应当赔偿损失。</w:t>
      </w:r>
    </w:p>
    <w:p>
      <w:pPr>
        <w:pStyle w:val="5"/>
        <w:numPr>
          <w:ilvl w:val="1"/>
          <w:numId w:val="0"/>
        </w:numPr>
        <w:spacing w:line="400" w:lineRule="exact"/>
        <w:rPr>
          <w:rFonts w:asciiTheme="minorEastAsia" w:hAnsiTheme="minorEastAsia" w:eastAsiaTheme="minorEastAsia" w:cstheme="minorEastAsia"/>
          <w:b/>
          <w:color w:val="auto"/>
          <w:sz w:val="24"/>
          <w:highlight w:val="none"/>
        </w:rPr>
      </w:pPr>
      <w:bookmarkStart w:id="59" w:name="_Toc14073"/>
      <w:bookmarkStart w:id="60" w:name="_Toc28716"/>
      <w:bookmarkStart w:id="61" w:name="_Toc2107"/>
      <w:bookmarkStart w:id="62" w:name="_Toc15038"/>
      <w:r>
        <w:rPr>
          <w:rFonts w:hint="eastAsia" w:asciiTheme="minorEastAsia" w:hAnsiTheme="minorEastAsia" w:eastAsiaTheme="minorEastAsia" w:cstheme="minorEastAsia"/>
          <w:b/>
          <w:color w:val="auto"/>
          <w:sz w:val="24"/>
          <w:highlight w:val="none"/>
        </w:rPr>
        <w:t>8.重新招标和不再招标</w:t>
      </w:r>
      <w:bookmarkEnd w:id="57"/>
      <w:bookmarkEnd w:id="59"/>
      <w:bookmarkEnd w:id="60"/>
      <w:bookmarkEnd w:id="61"/>
      <w:bookmarkEnd w:id="62"/>
    </w:p>
    <w:p>
      <w:pPr>
        <w:spacing w:line="400" w:lineRule="exact"/>
        <w:ind w:firstLine="422"/>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 8.1重新招标 </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 有下列情形之一的，招标人将重新招标：</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（1）投标截止时间止，响应人少于2个的；</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（2）通过资格审查的投标人不足两家的；</w:t>
      </w:r>
    </w:p>
    <w:p>
      <w:pPr>
        <w:spacing w:line="400" w:lineRule="exact"/>
        <w:ind w:firstLine="42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（3）经评标委员会评审后否决所有投标的。</w:t>
      </w:r>
    </w:p>
    <w:p>
      <w:pPr>
        <w:spacing w:line="400" w:lineRule="exact"/>
        <w:ind w:firstLine="422"/>
        <w:jc w:val="left"/>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8.2不再招标</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  废标后，除采购任务取消情形外，应当重新组织招标；需要采取其他方式采购的，应当在采购活动开始前获得设区的市、自治州以上人民政府采购监督管理部门或者政府有关部门批准。</w:t>
      </w:r>
    </w:p>
    <w:bookmarkEnd w:id="58"/>
    <w:p>
      <w:pPr>
        <w:pStyle w:val="5"/>
        <w:numPr>
          <w:ilvl w:val="1"/>
          <w:numId w:val="0"/>
        </w:numPr>
        <w:spacing w:line="400" w:lineRule="exact"/>
        <w:rPr>
          <w:rFonts w:asciiTheme="minorEastAsia" w:hAnsiTheme="minorEastAsia" w:eastAsiaTheme="minorEastAsia" w:cstheme="minorEastAsia"/>
          <w:b/>
          <w:color w:val="auto"/>
          <w:sz w:val="24"/>
          <w:highlight w:val="none"/>
        </w:rPr>
      </w:pPr>
      <w:bookmarkStart w:id="63" w:name="_Toc21982"/>
      <w:bookmarkStart w:id="64" w:name="_Toc31870"/>
      <w:bookmarkStart w:id="65" w:name="_Toc20312"/>
      <w:bookmarkStart w:id="66" w:name="_Toc278027740"/>
      <w:bookmarkStart w:id="67" w:name="_Toc24156"/>
      <w:bookmarkStart w:id="68" w:name="_Toc184635080"/>
      <w:r>
        <w:rPr>
          <w:rFonts w:hint="eastAsia" w:asciiTheme="minorEastAsia" w:hAnsiTheme="minorEastAsia" w:eastAsiaTheme="minorEastAsia" w:cstheme="minorEastAsia"/>
          <w:b/>
          <w:color w:val="auto"/>
          <w:sz w:val="24"/>
          <w:highlight w:val="none"/>
        </w:rPr>
        <w:t>9.纪律和监督</w:t>
      </w:r>
      <w:bookmarkEnd w:id="63"/>
      <w:bookmarkEnd w:id="64"/>
      <w:bookmarkEnd w:id="65"/>
      <w:bookmarkEnd w:id="66"/>
      <w:bookmarkEnd w:id="67"/>
    </w:p>
    <w:p>
      <w:pPr>
        <w:spacing w:line="400" w:lineRule="exact"/>
        <w:ind w:firstLine="422"/>
        <w:jc w:val="left"/>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9.1对招标人的纪律要求</w:t>
      </w:r>
    </w:p>
    <w:p>
      <w:pPr>
        <w:spacing w:line="400" w:lineRule="exact"/>
        <w:ind w:firstLine="422"/>
        <w:jc w:val="left"/>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招标人不得泄漏采购响应活动中应当保密的情况和资料，不得与响应人串通损害国家利益、社会公共利益或者他人合法权益。</w:t>
      </w:r>
    </w:p>
    <w:p>
      <w:pPr>
        <w:spacing w:line="400" w:lineRule="exact"/>
        <w:ind w:firstLine="422"/>
        <w:jc w:val="left"/>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9.2对响应人的纪律要求</w:t>
      </w:r>
    </w:p>
    <w:p>
      <w:pPr>
        <w:spacing w:line="400" w:lineRule="exact"/>
        <w:ind w:firstLine="422"/>
        <w:jc w:val="left"/>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响应人不得相互串通响应或者与招标人串通响应，不得向招标人或者评审小组成员行贿谋取中标，不得以他人名义响应或者以其他方式弄虚作假骗取中标；响应人不得以任何方式干扰、影响评标工作。     </w:t>
      </w:r>
    </w:p>
    <w:p>
      <w:pPr>
        <w:spacing w:line="400" w:lineRule="exact"/>
        <w:ind w:firstLine="422"/>
        <w:jc w:val="left"/>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9.3对评标委员会成员的纪律要求</w:t>
      </w:r>
    </w:p>
    <w:p>
      <w:pPr>
        <w:spacing w:line="400" w:lineRule="exact"/>
        <w:ind w:firstLine="422"/>
        <w:jc w:val="left"/>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审小组成员不得收受他人的财物或者其他好处，不得向他人透露对投标文件的评审和比较、中标候选人的推荐情况以及评标有关的其他情况。在评标活动中，评审小组成员不得擅离职守，影响评标程序正常进行，不得使用第三章“评标办法”没有规定的评审因素和标准进行评标。</w:t>
      </w:r>
    </w:p>
    <w:p>
      <w:pPr>
        <w:spacing w:line="400" w:lineRule="exact"/>
        <w:ind w:firstLine="422"/>
        <w:jc w:val="left"/>
        <w:outlineLvl w:val="2"/>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9.4对与评标活动有关的工作人员的纪律要求</w:t>
      </w:r>
    </w:p>
    <w:p>
      <w:pPr>
        <w:spacing w:line="400" w:lineRule="exact"/>
        <w:ind w:firstLine="420"/>
        <w:jc w:val="left"/>
        <w:rPr>
          <w:rFonts w:asciiTheme="minorEastAsia" w:hAnsiTheme="minorEastAsia" w:eastAsiaTheme="minorEastAsia" w:cstheme="minorEastAsia"/>
          <w:bCs/>
          <w:color w:val="auto"/>
          <w:sz w:val="24"/>
          <w:highlight w:val="none"/>
        </w:rPr>
      </w:pPr>
      <w:bookmarkStart w:id="69" w:name="_Toc16124"/>
      <w:bookmarkStart w:id="70" w:name="_Toc10981"/>
      <w:bookmarkStart w:id="71" w:name="_Toc18108"/>
      <w:bookmarkStart w:id="72" w:name="_Toc9930"/>
      <w:r>
        <w:rPr>
          <w:rFonts w:hint="eastAsia" w:asciiTheme="minorEastAsia" w:hAnsiTheme="minorEastAsia" w:eastAsiaTheme="minorEastAsia" w:cstheme="minorEastAsia"/>
          <w:bCs/>
          <w:color w:val="auto"/>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400" w:lineRule="exact"/>
        <w:ind w:firstLine="422"/>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9.5投诉、质疑  </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响应人和其他利害关系人认为本次采购活动违反法律、法规和规章规定的，有权向有关行政监督部门投诉。</w:t>
      </w:r>
    </w:p>
    <w:p>
      <w:pPr>
        <w:pStyle w:val="3"/>
        <w:spacing w:line="400" w:lineRule="exact"/>
        <w:ind w:firstLine="4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人对招标文件、采购过程、中标或者成交结果的质疑，可以在知道或者应知其权益受到损害之日起7个工作日内，以书面形式一次性向招标人或代理机构提出质疑。招标人或代理机构不接受响应人对同一采购环节的多次质疑。</w:t>
      </w:r>
    </w:p>
    <w:p>
      <w:pPr>
        <w:pStyle w:val="5"/>
        <w:numPr>
          <w:ilvl w:val="1"/>
          <w:numId w:val="0"/>
        </w:numPr>
        <w:spacing w:line="4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w:t>
      </w:r>
      <w:bookmarkEnd w:id="69"/>
      <w:r>
        <w:rPr>
          <w:rFonts w:hint="eastAsia" w:asciiTheme="minorEastAsia" w:hAnsiTheme="minorEastAsia" w:eastAsiaTheme="minorEastAsia" w:cstheme="minorEastAsia"/>
          <w:b/>
          <w:color w:val="auto"/>
          <w:sz w:val="24"/>
          <w:highlight w:val="none"/>
        </w:rPr>
        <w:t>其他内容</w:t>
      </w:r>
      <w:bookmarkEnd w:id="70"/>
      <w:bookmarkEnd w:id="71"/>
      <w:bookmarkEnd w:id="72"/>
    </w:p>
    <w:bookmarkEnd w:id="68"/>
    <w:p>
      <w:pPr>
        <w:spacing w:line="400" w:lineRule="exact"/>
        <w:ind w:firstLine="420"/>
        <w:jc w:val="left"/>
        <w:rPr>
          <w:rFonts w:asciiTheme="minorEastAsia" w:hAnsiTheme="minorEastAsia" w:eastAsiaTheme="minorEastAsia" w:cstheme="minorEastAsia"/>
          <w:bCs/>
          <w:color w:val="auto"/>
          <w:sz w:val="24"/>
          <w:highlight w:val="none"/>
        </w:rPr>
      </w:pPr>
      <w:bookmarkStart w:id="73" w:name="_Toc244935173"/>
      <w:bookmarkStart w:id="74" w:name="_Toc234213538"/>
      <w:r>
        <w:rPr>
          <w:rFonts w:hint="eastAsia" w:asciiTheme="minorEastAsia" w:hAnsiTheme="minorEastAsia" w:eastAsiaTheme="minorEastAsia" w:cstheme="minorEastAsia"/>
          <w:bCs/>
          <w:color w:val="auto"/>
          <w:sz w:val="24"/>
          <w:highlight w:val="none"/>
        </w:rPr>
        <w:t>10.1响应人应根据采购技术文件的要求，结合招标人提供的相关资料，作出详细的服务报价。</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10.2响应人应对照本采购技术文件各项要求作出实质性的响应，否则响应人的响应有可能被拒绝。</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10.3本招标文件的要求只是最低限度要求，并未对一切技术细节做出规定。在本招标文件中未提到的或响应人认为更能体现和满足招标人的实际需要的功能和要求，响应人可依据自己的实际经验，在响应人方案中体现。</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10.4本采购技术文件未尽事宜，由甲乙双方在合同技术谈判时协商确定。</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10.5保密和保证</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(1)参与采购响应活动的各方应对招标文件和投标文件中的商业和技术等秘密保密，违者应对由此造成的后果承担法律责任。</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(2)响应人应保证在投标文件中所提交的资料和数据是真实的。</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(3)本项目不接受联合体响应，中标人应当按照合同约定履行义务，完成中标项目。中标人不得向他人转让中标项目，也不得将中标项目肢解后分别向他人转让。否则，取消其中标资格并追究其违约责任。</w:t>
      </w:r>
    </w:p>
    <w:p>
      <w:pPr>
        <w:spacing w:line="400" w:lineRule="exact"/>
        <w:ind w:firstLine="42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10.6招标人不承诺最低价中标，而且招标人没有义务解释说明未中标原因。</w:t>
      </w:r>
    </w:p>
    <w:p>
      <w:pPr>
        <w:spacing w:line="400" w:lineRule="exact"/>
        <w:ind w:firstLine="420"/>
        <w:jc w:val="left"/>
        <w:rPr>
          <w:rFonts w:ascii="宋体" w:hAnsi="宋体" w:cs="宋体"/>
          <w:bCs/>
          <w:color w:val="auto"/>
          <w:szCs w:val="21"/>
          <w:highlight w:val="none"/>
        </w:rPr>
      </w:pPr>
      <w:r>
        <w:rPr>
          <w:rFonts w:hint="eastAsia" w:asciiTheme="minorEastAsia" w:hAnsiTheme="minorEastAsia" w:eastAsiaTheme="minorEastAsia" w:cstheme="minorEastAsia"/>
          <w:bCs/>
          <w:color w:val="auto"/>
          <w:sz w:val="24"/>
          <w:highlight w:val="none"/>
        </w:rPr>
        <w:t>10.7其它未尽事宜，按国家有关法律、法规执行。</w:t>
      </w:r>
    </w:p>
    <w:bookmarkEnd w:id="73"/>
    <w:bookmarkEnd w:id="74"/>
    <w:p>
      <w:pPr>
        <w:pStyle w:val="120"/>
        <w:tabs>
          <w:tab w:val="left" w:pos="360"/>
        </w:tabs>
        <w:snapToGrid w:val="0"/>
        <w:spacing w:line="420" w:lineRule="exact"/>
        <w:jc w:val="center"/>
        <w:rPr>
          <w:rStyle w:val="62"/>
          <w:rFonts w:ascii="仿宋" w:hAnsi="仿宋" w:eastAsia="仿宋"/>
          <w:color w:val="auto"/>
          <w:szCs w:val="21"/>
          <w:highlight w:val="none"/>
        </w:rPr>
      </w:pPr>
      <w:r>
        <w:rPr>
          <w:rStyle w:val="62"/>
          <w:rFonts w:ascii="仿宋" w:hAnsi="仿宋" w:eastAsia="仿宋"/>
          <w:color w:val="auto"/>
          <w:szCs w:val="21"/>
          <w:highlight w:val="none"/>
        </w:rPr>
        <w:br w:type="page"/>
      </w:r>
    </w:p>
    <w:p>
      <w:pPr>
        <w:pStyle w:val="120"/>
        <w:tabs>
          <w:tab w:val="left" w:pos="360"/>
        </w:tabs>
        <w:snapToGrid w:val="0"/>
        <w:spacing w:line="420" w:lineRule="exact"/>
        <w:jc w:val="center"/>
        <w:rPr>
          <w:rStyle w:val="62"/>
          <w:rFonts w:ascii="仿宋" w:hAnsi="仿宋" w:eastAsia="仿宋" w:cs="仿宋"/>
          <w:b/>
          <w:bCs/>
          <w:color w:val="auto"/>
          <w:sz w:val="32"/>
          <w:szCs w:val="32"/>
          <w:highlight w:val="none"/>
        </w:rPr>
      </w:pPr>
      <w:r>
        <w:rPr>
          <w:rStyle w:val="62"/>
          <w:rFonts w:ascii="仿宋" w:hAnsi="仿宋" w:eastAsia="仿宋" w:cs="仿宋"/>
          <w:b/>
          <w:bCs/>
          <w:color w:val="auto"/>
          <w:sz w:val="32"/>
          <w:szCs w:val="32"/>
          <w:highlight w:val="none"/>
        </w:rPr>
        <w:t xml:space="preserve">第三章 </w:t>
      </w:r>
      <w:r>
        <w:rPr>
          <w:rStyle w:val="62"/>
          <w:rFonts w:ascii="仿宋" w:hAnsi="仿宋" w:eastAsia="仿宋"/>
          <w:color w:val="auto"/>
          <w:szCs w:val="21"/>
          <w:highlight w:val="none"/>
        </w:rPr>
        <w:t xml:space="preserve"> </w:t>
      </w:r>
      <w:r>
        <w:rPr>
          <w:rStyle w:val="62"/>
          <w:rFonts w:ascii="仿宋" w:hAnsi="仿宋" w:eastAsia="仿宋" w:cs="仿宋"/>
          <w:b/>
          <w:bCs/>
          <w:color w:val="auto"/>
          <w:sz w:val="32"/>
          <w:szCs w:val="32"/>
          <w:highlight w:val="none"/>
        </w:rPr>
        <w:t>评标办法（综合评分法）</w:t>
      </w:r>
    </w:p>
    <w:p>
      <w:pPr>
        <w:keepLines/>
        <w:spacing w:line="360" w:lineRule="exact"/>
        <w:rPr>
          <w:rStyle w:val="62"/>
          <w:rFonts w:ascii="仿宋" w:hAnsi="仿宋" w:eastAsia="仿宋"/>
          <w:color w:val="auto"/>
          <w:sz w:val="28"/>
          <w:szCs w:val="28"/>
          <w:highlight w:val="none"/>
        </w:rPr>
      </w:pPr>
      <w:r>
        <w:rPr>
          <w:rStyle w:val="62"/>
          <w:rFonts w:ascii="仿宋" w:hAnsi="仿宋" w:eastAsia="仿宋"/>
          <w:color w:val="auto"/>
          <w:sz w:val="28"/>
          <w:szCs w:val="28"/>
          <w:highlight w:val="none"/>
        </w:rPr>
        <w:t xml:space="preserve">                       </w:t>
      </w:r>
      <w:r>
        <w:rPr>
          <w:rStyle w:val="62"/>
          <w:rFonts w:ascii="仿宋" w:hAnsi="仿宋" w:eastAsia="仿宋" w:cs="仿宋"/>
          <w:b/>
          <w:bCs/>
          <w:color w:val="auto"/>
          <w:sz w:val="28"/>
          <w:szCs w:val="28"/>
          <w:highlight w:val="none"/>
        </w:rPr>
        <w:t>评标办法前附表</w:t>
      </w:r>
    </w:p>
    <w:tbl>
      <w:tblPr>
        <w:tblStyle w:val="24"/>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3"/>
        <w:gridCol w:w="1095"/>
        <w:gridCol w:w="1679"/>
        <w:gridCol w:w="5071"/>
        <w:gridCol w:w="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s="仿宋"/>
                <w:b/>
                <w:bCs/>
                <w:color w:val="auto"/>
                <w:sz w:val="21"/>
                <w:szCs w:val="21"/>
                <w:highlight w:val="none"/>
              </w:rPr>
            </w:pPr>
            <w:r>
              <w:rPr>
                <w:rStyle w:val="62"/>
                <w:rFonts w:ascii="仿宋" w:hAnsi="仿宋" w:eastAsia="仿宋" w:cs="仿宋"/>
                <w:b/>
                <w:bCs/>
                <w:color w:val="auto"/>
                <w:sz w:val="21"/>
                <w:szCs w:val="21"/>
                <w:highlight w:val="none"/>
              </w:rPr>
              <w:t>条款号</w:t>
            </w: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s="仿宋"/>
                <w:b/>
                <w:bCs/>
                <w:color w:val="auto"/>
                <w:sz w:val="21"/>
                <w:szCs w:val="21"/>
                <w:highlight w:val="none"/>
              </w:rPr>
            </w:pPr>
            <w:r>
              <w:rPr>
                <w:rStyle w:val="62"/>
                <w:rFonts w:ascii="仿宋" w:hAnsi="仿宋" w:eastAsia="仿宋" w:cs="仿宋"/>
                <w:b/>
                <w:bCs/>
                <w:color w:val="auto"/>
                <w:sz w:val="21"/>
                <w:szCs w:val="21"/>
                <w:highlight w:val="none"/>
              </w:rPr>
              <w:t>评审因素</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s="仿宋"/>
                <w:b/>
                <w:bCs/>
                <w:color w:val="auto"/>
                <w:sz w:val="21"/>
                <w:szCs w:val="21"/>
                <w:highlight w:val="none"/>
              </w:rPr>
            </w:pPr>
            <w:r>
              <w:rPr>
                <w:rStyle w:val="62"/>
                <w:rFonts w:ascii="仿宋" w:hAnsi="仿宋" w:eastAsia="仿宋" w:cs="仿宋"/>
                <w:b/>
                <w:bCs/>
                <w:color w:val="auto"/>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923" w:type="dxa"/>
            <w:vMerge w:val="restart"/>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2.1.</w:t>
            </w:r>
            <w:r>
              <w:rPr>
                <w:rStyle w:val="62"/>
                <w:rFonts w:hint="eastAsia" w:ascii="仿宋" w:hAnsi="仿宋" w:eastAsia="仿宋"/>
                <w:color w:val="auto"/>
                <w:sz w:val="21"/>
                <w:szCs w:val="21"/>
                <w:highlight w:val="none"/>
              </w:rPr>
              <w:t>1</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资格</w:t>
            </w:r>
          </w:p>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评审标准</w:t>
            </w:r>
          </w:p>
        </w:tc>
        <w:tc>
          <w:tcPr>
            <w:tcW w:w="1679" w:type="dxa"/>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ascii="仿宋" w:hAnsi="仿宋" w:eastAsia="仿宋"/>
                <w:color w:val="auto"/>
                <w:szCs w:val="21"/>
                <w:highlight w:val="none"/>
              </w:rPr>
              <w:t>营业执照</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hint="eastAsia" w:ascii="仿宋" w:hAnsi="仿宋" w:eastAsia="仿宋"/>
                <w:color w:val="auto"/>
                <w:szCs w:val="21"/>
                <w:highlight w:val="none"/>
              </w:rPr>
              <w:t>投标人具有有效合格企业营业执照、税务登记证、组织机构代码证或提供（三证合一后）营业执照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ascii="仿宋" w:hAnsi="仿宋" w:eastAsia="仿宋"/>
                <w:color w:val="auto"/>
                <w:szCs w:val="21"/>
                <w:highlight w:val="none"/>
              </w:rPr>
              <w:t>纳税和社保</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hint="eastAsia" w:ascii="仿宋" w:hAnsi="仿宋" w:eastAsia="仿宋"/>
                <w:color w:val="auto"/>
                <w:szCs w:val="21"/>
                <w:highlight w:val="none"/>
              </w:rPr>
              <w:t>有依法缴纳税收和社会保障资金的良好记录（提供近半年以来任意一个月依法缴纳税收和社会保障资金的记录，依法免税或不需要缴纳社会保障资金的投标人，应提供相应证明文件）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ascii="仿宋" w:hAnsi="仿宋" w:eastAsia="仿宋"/>
                <w:color w:val="auto"/>
                <w:szCs w:val="21"/>
                <w:highlight w:val="none"/>
              </w:rPr>
              <w:t>财务状况</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hint="eastAsia" w:ascii="仿宋" w:hAnsi="仿宋" w:eastAsia="仿宋"/>
                <w:color w:val="auto"/>
                <w:szCs w:val="21"/>
                <w:highlight w:val="none"/>
              </w:rPr>
              <w:t>具有良好的商业信誉和健全的财务会计制度（提供2022年度审计报告）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ascii="仿宋" w:hAnsi="仿宋" w:eastAsia="仿宋"/>
                <w:color w:val="auto"/>
                <w:szCs w:val="21"/>
                <w:highlight w:val="none"/>
              </w:rPr>
              <w:t>无重大违法记录</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hint="eastAsia" w:ascii="仿宋" w:hAnsi="仿宋" w:eastAsia="仿宋"/>
                <w:color w:val="auto"/>
                <w:szCs w:val="21"/>
                <w:highlight w:val="none"/>
              </w:rPr>
              <w:t>参加政府采购活动近三年内，在经营活动中没有重大违法记录（投标人自行承诺）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ascii="仿宋" w:hAnsi="仿宋" w:eastAsia="仿宋"/>
                <w:color w:val="auto"/>
                <w:szCs w:val="21"/>
                <w:highlight w:val="none"/>
              </w:rPr>
              <w:t>履行合同的能力</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hint="eastAsia" w:ascii="仿宋" w:hAnsi="仿宋" w:eastAsia="仿宋"/>
                <w:color w:val="auto"/>
                <w:szCs w:val="21"/>
                <w:highlight w:val="none"/>
              </w:rPr>
              <w:t>提供书面承诺书；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ascii="仿宋" w:hAnsi="仿宋" w:eastAsia="仿宋"/>
                <w:color w:val="auto"/>
                <w:szCs w:val="21"/>
                <w:highlight w:val="none"/>
              </w:rPr>
              <w:t>信用查询</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hint="eastAsia" w:ascii="仿宋" w:hAnsi="仿宋" w:eastAsia="仿宋"/>
                <w:color w:val="auto"/>
                <w:szCs w:val="21"/>
                <w:highlight w:val="none"/>
              </w:rPr>
              <w:t>依据《财政部关于在政府采购活动中查询及使用信用记录有关问题的通知》（财库〔2016〕125号），投标人被“信用中国”网站（www.creditchina.gov.cn）列入失信被执行人、政府采购不良行为记录、重大税收违法案件当事人，被“中国政府采购”网站（www.ccgp.gov.cn）列入政府采购严重违法失信行为记录名单的将被拒绝参与本项目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ascii="仿宋" w:hAnsi="仿宋" w:eastAsia="仿宋"/>
                <w:color w:val="auto"/>
                <w:szCs w:val="21"/>
                <w:highlight w:val="none"/>
              </w:rPr>
              <w:t>投标联合体</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62"/>
                <w:rFonts w:ascii="仿宋" w:hAnsi="仿宋" w:eastAsia="仿宋"/>
                <w:color w:val="auto"/>
                <w:szCs w:val="21"/>
                <w:highlight w:val="none"/>
              </w:rPr>
            </w:pPr>
            <w:r>
              <w:rPr>
                <w:rStyle w:val="62"/>
                <w:rFonts w:hint="eastAsia" w:ascii="仿宋" w:hAnsi="仿宋" w:eastAsia="仿宋"/>
                <w:color w:val="auto"/>
                <w:szCs w:val="21"/>
                <w:highlight w:val="none"/>
              </w:rPr>
              <w:t>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23" w:type="dxa"/>
            <w:vMerge w:val="restart"/>
            <w:tcBorders>
              <w:top w:val="single" w:color="000000" w:sz="4" w:space="0"/>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2.1.</w:t>
            </w:r>
            <w:r>
              <w:rPr>
                <w:rStyle w:val="62"/>
                <w:rFonts w:hint="eastAsia" w:ascii="仿宋" w:hAnsi="仿宋" w:eastAsia="仿宋"/>
                <w:color w:val="auto"/>
                <w:sz w:val="21"/>
                <w:szCs w:val="21"/>
                <w:highlight w:val="none"/>
              </w:rPr>
              <w:t>2</w:t>
            </w:r>
          </w:p>
        </w:tc>
        <w:tc>
          <w:tcPr>
            <w:tcW w:w="1095" w:type="dxa"/>
            <w:vMerge w:val="restart"/>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响应性</w:t>
            </w:r>
          </w:p>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评审标准</w:t>
            </w: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投标人</w:t>
            </w:r>
            <w:r>
              <w:rPr>
                <w:rStyle w:val="62"/>
                <w:rFonts w:ascii="仿宋" w:hAnsi="仿宋" w:eastAsia="仿宋"/>
                <w:color w:val="auto"/>
                <w:sz w:val="21"/>
                <w:szCs w:val="21"/>
                <w:highlight w:val="none"/>
              </w:rPr>
              <w:t>名称</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23" w:type="dxa"/>
            <w:vMerge w:val="continue"/>
            <w:tcBorders>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投标文件</w:t>
            </w:r>
            <w:r>
              <w:rPr>
                <w:rStyle w:val="62"/>
                <w:rFonts w:ascii="仿宋" w:hAnsi="仿宋" w:eastAsia="仿宋"/>
                <w:color w:val="auto"/>
                <w:sz w:val="21"/>
                <w:szCs w:val="21"/>
                <w:highlight w:val="none"/>
              </w:rPr>
              <w:t>签字盖章</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符合第六章“</w:t>
            </w:r>
            <w:r>
              <w:rPr>
                <w:rStyle w:val="62"/>
                <w:rFonts w:hint="eastAsia" w:ascii="仿宋" w:hAnsi="仿宋" w:eastAsia="仿宋"/>
                <w:color w:val="auto"/>
                <w:sz w:val="21"/>
                <w:szCs w:val="21"/>
                <w:highlight w:val="none"/>
              </w:rPr>
              <w:t>投标文件</w:t>
            </w:r>
            <w:r>
              <w:rPr>
                <w:rStyle w:val="62"/>
                <w:rFonts w:ascii="仿宋" w:hAnsi="仿宋" w:eastAsia="仿宋"/>
                <w:color w:val="auto"/>
                <w:sz w:val="21"/>
                <w:szCs w:val="21"/>
                <w:highlight w:val="none"/>
              </w:rPr>
              <w:t>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23" w:type="dxa"/>
            <w:vMerge w:val="continue"/>
            <w:tcBorders>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投标文件</w:t>
            </w:r>
            <w:r>
              <w:rPr>
                <w:rStyle w:val="62"/>
                <w:rFonts w:ascii="仿宋" w:hAnsi="仿宋" w:eastAsia="仿宋"/>
                <w:color w:val="auto"/>
                <w:sz w:val="21"/>
                <w:szCs w:val="21"/>
                <w:highlight w:val="none"/>
              </w:rPr>
              <w:t>格式</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符合第六章“</w:t>
            </w:r>
            <w:r>
              <w:rPr>
                <w:rStyle w:val="62"/>
                <w:rFonts w:hint="eastAsia" w:ascii="仿宋" w:hAnsi="仿宋" w:eastAsia="仿宋"/>
                <w:color w:val="auto"/>
                <w:sz w:val="21"/>
                <w:szCs w:val="21"/>
                <w:highlight w:val="none"/>
              </w:rPr>
              <w:t>投标文件</w:t>
            </w:r>
            <w:r>
              <w:rPr>
                <w:rStyle w:val="62"/>
                <w:rFonts w:ascii="仿宋" w:hAnsi="仿宋" w:eastAsia="仿宋"/>
                <w:color w:val="auto"/>
                <w:sz w:val="21"/>
                <w:szCs w:val="21"/>
                <w:highlight w:val="none"/>
              </w:rPr>
              <w:t>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923" w:type="dxa"/>
            <w:vMerge w:val="continue"/>
            <w:tcBorders>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报价唯一</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923" w:type="dxa"/>
            <w:vMerge w:val="continue"/>
            <w:tcBorders>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响应内容</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符合</w:t>
            </w:r>
            <w:r>
              <w:rPr>
                <w:rStyle w:val="62"/>
                <w:rFonts w:hint="eastAsia" w:ascii="仿宋" w:hAnsi="仿宋" w:eastAsia="仿宋"/>
                <w:color w:val="auto"/>
                <w:sz w:val="21"/>
                <w:szCs w:val="21"/>
                <w:highlight w:val="none"/>
              </w:rPr>
              <w:t>招标文件</w:t>
            </w:r>
            <w:r>
              <w:rPr>
                <w:rStyle w:val="62"/>
                <w:rFonts w:ascii="仿宋" w:hAnsi="仿宋" w:eastAsia="仿宋"/>
                <w:color w:val="auto"/>
                <w:sz w:val="21"/>
                <w:szCs w:val="21"/>
                <w:highlight w:val="none"/>
              </w:rPr>
              <w:t>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23" w:type="dxa"/>
            <w:vMerge w:val="continue"/>
            <w:tcBorders>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合同履行期限</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 xml:space="preserve"> 60日历天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23" w:type="dxa"/>
            <w:vMerge w:val="continue"/>
            <w:tcBorders>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质保期</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23" w:type="dxa"/>
            <w:vMerge w:val="continue"/>
            <w:tcBorders>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质量要求</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符合国家相关标准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923" w:type="dxa"/>
            <w:vMerge w:val="continue"/>
            <w:tcBorders>
              <w:left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投标</w:t>
            </w:r>
            <w:r>
              <w:rPr>
                <w:rStyle w:val="62"/>
                <w:rFonts w:ascii="仿宋" w:hAnsi="仿宋" w:eastAsia="仿宋"/>
                <w:color w:val="auto"/>
                <w:sz w:val="21"/>
                <w:szCs w:val="21"/>
                <w:highlight w:val="none"/>
              </w:rPr>
              <w:t>有效期</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60日历天（投标截止之日起）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923" w:type="dxa"/>
            <w:vMerge w:val="continue"/>
            <w:tcBorders>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投标</w:t>
            </w:r>
            <w:r>
              <w:rPr>
                <w:rStyle w:val="62"/>
                <w:rFonts w:ascii="仿宋" w:hAnsi="仿宋" w:eastAsia="仿宋"/>
                <w:color w:val="auto"/>
                <w:sz w:val="21"/>
                <w:szCs w:val="21"/>
                <w:highlight w:val="none"/>
              </w:rPr>
              <w:t>报价</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both"/>
              <w:rPr>
                <w:rStyle w:val="62"/>
                <w:rFonts w:ascii="仿宋" w:hAnsi="仿宋" w:eastAsia="仿宋"/>
                <w:color w:val="auto"/>
                <w:sz w:val="21"/>
                <w:szCs w:val="21"/>
                <w:highlight w:val="none"/>
              </w:rPr>
            </w:pPr>
            <w:r>
              <w:rPr>
                <w:rStyle w:val="62"/>
                <w:rFonts w:hint="eastAsia" w:ascii="仿宋" w:hAnsi="仿宋" w:eastAsia="仿宋"/>
                <w:color w:val="auto"/>
                <w:sz w:val="21"/>
                <w:szCs w:val="21"/>
                <w:highlight w:val="none"/>
              </w:rPr>
              <w:t>投标报价</w:t>
            </w:r>
            <w:r>
              <w:rPr>
                <w:rStyle w:val="62"/>
                <w:rFonts w:ascii="仿宋" w:hAnsi="仿宋" w:eastAsia="仿宋"/>
                <w:color w:val="auto"/>
                <w:sz w:val="21"/>
                <w:szCs w:val="21"/>
                <w:highlight w:val="none"/>
              </w:rPr>
              <w:t>在规定的报价要求范围之内，未超出招标控制价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2.2.1</w:t>
            </w: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分值构成</w:t>
            </w:r>
          </w:p>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（100 分）</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r>
              <w:rPr>
                <w:rStyle w:val="94"/>
                <w:rFonts w:ascii="仿宋" w:hAnsi="仿宋" w:eastAsia="仿宋"/>
                <w:color w:val="auto"/>
                <w:szCs w:val="21"/>
                <w:highlight w:val="none"/>
              </w:rPr>
              <w:t>报价部分：</w:t>
            </w:r>
            <w:r>
              <w:rPr>
                <w:rStyle w:val="94"/>
                <w:rFonts w:hint="eastAsia" w:ascii="仿宋" w:hAnsi="仿宋" w:eastAsia="仿宋"/>
                <w:color w:val="auto"/>
                <w:szCs w:val="21"/>
                <w:highlight w:val="none"/>
              </w:rPr>
              <w:t>30</w:t>
            </w:r>
            <w:r>
              <w:rPr>
                <w:rStyle w:val="94"/>
                <w:rFonts w:ascii="仿宋" w:hAnsi="仿宋" w:eastAsia="仿宋"/>
                <w:color w:val="auto"/>
                <w:szCs w:val="21"/>
                <w:highlight w:val="none"/>
              </w:rPr>
              <w:t>分</w:t>
            </w:r>
          </w:p>
          <w:p>
            <w:pPr>
              <w:spacing w:line="360" w:lineRule="exact"/>
              <w:jc w:val="left"/>
              <w:rPr>
                <w:rStyle w:val="94"/>
                <w:rFonts w:ascii="仿宋" w:hAnsi="仿宋" w:eastAsia="仿宋"/>
                <w:color w:val="auto"/>
                <w:szCs w:val="21"/>
                <w:highlight w:val="none"/>
              </w:rPr>
            </w:pPr>
            <w:r>
              <w:rPr>
                <w:rStyle w:val="94"/>
                <w:rFonts w:ascii="仿宋" w:hAnsi="仿宋" w:eastAsia="仿宋"/>
                <w:color w:val="auto"/>
                <w:szCs w:val="21"/>
                <w:highlight w:val="none"/>
              </w:rPr>
              <w:t>技术部分：</w:t>
            </w:r>
            <w:r>
              <w:rPr>
                <w:rStyle w:val="94"/>
                <w:rFonts w:hint="eastAsia" w:ascii="仿宋" w:hAnsi="仿宋" w:eastAsia="仿宋"/>
                <w:color w:val="auto"/>
                <w:szCs w:val="21"/>
                <w:highlight w:val="none"/>
              </w:rPr>
              <w:t>45</w:t>
            </w:r>
            <w:r>
              <w:rPr>
                <w:rStyle w:val="94"/>
                <w:rFonts w:ascii="仿宋" w:hAnsi="仿宋" w:eastAsia="仿宋"/>
                <w:color w:val="auto"/>
                <w:szCs w:val="21"/>
                <w:highlight w:val="none"/>
              </w:rPr>
              <w:t>分</w:t>
            </w:r>
          </w:p>
          <w:p>
            <w:pPr>
              <w:spacing w:line="360" w:lineRule="exact"/>
              <w:jc w:val="left"/>
              <w:rPr>
                <w:rStyle w:val="62"/>
                <w:rFonts w:ascii="仿宋" w:hAnsi="仿宋" w:eastAsia="仿宋"/>
                <w:color w:val="auto"/>
                <w:szCs w:val="21"/>
                <w:highlight w:val="none"/>
              </w:rPr>
            </w:pPr>
            <w:r>
              <w:rPr>
                <w:rStyle w:val="94"/>
                <w:rFonts w:ascii="仿宋" w:hAnsi="仿宋" w:eastAsia="仿宋"/>
                <w:color w:val="auto"/>
                <w:szCs w:val="21"/>
                <w:highlight w:val="none"/>
              </w:rPr>
              <w:t>综合部分：</w:t>
            </w:r>
            <w:r>
              <w:rPr>
                <w:rStyle w:val="94"/>
                <w:rFonts w:hint="eastAsia" w:ascii="仿宋" w:hAnsi="仿宋" w:eastAsia="仿宋"/>
                <w:color w:val="auto"/>
                <w:szCs w:val="21"/>
                <w:highlight w:val="none"/>
              </w:rPr>
              <w:t>25</w:t>
            </w:r>
            <w:r>
              <w:rPr>
                <w:rStyle w:val="94"/>
                <w:rFonts w:ascii="仿宋" w:hAnsi="仿宋" w:eastAsia="仿宋"/>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018" w:type="dxa"/>
            <w:gridSpan w:val="2"/>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条款号</w:t>
            </w:r>
          </w:p>
        </w:tc>
        <w:tc>
          <w:tcPr>
            <w:tcW w:w="1679" w:type="dxa"/>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评分因素</w:t>
            </w:r>
          </w:p>
        </w:tc>
        <w:tc>
          <w:tcPr>
            <w:tcW w:w="5722" w:type="dxa"/>
            <w:gridSpan w:val="2"/>
            <w:tcBorders>
              <w:top w:val="single" w:color="000000" w:sz="4" w:space="0"/>
              <w:left w:val="single" w:color="000000" w:sz="4" w:space="0"/>
              <w:bottom w:val="single" w:color="000000" w:sz="4" w:space="0"/>
              <w:right w:val="single" w:color="000000" w:sz="4" w:space="0"/>
            </w:tcBorders>
            <w:vAlign w:val="center"/>
          </w:tcPr>
          <w:p>
            <w:pPr>
              <w:pStyle w:val="120"/>
              <w:jc w:val="center"/>
              <w:rPr>
                <w:rStyle w:val="62"/>
                <w:rFonts w:ascii="仿宋" w:hAnsi="仿宋" w:eastAsia="仿宋"/>
                <w:color w:val="auto"/>
                <w:sz w:val="21"/>
                <w:szCs w:val="21"/>
                <w:highlight w:val="none"/>
              </w:rPr>
            </w:pPr>
            <w:r>
              <w:rPr>
                <w:rStyle w:val="62"/>
                <w:rFonts w:ascii="仿宋" w:hAnsi="仿宋" w:eastAsia="仿宋"/>
                <w:color w:val="auto"/>
                <w:sz w:val="21"/>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2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4"/>
                <w:rFonts w:ascii="仿宋" w:hAnsi="仿宋" w:eastAsia="仿宋"/>
                <w:color w:val="auto"/>
                <w:szCs w:val="21"/>
                <w:highlight w:val="none"/>
              </w:rPr>
            </w:pPr>
            <w:r>
              <w:rPr>
                <w:rStyle w:val="94"/>
                <w:rFonts w:ascii="仿宋" w:hAnsi="仿宋" w:eastAsia="仿宋"/>
                <w:color w:val="auto"/>
                <w:szCs w:val="21"/>
                <w:highlight w:val="none"/>
              </w:rPr>
              <w:t>2.2.2（1）</w:t>
            </w:r>
          </w:p>
          <w:p>
            <w:pPr>
              <w:spacing w:line="360" w:lineRule="exact"/>
              <w:jc w:val="center"/>
              <w:rPr>
                <w:rStyle w:val="94"/>
                <w:rFonts w:ascii="仿宋" w:hAnsi="仿宋" w:eastAsia="仿宋"/>
                <w:color w:val="auto"/>
                <w:szCs w:val="21"/>
                <w:highlight w:val="none"/>
              </w:rPr>
            </w:pPr>
            <w:r>
              <w:rPr>
                <w:rStyle w:val="94"/>
                <w:rFonts w:ascii="仿宋" w:hAnsi="仿宋" w:eastAsia="仿宋"/>
                <w:color w:val="auto"/>
                <w:szCs w:val="21"/>
                <w:highlight w:val="none"/>
              </w:rPr>
              <w:t>商务部分（</w:t>
            </w:r>
            <w:r>
              <w:rPr>
                <w:rStyle w:val="94"/>
                <w:rFonts w:hint="eastAsia" w:ascii="仿宋" w:hAnsi="仿宋" w:eastAsia="仿宋"/>
                <w:color w:val="auto"/>
                <w:szCs w:val="21"/>
                <w:highlight w:val="none"/>
              </w:rPr>
              <w:t>30分</w:t>
            </w:r>
            <w:r>
              <w:rPr>
                <w:rStyle w:val="94"/>
                <w:rFonts w:ascii="仿宋" w:hAnsi="仿宋" w:eastAsia="仿宋"/>
                <w:color w:val="auto"/>
                <w:szCs w:val="21"/>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r>
              <w:rPr>
                <w:rStyle w:val="94"/>
                <w:rFonts w:ascii="仿宋" w:hAnsi="仿宋" w:eastAsia="仿宋"/>
                <w:color w:val="auto"/>
                <w:szCs w:val="21"/>
                <w:highlight w:val="none"/>
              </w:rPr>
              <w:t>投标报价得分计算方法</w:t>
            </w:r>
          </w:p>
        </w:tc>
        <w:tc>
          <w:tcPr>
            <w:tcW w:w="675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r>
              <w:rPr>
                <w:rStyle w:val="94"/>
                <w:rFonts w:ascii="仿宋" w:hAnsi="仿宋" w:eastAsia="仿宋"/>
                <w:color w:val="auto"/>
                <w:szCs w:val="21"/>
                <w:highlight w:val="none"/>
              </w:rPr>
              <w:t>价格分统一采用低价优先法计算，即满足</w:t>
            </w:r>
            <w:r>
              <w:rPr>
                <w:rStyle w:val="94"/>
                <w:rFonts w:hint="eastAsia" w:ascii="仿宋" w:hAnsi="仿宋" w:eastAsia="仿宋"/>
                <w:color w:val="auto"/>
                <w:szCs w:val="21"/>
                <w:highlight w:val="none"/>
              </w:rPr>
              <w:t>招标文件</w:t>
            </w:r>
            <w:r>
              <w:rPr>
                <w:rStyle w:val="94"/>
                <w:rFonts w:ascii="仿宋" w:hAnsi="仿宋" w:eastAsia="仿宋"/>
                <w:color w:val="auto"/>
                <w:szCs w:val="21"/>
                <w:highlight w:val="none"/>
              </w:rPr>
              <w:t xml:space="preserve">要求且投标报价最低的投标人的价格为评标基准价，其价格分为满分。其他投标人的价格分统一按照下列公式计算： </w:t>
            </w:r>
          </w:p>
          <w:p>
            <w:pPr>
              <w:spacing w:line="360" w:lineRule="exact"/>
              <w:jc w:val="left"/>
              <w:rPr>
                <w:rStyle w:val="94"/>
                <w:rFonts w:ascii="仿宋" w:hAnsi="仿宋" w:eastAsia="仿宋"/>
                <w:color w:val="auto"/>
                <w:szCs w:val="21"/>
                <w:highlight w:val="none"/>
              </w:rPr>
            </w:pPr>
            <w:r>
              <w:rPr>
                <w:rStyle w:val="94"/>
                <w:rFonts w:ascii="仿宋" w:hAnsi="仿宋" w:eastAsia="仿宋"/>
                <w:color w:val="auto"/>
                <w:szCs w:val="21"/>
                <w:highlight w:val="none"/>
              </w:rPr>
              <w:t>报价得分=(评标基准价/投标报价)×</w:t>
            </w:r>
            <w:r>
              <w:rPr>
                <w:rStyle w:val="94"/>
                <w:rFonts w:hint="eastAsia" w:ascii="仿宋" w:hAnsi="仿宋" w:eastAsia="仿宋"/>
                <w:color w:val="auto"/>
                <w:szCs w:val="21"/>
                <w:highlight w:val="none"/>
              </w:rPr>
              <w:t>30</w:t>
            </w:r>
          </w:p>
          <w:p>
            <w:pPr>
              <w:spacing w:line="360" w:lineRule="exact"/>
              <w:jc w:val="left"/>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注：</w:t>
            </w:r>
          </w:p>
          <w:p>
            <w:pPr>
              <w:pStyle w:val="2"/>
              <w:ind w:firstLine="0"/>
              <w:rPr>
                <w:color w:val="auto"/>
                <w:highlight w:val="none"/>
              </w:rPr>
            </w:pPr>
            <w:r>
              <w:rPr>
                <w:rStyle w:val="94"/>
                <w:rFonts w:hint="eastAsia" w:ascii="仿宋" w:hAnsi="仿宋" w:eastAsia="仿宋" w:cs="Times New Roman"/>
                <w:color w:val="auto"/>
                <w:szCs w:val="21"/>
                <w:highlight w:val="none"/>
              </w:rPr>
              <w:t>1、评标委员会发现供应商的报价明显低于其他通过符合性审查供应商的报价（建议比控制价低30%的），有可能影响服务质量或者不能诚信履约的，应当要求其在评标现场合理的时间内提供书面说明，必要时提交相关证明材料，供应商不能证明其报价合理性的，评标委员会应当将其作为无效标处理。</w:t>
            </w:r>
          </w:p>
          <w:p>
            <w:pPr>
              <w:spacing w:line="360" w:lineRule="exact"/>
              <w:jc w:val="left"/>
              <w:rPr>
                <w:rStyle w:val="62"/>
                <w:color w:val="auto"/>
                <w:highlight w:val="none"/>
              </w:rPr>
            </w:pPr>
            <w:r>
              <w:rPr>
                <w:rStyle w:val="94"/>
                <w:rFonts w:hint="eastAsia" w:ascii="仿宋" w:hAnsi="仿宋" w:eastAsia="仿宋" w:cs="Times New Roman"/>
                <w:color w:val="auto"/>
                <w:szCs w:val="21"/>
                <w:highlight w:val="none"/>
              </w:rPr>
              <w:t>2、落实《潢川县财政局关于进一步加大政府采购支持中小企业力度的通知》，对小型和微型企业的价格给予15</w:t>
            </w:r>
            <w:r>
              <w:rPr>
                <w:rStyle w:val="94"/>
                <w:rFonts w:ascii="仿宋" w:hAnsi="仿宋" w:eastAsia="仿宋" w:cs="Times New Roman"/>
                <w:color w:val="auto"/>
                <w:szCs w:val="21"/>
                <w:highlight w:val="none"/>
              </w:rPr>
              <w:t>%</w:t>
            </w:r>
            <w:r>
              <w:rPr>
                <w:rStyle w:val="94"/>
                <w:rFonts w:hint="eastAsia" w:ascii="仿宋" w:hAnsi="仿宋" w:eastAsia="仿宋" w:cs="Times New Roman"/>
                <w:color w:val="auto"/>
                <w:szCs w:val="21"/>
                <w:highlight w:val="none"/>
              </w:rPr>
              <w:t>的扣除，用扣除后的价格参与评审。</w:t>
            </w:r>
          </w:p>
        </w:tc>
        <w:tc>
          <w:tcPr>
            <w:tcW w:w="65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r>
              <w:rPr>
                <w:rStyle w:val="94"/>
                <w:rFonts w:hint="eastAsia" w:ascii="仿宋" w:hAnsi="仿宋" w:eastAsia="仿宋"/>
                <w:color w:val="auto"/>
                <w:szCs w:val="21"/>
                <w:highlight w:val="none"/>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jc w:val="center"/>
        </w:trPr>
        <w:tc>
          <w:tcPr>
            <w:tcW w:w="923" w:type="dxa"/>
            <w:vMerge w:val="restart"/>
            <w:tcBorders>
              <w:top w:val="single" w:color="000000" w:sz="4" w:space="0"/>
              <w:left w:val="single" w:color="000000" w:sz="4" w:space="0"/>
              <w:right w:val="single" w:color="000000" w:sz="4" w:space="0"/>
            </w:tcBorders>
            <w:vAlign w:val="center"/>
          </w:tcPr>
          <w:p>
            <w:pPr>
              <w:spacing w:line="360" w:lineRule="exact"/>
              <w:jc w:val="center"/>
              <w:rPr>
                <w:rStyle w:val="94"/>
                <w:rFonts w:ascii="仿宋" w:hAnsi="仿宋" w:eastAsia="仿宋"/>
                <w:color w:val="auto"/>
                <w:szCs w:val="21"/>
                <w:highlight w:val="none"/>
              </w:rPr>
            </w:pPr>
            <w:r>
              <w:rPr>
                <w:rStyle w:val="94"/>
                <w:rFonts w:ascii="仿宋" w:hAnsi="仿宋" w:eastAsia="仿宋"/>
                <w:color w:val="auto"/>
                <w:szCs w:val="21"/>
                <w:highlight w:val="none"/>
              </w:rPr>
              <w:t>2.2.2（2）</w:t>
            </w:r>
          </w:p>
          <w:p>
            <w:pPr>
              <w:spacing w:line="360" w:lineRule="exact"/>
              <w:jc w:val="center"/>
              <w:rPr>
                <w:rStyle w:val="94"/>
                <w:rFonts w:ascii="仿宋" w:hAnsi="仿宋" w:eastAsia="仿宋"/>
                <w:color w:val="auto"/>
                <w:szCs w:val="21"/>
                <w:highlight w:val="none"/>
              </w:rPr>
            </w:pPr>
            <w:r>
              <w:rPr>
                <w:rStyle w:val="94"/>
                <w:rFonts w:ascii="仿宋" w:hAnsi="仿宋" w:eastAsia="仿宋"/>
                <w:color w:val="auto"/>
                <w:szCs w:val="21"/>
                <w:highlight w:val="none"/>
              </w:rPr>
              <w:t>技术部分（</w:t>
            </w:r>
            <w:r>
              <w:rPr>
                <w:rStyle w:val="94"/>
                <w:rFonts w:hint="eastAsia" w:ascii="仿宋" w:hAnsi="仿宋" w:eastAsia="仿宋"/>
                <w:color w:val="auto"/>
                <w:szCs w:val="21"/>
                <w:highlight w:val="none"/>
              </w:rPr>
              <w:t>45</w:t>
            </w:r>
            <w:r>
              <w:rPr>
                <w:rStyle w:val="94"/>
                <w:rFonts w:ascii="仿宋" w:hAnsi="仿宋" w:eastAsia="仿宋"/>
                <w:color w:val="auto"/>
                <w:szCs w:val="21"/>
                <w:highlight w:val="none"/>
              </w:rPr>
              <w:t>）</w:t>
            </w:r>
          </w:p>
          <w:p>
            <w:pPr>
              <w:spacing w:line="360" w:lineRule="exact"/>
              <w:jc w:val="center"/>
              <w:rPr>
                <w:rStyle w:val="94"/>
                <w:rFonts w:ascii="仿宋" w:hAnsi="仿宋" w:eastAsia="仿宋"/>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4"/>
                <w:rFonts w:ascii="仿宋" w:hAnsi="仿宋" w:eastAsia="仿宋"/>
                <w:color w:val="auto"/>
                <w:szCs w:val="21"/>
                <w:highlight w:val="none"/>
              </w:rPr>
            </w:pPr>
            <w:r>
              <w:rPr>
                <w:rStyle w:val="94"/>
                <w:rFonts w:hint="eastAsia" w:ascii="仿宋" w:hAnsi="仿宋" w:eastAsia="仿宋"/>
                <w:color w:val="auto"/>
                <w:szCs w:val="21"/>
                <w:highlight w:val="none"/>
              </w:rPr>
              <w:t>产品配置及技术参数（30 分）</w:t>
            </w:r>
          </w:p>
        </w:tc>
        <w:tc>
          <w:tcPr>
            <w:tcW w:w="6750" w:type="dxa"/>
            <w:gridSpan w:val="2"/>
            <w:tcBorders>
              <w:top w:val="single" w:color="000000" w:sz="4" w:space="0"/>
              <w:left w:val="single" w:color="000000" w:sz="4" w:space="0"/>
              <w:bottom w:val="single" w:color="000000" w:sz="4" w:space="0"/>
              <w:right w:val="single" w:color="000000" w:sz="4" w:space="0"/>
            </w:tcBorders>
          </w:tcPr>
          <w:p>
            <w:pPr>
              <w:spacing w:line="360" w:lineRule="exact"/>
              <w:jc w:val="left"/>
              <w:rPr>
                <w:rStyle w:val="94"/>
                <w:rFonts w:ascii="仿宋" w:hAnsi="仿宋" w:eastAsia="仿宋"/>
                <w:color w:val="auto"/>
                <w:szCs w:val="21"/>
                <w:highlight w:val="none"/>
              </w:rPr>
            </w:pPr>
            <w:r>
              <w:rPr>
                <w:rStyle w:val="94"/>
                <w:rFonts w:hint="eastAsia" w:ascii="仿宋" w:hAnsi="仿宋" w:eastAsia="仿宋"/>
                <w:color w:val="auto"/>
                <w:szCs w:val="21"/>
                <w:highlight w:val="none"/>
              </w:rPr>
              <w:t>根据招标文件中的设备技术参数及产品要求进行打分。</w:t>
            </w:r>
          </w:p>
          <w:p>
            <w:pPr>
              <w:spacing w:line="360" w:lineRule="exact"/>
              <w:jc w:val="left"/>
              <w:rPr>
                <w:rStyle w:val="94"/>
                <w:rFonts w:ascii="仿宋" w:hAnsi="仿宋" w:eastAsia="仿宋"/>
                <w:color w:val="auto"/>
                <w:szCs w:val="21"/>
                <w:highlight w:val="none"/>
              </w:rPr>
            </w:pPr>
            <w:r>
              <w:rPr>
                <w:rStyle w:val="94"/>
                <w:rFonts w:hint="eastAsia" w:ascii="仿宋" w:hAnsi="仿宋" w:eastAsia="仿宋"/>
                <w:color w:val="auto"/>
                <w:szCs w:val="21"/>
                <w:highlight w:val="none"/>
              </w:rPr>
              <w:t>全部满足招标文件参数要求的得 30 分，如出现负偏离，一般参数给予每项 2 分的扣分，扣完为止；加▲的为重要参数，如出现负偏离，给予每项 6 分扣分，扣完为止。</w:t>
            </w:r>
          </w:p>
        </w:tc>
        <w:tc>
          <w:tcPr>
            <w:tcW w:w="651" w:type="dxa"/>
            <w:vMerge w:val="restart"/>
            <w:tcBorders>
              <w:top w:val="single" w:color="000000" w:sz="4" w:space="0"/>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r>
              <w:rPr>
                <w:rStyle w:val="94"/>
                <w:rFonts w:hint="eastAsia" w:ascii="仿宋" w:hAnsi="仿宋" w:eastAsia="仿宋"/>
                <w:color w:val="auto"/>
                <w:szCs w:val="21"/>
                <w:highlight w:val="none"/>
              </w:rPr>
              <w:t>45</w:t>
            </w:r>
            <w:r>
              <w:rPr>
                <w:rStyle w:val="94"/>
                <w:rFonts w:ascii="仿宋" w:hAnsi="仿宋" w:eastAsia="仿宋"/>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923" w:type="dxa"/>
            <w:vMerge w:val="continue"/>
            <w:tcBorders>
              <w:left w:val="single" w:color="000000" w:sz="4" w:space="0"/>
              <w:right w:val="single" w:color="000000" w:sz="4" w:space="0"/>
            </w:tcBorders>
            <w:vAlign w:val="center"/>
          </w:tcPr>
          <w:p>
            <w:pPr>
              <w:spacing w:line="360" w:lineRule="exact"/>
              <w:jc w:val="center"/>
              <w:rPr>
                <w:rStyle w:val="94"/>
                <w:rFonts w:ascii="仿宋" w:hAnsi="仿宋" w:eastAsia="仿宋"/>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实施方案（5 分）</w:t>
            </w:r>
          </w:p>
          <w:p>
            <w:pPr>
              <w:spacing w:line="360" w:lineRule="exact"/>
              <w:jc w:val="center"/>
              <w:rPr>
                <w:rStyle w:val="94"/>
                <w:rFonts w:ascii="仿宋" w:hAnsi="仿宋" w:eastAsia="仿宋" w:cs="Times New Roman"/>
                <w:color w:val="auto"/>
                <w:szCs w:val="21"/>
                <w:highlight w:val="none"/>
              </w:rPr>
            </w:pPr>
          </w:p>
        </w:tc>
        <w:tc>
          <w:tcPr>
            <w:tcW w:w="6750" w:type="dxa"/>
            <w:gridSpan w:val="2"/>
            <w:tcBorders>
              <w:top w:val="single" w:color="000000" w:sz="4" w:space="0"/>
              <w:left w:val="single" w:color="000000" w:sz="4" w:space="0"/>
              <w:bottom w:val="single" w:color="000000" w:sz="4" w:space="0"/>
              <w:right w:val="single" w:color="000000" w:sz="4" w:space="0"/>
            </w:tcBorders>
          </w:tcPr>
          <w:p>
            <w:pPr>
              <w:spacing w:line="360" w:lineRule="exact"/>
              <w:jc w:val="left"/>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 xml:space="preserve">根据供应商拟定的项目实施方案，交货进度计划保证措施、安装调试措施、安全文明施工措施、人员配备安排措施及包装、运输方案，分四个档次打分：优的得 5 分，良的得 4 分，一般的得 2 分，差的得1 分。 </w:t>
            </w:r>
          </w:p>
        </w:tc>
        <w:tc>
          <w:tcPr>
            <w:tcW w:w="651" w:type="dxa"/>
            <w:vMerge w:val="continue"/>
            <w:tcBorders>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923" w:type="dxa"/>
            <w:vMerge w:val="continue"/>
            <w:tcBorders>
              <w:left w:val="single" w:color="000000" w:sz="4" w:space="0"/>
              <w:right w:val="single" w:color="000000" w:sz="4" w:space="0"/>
            </w:tcBorders>
            <w:vAlign w:val="center"/>
          </w:tcPr>
          <w:p>
            <w:pPr>
              <w:spacing w:line="360" w:lineRule="exact"/>
              <w:jc w:val="center"/>
              <w:rPr>
                <w:rStyle w:val="94"/>
                <w:rFonts w:ascii="仿宋" w:hAnsi="仿宋" w:eastAsia="仿宋"/>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培训方案（5分）</w:t>
            </w:r>
          </w:p>
          <w:p>
            <w:pPr>
              <w:spacing w:line="360" w:lineRule="exact"/>
              <w:jc w:val="center"/>
              <w:rPr>
                <w:rStyle w:val="94"/>
                <w:rFonts w:ascii="仿宋" w:hAnsi="仿宋" w:eastAsia="仿宋" w:cs="Times New Roman"/>
                <w:color w:val="auto"/>
                <w:szCs w:val="21"/>
                <w:highlight w:val="none"/>
              </w:rPr>
            </w:pPr>
          </w:p>
        </w:tc>
        <w:tc>
          <w:tcPr>
            <w:tcW w:w="6750" w:type="dxa"/>
            <w:gridSpan w:val="2"/>
            <w:tcBorders>
              <w:top w:val="single" w:color="000000" w:sz="4" w:space="0"/>
              <w:left w:val="single" w:color="000000" w:sz="4" w:space="0"/>
              <w:bottom w:val="single" w:color="000000" w:sz="4" w:space="0"/>
              <w:right w:val="single" w:color="000000" w:sz="4" w:space="0"/>
            </w:tcBorders>
          </w:tcPr>
          <w:p>
            <w:pPr>
              <w:spacing w:line="360" w:lineRule="exact"/>
              <w:jc w:val="left"/>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培训内容方案详实可行，满足项目需求的，评标委员会根据表述的内容科学合理性，由评标委员会对各供应商进行比较后，分四档打分：优的得 5分，良的得 4 分，一般的得 2 分，差的得 1 分，无此项内容的得 0 分。</w:t>
            </w:r>
          </w:p>
        </w:tc>
        <w:tc>
          <w:tcPr>
            <w:tcW w:w="651" w:type="dxa"/>
            <w:vMerge w:val="continue"/>
            <w:tcBorders>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923" w:type="dxa"/>
            <w:vMerge w:val="continue"/>
            <w:tcBorders>
              <w:left w:val="single" w:color="000000" w:sz="4" w:space="0"/>
              <w:right w:val="single" w:color="000000" w:sz="4" w:space="0"/>
            </w:tcBorders>
            <w:vAlign w:val="center"/>
          </w:tcPr>
          <w:p>
            <w:pPr>
              <w:spacing w:line="360" w:lineRule="exact"/>
              <w:jc w:val="center"/>
              <w:rPr>
                <w:rStyle w:val="94"/>
                <w:rFonts w:ascii="仿宋" w:hAnsi="仿宋" w:eastAsia="仿宋"/>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售后服务方案（</w:t>
            </w:r>
            <w:r>
              <w:rPr>
                <w:rStyle w:val="94"/>
                <w:rFonts w:ascii="仿宋" w:hAnsi="仿宋" w:eastAsia="仿宋" w:cs="Times New Roman"/>
                <w:color w:val="auto"/>
                <w:szCs w:val="21"/>
                <w:highlight w:val="none"/>
              </w:rPr>
              <w:t xml:space="preserve">5 </w:t>
            </w:r>
            <w:r>
              <w:rPr>
                <w:rStyle w:val="94"/>
                <w:rFonts w:hint="eastAsia" w:ascii="仿宋" w:hAnsi="仿宋" w:eastAsia="仿宋" w:cs="Times New Roman"/>
                <w:color w:val="auto"/>
                <w:szCs w:val="21"/>
                <w:highlight w:val="none"/>
              </w:rPr>
              <w:t>分）</w:t>
            </w:r>
          </w:p>
        </w:tc>
        <w:tc>
          <w:tcPr>
            <w:tcW w:w="6750" w:type="dxa"/>
            <w:gridSpan w:val="2"/>
            <w:tcBorders>
              <w:top w:val="single" w:color="000000" w:sz="4" w:space="0"/>
              <w:left w:val="single" w:color="000000" w:sz="4" w:space="0"/>
              <w:bottom w:val="single" w:color="000000" w:sz="4" w:space="0"/>
              <w:right w:val="single" w:color="000000" w:sz="4" w:space="0"/>
            </w:tcBorders>
          </w:tcPr>
          <w:p>
            <w:pPr>
              <w:spacing w:line="360" w:lineRule="exact"/>
              <w:jc w:val="left"/>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根据各供应商所提供的整体售后服务方案进行评审，从售后服务体系、售后服务保障措施、技术支持承诺、产品服务承诺、服务响应时间和计划及措施是否满足采购人实际需求等方面进行评审。由评标委员会对各供应商进行比较，分四档打分：优的得 5 分，良的得 4 分，一般的得 2 分，差的得 1 分，无此项内容的得 0 分。</w:t>
            </w:r>
          </w:p>
        </w:tc>
        <w:tc>
          <w:tcPr>
            <w:tcW w:w="651" w:type="dxa"/>
            <w:vMerge w:val="continue"/>
            <w:tcBorders>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923" w:type="dxa"/>
            <w:vMerge w:val="restart"/>
            <w:tcBorders>
              <w:top w:val="single" w:color="000000" w:sz="4" w:space="0"/>
              <w:left w:val="single" w:color="000000" w:sz="4" w:space="0"/>
              <w:right w:val="single" w:color="000000" w:sz="4" w:space="0"/>
            </w:tcBorders>
            <w:vAlign w:val="center"/>
          </w:tcPr>
          <w:p>
            <w:pPr>
              <w:spacing w:line="360" w:lineRule="exact"/>
              <w:jc w:val="center"/>
              <w:rPr>
                <w:rStyle w:val="94"/>
                <w:rFonts w:ascii="仿宋" w:hAnsi="仿宋" w:eastAsia="仿宋"/>
                <w:color w:val="auto"/>
                <w:szCs w:val="21"/>
                <w:highlight w:val="none"/>
              </w:rPr>
            </w:pPr>
            <w:r>
              <w:rPr>
                <w:rStyle w:val="94"/>
                <w:rFonts w:ascii="仿宋" w:hAnsi="仿宋" w:eastAsia="仿宋"/>
                <w:color w:val="auto"/>
                <w:szCs w:val="21"/>
                <w:highlight w:val="none"/>
              </w:rPr>
              <w:t>2.2.2（3）</w:t>
            </w:r>
          </w:p>
          <w:p>
            <w:pPr>
              <w:spacing w:line="360" w:lineRule="exact"/>
              <w:jc w:val="center"/>
              <w:rPr>
                <w:rStyle w:val="94"/>
                <w:rFonts w:ascii="仿宋" w:hAnsi="仿宋" w:eastAsia="仿宋"/>
                <w:color w:val="auto"/>
                <w:szCs w:val="21"/>
                <w:highlight w:val="none"/>
              </w:rPr>
            </w:pPr>
            <w:r>
              <w:rPr>
                <w:rStyle w:val="94"/>
                <w:rFonts w:ascii="仿宋" w:hAnsi="仿宋" w:eastAsia="仿宋"/>
                <w:color w:val="auto"/>
                <w:szCs w:val="21"/>
                <w:highlight w:val="none"/>
              </w:rPr>
              <w:t>综合部分（</w:t>
            </w:r>
            <w:r>
              <w:rPr>
                <w:rStyle w:val="94"/>
                <w:rFonts w:hint="eastAsia" w:ascii="仿宋" w:hAnsi="仿宋" w:eastAsia="仿宋"/>
                <w:color w:val="auto"/>
                <w:szCs w:val="21"/>
                <w:highlight w:val="none"/>
              </w:rPr>
              <w:t>25</w:t>
            </w:r>
            <w:r>
              <w:rPr>
                <w:rStyle w:val="94"/>
                <w:rFonts w:ascii="仿宋" w:hAnsi="仿宋" w:eastAsia="仿宋"/>
                <w:color w:val="auto"/>
                <w:szCs w:val="21"/>
                <w:highlight w:val="none"/>
              </w:rPr>
              <w:t>分）</w:t>
            </w:r>
          </w:p>
        </w:tc>
        <w:tc>
          <w:tcPr>
            <w:tcW w:w="1095" w:type="dxa"/>
            <w:tcBorders>
              <w:top w:val="single" w:color="000000" w:sz="4" w:space="0"/>
              <w:left w:val="single" w:color="000000" w:sz="4" w:space="0"/>
              <w:right w:val="single" w:color="000000" w:sz="4" w:space="0"/>
            </w:tcBorders>
            <w:vAlign w:val="center"/>
          </w:tcPr>
          <w:p>
            <w:pPr>
              <w:spacing w:line="360" w:lineRule="exact"/>
              <w:jc w:val="center"/>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企业实力（6分）</w:t>
            </w:r>
          </w:p>
        </w:tc>
        <w:tc>
          <w:tcPr>
            <w:tcW w:w="6750" w:type="dxa"/>
            <w:gridSpan w:val="2"/>
            <w:tcBorders>
              <w:top w:val="single" w:color="000000" w:sz="4" w:space="0"/>
              <w:left w:val="single" w:color="000000" w:sz="4" w:space="0"/>
              <w:bottom w:val="single" w:color="000000" w:sz="4" w:space="0"/>
              <w:right w:val="single" w:color="000000" w:sz="4" w:space="0"/>
            </w:tcBorders>
          </w:tcPr>
          <w:p>
            <w:pPr>
              <w:pStyle w:val="2"/>
              <w:ind w:firstLine="0"/>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投标人所投理化生实验室设备生产厂家具有质量体系认证、环境体系认证、职业健康管理体系认证的，每具备一项得2分，共6分</w:t>
            </w:r>
          </w:p>
        </w:tc>
        <w:tc>
          <w:tcPr>
            <w:tcW w:w="651" w:type="dxa"/>
            <w:vMerge w:val="restart"/>
            <w:tcBorders>
              <w:top w:val="single" w:color="000000" w:sz="4" w:space="0"/>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r>
              <w:rPr>
                <w:rStyle w:val="94"/>
                <w:rFonts w:hint="eastAsia" w:ascii="仿宋" w:hAnsi="仿宋" w:eastAsia="仿宋"/>
                <w:color w:val="auto"/>
                <w:szCs w:val="21"/>
                <w:highlight w:val="none"/>
              </w:rPr>
              <w:t>25</w:t>
            </w:r>
            <w:r>
              <w:rPr>
                <w:rStyle w:val="94"/>
                <w:rFonts w:ascii="仿宋" w:hAnsi="仿宋" w:eastAsia="仿宋"/>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923" w:type="dxa"/>
            <w:vMerge w:val="continue"/>
            <w:tcBorders>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企业业绩（15</w:t>
            </w:r>
            <w:r>
              <w:rPr>
                <w:rStyle w:val="94"/>
                <w:rFonts w:ascii="仿宋" w:hAnsi="仿宋" w:eastAsia="仿宋" w:cs="Times New Roman"/>
                <w:color w:val="auto"/>
                <w:szCs w:val="21"/>
                <w:highlight w:val="none"/>
              </w:rPr>
              <w:t xml:space="preserve"> </w:t>
            </w:r>
            <w:r>
              <w:rPr>
                <w:rStyle w:val="94"/>
                <w:rFonts w:hint="eastAsia" w:ascii="仿宋" w:hAnsi="仿宋" w:eastAsia="仿宋" w:cs="Times New Roman"/>
                <w:color w:val="auto"/>
                <w:szCs w:val="21"/>
                <w:highlight w:val="none"/>
              </w:rPr>
              <w:t>分）</w:t>
            </w:r>
          </w:p>
        </w:tc>
        <w:tc>
          <w:tcPr>
            <w:tcW w:w="6750" w:type="dxa"/>
            <w:gridSpan w:val="2"/>
            <w:tcBorders>
              <w:top w:val="single" w:color="000000" w:sz="4" w:space="0"/>
              <w:left w:val="single" w:color="000000" w:sz="4" w:space="0"/>
              <w:bottom w:val="single" w:color="000000" w:sz="4" w:space="0"/>
              <w:right w:val="single" w:color="000000" w:sz="4" w:space="0"/>
            </w:tcBorders>
          </w:tcPr>
          <w:p>
            <w:pPr>
              <w:spacing w:line="360" w:lineRule="exact"/>
              <w:jc w:val="left"/>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供应商或所投实验室产品制造商自 2020</w:t>
            </w:r>
            <w:r>
              <w:rPr>
                <w:rStyle w:val="94"/>
                <w:rFonts w:ascii="仿宋" w:hAnsi="仿宋" w:eastAsia="仿宋" w:cs="Times New Roman"/>
                <w:color w:val="auto"/>
                <w:szCs w:val="21"/>
                <w:highlight w:val="none"/>
              </w:rPr>
              <w:t xml:space="preserve"> </w:t>
            </w:r>
            <w:r>
              <w:rPr>
                <w:rStyle w:val="94"/>
                <w:rFonts w:hint="eastAsia" w:ascii="仿宋" w:hAnsi="仿宋" w:eastAsia="仿宋" w:cs="Times New Roman"/>
                <w:color w:val="auto"/>
                <w:szCs w:val="21"/>
                <w:highlight w:val="none"/>
              </w:rPr>
              <w:t xml:space="preserve">年 </w:t>
            </w:r>
            <w:r>
              <w:rPr>
                <w:rStyle w:val="94"/>
                <w:rFonts w:ascii="仿宋" w:hAnsi="仿宋" w:eastAsia="仿宋" w:cs="Times New Roman"/>
                <w:color w:val="auto"/>
                <w:szCs w:val="21"/>
                <w:highlight w:val="none"/>
              </w:rPr>
              <w:t xml:space="preserve">1 </w:t>
            </w:r>
            <w:r>
              <w:rPr>
                <w:rStyle w:val="94"/>
                <w:rFonts w:hint="eastAsia" w:ascii="仿宋" w:hAnsi="仿宋" w:eastAsia="仿宋" w:cs="Times New Roman"/>
                <w:color w:val="auto"/>
                <w:szCs w:val="21"/>
                <w:highlight w:val="none"/>
              </w:rPr>
              <w:t xml:space="preserve">月 </w:t>
            </w:r>
            <w:r>
              <w:rPr>
                <w:rStyle w:val="94"/>
                <w:rFonts w:ascii="仿宋" w:hAnsi="仿宋" w:eastAsia="仿宋" w:cs="Times New Roman"/>
                <w:color w:val="auto"/>
                <w:szCs w:val="21"/>
                <w:highlight w:val="none"/>
              </w:rPr>
              <w:t xml:space="preserve">1 </w:t>
            </w:r>
            <w:r>
              <w:rPr>
                <w:rStyle w:val="94"/>
                <w:rFonts w:hint="eastAsia" w:ascii="仿宋" w:hAnsi="仿宋" w:eastAsia="仿宋" w:cs="Times New Roman"/>
                <w:color w:val="auto"/>
                <w:szCs w:val="21"/>
                <w:highlight w:val="none"/>
              </w:rPr>
              <w:t xml:space="preserve">日以来，有相关项目业绩的，每提供一份得 </w:t>
            </w:r>
            <w:r>
              <w:rPr>
                <w:rStyle w:val="94"/>
                <w:rFonts w:ascii="仿宋" w:hAnsi="仿宋" w:eastAsia="仿宋" w:cs="Times New Roman"/>
                <w:color w:val="auto"/>
                <w:szCs w:val="21"/>
                <w:highlight w:val="none"/>
              </w:rPr>
              <w:t xml:space="preserve">3 </w:t>
            </w:r>
            <w:r>
              <w:rPr>
                <w:rStyle w:val="94"/>
                <w:rFonts w:hint="eastAsia" w:ascii="仿宋" w:hAnsi="仿宋" w:eastAsia="仿宋" w:cs="Times New Roman"/>
                <w:color w:val="auto"/>
                <w:szCs w:val="21"/>
                <w:highlight w:val="none"/>
              </w:rPr>
              <w:t>分，不提供不得分，最多得15分，时间以合同签订时间为准。响应文件中须附相关证明文件，提供合同及中标通知书复印件。</w:t>
            </w:r>
          </w:p>
        </w:tc>
        <w:tc>
          <w:tcPr>
            <w:tcW w:w="651" w:type="dxa"/>
            <w:vMerge w:val="continue"/>
            <w:tcBorders>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923" w:type="dxa"/>
            <w:vMerge w:val="continue"/>
            <w:tcBorders>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售后响应（4分）</w:t>
            </w:r>
          </w:p>
        </w:tc>
        <w:tc>
          <w:tcPr>
            <w:tcW w:w="6750" w:type="dxa"/>
            <w:gridSpan w:val="2"/>
            <w:tcBorders>
              <w:top w:val="single" w:color="000000" w:sz="4" w:space="0"/>
              <w:left w:val="single" w:color="000000" w:sz="4" w:space="0"/>
              <w:bottom w:val="single" w:color="000000" w:sz="4" w:space="0"/>
              <w:right w:val="single" w:color="000000" w:sz="4" w:space="0"/>
            </w:tcBorders>
          </w:tcPr>
          <w:p>
            <w:pPr>
              <w:spacing w:line="360" w:lineRule="exact"/>
              <w:jc w:val="left"/>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承诺故障响应时间小于0.5小时，上门时间小于1小时，解决问题时间小于4小时；如4小时未能解决，当天内能更换配件或提供备用机并出具承诺书的得4分；</w:t>
            </w:r>
          </w:p>
          <w:p>
            <w:pPr>
              <w:spacing w:line="360" w:lineRule="exact"/>
              <w:jc w:val="left"/>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承诺故障响应时间小于2小时，上门时间小于4小时，解决问题时间小于24小时；如24小时未能解决，1天内能更换配件或提供备用机并出具承诺书的得3分；</w:t>
            </w:r>
          </w:p>
          <w:p>
            <w:pPr>
              <w:spacing w:line="360" w:lineRule="exact"/>
              <w:jc w:val="left"/>
              <w:rPr>
                <w:rStyle w:val="94"/>
                <w:rFonts w:ascii="仿宋" w:hAnsi="仿宋" w:eastAsia="仿宋" w:cs="Times New Roman"/>
                <w:color w:val="auto"/>
                <w:szCs w:val="21"/>
                <w:highlight w:val="none"/>
              </w:rPr>
            </w:pPr>
            <w:r>
              <w:rPr>
                <w:rStyle w:val="94"/>
                <w:rFonts w:hint="eastAsia" w:ascii="仿宋" w:hAnsi="仿宋" w:eastAsia="仿宋" w:cs="Times New Roman"/>
                <w:color w:val="auto"/>
                <w:szCs w:val="21"/>
                <w:highlight w:val="none"/>
              </w:rPr>
              <w:t>承诺故障响应时间小于4小时，上门时间小于8小时，解决问题时间小于48小时；如48小时未能解决，2天内能更换配件或提供备用机并出具承诺书的得2分；否则不得分。</w:t>
            </w:r>
          </w:p>
          <w:p>
            <w:pPr>
              <w:spacing w:line="360" w:lineRule="exact"/>
              <w:jc w:val="left"/>
              <w:rPr>
                <w:color w:val="auto"/>
                <w:highlight w:val="none"/>
              </w:rPr>
            </w:pPr>
            <w:r>
              <w:rPr>
                <w:rStyle w:val="94"/>
                <w:rFonts w:hint="eastAsia" w:ascii="仿宋" w:hAnsi="仿宋" w:eastAsia="仿宋" w:cs="Times New Roman"/>
                <w:color w:val="auto"/>
                <w:szCs w:val="21"/>
                <w:highlight w:val="none"/>
              </w:rPr>
              <w:t>承诺故障响应时间小于8小时，上门时间小于24小时，解决问题时间小于72小时；如72小时未能解决，3天内能更换配件或提供备用机并出具承诺书的得1分；否则不得分。</w:t>
            </w:r>
          </w:p>
        </w:tc>
        <w:tc>
          <w:tcPr>
            <w:tcW w:w="651" w:type="dxa"/>
            <w:vMerge w:val="continue"/>
            <w:tcBorders>
              <w:left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76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r>
              <w:rPr>
                <w:rStyle w:val="94"/>
                <w:rFonts w:ascii="仿宋" w:hAnsi="仿宋" w:eastAsia="仿宋"/>
                <w:color w:val="auto"/>
                <w:szCs w:val="21"/>
                <w:highlight w:val="none"/>
              </w:rPr>
              <w:t>以上内容若缺项的不得分。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Style w:val="94"/>
                <w:rFonts w:ascii="仿宋" w:hAnsi="仿宋" w:eastAsia="仿宋"/>
                <w:color w:val="auto"/>
                <w:szCs w:val="21"/>
                <w:highlight w:val="none"/>
              </w:rPr>
            </w:pPr>
          </w:p>
        </w:tc>
      </w:tr>
    </w:tbl>
    <w:p>
      <w:pPr>
        <w:pStyle w:val="120"/>
        <w:tabs>
          <w:tab w:val="left" w:pos="360"/>
        </w:tabs>
        <w:snapToGrid w:val="0"/>
        <w:spacing w:line="420" w:lineRule="exact"/>
        <w:jc w:val="both"/>
        <w:rPr>
          <w:rStyle w:val="62"/>
          <w:rFonts w:ascii="仿宋" w:hAnsi="仿宋" w:eastAsia="仿宋"/>
          <w:color w:val="auto"/>
          <w:sz w:val="21"/>
          <w:szCs w:val="21"/>
          <w:highlight w:val="none"/>
        </w:rPr>
      </w:pPr>
    </w:p>
    <w:p>
      <w:pPr>
        <w:spacing w:line="360" w:lineRule="auto"/>
        <w:ind w:firstLine="422"/>
        <w:outlineLvl w:val="1"/>
        <w:rPr>
          <w:rFonts w:ascii="宋体" w:hAnsi="宋体"/>
          <w:b/>
          <w:bCs/>
          <w:color w:val="auto"/>
          <w:szCs w:val="21"/>
          <w:highlight w:val="none"/>
        </w:rPr>
      </w:pPr>
      <w:r>
        <w:rPr>
          <w:rFonts w:hint="eastAsia" w:ascii="宋体" w:hAnsi="宋体"/>
          <w:b/>
          <w:bCs/>
          <w:color w:val="auto"/>
          <w:szCs w:val="21"/>
          <w:highlight w:val="none"/>
        </w:rPr>
        <w:t>1.评审方法</w:t>
      </w:r>
    </w:p>
    <w:p>
      <w:pPr>
        <w:spacing w:line="360" w:lineRule="auto"/>
        <w:ind w:firstLine="420"/>
        <w:rPr>
          <w:rFonts w:ascii="宋体" w:hAnsi="宋体"/>
          <w:color w:val="auto"/>
          <w:szCs w:val="21"/>
          <w:highlight w:val="none"/>
          <w:lang w:bidi="en-US"/>
        </w:rPr>
      </w:pPr>
      <w:bookmarkStart w:id="75" w:name="_Toc26131"/>
      <w:bookmarkStart w:id="76" w:name="_Toc6612"/>
      <w:bookmarkStart w:id="77" w:name="_Toc281405529"/>
      <w:bookmarkStart w:id="78" w:name="_Toc318450723"/>
      <w:bookmarkStart w:id="79" w:name="_Toc20837"/>
      <w:bookmarkStart w:id="80" w:name="_Toc29362"/>
      <w:bookmarkStart w:id="81" w:name="_Toc24936"/>
      <w:bookmarkStart w:id="82" w:name="_Toc144974568"/>
      <w:bookmarkStart w:id="83" w:name="_Toc455080157"/>
      <w:bookmarkStart w:id="84" w:name="_Toc455867817"/>
      <w:bookmarkStart w:id="85" w:name="_Toc490667876"/>
      <w:bookmarkStart w:id="86" w:name="_Toc152042378"/>
      <w:bookmarkStart w:id="87" w:name="_Toc152045601"/>
      <w:bookmarkStart w:id="88" w:name="_Toc466298140"/>
      <w:r>
        <w:rPr>
          <w:rFonts w:hint="eastAsia" w:ascii="宋体" w:hAnsi="宋体"/>
          <w:color w:val="auto"/>
          <w:szCs w:val="21"/>
          <w:highlight w:val="none"/>
          <w:lang w:bidi="en-US"/>
        </w:rPr>
        <w:t xml:space="preserve">1.1本次评标采用综合评分法。评审小组对满足招标文件实质性要求的投标文件，按照招标文件评分标准进行打分，并按得分由高到低顺序推荐中标候选人。综合评分相等时，以技术部分得分高的优先；技术部分也相等的，由招标人自行确定。  </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1.2 有效响应人的最终得分为评标委员会所有成员所打分值的算术平均值，计分过程中按四舍五入的法则,最终结果取至小数点后2位。</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1.3评标委员会根据综合评分情况，按照评审得分由高到低顺序推荐3名成交候选响应人</w:t>
      </w:r>
      <w:r>
        <w:rPr>
          <w:rFonts w:hint="eastAsia" w:ascii="宋体" w:hAnsi="宋体"/>
          <w:color w:val="auto"/>
          <w:szCs w:val="21"/>
          <w:highlight w:val="none"/>
        </w:rPr>
        <w:t>（中标候选人）</w:t>
      </w:r>
      <w:r>
        <w:rPr>
          <w:rFonts w:hint="eastAsia" w:ascii="宋体" w:hAnsi="宋体"/>
          <w:color w:val="auto"/>
          <w:szCs w:val="21"/>
          <w:highlight w:val="none"/>
          <w:lang w:bidi="en-US"/>
        </w:rPr>
        <w:t>，并编写评审报告。</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1.4根据“信财购【2020】5号文《信阳市政府招标文件歧视性和倾向性禁止条款清单》”要求禁止“将行业协会、商会颁发的企业资质证书、入围目录名单或奖项作为评审条件的（有特殊要求除外）。”规定响应人如提供上述证明材料，评标委员会可视为无效证明材料。</w:t>
      </w:r>
    </w:p>
    <w:p>
      <w:pPr>
        <w:spacing w:line="360" w:lineRule="auto"/>
        <w:rPr>
          <w:rFonts w:ascii="宋体" w:hAnsi="宋体"/>
          <w:b/>
          <w:bCs/>
          <w:color w:val="auto"/>
          <w:szCs w:val="21"/>
          <w:highlight w:val="none"/>
        </w:rPr>
      </w:pPr>
      <w:r>
        <w:rPr>
          <w:rFonts w:hint="eastAsia" w:ascii="宋体" w:hAnsi="宋体"/>
          <w:b/>
          <w:bCs/>
          <w:color w:val="auto"/>
          <w:szCs w:val="21"/>
          <w:highlight w:val="none"/>
        </w:rPr>
        <w:t>2.评审标准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Start w:id="89" w:name="_Toc144974569"/>
      <w:bookmarkStart w:id="90" w:name="_Toc281405530"/>
      <w:bookmarkStart w:id="91" w:name="_Toc152042379"/>
      <w:bookmarkStart w:id="92" w:name="_Toc24558"/>
      <w:bookmarkStart w:id="93" w:name="_Toc31037"/>
      <w:bookmarkStart w:id="94" w:name="_Toc318450724"/>
      <w:bookmarkStart w:id="95" w:name="_Toc25637"/>
      <w:bookmarkStart w:id="96" w:name="_Toc455080158"/>
      <w:bookmarkStart w:id="97" w:name="_Toc152045602"/>
      <w:bookmarkStart w:id="98" w:name="_Toc466298141"/>
      <w:bookmarkStart w:id="99" w:name="_Toc490667877"/>
      <w:bookmarkStart w:id="100" w:name="_Toc455867818"/>
      <w:bookmarkStart w:id="101" w:name="_Toc2867"/>
      <w:bookmarkStart w:id="102" w:name="_Toc15813"/>
      <w:bookmarkStart w:id="103" w:name="_Toc6711"/>
      <w:bookmarkStart w:id="104" w:name="_Toc21120"/>
      <w:bookmarkStart w:id="105" w:name="_Toc11223"/>
      <w:bookmarkStart w:id="106" w:name="_Toc19934"/>
    </w:p>
    <w:p>
      <w:pPr>
        <w:spacing w:line="360" w:lineRule="auto"/>
        <w:ind w:firstLine="422"/>
        <w:rPr>
          <w:rFonts w:ascii="宋体" w:hAnsi="宋体"/>
          <w:b/>
          <w:bCs/>
          <w:color w:val="auto"/>
          <w:szCs w:val="21"/>
          <w:highlight w:val="none"/>
        </w:rPr>
      </w:pPr>
      <w:r>
        <w:rPr>
          <w:rFonts w:hint="eastAsia" w:ascii="宋体" w:hAnsi="宋体"/>
          <w:b/>
          <w:bCs/>
          <w:color w:val="auto"/>
          <w:szCs w:val="21"/>
          <w:highlight w:val="none"/>
        </w:rPr>
        <w:t>2.1 初步评审标准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420"/>
        <w:rPr>
          <w:rFonts w:ascii="宋体" w:hAnsi="宋体"/>
          <w:color w:val="auto"/>
          <w:szCs w:val="21"/>
          <w:highlight w:val="none"/>
        </w:rPr>
      </w:pPr>
      <w:r>
        <w:rPr>
          <w:rFonts w:hint="eastAsia" w:ascii="宋体" w:hAnsi="宋体"/>
          <w:color w:val="auto"/>
          <w:szCs w:val="21"/>
          <w:highlight w:val="none"/>
        </w:rPr>
        <w:t>2.1.1 资格评审标准：见评审办法前附表；</w:t>
      </w:r>
    </w:p>
    <w:p>
      <w:pPr>
        <w:spacing w:line="360" w:lineRule="auto"/>
        <w:ind w:firstLine="420"/>
        <w:rPr>
          <w:rFonts w:ascii="宋体" w:hAnsi="宋体"/>
          <w:color w:val="auto"/>
          <w:szCs w:val="21"/>
          <w:highlight w:val="none"/>
        </w:rPr>
      </w:pPr>
      <w:r>
        <w:rPr>
          <w:rFonts w:hint="eastAsia" w:ascii="宋体" w:hAnsi="宋体"/>
          <w:color w:val="auto"/>
          <w:szCs w:val="21"/>
          <w:highlight w:val="none"/>
        </w:rPr>
        <w:t>2.1.2符合性评审标准：见评审办法前附表。</w:t>
      </w:r>
    </w:p>
    <w:p>
      <w:pPr>
        <w:pStyle w:val="155"/>
        <w:spacing w:line="360" w:lineRule="auto"/>
        <w:outlineLvl w:val="0"/>
        <w:rPr>
          <w:rFonts w:ascii="宋体" w:hAnsi="宋体" w:eastAsia="宋体"/>
          <w:b/>
          <w:bCs/>
          <w:color w:val="auto"/>
          <w:sz w:val="21"/>
          <w:szCs w:val="21"/>
          <w:highlight w:val="none"/>
        </w:rPr>
      </w:pPr>
      <w:bookmarkStart w:id="107" w:name="_Toc455080159"/>
      <w:bookmarkStart w:id="108" w:name="_Toc144974570"/>
      <w:bookmarkStart w:id="109" w:name="_Toc16173"/>
      <w:bookmarkStart w:id="110" w:name="_Toc152045603"/>
      <w:bookmarkStart w:id="111" w:name="_Toc22439"/>
      <w:bookmarkStart w:id="112" w:name="_Toc7284"/>
      <w:bookmarkStart w:id="113" w:name="_Toc318450725"/>
      <w:bookmarkStart w:id="114" w:name="_Toc466298142"/>
      <w:bookmarkStart w:id="115" w:name="_Toc21970"/>
      <w:bookmarkStart w:id="116" w:name="_Toc24825"/>
      <w:bookmarkStart w:id="117" w:name="_Toc11061"/>
      <w:bookmarkStart w:id="118" w:name="_Toc26179"/>
      <w:bookmarkStart w:id="119" w:name="_Toc12013"/>
      <w:bookmarkStart w:id="120" w:name="_Toc29386"/>
      <w:bookmarkStart w:id="121" w:name="_Toc281405531"/>
      <w:bookmarkStart w:id="122" w:name="_Toc30837"/>
      <w:bookmarkStart w:id="123" w:name="_Toc152042380"/>
      <w:bookmarkStart w:id="124" w:name="_Toc25492"/>
      <w:bookmarkStart w:id="125" w:name="_Toc29090"/>
      <w:bookmarkStart w:id="126" w:name="_Toc18675"/>
      <w:bookmarkStart w:id="127" w:name="_Toc490667878"/>
      <w:bookmarkStart w:id="128" w:name="_Toc455867819"/>
      <w:bookmarkStart w:id="129" w:name="_Toc30189"/>
      <w:r>
        <w:rPr>
          <w:rFonts w:hint="eastAsia" w:ascii="宋体" w:hAnsi="宋体" w:eastAsia="宋体"/>
          <w:b/>
          <w:bCs/>
          <w:color w:val="auto"/>
          <w:sz w:val="21"/>
          <w:szCs w:val="21"/>
          <w:highlight w:val="none"/>
        </w:rPr>
        <w:t>2.2 分值构成与评分标准</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（1）商务标：见评审办法前附表；</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（2）技术标：见评审办法前附表；</w:t>
      </w:r>
    </w:p>
    <w:p>
      <w:pPr>
        <w:spacing w:line="360" w:lineRule="auto"/>
        <w:ind w:firstLine="420"/>
        <w:rPr>
          <w:rFonts w:ascii="宋体" w:hAnsi="宋体"/>
          <w:color w:val="auto"/>
          <w:szCs w:val="21"/>
          <w:highlight w:val="none"/>
          <w:lang w:bidi="en-US"/>
        </w:rPr>
      </w:pPr>
      <w:r>
        <w:rPr>
          <w:rFonts w:hint="eastAsia" w:ascii="宋体" w:hAnsi="宋体"/>
          <w:color w:val="auto"/>
          <w:szCs w:val="21"/>
          <w:highlight w:val="none"/>
          <w:lang w:bidi="en-US"/>
        </w:rPr>
        <w:t>（3）综合标：见评审办法前附表。</w:t>
      </w:r>
    </w:p>
    <w:p>
      <w:pPr>
        <w:pStyle w:val="156"/>
        <w:numPr>
          <w:ilvl w:val="1"/>
          <w:numId w:val="0"/>
        </w:numPr>
        <w:tabs>
          <w:tab w:val="clear" w:pos="840"/>
        </w:tabs>
        <w:spacing w:before="0" w:line="360" w:lineRule="auto"/>
        <w:ind w:left="425" w:hanging="425"/>
        <w:rPr>
          <w:rFonts w:ascii="宋体" w:hAnsi="宋体"/>
          <w:b/>
          <w:bCs/>
          <w:color w:val="auto"/>
          <w:sz w:val="21"/>
          <w:szCs w:val="21"/>
          <w:highlight w:val="none"/>
        </w:rPr>
      </w:pPr>
      <w:bookmarkStart w:id="130" w:name="_Toc9052"/>
      <w:bookmarkStart w:id="131" w:name="_Toc20432"/>
      <w:bookmarkStart w:id="132" w:name="_Toc32314"/>
      <w:bookmarkStart w:id="133" w:name="_Toc30296"/>
      <w:bookmarkStart w:id="134" w:name="_Toc281405532"/>
      <w:bookmarkStart w:id="135" w:name="_Toc455080160"/>
      <w:bookmarkStart w:id="136" w:name="_Toc12"/>
      <w:bookmarkStart w:id="137" w:name="_Toc16479"/>
      <w:bookmarkStart w:id="138" w:name="_Toc455867820"/>
      <w:bookmarkStart w:id="139" w:name="_Toc18127"/>
      <w:bookmarkStart w:id="140" w:name="_Toc490667879"/>
      <w:bookmarkStart w:id="141" w:name="_Toc318450726"/>
      <w:bookmarkStart w:id="142" w:name="_Toc17308"/>
      <w:bookmarkStart w:id="143" w:name="_Toc29297"/>
      <w:bookmarkStart w:id="144" w:name="_Toc466298143"/>
      <w:r>
        <w:rPr>
          <w:rFonts w:ascii="宋体" w:hAnsi="宋体"/>
          <w:b/>
          <w:bCs/>
          <w:color w:val="auto"/>
          <w:sz w:val="21"/>
          <w:szCs w:val="21"/>
          <w:highlight w:val="none"/>
        </w:rPr>
        <w:t>a)</w:t>
      </w:r>
      <w:r>
        <w:rPr>
          <w:rFonts w:hint="eastAsia" w:ascii="宋体" w:hAnsi="宋体"/>
          <w:b/>
          <w:bCs/>
          <w:color w:val="auto"/>
          <w:sz w:val="21"/>
          <w:szCs w:val="21"/>
          <w:highlight w:val="none"/>
        </w:rPr>
        <w:t>3. 评审程序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155"/>
        <w:spacing w:line="360" w:lineRule="auto"/>
        <w:outlineLvl w:val="0"/>
        <w:rPr>
          <w:rFonts w:ascii="宋体" w:hAnsi="宋体" w:eastAsia="宋体"/>
          <w:b/>
          <w:bCs/>
          <w:color w:val="auto"/>
          <w:sz w:val="21"/>
          <w:szCs w:val="21"/>
          <w:highlight w:val="none"/>
        </w:rPr>
      </w:pPr>
      <w:bookmarkStart w:id="145" w:name="_Toc18398"/>
      <w:bookmarkStart w:id="146" w:name="_Toc18886"/>
      <w:bookmarkStart w:id="147" w:name="_Toc466298144"/>
      <w:bookmarkStart w:id="148" w:name="_Toc30986"/>
      <w:bookmarkStart w:id="149" w:name="_Toc6326"/>
      <w:bookmarkStart w:id="150" w:name="_Toc30491"/>
      <w:bookmarkStart w:id="151" w:name="_Toc7272"/>
      <w:bookmarkStart w:id="152" w:name="_Toc2410"/>
      <w:bookmarkStart w:id="153" w:name="_Toc9433"/>
      <w:bookmarkStart w:id="154" w:name="_Toc17271"/>
      <w:bookmarkStart w:id="155" w:name="_Toc490667880"/>
      <w:bookmarkStart w:id="156" w:name="_Toc29614"/>
      <w:bookmarkStart w:id="157" w:name="_Toc16892"/>
      <w:bookmarkStart w:id="158" w:name="_Toc318450727"/>
      <w:bookmarkStart w:id="159" w:name="_Toc455080161"/>
      <w:bookmarkStart w:id="160" w:name="_Toc455867821"/>
      <w:bookmarkStart w:id="161" w:name="_Toc14633"/>
      <w:bookmarkStart w:id="162" w:name="_Toc12960"/>
      <w:bookmarkStart w:id="163" w:name="_Toc29092"/>
      <w:bookmarkStart w:id="164" w:name="_Toc5427"/>
      <w:bookmarkStart w:id="165" w:name="_Toc281405533"/>
      <w:r>
        <w:rPr>
          <w:rFonts w:hint="eastAsia" w:ascii="宋体" w:hAnsi="宋体" w:eastAsia="宋体"/>
          <w:b/>
          <w:bCs/>
          <w:color w:val="auto"/>
          <w:sz w:val="21"/>
          <w:szCs w:val="21"/>
          <w:highlight w:val="none"/>
        </w:rPr>
        <w:t>3.1 初步评审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spacing w:line="360" w:lineRule="auto"/>
        <w:ind w:firstLine="420"/>
        <w:rPr>
          <w:rFonts w:ascii="宋体" w:hAnsi="宋体"/>
          <w:b/>
          <w:bCs/>
          <w:color w:val="auto"/>
          <w:szCs w:val="21"/>
          <w:highlight w:val="none"/>
        </w:rPr>
      </w:pPr>
      <w:bookmarkStart w:id="166" w:name="_Toc455867822"/>
      <w:bookmarkStart w:id="167" w:name="_Toc16964"/>
      <w:bookmarkStart w:id="168" w:name="_Toc26049"/>
      <w:bookmarkStart w:id="169" w:name="_Toc318450728"/>
      <w:bookmarkStart w:id="170" w:name="_Toc21032"/>
      <w:bookmarkStart w:id="171" w:name="_Toc466298145"/>
      <w:bookmarkStart w:id="172" w:name="_Toc490667881"/>
      <w:bookmarkStart w:id="173" w:name="_Toc22101"/>
      <w:bookmarkStart w:id="174" w:name="_Toc10692"/>
      <w:bookmarkStart w:id="175" w:name="_Toc12406"/>
      <w:bookmarkStart w:id="176" w:name="_Toc13386"/>
      <w:bookmarkStart w:id="177" w:name="_Toc455080162"/>
      <w:bookmarkStart w:id="178" w:name="_Toc281405534"/>
      <w:bookmarkStart w:id="179" w:name="_Toc26280"/>
      <w:bookmarkStart w:id="180" w:name="_Toc7121"/>
      <w:bookmarkStart w:id="181" w:name="_Toc21570"/>
      <w:r>
        <w:rPr>
          <w:rFonts w:hint="eastAsia" w:ascii="宋体" w:hAnsi="宋体"/>
          <w:color w:val="auto"/>
          <w:szCs w:val="21"/>
          <w:highlight w:val="none"/>
        </w:rPr>
        <w:t>3.1.1只有通过资格审查的响应人才能进入符合性评审。</w:t>
      </w:r>
      <w:r>
        <w:rPr>
          <w:rFonts w:hint="eastAsia" w:ascii="宋体" w:hAnsi="宋体"/>
          <w:color w:val="auto"/>
          <w:szCs w:val="21"/>
          <w:highlight w:val="none"/>
          <w:lang w:bidi="en-US"/>
        </w:rPr>
        <w:t>评标委员会</w:t>
      </w:r>
      <w:r>
        <w:rPr>
          <w:rFonts w:hint="eastAsia" w:ascii="宋体" w:hAnsi="宋体"/>
          <w:color w:val="auto"/>
          <w:szCs w:val="21"/>
          <w:highlight w:val="none"/>
        </w:rPr>
        <w:t>依据评审办法前附表2规定的内容和标准对投标文件进行符合性审查。</w:t>
      </w:r>
      <w:r>
        <w:rPr>
          <w:rFonts w:hint="eastAsia" w:ascii="宋体" w:hAnsi="宋体"/>
          <w:b/>
          <w:bCs/>
          <w:color w:val="auto"/>
          <w:szCs w:val="21"/>
          <w:highlight w:val="none"/>
        </w:rPr>
        <w:t>有一项不符合评审标准的，其投标做无效投标处理，不得进入详细评审。</w:t>
      </w:r>
    </w:p>
    <w:p>
      <w:pPr>
        <w:spacing w:line="360" w:lineRule="auto"/>
        <w:ind w:firstLine="420"/>
        <w:rPr>
          <w:rFonts w:ascii="宋体" w:hAnsi="宋体"/>
          <w:color w:val="auto"/>
          <w:szCs w:val="21"/>
          <w:highlight w:val="none"/>
        </w:rPr>
      </w:pPr>
      <w:r>
        <w:rPr>
          <w:rFonts w:hint="eastAsia" w:ascii="宋体" w:hAnsi="宋体"/>
          <w:color w:val="auto"/>
          <w:szCs w:val="21"/>
          <w:highlight w:val="none"/>
        </w:rPr>
        <w:t>3.1.2 响应人有以下情形之一的，其投标文件作无效处理：</w:t>
      </w:r>
    </w:p>
    <w:p>
      <w:pPr>
        <w:spacing w:line="360" w:lineRule="auto"/>
        <w:ind w:firstLine="420"/>
        <w:rPr>
          <w:rFonts w:ascii="宋体" w:hAnsi="宋体"/>
          <w:color w:val="auto"/>
          <w:szCs w:val="21"/>
          <w:highlight w:val="none"/>
        </w:rPr>
      </w:pPr>
      <w:r>
        <w:rPr>
          <w:rFonts w:hint="eastAsia" w:ascii="宋体" w:hAnsi="宋体"/>
          <w:color w:val="auto"/>
          <w:szCs w:val="21"/>
          <w:highlight w:val="none"/>
        </w:rPr>
        <w:t>（1）串通或弄虚作假或有其他违法行为的；</w:t>
      </w:r>
    </w:p>
    <w:p>
      <w:pPr>
        <w:spacing w:line="360" w:lineRule="auto"/>
        <w:ind w:firstLine="420"/>
        <w:rPr>
          <w:rFonts w:ascii="宋体" w:hAnsi="宋体"/>
          <w:color w:val="auto"/>
          <w:szCs w:val="21"/>
          <w:highlight w:val="none"/>
        </w:rPr>
      </w:pPr>
      <w:r>
        <w:rPr>
          <w:rFonts w:hint="eastAsia" w:ascii="宋体" w:hAnsi="宋体"/>
          <w:color w:val="auto"/>
          <w:szCs w:val="21"/>
          <w:highlight w:val="none"/>
        </w:rPr>
        <w:t>（2）不按</w:t>
      </w:r>
      <w:r>
        <w:rPr>
          <w:rFonts w:hint="eastAsia" w:ascii="宋体" w:hAnsi="宋体"/>
          <w:color w:val="auto"/>
          <w:szCs w:val="21"/>
          <w:highlight w:val="none"/>
          <w:lang w:bidi="en-US"/>
        </w:rPr>
        <w:t>评标委员会</w:t>
      </w:r>
      <w:r>
        <w:rPr>
          <w:rFonts w:hint="eastAsia" w:ascii="宋体" w:hAnsi="宋体"/>
          <w:color w:val="auto"/>
          <w:szCs w:val="21"/>
          <w:highlight w:val="none"/>
        </w:rPr>
        <w:t>要求澄清、说明或补正的；</w:t>
      </w:r>
    </w:p>
    <w:p>
      <w:pPr>
        <w:spacing w:line="360" w:lineRule="auto"/>
        <w:ind w:firstLine="420"/>
        <w:rPr>
          <w:rFonts w:ascii="宋体" w:hAnsi="宋体"/>
          <w:color w:val="auto"/>
          <w:szCs w:val="21"/>
          <w:highlight w:val="none"/>
        </w:rPr>
      </w:pPr>
      <w:r>
        <w:rPr>
          <w:rFonts w:hint="eastAsia" w:ascii="宋体" w:hAnsi="宋体"/>
          <w:color w:val="auto"/>
          <w:szCs w:val="21"/>
          <w:highlight w:val="none"/>
        </w:rPr>
        <w:t>（3）未按规定格式填写、内容不全或关键字迹模糊、无法辨认的；</w:t>
      </w:r>
    </w:p>
    <w:p>
      <w:pPr>
        <w:spacing w:line="360" w:lineRule="auto"/>
        <w:ind w:firstLine="420"/>
        <w:rPr>
          <w:rFonts w:ascii="宋体" w:hAnsi="宋体"/>
          <w:color w:val="auto"/>
          <w:szCs w:val="21"/>
          <w:highlight w:val="none"/>
        </w:rPr>
      </w:pPr>
      <w:r>
        <w:rPr>
          <w:rFonts w:hint="eastAsia" w:ascii="宋体" w:hAnsi="宋体"/>
          <w:color w:val="auto"/>
          <w:szCs w:val="21"/>
          <w:highlight w:val="none"/>
        </w:rPr>
        <w:t>（4）投标文件附有招标人不能接受的条件；</w:t>
      </w:r>
    </w:p>
    <w:p>
      <w:pPr>
        <w:spacing w:line="360" w:lineRule="auto"/>
        <w:ind w:firstLine="420"/>
        <w:rPr>
          <w:rFonts w:ascii="宋体" w:hAnsi="宋体"/>
          <w:color w:val="auto"/>
          <w:szCs w:val="21"/>
          <w:highlight w:val="none"/>
        </w:rPr>
      </w:pPr>
      <w:r>
        <w:rPr>
          <w:rFonts w:hint="eastAsia" w:ascii="宋体" w:hAnsi="宋体"/>
          <w:color w:val="auto"/>
          <w:szCs w:val="21"/>
          <w:highlight w:val="none"/>
        </w:rPr>
        <w:t>（5）不符合招标文件规定的其他实质性要求。</w:t>
      </w:r>
    </w:p>
    <w:p>
      <w:pPr>
        <w:pStyle w:val="155"/>
        <w:spacing w:line="360" w:lineRule="auto"/>
        <w:outlineLvl w:val="0"/>
        <w:rPr>
          <w:rFonts w:ascii="宋体" w:hAnsi="宋体" w:eastAsia="宋体"/>
          <w:b/>
          <w:bCs/>
          <w:color w:val="auto"/>
          <w:sz w:val="21"/>
          <w:szCs w:val="21"/>
          <w:highlight w:val="none"/>
        </w:rPr>
      </w:pPr>
      <w:bookmarkStart w:id="182" w:name="_Toc6867"/>
      <w:bookmarkStart w:id="183" w:name="_Toc8804"/>
      <w:bookmarkStart w:id="184" w:name="_Toc11099"/>
      <w:bookmarkStart w:id="185" w:name="_Toc2757"/>
      <w:bookmarkStart w:id="186" w:name="_Toc1719"/>
      <w:r>
        <w:rPr>
          <w:rFonts w:hint="eastAsia" w:ascii="宋体" w:hAnsi="宋体" w:eastAsia="宋体"/>
          <w:b/>
          <w:bCs/>
          <w:color w:val="auto"/>
          <w:sz w:val="21"/>
          <w:szCs w:val="21"/>
          <w:highlight w:val="none"/>
        </w:rPr>
        <w:t>3.2 详细评审</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3.2.1 </w:t>
      </w:r>
      <w:r>
        <w:rPr>
          <w:rFonts w:hint="eastAsia" w:ascii="宋体" w:hAnsi="宋体"/>
          <w:color w:val="auto"/>
          <w:szCs w:val="21"/>
          <w:highlight w:val="none"/>
          <w:lang w:bidi="en-US"/>
        </w:rPr>
        <w:t>评标委员会</w:t>
      </w:r>
      <w:r>
        <w:rPr>
          <w:rFonts w:hint="eastAsia" w:ascii="宋体" w:hAnsi="宋体"/>
          <w:color w:val="auto"/>
          <w:szCs w:val="21"/>
          <w:highlight w:val="none"/>
        </w:rPr>
        <w:t>按本章规定的量化因素和分值进行打分，并计算出综合评分得分。</w:t>
      </w:r>
    </w:p>
    <w:p>
      <w:pPr>
        <w:spacing w:line="360" w:lineRule="auto"/>
        <w:ind w:firstLine="420"/>
        <w:rPr>
          <w:rFonts w:ascii="宋体" w:hAnsi="宋体"/>
          <w:color w:val="auto"/>
          <w:szCs w:val="21"/>
          <w:highlight w:val="none"/>
        </w:rPr>
      </w:pPr>
      <w:r>
        <w:rPr>
          <w:rFonts w:hint="eastAsia" w:ascii="宋体" w:hAnsi="宋体"/>
          <w:color w:val="auto"/>
          <w:szCs w:val="21"/>
          <w:highlight w:val="none"/>
        </w:rPr>
        <w:t>3.2.2 评分分值计算保留小数点后两位，小数点后第三位“四舍五入”。</w:t>
      </w:r>
    </w:p>
    <w:p>
      <w:pPr>
        <w:spacing w:line="360" w:lineRule="auto"/>
        <w:ind w:firstLine="420"/>
        <w:rPr>
          <w:rFonts w:ascii="宋体" w:hAnsi="宋体"/>
          <w:color w:val="auto"/>
          <w:szCs w:val="21"/>
          <w:highlight w:val="none"/>
        </w:rPr>
      </w:pPr>
      <w:r>
        <w:rPr>
          <w:rFonts w:hint="eastAsia" w:ascii="宋体" w:hAnsi="宋体"/>
          <w:color w:val="auto"/>
          <w:szCs w:val="21"/>
          <w:highlight w:val="none"/>
        </w:rPr>
        <w:t>3.2.3响应人的最终得分以全部小组成员打分的算术平均值为准，作为该响应人的最终得分。</w:t>
      </w:r>
    </w:p>
    <w:p>
      <w:pPr>
        <w:spacing w:line="360" w:lineRule="auto"/>
        <w:ind w:firstLine="420"/>
        <w:rPr>
          <w:rFonts w:ascii="宋体" w:hAnsi="宋体"/>
          <w:color w:val="auto"/>
          <w:szCs w:val="21"/>
          <w:highlight w:val="none"/>
        </w:rPr>
      </w:pPr>
      <w:r>
        <w:rPr>
          <w:rFonts w:hint="eastAsia" w:ascii="宋体" w:hAnsi="宋体"/>
          <w:color w:val="auto"/>
          <w:szCs w:val="21"/>
          <w:highlight w:val="none"/>
        </w:rPr>
        <w:t>3.2.4在招标过程中，凡遇到招标文件中无界定或界定不清、前后不一致使</w:t>
      </w:r>
      <w:r>
        <w:rPr>
          <w:rFonts w:hint="eastAsia" w:ascii="宋体" w:hAnsi="宋体"/>
          <w:color w:val="auto"/>
          <w:szCs w:val="21"/>
          <w:highlight w:val="none"/>
          <w:lang w:bidi="en-US"/>
        </w:rPr>
        <w:t>评标委员会</w:t>
      </w:r>
      <w:r>
        <w:rPr>
          <w:rFonts w:hint="eastAsia" w:ascii="宋体" w:hAnsi="宋体"/>
          <w:color w:val="auto"/>
          <w:szCs w:val="21"/>
          <w:highlight w:val="none"/>
        </w:rPr>
        <w:t>意见有分歧且又难以协商一致的问题，均由</w:t>
      </w:r>
      <w:r>
        <w:rPr>
          <w:rFonts w:hint="eastAsia" w:ascii="宋体" w:hAnsi="宋体"/>
          <w:color w:val="auto"/>
          <w:szCs w:val="21"/>
          <w:highlight w:val="none"/>
          <w:lang w:bidi="en-US"/>
        </w:rPr>
        <w:t>评标委员会</w:t>
      </w:r>
      <w:r>
        <w:rPr>
          <w:rFonts w:hint="eastAsia" w:ascii="宋体" w:hAnsi="宋体"/>
          <w:color w:val="auto"/>
          <w:szCs w:val="21"/>
          <w:highlight w:val="none"/>
        </w:rPr>
        <w:t>予以表决，获半数以上同意的即为通过，未获半数同意的即为否决。</w:t>
      </w:r>
    </w:p>
    <w:p>
      <w:pPr>
        <w:pStyle w:val="155"/>
        <w:spacing w:line="360" w:lineRule="auto"/>
        <w:outlineLvl w:val="0"/>
        <w:rPr>
          <w:rFonts w:ascii="宋体" w:hAnsi="宋体" w:eastAsia="宋体"/>
          <w:b/>
          <w:bCs/>
          <w:color w:val="auto"/>
          <w:sz w:val="21"/>
          <w:szCs w:val="21"/>
          <w:highlight w:val="none"/>
        </w:rPr>
      </w:pPr>
      <w:bookmarkStart w:id="187" w:name="_Toc12374"/>
      <w:bookmarkStart w:id="188" w:name="_Toc2657"/>
      <w:bookmarkStart w:id="189" w:name="_Toc455080163"/>
      <w:bookmarkStart w:id="190" w:name="_Toc24232"/>
      <w:bookmarkStart w:id="191" w:name="_Toc8813"/>
      <w:bookmarkStart w:id="192" w:name="_Toc490667882"/>
      <w:bookmarkStart w:id="193" w:name="_Toc455867823"/>
      <w:bookmarkStart w:id="194" w:name="_Toc28633"/>
      <w:bookmarkStart w:id="195" w:name="_Toc1553"/>
      <w:bookmarkStart w:id="196" w:name="_Toc11958"/>
      <w:bookmarkStart w:id="197" w:name="_Toc24862"/>
      <w:bookmarkStart w:id="198" w:name="_Toc466298146"/>
      <w:bookmarkStart w:id="199" w:name="_Toc23715"/>
      <w:bookmarkStart w:id="200" w:name="_Toc17329"/>
      <w:bookmarkStart w:id="201" w:name="_Toc10153"/>
      <w:bookmarkStart w:id="202" w:name="_Toc281405535"/>
      <w:bookmarkStart w:id="203" w:name="_Toc318450729"/>
      <w:bookmarkStart w:id="204" w:name="_Toc8342"/>
      <w:bookmarkStart w:id="205" w:name="_Toc331"/>
      <w:bookmarkStart w:id="206" w:name="_Toc22084"/>
      <w:bookmarkStart w:id="207" w:name="_Toc7635"/>
      <w:r>
        <w:rPr>
          <w:rFonts w:hint="eastAsia" w:ascii="宋体" w:hAnsi="宋体" w:eastAsia="宋体"/>
          <w:b/>
          <w:bCs/>
          <w:color w:val="auto"/>
          <w:sz w:val="21"/>
          <w:szCs w:val="21"/>
          <w:highlight w:val="none"/>
        </w:rPr>
        <w:t>3.3 投标文件的澄清和补正</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spacing w:line="360" w:lineRule="auto"/>
        <w:ind w:firstLine="420"/>
        <w:rPr>
          <w:rFonts w:ascii="宋体" w:hAnsi="宋体"/>
          <w:color w:val="auto"/>
          <w:szCs w:val="21"/>
          <w:highlight w:val="none"/>
        </w:rPr>
      </w:pPr>
      <w:r>
        <w:rPr>
          <w:rFonts w:hint="eastAsia" w:ascii="宋体" w:hAnsi="宋体"/>
          <w:color w:val="auto"/>
          <w:szCs w:val="21"/>
          <w:highlight w:val="none"/>
        </w:rPr>
        <w:t>3.3.1在招标过程中，</w:t>
      </w:r>
      <w:r>
        <w:rPr>
          <w:rFonts w:hint="eastAsia" w:ascii="宋体" w:hAnsi="宋体"/>
          <w:color w:val="auto"/>
          <w:szCs w:val="21"/>
          <w:highlight w:val="none"/>
          <w:lang w:bidi="en-US"/>
        </w:rPr>
        <w:t>评标委员会</w:t>
      </w:r>
      <w:r>
        <w:rPr>
          <w:rFonts w:hint="eastAsia" w:ascii="宋体" w:hAnsi="宋体"/>
          <w:color w:val="auto"/>
          <w:szCs w:val="21"/>
          <w:highlight w:val="none"/>
        </w:rPr>
        <w:t>可以书面形式要求响应人对所提交的投标文件中不明确的内容进行书面澄清或说明，或者对细微偏离进行补正。</w:t>
      </w:r>
      <w:r>
        <w:rPr>
          <w:rFonts w:hint="eastAsia" w:ascii="宋体" w:hAnsi="宋体"/>
          <w:color w:val="auto"/>
          <w:szCs w:val="21"/>
          <w:highlight w:val="none"/>
          <w:lang w:bidi="en-US"/>
        </w:rPr>
        <w:t>评标委员会</w:t>
      </w:r>
      <w:r>
        <w:rPr>
          <w:rFonts w:hint="eastAsia" w:ascii="宋体" w:hAnsi="宋体"/>
          <w:color w:val="auto"/>
          <w:szCs w:val="21"/>
          <w:highlight w:val="none"/>
        </w:rPr>
        <w:t>不接受响应人主动提出的澄清、说明或补正。</w:t>
      </w:r>
    </w:p>
    <w:p>
      <w:pPr>
        <w:spacing w:line="360" w:lineRule="auto"/>
        <w:ind w:firstLine="420"/>
        <w:rPr>
          <w:rFonts w:ascii="宋体" w:hAnsi="宋体"/>
          <w:color w:val="auto"/>
          <w:szCs w:val="21"/>
          <w:highlight w:val="none"/>
        </w:rPr>
      </w:pPr>
      <w:r>
        <w:rPr>
          <w:rFonts w:hint="eastAsia" w:ascii="宋体" w:hAnsi="宋体"/>
          <w:color w:val="auto"/>
          <w:szCs w:val="21"/>
          <w:highlight w:val="none"/>
        </w:rPr>
        <w:t>3.3.2 澄清、说明和补正不得超出投标文件的范围或者改变投标文件的实质性内容（算术性错误修正的除外）。响应人的书面澄清、说明和补正属于投标文件的组成部分。</w:t>
      </w:r>
    </w:p>
    <w:p>
      <w:pPr>
        <w:spacing w:line="360" w:lineRule="auto"/>
        <w:ind w:firstLine="420"/>
        <w:rPr>
          <w:rFonts w:ascii="宋体" w:hAnsi="宋体"/>
          <w:color w:val="auto"/>
          <w:szCs w:val="21"/>
          <w:highlight w:val="none"/>
        </w:rPr>
      </w:pPr>
      <w:r>
        <w:rPr>
          <w:rFonts w:hint="eastAsia" w:ascii="宋体" w:hAnsi="宋体"/>
          <w:color w:val="auto"/>
          <w:szCs w:val="21"/>
          <w:highlight w:val="none"/>
        </w:rPr>
        <w:t>3.3.3</w:t>
      </w:r>
      <w:r>
        <w:rPr>
          <w:rFonts w:hint="eastAsia" w:ascii="宋体" w:hAnsi="宋体"/>
          <w:color w:val="auto"/>
          <w:szCs w:val="21"/>
          <w:highlight w:val="none"/>
          <w:lang w:bidi="en-US"/>
        </w:rPr>
        <w:t>评标委员会</w:t>
      </w:r>
      <w:r>
        <w:rPr>
          <w:rFonts w:hint="eastAsia" w:ascii="宋体" w:hAnsi="宋体"/>
          <w:color w:val="auto"/>
          <w:szCs w:val="21"/>
          <w:highlight w:val="none"/>
        </w:rPr>
        <w:t>对响应人提交的澄清、说明或补正有疑问的，可以要求响应人进一步澄清、说明或补正，直至满足</w:t>
      </w:r>
      <w:r>
        <w:rPr>
          <w:rFonts w:hint="eastAsia" w:ascii="宋体" w:hAnsi="宋体"/>
          <w:color w:val="auto"/>
          <w:szCs w:val="21"/>
          <w:highlight w:val="none"/>
          <w:lang w:bidi="en-US"/>
        </w:rPr>
        <w:t>评标委员会</w:t>
      </w:r>
      <w:r>
        <w:rPr>
          <w:rFonts w:hint="eastAsia" w:ascii="宋体" w:hAnsi="宋体"/>
          <w:color w:val="auto"/>
          <w:szCs w:val="21"/>
          <w:highlight w:val="none"/>
        </w:rPr>
        <w:t>的要求。</w:t>
      </w:r>
    </w:p>
    <w:p>
      <w:pPr>
        <w:pStyle w:val="155"/>
        <w:spacing w:line="360" w:lineRule="auto"/>
        <w:outlineLvl w:val="0"/>
        <w:rPr>
          <w:rFonts w:ascii="宋体" w:hAnsi="宋体" w:eastAsia="宋体"/>
          <w:b/>
          <w:bCs/>
          <w:color w:val="auto"/>
          <w:sz w:val="21"/>
          <w:szCs w:val="21"/>
          <w:highlight w:val="none"/>
        </w:rPr>
      </w:pPr>
      <w:bookmarkStart w:id="208" w:name="_Toc19771"/>
      <w:bookmarkStart w:id="209" w:name="_Toc32183"/>
      <w:bookmarkStart w:id="210" w:name="_Toc318450730"/>
      <w:bookmarkStart w:id="211" w:name="_Toc455080164"/>
      <w:bookmarkStart w:id="212" w:name="_Toc455867824"/>
      <w:bookmarkStart w:id="213" w:name="_Toc5968"/>
      <w:bookmarkStart w:id="214" w:name="_Toc25219"/>
      <w:bookmarkStart w:id="215" w:name="_Toc19938"/>
      <w:bookmarkStart w:id="216" w:name="_Toc22682"/>
      <w:bookmarkStart w:id="217" w:name="_Toc490667883"/>
      <w:bookmarkStart w:id="218" w:name="_Toc281405536"/>
      <w:bookmarkStart w:id="219" w:name="_Toc19453"/>
      <w:bookmarkStart w:id="220" w:name="_Toc14488"/>
      <w:bookmarkStart w:id="221" w:name="_Toc466298147"/>
      <w:bookmarkStart w:id="222" w:name="_Toc5903"/>
      <w:bookmarkStart w:id="223" w:name="_Toc12986"/>
      <w:bookmarkStart w:id="224" w:name="_Toc30053"/>
      <w:bookmarkStart w:id="225" w:name="_Toc26894"/>
      <w:bookmarkStart w:id="226" w:name="_Toc22986"/>
      <w:bookmarkStart w:id="227" w:name="_Toc1857"/>
      <w:r>
        <w:rPr>
          <w:rFonts w:hint="eastAsia" w:ascii="宋体" w:hAnsi="宋体" w:eastAsia="宋体"/>
          <w:b/>
          <w:bCs/>
          <w:color w:val="auto"/>
          <w:sz w:val="21"/>
          <w:szCs w:val="21"/>
          <w:highlight w:val="none"/>
        </w:rPr>
        <w:t>3.4 评审结果</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spacing w:line="360" w:lineRule="auto"/>
        <w:ind w:firstLine="420"/>
        <w:rPr>
          <w:rFonts w:ascii="宋体" w:hAnsi="宋体"/>
          <w:b/>
          <w:bCs/>
          <w:color w:val="auto"/>
          <w:szCs w:val="21"/>
          <w:highlight w:val="none"/>
        </w:rPr>
      </w:pPr>
      <w:r>
        <w:rPr>
          <w:rFonts w:hint="eastAsia" w:ascii="宋体" w:hAnsi="宋体"/>
          <w:color w:val="auto"/>
          <w:szCs w:val="21"/>
          <w:highlight w:val="none"/>
        </w:rPr>
        <w:t>代理机构应当自评审结束之日起2个工作日内将评标报告送交招标人。招标人应当自收到评标报告之日起五个工作日内在评标报告推荐的成交或者成交候选人（中标候选人）中按顺序确定成交响应人。</w:t>
      </w:r>
    </w:p>
    <w:p>
      <w:pPr>
        <w:spacing w:line="360" w:lineRule="auto"/>
        <w:ind w:firstLine="420"/>
        <w:rPr>
          <w:rFonts w:ascii="宋体" w:hAnsi="宋体"/>
          <w:color w:val="auto"/>
          <w:szCs w:val="21"/>
          <w:highlight w:val="none"/>
        </w:rPr>
      </w:pPr>
      <w:r>
        <w:rPr>
          <w:rFonts w:hint="eastAsia" w:ascii="宋体" w:hAnsi="宋体"/>
          <w:color w:val="auto"/>
          <w:szCs w:val="21"/>
          <w:highlight w:val="none"/>
        </w:rPr>
        <w:t>评标结果同时在《河南省政府采购网》、《新郑市公共资源交易平台》公示。</w:t>
      </w:r>
    </w:p>
    <w:p>
      <w:pPr>
        <w:pStyle w:val="42"/>
        <w:rPr>
          <w:color w:val="auto"/>
          <w:highlight w:val="none"/>
        </w:rPr>
      </w:pPr>
      <w:r>
        <w:rPr>
          <w:rStyle w:val="62"/>
          <w:rFonts w:ascii="仿宋" w:hAnsi="仿宋" w:eastAsia="仿宋"/>
          <w:b/>
          <w:color w:val="auto"/>
          <w:kern w:val="44"/>
          <w:sz w:val="30"/>
          <w:szCs w:val="20"/>
          <w:highlight w:val="none"/>
        </w:rPr>
        <w:br w:type="page"/>
      </w:r>
    </w:p>
    <w:p>
      <w:pPr>
        <w:ind w:firstLine="420"/>
        <w:rPr>
          <w:rFonts w:ascii="宋体" w:hAnsi="宋体"/>
          <w:color w:val="auto"/>
          <w:szCs w:val="21"/>
          <w:highlight w:val="none"/>
        </w:rPr>
      </w:pPr>
    </w:p>
    <w:p>
      <w:pPr>
        <w:rPr>
          <w:rFonts w:ascii="宋体" w:hAnsi="宋体"/>
          <w:b/>
          <w:color w:val="auto"/>
          <w:sz w:val="28"/>
          <w:szCs w:val="28"/>
          <w:highlight w:val="none"/>
        </w:rPr>
      </w:pPr>
      <w:r>
        <w:rPr>
          <w:rFonts w:hint="eastAsia" w:ascii="宋体" w:hAnsi="宋体"/>
          <w:b/>
          <w:color w:val="auto"/>
          <w:sz w:val="24"/>
          <w:szCs w:val="20"/>
          <w:highlight w:val="none"/>
        </w:rPr>
        <w:t>附件：无效投标的条件</w:t>
      </w:r>
    </w:p>
    <w:p>
      <w:pPr>
        <w:spacing w:line="360" w:lineRule="auto"/>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无效投标的条件</w:t>
      </w:r>
    </w:p>
    <w:p>
      <w:pPr>
        <w:spacing w:line="400" w:lineRule="exact"/>
        <w:ind w:firstLine="422"/>
        <w:rPr>
          <w:rFonts w:ascii="宋体" w:hAnsi="宋体" w:cs="宋体"/>
          <w:b/>
          <w:color w:val="auto"/>
          <w:szCs w:val="21"/>
          <w:highlight w:val="none"/>
        </w:rPr>
      </w:pPr>
      <w:bookmarkStart w:id="228" w:name="_Toc424548271"/>
      <w:r>
        <w:rPr>
          <w:rFonts w:hint="eastAsia" w:ascii="宋体" w:hAnsi="宋体" w:cs="宋体"/>
          <w:b/>
          <w:color w:val="auto"/>
          <w:szCs w:val="21"/>
          <w:highlight w:val="none"/>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spacing w:line="400" w:lineRule="exact"/>
        <w:ind w:firstLine="422"/>
        <w:outlineLvl w:val="0"/>
        <w:rPr>
          <w:rFonts w:ascii="宋体" w:hAnsi="宋体" w:cs="宋体"/>
          <w:b/>
          <w:color w:val="auto"/>
          <w:szCs w:val="21"/>
          <w:highlight w:val="none"/>
        </w:rPr>
      </w:pPr>
      <w:bookmarkStart w:id="229" w:name="_Toc4256"/>
      <w:bookmarkStart w:id="230" w:name="_Toc24126"/>
      <w:bookmarkStart w:id="231" w:name="_Toc21627"/>
      <w:bookmarkStart w:id="232" w:name="_Toc27118"/>
      <w:bookmarkStart w:id="233" w:name="_Toc12466"/>
      <w:bookmarkStart w:id="234" w:name="_Toc7786"/>
      <w:bookmarkStart w:id="235" w:name="_Toc23185"/>
      <w:r>
        <w:rPr>
          <w:rFonts w:hint="eastAsia" w:ascii="宋体" w:hAnsi="宋体" w:cs="宋体"/>
          <w:b/>
          <w:color w:val="auto"/>
          <w:szCs w:val="21"/>
          <w:highlight w:val="none"/>
        </w:rPr>
        <w:t>1.未通过第三章评标办法资格评审、符合性评审的；</w:t>
      </w:r>
      <w:bookmarkEnd w:id="229"/>
      <w:bookmarkEnd w:id="230"/>
      <w:bookmarkEnd w:id="231"/>
      <w:bookmarkEnd w:id="232"/>
      <w:bookmarkEnd w:id="233"/>
      <w:bookmarkEnd w:id="234"/>
      <w:bookmarkEnd w:id="235"/>
      <w:r>
        <w:rPr>
          <w:rFonts w:hint="eastAsia" w:ascii="宋体" w:hAnsi="宋体" w:cs="宋体"/>
          <w:b/>
          <w:color w:val="auto"/>
          <w:szCs w:val="21"/>
          <w:highlight w:val="none"/>
        </w:rPr>
        <w:t xml:space="preserve"> </w:t>
      </w:r>
    </w:p>
    <w:p>
      <w:pPr>
        <w:spacing w:line="400" w:lineRule="exact"/>
        <w:ind w:firstLine="422"/>
        <w:outlineLvl w:val="0"/>
        <w:rPr>
          <w:rFonts w:ascii="宋体" w:hAnsi="宋体" w:cs="宋体"/>
          <w:b/>
          <w:color w:val="auto"/>
          <w:szCs w:val="21"/>
          <w:highlight w:val="none"/>
        </w:rPr>
      </w:pPr>
      <w:bookmarkStart w:id="236" w:name="_Toc9192"/>
      <w:bookmarkStart w:id="237" w:name="_Toc15853"/>
      <w:bookmarkStart w:id="238" w:name="_Toc15624"/>
      <w:bookmarkStart w:id="239" w:name="_Toc21371"/>
      <w:bookmarkStart w:id="240" w:name="_Toc16488"/>
      <w:bookmarkStart w:id="241" w:name="_Toc10885"/>
      <w:bookmarkStart w:id="242" w:name="_Toc20277"/>
      <w:r>
        <w:rPr>
          <w:rFonts w:hint="eastAsia" w:ascii="宋体" w:hAnsi="宋体" w:cs="宋体"/>
          <w:b/>
          <w:color w:val="auto"/>
          <w:szCs w:val="21"/>
          <w:highlight w:val="none"/>
        </w:rPr>
        <w:t>2.不按评标委员会要求澄清、说明或补正的；</w:t>
      </w:r>
      <w:bookmarkEnd w:id="236"/>
      <w:bookmarkEnd w:id="237"/>
      <w:bookmarkEnd w:id="238"/>
      <w:bookmarkEnd w:id="239"/>
      <w:bookmarkEnd w:id="240"/>
      <w:bookmarkEnd w:id="241"/>
      <w:bookmarkEnd w:id="242"/>
    </w:p>
    <w:p>
      <w:pPr>
        <w:spacing w:line="400" w:lineRule="exact"/>
        <w:ind w:firstLine="422"/>
        <w:outlineLvl w:val="0"/>
        <w:rPr>
          <w:rFonts w:ascii="宋体" w:hAnsi="宋体" w:cs="宋体"/>
          <w:b/>
          <w:color w:val="auto"/>
          <w:szCs w:val="21"/>
          <w:highlight w:val="none"/>
        </w:rPr>
      </w:pPr>
      <w:bookmarkStart w:id="243" w:name="_Toc12014"/>
      <w:bookmarkStart w:id="244" w:name="_Toc20179"/>
      <w:bookmarkStart w:id="245" w:name="_Toc11457"/>
      <w:bookmarkStart w:id="246" w:name="_Toc978"/>
      <w:bookmarkStart w:id="247" w:name="_Toc31121"/>
      <w:bookmarkStart w:id="248" w:name="_Toc21306"/>
      <w:bookmarkStart w:id="249" w:name="_Toc23327"/>
      <w:r>
        <w:rPr>
          <w:rFonts w:hint="eastAsia" w:ascii="宋体" w:hAnsi="宋体" w:cs="宋体"/>
          <w:b/>
          <w:color w:val="auto"/>
          <w:szCs w:val="21"/>
          <w:highlight w:val="none"/>
        </w:rPr>
        <w:t>3.有算术性错误，投标人不接受修正价格的；</w:t>
      </w:r>
      <w:bookmarkEnd w:id="243"/>
      <w:bookmarkEnd w:id="244"/>
      <w:bookmarkEnd w:id="245"/>
      <w:bookmarkEnd w:id="246"/>
      <w:bookmarkEnd w:id="247"/>
      <w:bookmarkEnd w:id="248"/>
      <w:bookmarkEnd w:id="249"/>
    </w:p>
    <w:p>
      <w:pPr>
        <w:spacing w:line="400" w:lineRule="exact"/>
        <w:ind w:firstLine="422"/>
        <w:outlineLvl w:val="0"/>
        <w:rPr>
          <w:rFonts w:ascii="宋体" w:hAnsi="宋体" w:cs="宋体"/>
          <w:b/>
          <w:color w:val="auto"/>
          <w:szCs w:val="21"/>
          <w:highlight w:val="none"/>
        </w:rPr>
      </w:pPr>
      <w:bookmarkStart w:id="250" w:name="_Toc28328"/>
      <w:bookmarkStart w:id="251" w:name="_Toc30762"/>
      <w:bookmarkStart w:id="252" w:name="_Toc15569"/>
      <w:bookmarkStart w:id="253" w:name="_Toc16903"/>
      <w:bookmarkStart w:id="254" w:name="_Toc11317"/>
      <w:bookmarkStart w:id="255" w:name="_Toc4585"/>
      <w:bookmarkStart w:id="256" w:name="_Toc948"/>
      <w:r>
        <w:rPr>
          <w:rFonts w:hint="eastAsia" w:ascii="宋体" w:hAnsi="宋体" w:cs="宋体"/>
          <w:b/>
          <w:color w:val="auto"/>
          <w:szCs w:val="21"/>
          <w:highlight w:val="none"/>
        </w:rPr>
        <w:t>4.以他人的名义投标、以行贿手段谋取中标或者以其他弄虚作假方式投标的；</w:t>
      </w:r>
      <w:bookmarkEnd w:id="250"/>
      <w:bookmarkEnd w:id="251"/>
      <w:bookmarkEnd w:id="252"/>
      <w:bookmarkEnd w:id="253"/>
      <w:bookmarkEnd w:id="254"/>
      <w:bookmarkEnd w:id="255"/>
      <w:bookmarkEnd w:id="256"/>
    </w:p>
    <w:p>
      <w:pPr>
        <w:spacing w:line="400" w:lineRule="exact"/>
        <w:ind w:firstLine="422"/>
        <w:outlineLvl w:val="0"/>
        <w:rPr>
          <w:rFonts w:ascii="宋体" w:hAnsi="宋体" w:cs="宋体"/>
          <w:b/>
          <w:color w:val="auto"/>
          <w:szCs w:val="21"/>
          <w:highlight w:val="none"/>
        </w:rPr>
      </w:pPr>
      <w:bookmarkStart w:id="257" w:name="_Toc6643"/>
      <w:bookmarkStart w:id="258" w:name="_Toc14603"/>
      <w:bookmarkStart w:id="259" w:name="_Toc4930"/>
      <w:bookmarkStart w:id="260" w:name="_Toc18372"/>
      <w:bookmarkStart w:id="261" w:name="_Toc16865"/>
      <w:bookmarkStart w:id="262" w:name="_Toc15135"/>
      <w:bookmarkStart w:id="263" w:name="_Toc29797"/>
      <w:r>
        <w:rPr>
          <w:rFonts w:hint="eastAsia" w:ascii="宋体" w:hAnsi="宋体" w:cs="宋体"/>
          <w:b/>
          <w:color w:val="auto"/>
          <w:szCs w:val="21"/>
          <w:highlight w:val="none"/>
        </w:rPr>
        <w:t>5.属于串（围）标行为的；</w:t>
      </w:r>
      <w:bookmarkEnd w:id="257"/>
      <w:bookmarkEnd w:id="258"/>
      <w:bookmarkEnd w:id="259"/>
      <w:bookmarkEnd w:id="260"/>
      <w:bookmarkEnd w:id="261"/>
      <w:bookmarkEnd w:id="262"/>
      <w:bookmarkEnd w:id="263"/>
    </w:p>
    <w:p>
      <w:pPr>
        <w:spacing w:line="400" w:lineRule="exact"/>
        <w:ind w:firstLine="422"/>
        <w:outlineLvl w:val="0"/>
        <w:rPr>
          <w:rFonts w:ascii="宋体" w:hAnsi="宋体" w:cs="宋体"/>
          <w:b/>
          <w:color w:val="auto"/>
          <w:szCs w:val="21"/>
          <w:highlight w:val="none"/>
        </w:rPr>
      </w:pPr>
      <w:bookmarkStart w:id="264" w:name="_Toc14393"/>
      <w:bookmarkStart w:id="265" w:name="_Toc22891"/>
      <w:bookmarkStart w:id="266" w:name="_Toc9127"/>
      <w:bookmarkStart w:id="267" w:name="_Toc22523"/>
      <w:bookmarkStart w:id="268" w:name="_Toc5716"/>
      <w:bookmarkStart w:id="269" w:name="_Toc9492"/>
      <w:bookmarkStart w:id="270" w:name="_Toc26130"/>
      <w:r>
        <w:rPr>
          <w:rFonts w:hint="eastAsia" w:ascii="宋体" w:hAnsi="宋体" w:cs="宋体"/>
          <w:b/>
          <w:color w:val="auto"/>
          <w:szCs w:val="21"/>
          <w:highlight w:val="none"/>
        </w:rPr>
        <w:t>6.评标委员会认定投标人以低于成本报价竞标的；</w:t>
      </w:r>
      <w:bookmarkEnd w:id="264"/>
      <w:bookmarkEnd w:id="265"/>
      <w:bookmarkEnd w:id="266"/>
      <w:bookmarkEnd w:id="267"/>
      <w:bookmarkEnd w:id="268"/>
      <w:bookmarkEnd w:id="269"/>
      <w:bookmarkEnd w:id="270"/>
    </w:p>
    <w:p>
      <w:pPr>
        <w:spacing w:line="400" w:lineRule="exact"/>
        <w:ind w:firstLine="422"/>
        <w:outlineLvl w:val="0"/>
        <w:rPr>
          <w:rFonts w:ascii="宋体" w:hAnsi="宋体" w:cs="宋体"/>
          <w:b/>
          <w:color w:val="auto"/>
          <w:szCs w:val="21"/>
          <w:highlight w:val="none"/>
        </w:rPr>
      </w:pPr>
      <w:bookmarkStart w:id="271" w:name="_Toc14218"/>
      <w:bookmarkStart w:id="272" w:name="_Toc12507"/>
      <w:bookmarkStart w:id="273" w:name="_Toc20367"/>
      <w:bookmarkStart w:id="274" w:name="_Toc15055"/>
      <w:bookmarkStart w:id="275" w:name="_Toc7159"/>
      <w:bookmarkStart w:id="276" w:name="_Toc14608"/>
      <w:bookmarkStart w:id="277" w:name="_Toc25968"/>
      <w:r>
        <w:rPr>
          <w:rFonts w:hint="eastAsia" w:ascii="宋体" w:hAnsi="宋体" w:cs="宋体"/>
          <w:b/>
          <w:color w:val="auto"/>
          <w:szCs w:val="21"/>
          <w:highlight w:val="none"/>
        </w:rPr>
        <w:t>7．明显不符合技术规格、技术标准的要求；</w:t>
      </w:r>
      <w:bookmarkEnd w:id="271"/>
      <w:bookmarkEnd w:id="272"/>
      <w:bookmarkEnd w:id="273"/>
      <w:bookmarkEnd w:id="274"/>
      <w:bookmarkEnd w:id="275"/>
      <w:bookmarkEnd w:id="276"/>
      <w:bookmarkEnd w:id="277"/>
    </w:p>
    <w:p>
      <w:pPr>
        <w:spacing w:line="400" w:lineRule="exact"/>
        <w:ind w:firstLine="422"/>
        <w:outlineLvl w:val="0"/>
        <w:rPr>
          <w:rFonts w:ascii="宋体" w:hAnsi="宋体" w:cs="宋体"/>
          <w:b/>
          <w:color w:val="auto"/>
          <w:szCs w:val="21"/>
          <w:highlight w:val="none"/>
        </w:rPr>
      </w:pPr>
      <w:bookmarkStart w:id="278" w:name="_Toc4438"/>
      <w:bookmarkStart w:id="279" w:name="_Toc14755"/>
      <w:bookmarkStart w:id="280" w:name="_Toc19385"/>
      <w:bookmarkStart w:id="281" w:name="_Toc335"/>
      <w:bookmarkStart w:id="282" w:name="_Toc6996"/>
      <w:bookmarkStart w:id="283" w:name="_Toc9419"/>
      <w:bookmarkStart w:id="284" w:name="_Toc24248"/>
      <w:r>
        <w:rPr>
          <w:rFonts w:hint="eastAsia" w:ascii="宋体" w:hAnsi="宋体" w:cs="宋体"/>
          <w:b/>
          <w:color w:val="auto"/>
          <w:szCs w:val="21"/>
          <w:highlight w:val="none"/>
        </w:rPr>
        <w:t>8.不具备采购文件中规定的资格要求的；</w:t>
      </w:r>
      <w:bookmarkEnd w:id="278"/>
      <w:bookmarkEnd w:id="279"/>
      <w:bookmarkEnd w:id="280"/>
      <w:bookmarkEnd w:id="281"/>
      <w:bookmarkEnd w:id="282"/>
      <w:bookmarkEnd w:id="283"/>
      <w:bookmarkEnd w:id="284"/>
    </w:p>
    <w:p>
      <w:pPr>
        <w:spacing w:line="400" w:lineRule="exact"/>
        <w:ind w:firstLine="422"/>
        <w:outlineLvl w:val="0"/>
        <w:rPr>
          <w:rFonts w:ascii="宋体" w:hAnsi="宋体" w:cs="宋体"/>
          <w:b/>
          <w:color w:val="auto"/>
          <w:szCs w:val="21"/>
          <w:highlight w:val="none"/>
        </w:rPr>
      </w:pPr>
      <w:bookmarkStart w:id="285" w:name="_Toc19014"/>
      <w:bookmarkStart w:id="286" w:name="_Toc23251"/>
      <w:bookmarkStart w:id="287" w:name="_Toc14823"/>
      <w:bookmarkStart w:id="288" w:name="_Toc19861"/>
      <w:bookmarkStart w:id="289" w:name="_Toc10315"/>
      <w:bookmarkStart w:id="290" w:name="_Toc1609"/>
      <w:bookmarkStart w:id="291" w:name="_Toc20482"/>
      <w:r>
        <w:rPr>
          <w:rFonts w:hint="eastAsia" w:ascii="宋体" w:hAnsi="宋体" w:cs="宋体"/>
          <w:b/>
          <w:color w:val="auto"/>
          <w:szCs w:val="21"/>
          <w:highlight w:val="none"/>
        </w:rPr>
        <w:t>9.文件制作机器码、文件创建标识码有相同的；</w:t>
      </w:r>
      <w:bookmarkEnd w:id="285"/>
      <w:bookmarkEnd w:id="286"/>
      <w:bookmarkEnd w:id="287"/>
      <w:bookmarkEnd w:id="288"/>
      <w:bookmarkEnd w:id="289"/>
      <w:bookmarkEnd w:id="290"/>
      <w:bookmarkEnd w:id="291"/>
    </w:p>
    <w:p>
      <w:pPr>
        <w:spacing w:line="400" w:lineRule="exact"/>
        <w:ind w:firstLine="422"/>
        <w:outlineLvl w:val="0"/>
        <w:rPr>
          <w:rFonts w:ascii="宋体" w:hAnsi="宋体" w:cs="宋体"/>
          <w:b/>
          <w:color w:val="auto"/>
          <w:szCs w:val="21"/>
          <w:highlight w:val="none"/>
        </w:rPr>
      </w:pPr>
      <w:bookmarkStart w:id="292" w:name="_Toc24524"/>
      <w:bookmarkStart w:id="293" w:name="_Toc20308"/>
      <w:bookmarkStart w:id="294" w:name="_Toc21923"/>
      <w:bookmarkStart w:id="295" w:name="_Toc13282"/>
      <w:bookmarkStart w:id="296" w:name="_Toc16217"/>
      <w:bookmarkStart w:id="297" w:name="_Toc1113"/>
      <w:bookmarkStart w:id="298" w:name="_Toc32100"/>
      <w:r>
        <w:rPr>
          <w:rFonts w:hint="eastAsia" w:ascii="宋体" w:hAnsi="宋体" w:cs="宋体"/>
          <w:b/>
          <w:color w:val="auto"/>
          <w:szCs w:val="21"/>
          <w:highlight w:val="none"/>
        </w:rPr>
        <w:t>10．不符合采购文件规定的其他实质性要求及相关法律、法规或规章规定可以废标的其</w:t>
      </w:r>
      <w:bookmarkEnd w:id="292"/>
      <w:bookmarkEnd w:id="293"/>
      <w:bookmarkEnd w:id="294"/>
      <w:bookmarkEnd w:id="295"/>
      <w:bookmarkEnd w:id="296"/>
      <w:bookmarkEnd w:id="297"/>
      <w:bookmarkStart w:id="299" w:name="_Toc2806"/>
      <w:bookmarkStart w:id="300" w:name="_Toc4220"/>
      <w:bookmarkStart w:id="301" w:name="_Toc13162"/>
      <w:bookmarkStart w:id="302" w:name="_Toc11636"/>
      <w:bookmarkStart w:id="303" w:name="_Toc22539"/>
      <w:bookmarkStart w:id="304" w:name="_Toc16961"/>
      <w:r>
        <w:rPr>
          <w:rFonts w:hint="eastAsia" w:ascii="宋体" w:hAnsi="宋体" w:cs="宋体"/>
          <w:b/>
          <w:color w:val="auto"/>
          <w:szCs w:val="21"/>
          <w:highlight w:val="none"/>
        </w:rPr>
        <w:t>他情形。</w:t>
      </w:r>
      <w:bookmarkEnd w:id="298"/>
      <w:bookmarkEnd w:id="299"/>
      <w:bookmarkEnd w:id="300"/>
      <w:bookmarkEnd w:id="301"/>
      <w:bookmarkEnd w:id="302"/>
      <w:bookmarkEnd w:id="303"/>
      <w:bookmarkEnd w:id="304"/>
    </w:p>
    <w:p>
      <w:pPr>
        <w:rPr>
          <w:color w:val="auto"/>
          <w:highlight w:val="none"/>
        </w:rPr>
      </w:pPr>
    </w:p>
    <w:p>
      <w:pPr>
        <w:rPr>
          <w:color w:val="auto"/>
          <w:highlight w:val="none"/>
        </w:rPr>
      </w:pPr>
      <w:r>
        <w:rPr>
          <w:rFonts w:hint="eastAsia"/>
          <w:color w:val="auto"/>
          <w:highlight w:val="none"/>
        </w:rPr>
        <w:br w:type="page"/>
      </w:r>
    </w:p>
    <w:bookmarkEnd w:id="228"/>
    <w:p>
      <w:pPr>
        <w:pStyle w:val="52"/>
        <w:rPr>
          <w:rStyle w:val="62"/>
          <w:rFonts w:ascii="仿宋" w:hAnsi="仿宋" w:eastAsia="仿宋"/>
          <w:color w:val="auto"/>
          <w:highlight w:val="none"/>
        </w:rPr>
      </w:pPr>
    </w:p>
    <w:p>
      <w:pPr>
        <w:pStyle w:val="52"/>
        <w:rPr>
          <w:rStyle w:val="62"/>
          <w:rFonts w:ascii="仿宋" w:hAnsi="仿宋" w:eastAsia="仿宋"/>
          <w:color w:val="auto"/>
          <w:highlight w:val="none"/>
        </w:rPr>
      </w:pPr>
      <w:r>
        <w:rPr>
          <w:rStyle w:val="62"/>
          <w:rFonts w:ascii="仿宋" w:hAnsi="仿宋" w:eastAsia="仿宋"/>
          <w:color w:val="auto"/>
          <w:highlight w:val="none"/>
        </w:rPr>
        <w:t>第四章  合同条件及格式</w:t>
      </w:r>
    </w:p>
    <w:p>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（仅供参考）</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采购人（招标人）：                                      （以下简称甲方）</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投标人（供应商）：                                      （以下简称乙方）</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经甲乙双方充分协商，特订立本合同，以便共同遵守。</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一、合同标底：</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根据招标文件及其补充文件、中标方的投标文件及其澄清文件和甲方采购项目明细表等确定（清单附后，甲乙双方须在清单上盖章）。</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二、合同价格：</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三、交货时间及地点：</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1、乙方在采购合同签订后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日历天内全部交付并安装调试完毕（具体日期由签订合同之日起计算），付款方式：</w:t>
      </w:r>
      <w:r>
        <w:rPr>
          <w:rFonts w:hint="eastAsia" w:ascii="宋体" w:hAnsi="宋体" w:cs="宋体"/>
          <w:color w:val="auto"/>
          <w:szCs w:val="21"/>
          <w:highlight w:val="none"/>
          <w:u w:val="single"/>
        </w:rPr>
        <w:t xml:space="preserve">      。</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2、乙方自定运输方式，自付费用将中标货物合同标的送达甲方指定地点。</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四、技术规格：</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1、乙方提供的产品的技术规格有国家标准的应符合现行国家标准，无国家标准的应符合部颁标准或行业标准，并满足标的清单中的规定。</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2、乙方保证提供的产品是全新的正品品牌货物，必须满足投标文件承诺的所有服务。</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五、附件、配件：</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按产品所附使用说明书及清单执行；包括厂家在促销等特别期间承诺提供的附件。</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六、售后服务：</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1、产品质量：在质保期内，甲方正常使用乙方所供产品而出现质量问题时，乙方按“质量保证承诺书”负责；对产品出现的故障乙方应免费上门服务。</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2、产品使用：甲方在使用乙方所供产品中出现问题需乙方指导解决时，乙方应及时给予解决。</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七、验收及异议：</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1、甲方验收，并根据实际验收情况向乙方签发验收报告；</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否则视为无效。</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八、付款方式：</w:t>
      </w:r>
    </w:p>
    <w:p>
      <w:pPr>
        <w:pStyle w:val="2"/>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九、违约责任：</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1、乙方不能按时交货或因不可抗力的原因不能按时交货而未在交货期限内书面或电话告知甲方的，应向甲方偿付不能交货部分货款5%的违约金；</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2、乙方所交标的品牌、型号、规格、质量等不符合合同规定，按违约处理，并赔偿合同金额总数及承担由此给甲方带来的其他损失。</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十一、本合同如发生纠纷，甲乙双方协商解决，协商不成时，约定由信阳市仲裁委员会仲裁。</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十二、本合同自签字之日起生效，甲乙双方均不得随意变更或解除合同。</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十三、合同如有未尽事宜，须经甲乙双方共同协商，作出补充约定，补充约定与本合同具有同等法律效力。</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十四、本合同一式四份，甲方执二份、乙方执二份，具体内容以合同签订时甲、乙双方协商为准。</w:t>
      </w:r>
    </w:p>
    <w:p>
      <w:pPr>
        <w:widowControl w:val="0"/>
        <w:spacing w:line="400" w:lineRule="exact"/>
        <w:ind w:firstLine="420" w:firstLineChars="200"/>
        <w:textAlignment w:val="auto"/>
        <w:rPr>
          <w:rFonts w:ascii="宋体" w:hAnsi="宋体" w:cs="宋体"/>
          <w:color w:val="auto"/>
          <w:szCs w:val="21"/>
          <w:highlight w:val="none"/>
        </w:rPr>
      </w:pP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采购人（甲方）：（公章）                          投标人（乙方）：（公章）</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法定代表人或授权代理人：（签字）                   法定代表人或授权代理人：（签字）</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    址：                                          地    址：</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开户银行：                                          开户银行：</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账    号：                                          账    号：</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    话：                                          电    话：</w:t>
      </w:r>
    </w:p>
    <w:p>
      <w:pPr>
        <w:widowControl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年   月   日                                       年  月  日</w:t>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52"/>
        <w:spacing w:before="0" w:after="0"/>
        <w:rPr>
          <w:rStyle w:val="62"/>
          <w:rFonts w:ascii="仿宋" w:hAnsi="仿宋" w:eastAsia="仿宋"/>
          <w:bCs/>
          <w:color w:val="auto"/>
          <w:kern w:val="0"/>
          <w:sz w:val="32"/>
          <w:szCs w:val="32"/>
          <w:highlight w:val="none"/>
        </w:rPr>
      </w:pPr>
      <w:r>
        <w:rPr>
          <w:rStyle w:val="62"/>
          <w:rFonts w:ascii="仿宋" w:hAnsi="仿宋" w:eastAsia="仿宋"/>
          <w:color w:val="auto"/>
          <w:szCs w:val="21"/>
          <w:highlight w:val="none"/>
        </w:rPr>
        <w:t>第五章</w:t>
      </w:r>
      <w:r>
        <w:rPr>
          <w:rStyle w:val="62"/>
          <w:rFonts w:ascii="仿宋" w:hAnsi="仿宋" w:eastAsia="仿宋"/>
          <w:bCs/>
          <w:color w:val="auto"/>
          <w:kern w:val="0"/>
          <w:sz w:val="32"/>
          <w:szCs w:val="32"/>
          <w:highlight w:val="none"/>
        </w:rPr>
        <w:t>采购需求</w:t>
      </w:r>
    </w:p>
    <w:tbl>
      <w:tblPr>
        <w:tblStyle w:val="24"/>
        <w:tblW w:w="89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816"/>
        <w:gridCol w:w="5487"/>
        <w:gridCol w:w="1016"/>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vAlign w:val="center"/>
          </w:tcPr>
          <w:p>
            <w:pPr>
              <w:jc w:val="center"/>
              <w:rPr>
                <w:rFonts w:ascii="黑体" w:hAnsi="黑体" w:eastAsia="黑体" w:cs="宋体"/>
                <w:b/>
                <w:bCs/>
                <w:color w:val="auto"/>
                <w:kern w:val="0"/>
                <w:sz w:val="24"/>
                <w:highlight w:val="none"/>
              </w:rPr>
            </w:pPr>
            <w:r>
              <w:rPr>
                <w:rFonts w:hint="eastAsia" w:ascii="黑体" w:hAnsi="黑体" w:eastAsia="黑体" w:cs="宋体"/>
                <w:b/>
                <w:bCs/>
                <w:color w:val="auto"/>
                <w:kern w:val="0"/>
                <w:sz w:val="24"/>
                <w:highlight w:val="none"/>
              </w:rPr>
              <w:t>序号</w:t>
            </w:r>
          </w:p>
        </w:tc>
        <w:tc>
          <w:tcPr>
            <w:tcW w:w="816" w:type="dxa"/>
            <w:shd w:val="clear" w:color="auto" w:fill="auto"/>
            <w:vAlign w:val="center"/>
          </w:tcPr>
          <w:p>
            <w:pPr>
              <w:jc w:val="center"/>
              <w:rPr>
                <w:rFonts w:ascii="黑体" w:hAnsi="黑体" w:eastAsia="黑体" w:cs="宋体"/>
                <w:b/>
                <w:bCs/>
                <w:color w:val="auto"/>
                <w:kern w:val="0"/>
                <w:sz w:val="24"/>
                <w:highlight w:val="none"/>
              </w:rPr>
            </w:pPr>
            <w:r>
              <w:rPr>
                <w:rFonts w:hint="eastAsia" w:ascii="黑体" w:hAnsi="黑体" w:eastAsia="黑体" w:cs="宋体"/>
                <w:b/>
                <w:bCs/>
                <w:color w:val="auto"/>
                <w:kern w:val="0"/>
                <w:sz w:val="24"/>
                <w:highlight w:val="none"/>
              </w:rPr>
              <w:t>名称</w:t>
            </w:r>
          </w:p>
        </w:tc>
        <w:tc>
          <w:tcPr>
            <w:tcW w:w="5487" w:type="dxa"/>
            <w:shd w:val="clear" w:color="auto" w:fill="auto"/>
            <w:vAlign w:val="center"/>
          </w:tcPr>
          <w:p>
            <w:pPr>
              <w:jc w:val="center"/>
              <w:rPr>
                <w:rFonts w:ascii="黑体" w:hAnsi="黑体" w:eastAsia="黑体" w:cs="宋体"/>
                <w:b/>
                <w:bCs/>
                <w:color w:val="auto"/>
                <w:kern w:val="0"/>
                <w:sz w:val="24"/>
                <w:highlight w:val="none"/>
              </w:rPr>
            </w:pPr>
            <w:r>
              <w:rPr>
                <w:rFonts w:hint="eastAsia" w:ascii="黑体" w:hAnsi="黑体" w:eastAsia="黑体" w:cs="宋体"/>
                <w:b/>
                <w:bCs/>
                <w:color w:val="auto"/>
                <w:kern w:val="0"/>
                <w:sz w:val="24"/>
                <w:highlight w:val="none"/>
              </w:rPr>
              <w:t>技术规格及要求</w:t>
            </w:r>
          </w:p>
        </w:tc>
        <w:tc>
          <w:tcPr>
            <w:tcW w:w="1016" w:type="dxa"/>
            <w:shd w:val="clear" w:color="auto" w:fill="auto"/>
            <w:vAlign w:val="center"/>
          </w:tcPr>
          <w:p>
            <w:pPr>
              <w:jc w:val="center"/>
              <w:rPr>
                <w:rFonts w:ascii="黑体" w:hAnsi="黑体" w:eastAsia="黑体" w:cs="宋体"/>
                <w:b/>
                <w:bCs/>
                <w:color w:val="auto"/>
                <w:kern w:val="0"/>
                <w:sz w:val="24"/>
                <w:highlight w:val="none"/>
              </w:rPr>
            </w:pPr>
            <w:r>
              <w:rPr>
                <w:rFonts w:hint="eastAsia" w:ascii="黑体" w:hAnsi="黑体" w:eastAsia="黑体" w:cs="宋体"/>
                <w:b/>
                <w:bCs/>
                <w:color w:val="auto"/>
                <w:kern w:val="0"/>
                <w:sz w:val="24"/>
                <w:highlight w:val="none"/>
              </w:rPr>
              <w:t>数量</w:t>
            </w:r>
          </w:p>
        </w:tc>
        <w:tc>
          <w:tcPr>
            <w:tcW w:w="1111" w:type="dxa"/>
            <w:shd w:val="clear" w:color="auto" w:fill="auto"/>
            <w:vAlign w:val="center"/>
          </w:tcPr>
          <w:p>
            <w:pPr>
              <w:jc w:val="center"/>
              <w:rPr>
                <w:rFonts w:ascii="黑体" w:hAnsi="黑体" w:eastAsia="黑体" w:cs="宋体"/>
                <w:b/>
                <w:bCs/>
                <w:color w:val="auto"/>
                <w:kern w:val="0"/>
                <w:sz w:val="24"/>
                <w:highlight w:val="none"/>
              </w:rPr>
            </w:pPr>
            <w:r>
              <w:rPr>
                <w:rFonts w:hint="eastAsia" w:ascii="黑体" w:hAnsi="黑体" w:eastAsia="黑体" w:cs="宋体"/>
                <w:b/>
                <w:bCs/>
                <w:color w:val="auto"/>
                <w:kern w:val="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物理实验室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一、教师控制演示区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5" w:hRule="atLeast"/>
        </w:trPr>
        <w:tc>
          <w:tcPr>
            <w:tcW w:w="516" w:type="dxa"/>
            <w:vMerge w:val="restart"/>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vMerge w:val="restart"/>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（教师演示台）</w:t>
            </w:r>
          </w:p>
        </w:tc>
        <w:tc>
          <w:tcPr>
            <w:tcW w:w="5487" w:type="dxa"/>
            <w:vMerge w:val="restart"/>
            <w:shd w:val="clear" w:color="auto" w:fill="auto"/>
            <w:vAlign w:val="center"/>
          </w:tcPr>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规格：≥2400mm（L）×700mm（W）×850mm（H）</w:t>
            </w:r>
            <w:r>
              <w:rPr>
                <w:rFonts w:hint="eastAsia" w:ascii="黑体" w:hAnsi="黑体" w:eastAsia="黑体" w:cs="宋体"/>
                <w:color w:val="auto"/>
                <w:kern w:val="0"/>
                <w:sz w:val="20"/>
                <w:szCs w:val="20"/>
                <w:highlight w:val="none"/>
              </w:rPr>
              <w:br w:type="page"/>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1.台面：采用≥13.0mm厚优抗板台面，台面边缘用同质材料板双层加厚至≥26.0mm，由专业生产厂家用CNC机械加工而成。</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▲为确保使用者的健康安全，台面板需通过国家质量监督管理部门认可的第三方检测机构检测，满足或优于以下7项性能检测要求，并提供带CMA或CNAS标识的优抗板检测报告复印件加盖制造商公章：</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(1)化学性能检测：台面板通过硫酸（98%）、氢氟酸（48%）、硝酸（65%）、四氯化碳、氢氧化钠（40%）、乙腈、碘伏等不少于130项化学试剂及有机溶液检测。</w:t>
            </w:r>
            <w:r>
              <w:rPr>
                <w:rFonts w:hint="eastAsia" w:ascii="黑体" w:hAnsi="黑体" w:eastAsia="黑体" w:cs="宋体"/>
                <w:color w:val="auto"/>
                <w:kern w:val="0"/>
                <w:sz w:val="20"/>
                <w:szCs w:val="20"/>
                <w:highlight w:val="none"/>
              </w:rPr>
              <w:br w:type="page"/>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(2)环保性能检测：参照GB 18580-2017等标准，甲醛释放量满足E1级技术指标要求，释放量检测结果值小于0.08mg/m</w:t>
            </w:r>
            <w:r>
              <w:rPr>
                <w:rFonts w:hint="eastAsia" w:ascii="宋体" w:hAnsi="宋体" w:cs="宋体"/>
                <w:color w:val="auto"/>
                <w:kern w:val="0"/>
                <w:sz w:val="20"/>
                <w:szCs w:val="20"/>
                <w:highlight w:val="none"/>
              </w:rPr>
              <w:t>³</w:t>
            </w:r>
            <w:r>
              <w:rPr>
                <w:rFonts w:hint="eastAsia" w:ascii="黑体" w:hAnsi="黑体" w:eastAsia="黑体" w:cs="黑体"/>
                <w:color w:val="auto"/>
                <w:kern w:val="0"/>
                <w:sz w:val="20"/>
                <w:szCs w:val="20"/>
                <w:highlight w:val="none"/>
              </w:rPr>
              <w:t>（未检出）</w:t>
            </w:r>
            <w:r>
              <w:rPr>
                <w:rFonts w:hint="eastAsia" w:ascii="黑体" w:hAnsi="黑体" w:eastAsia="黑体" w:cs="宋体"/>
                <w:color w:val="auto"/>
                <w:kern w:val="0"/>
                <w:sz w:val="20"/>
                <w:szCs w:val="20"/>
                <w:highlight w:val="none"/>
              </w:rPr>
              <w:t>;参照GB18584-2001等标准，满足4种重金属含量检测：铅≤1.1mg/kg，镉、铬、汞均未检出。</w:t>
            </w:r>
            <w:r>
              <w:rPr>
                <w:rFonts w:hint="eastAsia" w:ascii="黑体" w:hAnsi="黑体" w:eastAsia="黑体" w:cs="宋体"/>
                <w:color w:val="auto"/>
                <w:kern w:val="0"/>
                <w:sz w:val="20"/>
                <w:szCs w:val="20"/>
                <w:highlight w:val="none"/>
              </w:rPr>
              <w:br w:type="page"/>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物理性能检测：检测结果包含：吸水率（24h）：≤0.1%；静曲强度：≥134MPa；耐干热性能、耐湿热性能、表面耐香烟灼烧：5级、表面无明显变化；漆膜硬度：≥9H；含水率≤1.2%；表面耐磨性能为≥849r；尺寸稳定性检测结果≤0.2%；表面耐龟裂性能：5级，用6倍放大镜观察无裂纹；表面耐划痕性能：2.5N试件表面无大于90%的连续划痕；耐光色牢度：≥灰色样卡4级；点对点电阻值≤8.16×10</w:t>
            </w:r>
            <w:r>
              <w:rPr>
                <w:rFonts w:hint="eastAsia" w:ascii="MS Gothic" w:hAnsi="MS Gothic" w:eastAsia="MS Gothic" w:cs="MS Gothic"/>
                <w:color w:val="auto"/>
                <w:kern w:val="0"/>
                <w:sz w:val="20"/>
                <w:szCs w:val="20"/>
                <w:highlight w:val="none"/>
              </w:rPr>
              <w:t>⁹</w:t>
            </w:r>
            <w:r>
              <w:rPr>
                <w:rFonts w:hint="eastAsia" w:ascii="黑体" w:hAnsi="黑体" w:eastAsia="黑体" w:cs="黑体"/>
                <w:color w:val="auto"/>
                <w:kern w:val="0"/>
                <w:sz w:val="20"/>
                <w:szCs w:val="20"/>
                <w:highlight w:val="none"/>
              </w:rPr>
              <w:t>Ω、体积电阻值≤</w:t>
            </w:r>
            <w:r>
              <w:rPr>
                <w:rFonts w:hint="eastAsia" w:ascii="黑体" w:hAnsi="黑体" w:eastAsia="黑体" w:cs="宋体"/>
                <w:color w:val="auto"/>
                <w:kern w:val="0"/>
                <w:sz w:val="20"/>
                <w:szCs w:val="20"/>
                <w:highlight w:val="none"/>
              </w:rPr>
              <w:t>8.79×10</w:t>
            </w:r>
            <w:r>
              <w:rPr>
                <w:rFonts w:hint="eastAsia" w:ascii="MS Gothic" w:hAnsi="MS Gothic" w:eastAsia="MS Gothic" w:cs="MS Gothic"/>
                <w:color w:val="auto"/>
                <w:kern w:val="0"/>
                <w:sz w:val="20"/>
                <w:szCs w:val="20"/>
                <w:highlight w:val="none"/>
              </w:rPr>
              <w:t>⁸</w:t>
            </w:r>
            <w:r>
              <w:rPr>
                <w:rFonts w:hint="eastAsia" w:ascii="黑体" w:hAnsi="黑体" w:eastAsia="黑体" w:cs="黑体"/>
                <w:color w:val="auto"/>
                <w:kern w:val="0"/>
                <w:sz w:val="20"/>
                <w:szCs w:val="20"/>
                <w:highlight w:val="none"/>
              </w:rPr>
              <w:t>Ω、表面电阻值≤</w:t>
            </w:r>
            <w:r>
              <w:rPr>
                <w:rFonts w:hint="eastAsia" w:ascii="黑体" w:hAnsi="黑体" w:eastAsia="黑体" w:cs="宋体"/>
                <w:color w:val="auto"/>
                <w:kern w:val="0"/>
                <w:sz w:val="20"/>
                <w:szCs w:val="20"/>
                <w:highlight w:val="none"/>
              </w:rPr>
              <w:t>6.32×10</w:t>
            </w:r>
            <w:r>
              <w:rPr>
                <w:rFonts w:hint="eastAsia" w:ascii="MS Gothic" w:hAnsi="MS Gothic" w:eastAsia="MS Gothic" w:cs="MS Gothic"/>
                <w:color w:val="auto"/>
                <w:kern w:val="0"/>
                <w:sz w:val="20"/>
                <w:szCs w:val="20"/>
                <w:highlight w:val="none"/>
              </w:rPr>
              <w:t>⁷</w:t>
            </w:r>
            <w:r>
              <w:rPr>
                <w:rFonts w:hint="eastAsia" w:ascii="黑体" w:hAnsi="黑体" w:eastAsia="黑体" w:cs="黑体"/>
                <w:color w:val="auto"/>
                <w:kern w:val="0"/>
                <w:sz w:val="20"/>
                <w:szCs w:val="20"/>
                <w:highlight w:val="none"/>
              </w:rPr>
              <w:t>Ω等不少于</w:t>
            </w:r>
            <w:r>
              <w:rPr>
                <w:rFonts w:hint="eastAsia" w:ascii="黑体" w:hAnsi="黑体" w:eastAsia="黑体" w:cs="宋体"/>
                <w:color w:val="auto"/>
                <w:kern w:val="0"/>
                <w:sz w:val="20"/>
                <w:szCs w:val="20"/>
                <w:highlight w:val="none"/>
              </w:rPr>
              <w:t>24项物理性能检测。</w:t>
            </w:r>
            <w:r>
              <w:rPr>
                <w:rFonts w:hint="eastAsia" w:ascii="黑体" w:hAnsi="黑体" w:eastAsia="黑体" w:cs="宋体"/>
                <w:color w:val="auto"/>
                <w:kern w:val="0"/>
                <w:sz w:val="20"/>
                <w:szCs w:val="20"/>
                <w:highlight w:val="none"/>
              </w:rPr>
              <w:br w:type="page"/>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(4)阻燃性能检测：参照GB 8624-2012等标准，燃烧性等级达到B1级；水平燃烧符合HB级，垂直燃烧符合V-0级，烟气毒性等级符合t1级要求。</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(5)防霉性能检测：参照GB/T24128-2018或JC/T 2039-2010等标准，包含但不局限于：黑曲霉、土曲霉、球毛壳霉、宛氏拟青霉、绳状青霉、出芽短梗霉、长枝木霉等不少于7种的霉菌检测；</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(6)抗菌性能检测：参照ISO 22196:2011或JC/T 2039-2010等标准，包含但不局限于：大肠杆菌、金黄色葡萄球菌、肺炎克雷伯氏菌、鼠伤寒沙门氏菌、表皮葡萄球菌、铜绿假单胞菌、宋氏志贺氏菌、白色葡萄球菌、粪肠球菌、单核细胞增生李斯特氏菌、变异库克菌、甲型溶血性链球菌、白色念珠菌、肠沙门氏菌肠亚种等不少于14种的菌种检测,抗菌率≥99.9%。</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(7)抗病毒活性试验：参照ISO 21702：2019等标准对H1N1、H3N2进行抗病毒活性试验，抗病毒活性率结果≥99.9%。</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2.产品结构：铝木结构</w:t>
            </w:r>
            <w:r>
              <w:rPr>
                <w:rFonts w:hint="eastAsia" w:ascii="黑体" w:hAnsi="黑体" w:eastAsia="黑体" w:cs="宋体"/>
                <w:color w:val="auto"/>
                <w:kern w:val="0"/>
                <w:sz w:val="20"/>
                <w:szCs w:val="20"/>
                <w:highlight w:val="none"/>
              </w:rPr>
              <w:br w:type="page"/>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台身用材：桌体结构为内槽式铝合金框架结构,框架立柱：壁厚≥1.0mm、截面尺寸≥50mm×50mm棱角为椭圆形。横梁：壁厚≥0.8mm、截面尺寸≥40mm×40mm；铝型材槽表面经酸洗、磷化、环氧树脂高温固化处理具有耐腐蚀、耐高温等特点。</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4.柜身：背板及吊板采用厚度不低于16mm的实验室专用三聚氰胺板制作。</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5.组装：接缝严密，连接牢固，无松动现象。</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6.连接件：ABS专用连接组装件；</w:t>
            </w:r>
          </w:p>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7.板材贴面：采用三聚氰胺板进行贴面。</w:t>
            </w:r>
            <w:r>
              <w:rPr>
                <w:rFonts w:hint="eastAsia" w:ascii="黑体" w:hAnsi="黑体" w:eastAsia="黑体" w:cs="宋体"/>
                <w:color w:val="auto"/>
                <w:kern w:val="0"/>
                <w:sz w:val="20"/>
                <w:szCs w:val="20"/>
                <w:highlight w:val="none"/>
              </w:rPr>
              <w:br w:type="page"/>
            </w:r>
          </w:p>
        </w:tc>
        <w:tc>
          <w:tcPr>
            <w:tcW w:w="1016" w:type="dxa"/>
            <w:vMerge w:val="restart"/>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vMerge w:val="restart"/>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516" w:type="dxa"/>
            <w:vMerge w:val="continue"/>
            <w:vAlign w:val="center"/>
          </w:tcPr>
          <w:p>
            <w:pPr>
              <w:jc w:val="left"/>
              <w:rPr>
                <w:rFonts w:ascii="黑体" w:hAnsi="黑体" w:eastAsia="黑体" w:cs="宋体"/>
                <w:color w:val="auto"/>
                <w:kern w:val="0"/>
                <w:sz w:val="20"/>
                <w:szCs w:val="20"/>
                <w:highlight w:val="none"/>
              </w:rPr>
            </w:pPr>
          </w:p>
        </w:tc>
        <w:tc>
          <w:tcPr>
            <w:tcW w:w="816" w:type="dxa"/>
            <w:vMerge w:val="continue"/>
            <w:vAlign w:val="center"/>
          </w:tcPr>
          <w:p>
            <w:pPr>
              <w:jc w:val="left"/>
              <w:rPr>
                <w:rFonts w:ascii="黑体" w:hAnsi="黑体" w:eastAsia="黑体" w:cs="宋体"/>
                <w:color w:val="auto"/>
                <w:kern w:val="0"/>
                <w:sz w:val="20"/>
                <w:szCs w:val="20"/>
                <w:highlight w:val="none"/>
              </w:rPr>
            </w:pPr>
          </w:p>
        </w:tc>
        <w:tc>
          <w:tcPr>
            <w:tcW w:w="5487" w:type="dxa"/>
            <w:vMerge w:val="continue"/>
            <w:vAlign w:val="center"/>
          </w:tcPr>
          <w:p>
            <w:pPr>
              <w:jc w:val="left"/>
              <w:rPr>
                <w:rFonts w:ascii="黑体" w:hAnsi="黑体" w:eastAsia="黑体" w:cs="宋体"/>
                <w:color w:val="auto"/>
                <w:kern w:val="0"/>
                <w:sz w:val="20"/>
                <w:szCs w:val="20"/>
                <w:highlight w:val="none"/>
              </w:rPr>
            </w:pPr>
          </w:p>
        </w:tc>
        <w:tc>
          <w:tcPr>
            <w:tcW w:w="1016" w:type="dxa"/>
            <w:vMerge w:val="continue"/>
            <w:vAlign w:val="center"/>
          </w:tcPr>
          <w:p>
            <w:pPr>
              <w:jc w:val="left"/>
              <w:rPr>
                <w:rFonts w:ascii="黑体" w:hAnsi="黑体" w:eastAsia="黑体" w:cs="宋体"/>
                <w:color w:val="auto"/>
                <w:kern w:val="0"/>
                <w:sz w:val="20"/>
                <w:szCs w:val="20"/>
                <w:highlight w:val="none"/>
              </w:rPr>
            </w:pPr>
          </w:p>
        </w:tc>
        <w:tc>
          <w:tcPr>
            <w:tcW w:w="1111" w:type="dxa"/>
            <w:vMerge w:val="continue"/>
            <w:vAlign w:val="center"/>
          </w:tcPr>
          <w:p>
            <w:pPr>
              <w:jc w:val="left"/>
              <w:rPr>
                <w:rFonts w:ascii="黑体" w:hAnsi="黑体" w:eastAsia="黑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教师椅</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1.规格：≥550×500×1070mm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2.采用PU皮面，海绵坐垫；</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3.黑色PP加玻纤内外塑框；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4.一体成型PP固定扶手；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5.中靠背46-49cm，人体工程学设计；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6.≥1.0mm厚汽杆；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7.PP加纤五星塑脚；</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8.φ50mm（偏差±5%）黑边尼龙万向轮。</w:t>
            </w:r>
          </w:p>
        </w:tc>
        <w:tc>
          <w:tcPr>
            <w:tcW w:w="10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教师主控电源</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采用内嵌式4.3英寸全触摸液晶显示（偏差±5%），智能一体化界面，线路采用高速贴片机焊接，可人性化设置开机验证方式和定时关机时间，教师与学生数据传输采用有线或无线通信，电源参数如下：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1.教师交流：支持通过触摸显示屏操作0-30V交流电压，选取方式采用数控快捷方式，不得采用累计或步进式，电压分辨率为1V，具备过载自动保护及报警装置。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2.教师直流：支持通过触摸显示屏操作0-30V直流电压，选取方式采用数控快捷方式，不得采用累计或步进式，电压分辨率为0.1V，具备过载自动保护及报警装置。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3.学生交流：教师电源支持分组控制学生交流电压，控制范围为0-30V，分辨率为1V.</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4.学生直流：教师电源支持分组控制学生直流电压，控制范围为0-30V，分辨率为0.1V.</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5.学生高压：教师电源支持分组控制学生的高压220V电压，此电源与学生低压区分隔离，当高压关闭时学生低压仍可使用。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6.锁定功能：教师端支持远程锁定学生电源低压交、直流电压。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7.直流高压：输出240V或300V的高压，输出电流为100mA,具备过载保护功能.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8.教师自用不少于两路220V多功能插座输出。</w:t>
            </w:r>
          </w:p>
        </w:tc>
        <w:tc>
          <w:tcPr>
            <w:tcW w:w="10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二、学生实验学习区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（学生）</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整桌规格：≥1200mm（L）×600mm（W）×780mm（H）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台面：采用厚度≥20mm无甲醛新型环保陶瓷台面，表面采用实验室专业耐腐蚀、耐刻刮、耐污染釉面，由黑色坯体与耐腐蚀釉面经高温长时间一体烧制而成，黑色坯体可避免台面侧面因二次低温上釉易脱落现象的发生。</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2.桌体结构：塑铝结构。</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4.主横梁采用铝型材拉伸成型，规格≥1095mm×80mm，表面经过防腐氧化处理，具有较强的耐蚀性及承重性。</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5.前挡条采用铝型材拉伸成型，规格≥1080mm×60mm，表面经过防腐氧化处理高≥35mm。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6.桌体型材框架表面包覆有ABS环保材料外壳。</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7.桌体底部脚垫高度可调、耐磨、防潮。</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8.书包斗：内部规格≥385mm×250mm×130mm，采用ABS工程塑料一次注塑成型，书包斗固定挂架采用≥1110mm×20mm×10mm矩形钢构件，钢构件表面经镀锌处理，框架横梁与桌脚之间均采用PC＋ABS工程塑料合金连插件连接。</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▲9.产品满足以下要求（提供经国家质量监督管理部门认可的第三方检测机构出具的带CMA或CNAS标志的检测报告复印件并加盖制造商公章）：</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1）.台面板技术参数满足以下指标,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(1)抗热震性:参照T/CIQA 10-2020 (GB/T 3810.9-2016)的标准，检测结果：无裂纹或剥落。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(2)承载性：参照T/CIQA 10-2020 附录A标准，重量≥720kg，保压时间≥600h检测结果：样品无破坏。</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(3)表面耐划痕：参照GB/T 26696-2011标准，检测结果：1级。</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(4)抗落球冲击：参照GB/T 26696-2011或T/CIQA 10-2020标准，重量≥325g钢球，落差≥600mm，检测结果：无裂纹和破损或样品无破坏。</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(5)耐化学腐蚀性：参照T/CIQA 10-2020 (GB/T 3810.13-2016)标准，不低于GLA级检测结果：合格.</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(6)耐磨性：参照T/CIQA 10-2020 (GB/T 3810.7-2016)标准，检测结果：4级/2100转。</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(7)破坏强度：参照T/CIQA 10-2020 (GB/T 3810.4-2016)标准，检测结果：≥13100N.</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2）实验桌产品满足以下性能要求：</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（1）外观要求：①操作台面无裂缝，无污物、杂质；②喷涂层无漏喷、锈蚀，无流挂、疙瘩、皱皮、飞漆；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（2）安全性要求：与人体接触的零部件无毛刺、刃口、尖锐的棱角和端头；</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（3）操作台力学性能：独立操作台垂直加载稳定性试验未倾翻，无损坏；</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（4）操作台台面理化性能：①耐划痕：无整圈连续划痕；②耐冷热循环：无裂纹、鼓泡、起皱和无明显变色；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（5）阻燃性：台面材料氧指数≥40%。</w:t>
            </w:r>
          </w:p>
        </w:tc>
        <w:tc>
          <w:tcPr>
            <w:tcW w:w="10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1111"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电源功能柱</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1.规格：≥270mm（L）×165mm（W）×750mm（H）；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2.材质：整体采用PP和ABS材质，具有耐化学性、耐热性、电绝缘性等性能；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3.主体设置多组加强筋，能够起到增强主体刚性和进行限位的作用；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4.设有检修口，拆装方便，便于线路检修和维护；</w:t>
            </w:r>
          </w:p>
        </w:tc>
        <w:tc>
          <w:tcPr>
            <w:tcW w:w="10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1111"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学生凳</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1.规格：≥φ300mm×440mm。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2.凳面：采用ABS环保材质一体注塑成型，防摔耐磨。人体工程学设计，中间有内弧成型，深度≥8mm。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3.升降式螺杆：直径≥20mm螺纹碳钢，配合高强度钢制托盘于凳面底部固定，钢板厚度≥2mm。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支持调节凳子高度，升降≥50mm。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4.钢脚架：由壁厚≥1.2mm椭圆形钢管及壁厚≥2mm圆钢管焊接组成，表面经高温烤漆处理。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5.脚垫：塑胶材质，采用PP加纤维制实心倒勾式一体注塑成型，防水防滑。</w:t>
            </w:r>
          </w:p>
        </w:tc>
        <w:tc>
          <w:tcPr>
            <w:tcW w:w="10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112</w:t>
            </w:r>
          </w:p>
        </w:tc>
        <w:tc>
          <w:tcPr>
            <w:tcW w:w="1111"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学生电源</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电源外壳采用模具一次成型，一体化PVC按键设计，安装于抽屉之内，自带两块数字表分别显示输出电压与电流，电源采用数控式操作，可精准输出所需电压。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1.交流输出：支持由学生或教师操作输出0-30V交流电压，分辨率为1V，带有交流电流显示，具备过载声光报警保护功能。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2.直流输出：支持由学生或教师操作输出0-30V直流电压，分辨率为0.1V，带有直流电流显示，具备过载声光报警保护功能。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3.数字表分别显示交流电压，直流电压，交流电流，直流电流。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4.锁定：教师端支持远程锁定学生电源低压交、直流电压。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5.不少于两路220V多功能插座输出，与低压单独控制，此电压关闭时低压仍可使用。</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三、安装附件部分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电源布线耗材</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1.地面耗材：每桌采用软铜质电线与主线对接取电；选用合适规格的线管包裹取电连接线。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2.地下耗材：电源主线采用2.5mm</w:t>
            </w:r>
            <w:r>
              <w:rPr>
                <w:rFonts w:hint="eastAsia" w:ascii="宋体" w:hAnsi="宋体" w:cs="宋体"/>
                <w:color w:val="auto"/>
                <w:kern w:val="0"/>
                <w:sz w:val="20"/>
                <w:szCs w:val="20"/>
                <w:highlight w:val="none"/>
              </w:rPr>
              <w:t>²</w:t>
            </w:r>
            <w:r>
              <w:rPr>
                <w:rFonts w:hint="eastAsia" w:ascii="黑体" w:hAnsi="黑体" w:eastAsia="黑体" w:cs="宋体"/>
                <w:color w:val="auto"/>
                <w:kern w:val="0"/>
                <w:sz w:val="20"/>
                <w:szCs w:val="20"/>
                <w:highlight w:val="none"/>
              </w:rPr>
              <w:t>BVR铜软线铺设；选用Ф20或Ф25PVC阻燃线管</w:t>
            </w:r>
          </w:p>
        </w:tc>
        <w:tc>
          <w:tcPr>
            <w:tcW w:w="10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房屋内部及走廊粉刷</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1.基础处理:旧墙涂料铲除</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2.基础:草酸清洗、基膜和墙固处理、素水泥浆修补</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3.面层:乳胶3遍</w:t>
            </w:r>
          </w:p>
        </w:tc>
        <w:tc>
          <w:tcPr>
            <w:tcW w:w="10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   1,429.33 </w:t>
            </w:r>
          </w:p>
        </w:tc>
        <w:tc>
          <w:tcPr>
            <w:tcW w:w="1111"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地砖铺装</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1.找平层厚度、砂浆配合比:30mm厚1:3水泥砂浆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2.面层材料品种、规格、颜色:800*800以内耐磨防滑地面砖</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277.6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防盗门</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1.部位:旧门更换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2.材质规格:防盗门0.98*2.35</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3.其他:旧门拆除运输到指定地点</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窗帘</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1.窗帘部位:窗户</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2.规格、类型:布艺窗帘满足使用要求</w:t>
            </w:r>
          </w:p>
        </w:tc>
        <w:tc>
          <w:tcPr>
            <w:tcW w:w="10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225.6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护眼灯具安装</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1.名称:护眼平板灯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2.规格、类型:1200*280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3.其他:满足使用要求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43</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黑板灯具安装 </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1.名称:黑板灯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2.规格、类型:双管荧光灯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3.其他:满足使用要求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线路改造</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1.工作内容:线管改造、走线等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2.规格、类型:满足使用要求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320</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电子白板教学一体机（含黑板）</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86寸触摸电子白板，含黑板整体尺寸4.55米*1.4米</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现有设备拆除及全屋保洁</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1.工作内容:现有教学设备、器具拆除搬运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2.运距:甲方指定地点</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3.工作内容:专业对房屋保洁、清扫、消毒</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4.规格、类型:满足使用要求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320</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物理准备室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一、准备室设备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516" w:type="dxa"/>
            <w:vMerge w:val="restart"/>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vMerge w:val="restart"/>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p>
        </w:tc>
        <w:tc>
          <w:tcPr>
            <w:tcW w:w="5487" w:type="dxa"/>
            <w:vMerge w:val="restart"/>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规格：≥2400mm（L）×1050mm（W）×850mm（H）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1.台面：选用厚度≥12.7mm实芯理化板，边缘加厚到≥25.4mm。具有耐酸碱、耐腐蚀、耐有机溶剂、抗菌、抗污染等性能；经过机械打磨、倒角、精细工艺处理，呈现光滑，便于维护及具有承重性能。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为确保使用者的健康安全，台面板需满足或优于以下8项性能检测要求：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(1)化学性能检测：通过硫酸（98%）、硝酸（65%）、氢氧化钠（40%）、四氯化碳、松节油、乙腈等不少于130项酸、碱及其它化学试剂的检测。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(2)环保性能检测：参照GB18585-2001或GB18586-2001等标准，重金属铅、镉等未检出。</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(3)物理性能检测：检测结果包含：含水率：≤1.0；漆膜附着力：切割边缘完全平滑，无脱落；漆膜硬度≥8H；表面耐冷热循环性能（80℃）：无裂纹、鼓泡、变色、起皱；密度≥1.4g/</w:t>
            </w:r>
            <w:r>
              <w:rPr>
                <w:rFonts w:hint="eastAsia" w:ascii="Arial Unicode MS" w:hAnsi="Arial Unicode MS" w:eastAsia="Arial Unicode MS" w:cs="Arial Unicode MS"/>
                <w:color w:val="auto"/>
                <w:kern w:val="0"/>
                <w:sz w:val="20"/>
                <w:szCs w:val="20"/>
                <w:highlight w:val="none"/>
              </w:rPr>
              <w:t>㎤</w:t>
            </w:r>
            <w:r>
              <w:rPr>
                <w:rFonts w:hint="eastAsia" w:ascii="黑体" w:hAnsi="黑体" w:eastAsia="黑体" w:cs="宋体"/>
                <w:color w:val="auto"/>
                <w:kern w:val="0"/>
                <w:sz w:val="20"/>
                <w:szCs w:val="20"/>
                <w:highlight w:val="none"/>
              </w:rPr>
              <w:t>；尺寸稳定性横向、纵向≤0.55%；表面耐龟裂性：5级，用6倍放大镜观察表面无裂纹；24h吸水率≤0.1%；表面耐磨性能检验结果≥566r；弯曲强度≥120MPa以上等不少于19项物理性能检测。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(4)阻燃性能检测：参照GB 8624-2012等标准，燃烧性等级达到B1级；水平燃烧符合HB级，垂直燃烧符合V-0级，烟气毒性等级符合t1级要求。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(5)TVOC释放量检测：参照HJ571-2010等标准，总挥发性有机化合物TVOC（72h）释放量为≤0.02[mg/（㎡·h）]。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(6)放射性检测：参照GB6566-2010等标准，内、外照射检测值均≤0.1。</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(7)防霉性能检测：参照GB/T24128-2018或JC/T 2039-2010等标准，包含但不限于：黑曲霉、土曲霉、球毛壳霉、宛氏拟青霉、绳状青霉、出芽短梗霉、长枝木霉等不少于7种的霉菌检测。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(8)抗菌性能检测：参照ISO 22196:2011或JC/T 2039-2010等标准，包含但不限于：大肠杆菌、金黄色葡萄球菌、肺炎克雷伯氏菌、鼠伤寒沙门氏菌、表皮葡萄球菌、铜绿假单胞菌、宋氏志贺氏菌、白色葡萄球菌、粪肠球菌、枯草芽孢杆菌、变异库克菌、甲型溶血性链球菌、白色念珠菌、肠沙门氏菌肠亚种等不少于14种菌种检测，抗菌率≥99.9%。</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2.产品结构：铝木结构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台身用材：台身用材：桌体结构为内槽式铝合金框架结构,框架立柱：壁厚≥1.0mm、截面尺寸≥50mm×50mm棱角为椭圆形。横梁：壁厚≥0.8mm、截面尺寸≥40mm×40mm；铝型材槽表面经酸洗、磷化、环氧树脂高温固化处理具有耐腐蚀、耐高温等特点。</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4.柜身：背板及吊板采用厚度不低于16mm的实验室专用三聚氰胺板制作。</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5.组装：接缝严密，连接牢固，无松动现象。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6.连接件：ABS专用连接组装件；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7.板材贴面：采用三聚氰胺板进行贴面。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板材封边：可见截面均经过PVC封边，贴面和封边部件应严密、平整，不允许出现脱胶、鼓泡、凹陷、压痕以及表面划伤、麻点、裂痕、崩角和刃口，外表的圆角、倒棱应均匀一致。外露截面PVC边条厚度不低于2mm，并进行倒角处理。密封性好、外形美观、经久耐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9.导轨：三节静音导轨。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10.拉手：采用桥型铝合金拉手；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11.铰链：采用不锈钢铰链。</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12.台身设计：台身前部为开门设计。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13.可调脚：采用模具成型PC＋ABS工程塑料合金注塑专用垫，高≥30mm，可暗藏固定防止晃动，并能有效防止桌身受潮，延长设备的使用寿命。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14.台面根据需求可设有化验水槽、水嘴等的定位孔，各定位孔根据实际尺寸开设。</w:t>
            </w:r>
          </w:p>
        </w:tc>
        <w:tc>
          <w:tcPr>
            <w:tcW w:w="1016" w:type="dxa"/>
            <w:vMerge w:val="restart"/>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vMerge w:val="restart"/>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5" w:hRule="atLeast"/>
        </w:trPr>
        <w:tc>
          <w:tcPr>
            <w:tcW w:w="516" w:type="dxa"/>
            <w:vMerge w:val="continue"/>
            <w:vAlign w:val="center"/>
          </w:tcPr>
          <w:p>
            <w:pPr>
              <w:jc w:val="left"/>
              <w:rPr>
                <w:rFonts w:ascii="黑体" w:hAnsi="黑体" w:eastAsia="黑体" w:cs="宋体"/>
                <w:color w:val="auto"/>
                <w:kern w:val="0"/>
                <w:sz w:val="20"/>
                <w:szCs w:val="20"/>
                <w:highlight w:val="none"/>
              </w:rPr>
            </w:pPr>
          </w:p>
        </w:tc>
        <w:tc>
          <w:tcPr>
            <w:tcW w:w="816" w:type="dxa"/>
            <w:vMerge w:val="continue"/>
            <w:vAlign w:val="center"/>
          </w:tcPr>
          <w:p>
            <w:pPr>
              <w:jc w:val="left"/>
              <w:rPr>
                <w:rFonts w:ascii="黑体" w:hAnsi="黑体" w:eastAsia="黑体" w:cs="宋体"/>
                <w:color w:val="auto"/>
                <w:kern w:val="0"/>
                <w:sz w:val="20"/>
                <w:szCs w:val="20"/>
                <w:highlight w:val="none"/>
              </w:rPr>
            </w:pPr>
          </w:p>
        </w:tc>
        <w:tc>
          <w:tcPr>
            <w:tcW w:w="5487" w:type="dxa"/>
            <w:vMerge w:val="continue"/>
            <w:vAlign w:val="center"/>
          </w:tcPr>
          <w:p>
            <w:pPr>
              <w:jc w:val="left"/>
              <w:rPr>
                <w:rFonts w:ascii="黑体" w:hAnsi="黑体" w:eastAsia="黑体" w:cs="宋体"/>
                <w:color w:val="auto"/>
                <w:kern w:val="0"/>
                <w:sz w:val="20"/>
                <w:szCs w:val="20"/>
                <w:highlight w:val="none"/>
              </w:rPr>
            </w:pPr>
          </w:p>
        </w:tc>
        <w:tc>
          <w:tcPr>
            <w:tcW w:w="1016" w:type="dxa"/>
            <w:vMerge w:val="continue"/>
            <w:vAlign w:val="center"/>
          </w:tcPr>
          <w:p>
            <w:pPr>
              <w:jc w:val="left"/>
              <w:rPr>
                <w:rFonts w:ascii="黑体" w:hAnsi="黑体" w:eastAsia="黑体" w:cs="宋体"/>
                <w:color w:val="auto"/>
                <w:kern w:val="0"/>
                <w:sz w:val="20"/>
                <w:szCs w:val="20"/>
                <w:highlight w:val="none"/>
              </w:rPr>
            </w:pPr>
          </w:p>
        </w:tc>
        <w:tc>
          <w:tcPr>
            <w:tcW w:w="1111" w:type="dxa"/>
            <w:vMerge w:val="continue"/>
            <w:vAlign w:val="center"/>
          </w:tcPr>
          <w:p>
            <w:pPr>
              <w:jc w:val="left"/>
              <w:rPr>
                <w:rFonts w:ascii="黑体" w:hAnsi="黑体" w:eastAsia="黑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仪器柜</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活动层板高度可以调整。下柜体为板式对开门，柜内设25mm厚活动层板1层。裸露部位均用PVC封边条利用机械高温热熔工艺封边，粘力强，密封性稳定，经久耐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储物架（主）</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1.规格：≥530mm*480mm*2000mm；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2.材质：主体承重采用四根铝合金立柱，表面经氧化处理，防酸碱，耐腐蚀；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储物架（副）</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1.规格：≥510mm*480mm*2000mm；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2.材质：主体采用两根铝合金立柱，表面经氧化处理，防酸碱，耐腐蚀；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平放框</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3.结构：平放框配备纵隔板、横隔板、小隔板、卡槽、滑轨等组件；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5.卡槽：≥64mmx42mmx12mm 采用透明PC材质，能放置储物标签，便于器材识别与管理；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6.滑轨：≥467mmx27mmx52mm，采用增强尼龙塑料材质，能自适应框体拉出、下垂、划过等操作，集成的拉出止动结构可防止模块化框体掉落。</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斜放框</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3.结构：配备纵隔板、横隔板、小隔板、卡槽、滑轨，斜放配件等组件；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4.摆放方式：斜放式；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6.卡槽：≥64mmx42mmx12mm 采用透明PC材质，能放置储物标签，便于器材识别与管理；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7.滑轨：≥467mmx27mmx52mm，采用增强尼龙塑料材质，能自适应框体拉出、下垂、划过等操作，集成的拉出止动结构可防止模块化框体掉落。</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层板</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1.规格：≥480x466x15mm；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2.材质：层板采用壁厚≥1.2mm冷轧钢板，表面经钣金喷塑处理，防水，耐酸碱，耐腐蚀；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3.配件：层板下方配备不少于4个尼龙塑料层板支撑扣。</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移动推车</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1.规格参数：≥1110*480*1100mm；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2.功能材质：主体承重架体采用铝合金材料，表面氧化处理工艺，架体连接件采用增强尼龙塑料，整体结构稳；架体由铝型材框架、铝合金把手、层板3个、储物筐4个、推车顶层平台等组成；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移动推车同时预制多个层板及储物筐；层板采用≥1.0mm冷轧钢板，表面经高压静电喷涂环氧树脂防护层，耐酸碱，耐腐蚀，层板下方采用4个增强尼龙塑料支撑件，单个层板承重≤30kg；储物筐采用工程塑料ABS/PC，承重≤10kg；层板和储物筐可根据收纳物品大小调节层高；</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推车顶层平台规格≥1000mm*480mm*8mm，配置抗倍特材质，顶部可根据需求存放实验器材等；移动推车配备6个万向轮，方便移动，具有锁停功能；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3.适用范围：:适用于各学科实验室，便于实验器材、实验箱、实验耗材等运输及移动。</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二、老师办公区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（工作桌）</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整桌规格：≥1200mm（L）×600mm（W）×780mm（H）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1.台面：选用厚度≥12.7mm实芯理化板，具有耐酸碱、耐腐蚀、耐有机溶剂、抗菌、抗污染等性能；经过机械打磨、倒角、精细工艺处理，呈现光滑，便于维护及具有承重性能。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2.桌体结构：塑铝结构。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4.主横梁采用铝型材拉伸成型，规格≥1095mm×80mm，表面经过防腐氧化处理，具有较强的耐蚀性及承重性。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5.前挡条采用铝型材拉伸成型，规格≥1080mm×60mm，表面经过防腐氧化处理高≥35mm。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6.桌体型材框架表面包覆有ABS环保材料外壳。</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7.桌体底部脚垫高度可调、耐磨、防潮。</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教师椅</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1.规格：≥550×500×1070mm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2.采用PU皮面，海绵坐垫；</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3.黑色PP加玻纤内外塑框；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4.一体成型PP固定扶手；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5.中靠背46-49cm，人体工程学设计；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6.≥1.0mm厚汽杆；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7.PP加纤五星塑脚；</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8.φ50mm（偏差±5%）黑边尼龙万向轮。</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吊柜</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规格：≥420mm（L）×460mm（W）×620mm（H）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注塑工艺,一次性成型设计,材质为ABS材料</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文件柜</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2.材质：整体选用增强PP塑料+ABS材质，注塑成型；具有耐腐蚀、耐酸碱、防水、耐候性、电绝缘性等性能。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整体由底板、侧板、背板、柜门、层板构成；柜体上下两层流线型设计，榫卯链接结构，使整柜更具稳定性；外表面和内表面可触及隐蔽处，均无锐利的棱角、毛刺；尖锐边角以及所有接触人体的边棱均为倒圆角。</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4.底板：规格≥1000mm×478mm×63mm，壁厚度≥3.0mm，底板采用镂空原理及分层设计，多个受力点均匀分布，6个调节脚垫位置布局合理。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5.侧板：规格≥895mm×415mm×45mm，采用增强PP材质一体注塑成型；内侧设计5档层板调节棱。</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6.背板：规格≥998mm×915mm×30mm，整板采用增强PP材质一体注塑成型，设计凹凸造型，避免背板变形。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7.柜门：规格≥934mm×500mm，外框采用增强PP材质一体注塑成型；外框表面镶嵌厚度≥4.5mm钢化烤漆玻璃，配ABS注塑成型拉手，柜门与侧板连接结构采用上下轴嵌入式设计。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层板：规格≥910mm×400mm,采用增强PP材质注塑一次成型，厚度≥3.0mm，具有耐腐蚀、耐酸碱、防水、耐候性、电绝缘性等特点。上层柜配置2个层板，下层柜配置1个层板；层板下方内置2条镀锌方钢及加强筋，符合承重要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9.门锁：门锁、锁芯、锁舌、钥匙、插销材质均为ABS注塑成型，具有耐腐蚀、耐酸碱、耐候性、电绝缘性等性能。</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物理仪器室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仪器柜</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活动层板高度可以调整。下柜体为板式对开门，柜内设25mm厚活动层板1层。裸露部位均用PVC封边条利用机械高温热熔工艺封边，粘力强，密封性稳定，经久耐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储物架（主）</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1.规格：≥530mm*480mm*2000mm；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22材质：主体承重采用四根铝合金立柱，表面经氧化处理，防酸碱，耐腐蚀；</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储物架（副）</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1.规格：≥510mm*480mm*2000mm；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2.材质：主体采用两根铝合金立柱，表面经氧化处理，防酸碱，耐腐蚀；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平放框</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3.结构：平放框配备纵隔板、横隔板、小隔板、卡槽、滑轨等组件；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5.卡槽：≥64mmx42mmx12mm 采用透明PC材质，能放置储物标签，便于器材识别与管理；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6.滑轨：≥467mmx27mmx52mm，采用增强尼龙塑料材质，能自适应框体拉出、下垂、划过等操作，集成的拉出止动结构可防止模块化框体掉落。</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斜放框</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3.结构：配备纵隔板、横隔板、小隔板、卡槽、滑轨，斜放配件等组件；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4.摆放方式：斜放式；</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6.卡槽：≥64mmx42mmx12mm 采用透明PC材质，能放置储物标签，便于器材识别与管理；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7.滑轨：≥467mmx27mmx52mm，采用增强尼龙塑料材质，能自适应框体拉出、下垂、划过等操作，集成的拉出止动结构可防止模块化框体掉落。</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层板</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1.规格：≥480x466x15mm；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2.材质：层板采用壁厚≥1.2mm冷轧钢板，表面经钣金喷塑处理，防水，耐酸碱，耐腐蚀；</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3.配件：层板下方配备不少于4个尼龙塑料层板支撑扣。</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移动推车</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1.规格参数：≥1110*480*1100mm；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2.功能材质：主体承重架体采用铝合金材料，表面氧化处理工艺，架体连接件采用增强尼龙塑料，整体结构稳；架体由铝型材框架、铝合金把手、层板3个、储物筐4个、推车顶层平台等组成；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移动推车同时预制多个层板及储物筐；层板采用≥1.0mm冷轧钢板，表面经高压静电喷涂环氧树脂防护层，耐酸碱，耐腐蚀，层板下方采用4个增强尼龙塑料支撑件，单个层板承重≤30kg；储物筐采用工程塑料ABS/PC，承重≤10kg；层板和储物筐可根据收纳物品大小调节层高；</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推车顶层平台规格≥1000mm*480mm*8mm，配置抗倍特材质，顶部可根据需求存放实验器材等；移动推车配备6个万向轮，方便移动，具有锁停功能；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3.适用范围：:适用于各学科实验室，便于实验器材、实验箱、实验耗材等运输及移动。</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化学实验室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一、教师控制演示区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（教师演示台）</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规格：≥2800mm（L）×750mm（W）×890mm（H）；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1.台面：采用≥13.0mm厚优抗板台面，台面边缘用同质材料板双层加厚至≥26.0mm，由专业生产厂家用CNC机械加工而成。</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2.柜体：框架及柜体均为全钢结构，通体钢板采用≥1.0mm国标一级冷轧钢板，经机压成形、焊接制作，表面经环氧树脂粉体涂装处理（涂装厚度≥75μm）。耐腐蚀，易清洗、耐磨、耐刻刮。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3.门板：柜门为双包结构，内附防噪填充。柜门内侧装有起缓冲作用防撞贴。</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4.抽屉：四面抽墙一体成型式设计并与抽头锁合，抽头为双层结构，内具隔音材质，采用静音三节承重滑轨，铝合金拉手设计。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5.活动层板：层板支撑扣采用厚度≥0.8mm的镀锌钢板制作，承重≥50kg，柜体内有层板上下调节孔，层板厚度≥18mm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6.装饰封板：可拆装式设计。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7.所有钣金的表面接缝均应为满焊，焊接表面平整、平滑，柜体底部配备≥30mm高钢制ABS注塑调节脚。</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教师椅</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1.规格：≥550×500×1070mm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2.采用PU皮面，海绵坐垫；</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3.黑色PP加玻纤内外塑框；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4.一体成型PP固定扶手；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5.中靠背46-49cm，人体工程学设计；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6.≥1.0mm厚汽杆；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7.PP加纤五星塑脚；</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8.φ50mm（偏差±5%）黑边尼龙万向轮。</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电源外壳采用模具一次成型，一体化PVC按键设计，安装于抽屉之内，自带两块数字表分别显示输出电压与电流，电源采用数控式操作，可精准输出所需电压。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1.交流输出：支持由学生或教师操作输出0-30V交流电压，分辨率为1V，带有交流电流显示，具备过载声光报警保护功能。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2.直流输出：支持由学生或教师操作输出0-30V直流电压，分辨率为0.1V，带有直流电流显示，具备过载声光报警保护功能。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3.数字表分别显示交流电压，直流电压，交流电流，直流电流。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4.不少于两路220V多功能插座输出，与低压单独控制，此电压关闭时低压仍可使用。</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控制柜                      </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1.控制柜参考尺寸：≥400mm（L）×230mm（W）×750mm（H）；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2.材质：采用≥1mm厚钢板冷轧成型，两侧应设散热孔，所有金属表面经过防腐氧化处理和纯环氧树脂塑粉高温固化处理，具有较强的耐蚀性。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3.控制柜内置总电源开关，漏电保护器，主控制模块，急停控制模块，开关电源，工作指示灯，智能控制系统。</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智能吊装控制系统                   </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1.电源操作控制系统：可实现远程分组控制学生高低压电源开启与关闭；可输出交流电范围0-30V，分辨率1V设置及实时显示，可输出直流电范围0-30V，分辨率0.1V设置及实时显示，带学生电压锁定功能。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2.照明系统：可实现远程控制照明系统开启与关闭。可单个或全组进行控制，有全选及反选功能，可手动调节照明亮度。</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3.给排水控制系统：可实现远程控制给排水系统的开启与关闭。可单个或全组进行控制，有全选及反选功能。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4.摇臂控制系统：可实现控制电源摇臂升起或下降。可单个或全组进行控制，有全选及反选功能。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5.通风控制系统：可实现远程控通风系统的开启与关闭及风量调节。</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6.系统设置：（1）开机方式： ①直接开机、②密码验证；（2）定时关机：0-240分钟时段设置；（3）教室编号设置；（4）自动分组功能；（5）更改密码功能。</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二、学生实验学习区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（学生）</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整桌规格：≥1200mm（L）×600mm（W）×780mm（H）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采用厚度≥20mm无甲醛新型环保陶瓷台面，表面采用实验室专业耐腐蚀、耐刻刮、耐污染釉面，由黑色坯体与耐腐蚀釉面经高温长时间一体烧制而成，黑色坯体可避免台面侧面因二次低温上釉易脱落现象的发生。</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2.桌体结构：塑铝结构。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4.主横梁采用铝型材拉伸成型，规格≥1095mm×80mm，表面经过防腐氧化处理，具有较强的耐蚀性及承重性。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5.前挡条采用铝型材拉伸成型，规格≥1080mm×60mm，表面经过防腐氧化处理高≥35mm。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6.桌体型材框架表面包覆有ABS环保材料外壳。</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7.桌体底部脚垫高度可调、耐磨、防潮。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8.书包斗：内部规格≥385mm×250mm×130mm，采用ABS工程塑料一次注塑成型，书包斗固定挂架采用≥1110mm×20mm×10mm矩形钢构件，钢构件表面经镀锌处理，框架横梁与桌脚之间均采用PC＋ABS工程塑料合金连插件连接。</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学生凳</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1.规格：≥φ300mm×440mm。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2.凳面：采用ABS环保材质一体注塑成型，防摔耐磨。人体工程学设计，中间有内弧成型，深度≥8mm。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3.升降式螺杆：直径≥20mm螺纹碳钢，配合高强度钢制托盘于凳面底部固定，钢板厚度≥2mm。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支持调节凳子高度，升降≥50mm。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4.钢脚架：由壁厚≥1.2mm椭圆形钢管及壁厚≥2mm圆钢管焊接组成，表面经高温烤漆处理。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5.脚垫：塑胶材质，采用PP加纤维制实心倒勾式一体注塑成型，防水防滑。</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三、智能吊装集成系统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智能吊装集成箱体</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1.规格：≥1870mm（L）×580mm（W）×540mm（H），分上下两层，下层≥1870mm（L）×580mm（W）×240mm（H）,上层≥1320mm（L）×410mm（W）×300mm（H）；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2.材质：吊装箱体整体采用ABS新型环保材料一体化注塑成型，具有耐腐蚀、耐酸碱、防水、耐热，耐候性、电绝缘性等性能。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3.内部承重结构采用≥30mm×30mm铝型材连接，着力连接点合理分布，遵循人体工程学设计原理，采用五金配件连接。功能模块连接配件选用表面经环氧树脂粉末喷涂高温固化处理的冷轧钢板定制成型。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4.箱体模块化设计：外表面和内表面可触及的隐蔽处，均无锐利的棱角、毛刺露出，所有接触人体的边棱均倒圆角处理。</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升降摇臂控制模块</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1.规格：长≥800mm；模块化设计，内置于舱体下方，由电源操作模块和摇摆臂构成。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2.摇摆臂采用动力装置升降，与箱体主结构连接，固定件采用铝合金原料压铸成型。两侧装配轴承。</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臂身为铝合金型材，表面经电泳、静电环氧树脂粉末喷涂固化处理，耐化学腐蚀、耐高温，采用五金配件与电源连接，外表面和内表面可触及的隐蔽处，均无锐利的棱角和五金配件露出。根据实验需要，可0°到90°智能调节摇摆角度。遵循人体工程学设计原理，摇摆臂内置给排水管和电缆安装空间。</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电源操作控制系统模块</w:t>
            </w:r>
          </w:p>
        </w:tc>
        <w:tc>
          <w:tcPr>
            <w:tcW w:w="5487" w:type="dxa"/>
            <w:shd w:val="clear" w:color="auto" w:fill="auto"/>
            <w:vAlign w:val="center"/>
          </w:tcPr>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1.不少于两个220V电源插座。</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2.一对低压电源输出端子，直流交流输出最大额定电流2A，输出电压范围0-30V，均配备安全保护及报警装置。</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3.内嵌式4.3英寸液晶显示屏（偏差±5%），可触屏显示设置低压直流、交流。</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4.语音警报系统，当用电器过载，即刻发出语音警报，并给出正确操作指示。</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5.装置内设保险丝，具有过载、短路保护功能。</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6.装置内设一键紧急制动装置。一键按下，即刻紧急制动，切断电源，确保学生、设备安全。也可以一键即刻恢复运行。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电源操作模块反面设置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1.不少于三个220V电源插座。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2.一对低压电源输出端子，直流交流输出最大额定电流2A，输出电压范围0-30V，均配备安全保护及报警装置。</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▲电源操作控制系统模块产品满足以下性能要求：</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外观性能要求：①金属件管材无裂缝、叠缝，外露管口端面封闭；②金属件冲压件无脱层、裂缝；③金属件电镀层表面无剥落、返锈、毛刺，表面无烧焦、起泡、针孔、裂纹、花斑和划痕；④塑料件无裂纹、无明显变形，无明显缩孔、气泡、杂质、伤痕，外表用塑料件表面光洁、无划痕、无污渍、无明显色差；</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2）安全性能要求：①人体接触或收藏物品的部位无毛刺、刃口、棱角；②固定部位结合牢固，无松动、无少件、透钉、漏钉；</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3）理化性能要求：金属电镀层抗盐雾：18h，1.5mm以下 无锈点；</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4）塑料件冲击强度≥3.5*10</w:t>
            </w:r>
            <w:r>
              <w:rPr>
                <w:rFonts w:hint="eastAsia" w:ascii="宋体" w:hAnsi="宋体" w:cs="宋体"/>
                <w:color w:val="auto"/>
                <w:kern w:val="0"/>
                <w:sz w:val="20"/>
                <w:szCs w:val="20"/>
                <w:highlight w:val="none"/>
              </w:rPr>
              <w:t>³</w:t>
            </w:r>
            <w:r>
              <w:rPr>
                <w:rFonts w:hint="eastAsia" w:ascii="黑体" w:hAnsi="黑体" w:eastAsia="黑体" w:cs="宋体"/>
                <w:color w:val="auto"/>
                <w:kern w:val="0"/>
                <w:sz w:val="20"/>
                <w:szCs w:val="20"/>
                <w:highlight w:val="none"/>
              </w:rPr>
              <w:t>J/m</w:t>
            </w:r>
            <w:r>
              <w:rPr>
                <w:rFonts w:hint="eastAsia" w:ascii="宋体" w:hAnsi="宋体" w:cs="宋体"/>
                <w:color w:val="auto"/>
                <w:kern w:val="0"/>
                <w:sz w:val="20"/>
                <w:szCs w:val="20"/>
                <w:highlight w:val="none"/>
              </w:rPr>
              <w:t>²</w:t>
            </w:r>
            <w:r>
              <w:rPr>
                <w:rFonts w:hint="eastAsia" w:ascii="黑体" w:hAnsi="黑体" w:eastAsia="黑体" w:cs="宋体"/>
                <w:color w:val="auto"/>
                <w:kern w:val="0"/>
                <w:sz w:val="20"/>
                <w:szCs w:val="20"/>
                <w:highlight w:val="none"/>
              </w:rPr>
              <w:t>;</w:t>
            </w:r>
          </w:p>
          <w:p>
            <w:pPr>
              <w:jc w:val="left"/>
              <w:rPr>
                <w:rFonts w:hint="eastAsia"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5）4种重金属含量mg/kg（可溶性铅≤3.0、镉≤0.2、铬≤0.6、汞≤0.02）；</w:t>
            </w:r>
          </w:p>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以上5项指标提供经国家质量监督管理部门认可的第三方检测机构出具的检测报告复印件加盖制造商公章。（检测报告须带有CMA、CNAS标识及查询真伪的二维码。）</w:t>
            </w:r>
            <w:r>
              <w:rPr>
                <w:rFonts w:hint="eastAsia" w:ascii="黑体" w:hAnsi="黑体" w:eastAsia="黑体" w:cs="宋体"/>
                <w:color w:val="auto"/>
                <w:kern w:val="0"/>
                <w:sz w:val="20"/>
                <w:szCs w:val="20"/>
                <w:highlight w:val="none"/>
              </w:rPr>
              <w:br w:type="page"/>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吊装通风系统模块</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1.由万向吸风罩、通风控制系统构成。采用模块化设计。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2.万向吸风罩：</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关节：选用ABS材质，调节角度为0°-360°，易拆卸，重组及清洗。</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关节密封圈：不易老化的高密度橡胶。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管道：采用PVC材质，管内壁光滑，可降低噪声向室内传播。</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操作方式：手动起落置于箱体左右两侧的吸风管道，调节角度为0°-360°。实验完毕，即可将万向吸风罩推至上方部，解放区域空间。</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3.通风控制系统：</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系统支持根据室内环境手动调节风量大小。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吊装通风系统模块产品满足以下性能要求：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外观性能要求：①金属件管材无裂缝、叠缝，外露管口端面封闭；②金属件冲压件无脱层、裂缝；③金属件电镀层表面无剥落、返锈、毛刺，表面无烧焦、起泡、针孔、裂纹、花斑和划痕；④塑料件无裂纹、无明显变形，无明显缩孔、气泡、杂质、伤痕，外表用塑料件表面光洁、无划痕、无污渍、无明显色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2）安全性能要求：①人体接触或收藏物品的部位无毛刺、刃口、棱角；②固定部位结合牢固，无松动、无少件、透钉、漏钉；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3）理化性能要求：金属电镀层抗盐雾：18h，1.5mm以下 无锈点；</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4）塑料件冲击强度≥3.5*10</w:t>
            </w:r>
            <w:r>
              <w:rPr>
                <w:rFonts w:hint="eastAsia" w:ascii="宋体" w:hAnsi="宋体" w:cs="宋体"/>
                <w:color w:val="auto"/>
                <w:kern w:val="0"/>
                <w:sz w:val="20"/>
                <w:szCs w:val="20"/>
                <w:highlight w:val="none"/>
              </w:rPr>
              <w:t>³</w:t>
            </w:r>
            <w:r>
              <w:rPr>
                <w:rFonts w:hint="eastAsia" w:ascii="黑体" w:hAnsi="黑体" w:eastAsia="黑体" w:cs="宋体"/>
                <w:color w:val="auto"/>
                <w:kern w:val="0"/>
                <w:sz w:val="20"/>
                <w:szCs w:val="20"/>
                <w:highlight w:val="none"/>
              </w:rPr>
              <w:t>J/m</w:t>
            </w:r>
            <w:r>
              <w:rPr>
                <w:rFonts w:hint="eastAsia" w:ascii="宋体" w:hAnsi="宋体" w:cs="宋体"/>
                <w:color w:val="auto"/>
                <w:kern w:val="0"/>
                <w:sz w:val="20"/>
                <w:szCs w:val="20"/>
                <w:highlight w:val="none"/>
              </w:rPr>
              <w:t>²</w:t>
            </w:r>
            <w:r>
              <w:rPr>
                <w:rFonts w:hint="eastAsia" w:ascii="黑体" w:hAnsi="黑体" w:eastAsia="黑体" w:cs="宋体"/>
                <w:color w:val="auto"/>
                <w:kern w:val="0"/>
                <w:sz w:val="20"/>
                <w:szCs w:val="20"/>
                <w:highlight w:val="none"/>
              </w:rPr>
              <w:t>;</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5）4种重金属含量mg/kg（可溶性铅≤3、镉≤0.2、铬≤0.6、汞≤0.02）；</w:t>
            </w:r>
            <w:r>
              <w:rPr>
                <w:rFonts w:hint="eastAsia" w:ascii="黑体" w:hAnsi="黑体" w:eastAsia="黑体" w:cs="宋体"/>
                <w:color w:val="auto"/>
                <w:kern w:val="0"/>
                <w:sz w:val="20"/>
                <w:szCs w:val="20"/>
                <w:highlight w:val="none"/>
              </w:rPr>
              <w:br w:type="page"/>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给排水系统模块</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1.由给排水系统、污水收集排放系统构成。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2.给排水系统出（进）水口置于电源操作模块底部，由智能化控制系统集中控制。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3.接口均采用带防溢水功能快速水管接口，插拔式自动锁紧连接方式，即用插拔，插拔后自动止水。</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4.与污水桶水位传感器采用8芯信号线连接，达到一定水位值时传感器感应启动自动排水，污水经过连接管排至顶部排水管总管后流出。</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5.该模块支持实时手动排水和当达到一定条件时自动排水两种方式，当污水全部排净后系统自动关闭。</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照明系统模块</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1.箱体底部周边设有环绕式照明系统，采用LED360度排列。</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2.通过基板底座散热，亮度可通过控制端手动调节。</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3.光线柔和不刺眼，可有助于实验更有利的进行。</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四、给排水设备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洗眼器</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 台面安装方式，平时放置于台面，紧急使用时可随意抽起，使用方便。</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 洗眼喷头：采用不助燃PC材质模铸一体成型制作，具有过滤泡棉及防尘功能，上面防尘盖平常可防尘，使用时可随时被水冲开，能降低突然打开时短暂的高水压，避免冲伤眼睛。</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 控水阀采用黄铜制作，经镀镍处理，具有美观性，阀门可自动关闭，密封可靠。</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 供水软管：采用≥1400mm长不锈钢软管。</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化验水槽（配出水装置）</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1.材质：PP材质。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2.水槽外部规格：≥440mm（L）×330mm（W）×200mm（H）。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3.密封方式：水封式，可防止废水回流和堵塞。</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4.槽体上部配备出水装置：单联出水口，管体部份为黄铜合金制，陶瓷阀芯，表面经环氧树脂静电喷涂处理，耐酸碱腐蚀。出水口为铜质瓷芯尖嘴型，可拆卸清洗阻塞。</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化验水槽（配出水装置）</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1.材质：PP材质。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2.水槽外部规格：≥440mm（L）×330mm（W）×200mm（H）。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3.密封方式：水封式，可防止废水回流和堵塞。</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4.槽体上部配备出水装置：定制，一高二低出水口，管体部分为黄铜合金制，陶瓷阀芯，表面经环氧树脂静电喷涂处理，耐酸碱腐蚀。出水嘴为铜质瓷芯尖嘴型，可拆卸清洗阻塞。</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污水桶</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1.材质：PP塑料，一体化注塑成型，放置于箱体内部。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2.设有水位传感器及排水装置，当检测水位到达指定面后，可自动停止供水功能，启动排水功能。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3.桶面装配过滤装置，方便拆卸清理。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4.采用无刷直流装置，低压安全。</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多功能平台架</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1.整体规格≥445mm（L）×150mm（W）×310mm（H）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2.工艺：ABS塑料注塑成型，安装于化验水槽上部。平台顶部集成给排水快速接口（其接口具有无溢漏设计）、信号线接口、电源线接口。平台正面设有至少6个滴水架放置处孔位，可拆卸滴水棒,组合方便。</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3.多功能集成平台架两侧装配220V插座。</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五、通风设备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万向吸风罩</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1.关节：高密度PP材质，可360度旋转调节方向，易拆卸、重组及清洗；</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2.关节密封圈：采用不易老化的高密度橡胶；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3.气流调节阀：能够手动调节控制进入气流量；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4.工艺：主体采用防腐抗锈铝合金喷涂。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离心风机</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1.风机：选用防腐蚀的UPVC工程塑料风机，电机功率≥5.5kW，根据室内环境可随意调风量大小，风量可达6840～12700m</w:t>
            </w:r>
            <w:r>
              <w:rPr>
                <w:rFonts w:hint="eastAsia" w:ascii="宋体" w:hAnsi="宋体" w:cs="宋体"/>
                <w:color w:val="auto"/>
                <w:kern w:val="0"/>
                <w:sz w:val="20"/>
                <w:szCs w:val="20"/>
                <w:highlight w:val="none"/>
              </w:rPr>
              <w:t>³</w:t>
            </w:r>
            <w:r>
              <w:rPr>
                <w:rFonts w:hint="eastAsia" w:ascii="黑体" w:hAnsi="黑体" w:eastAsia="黑体" w:cs="宋体"/>
                <w:color w:val="auto"/>
                <w:kern w:val="0"/>
                <w:sz w:val="20"/>
                <w:szCs w:val="20"/>
                <w:highlight w:val="none"/>
              </w:rPr>
              <w:t>/h；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2.风机减振器：橡胶胶垫Φ120mm；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3.防雨帽：化工工程塑料UPVCφ650mm。</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室内风管及配件</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室内风管及配件: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1.主通风管规格：φ160mm/200mm，PVC成品管道；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2.支管道规格：φ110mm/160mm，PVC成品管道；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3.管道配件：管道三通、弯头、变径、直接；</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（实际管径视现场情况需可适当调整）   </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室外风管及配件</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室外风管及配件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1.主通风管规格：φ400mm/φ315mm，PVC成品管道；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2.管道配件：管道三通、弯头、变径、直接；</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3.安装附件：固定铁卡。 </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风机变频控制器</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1.适配多种电机功率；</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2.输出：AC 0-380V 13A；</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3.控制方式：V/F控制、开环矢量控制（SVC）；</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4.过载能力：150%额定电流60s；180%额定电流3s；</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5.控制电源+24V：最大输出电流300mA；</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6.运行方式：键盘、端子、RS485通讯；</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7.可实现紧急停机，转速跟踪，摆频控制；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8.内置≥2个定时器，实现定时信号输出。既可单独使用，也可组合使用；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9.内置≥1个4路运算模块。可以实现简单的加减乘除、大小判断、积分运算；</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10.可显示运行信息、错误信息。具备过流、过压、模块故障保护、欠压、过热、过载、外部故障保护、EEPROM故障保护、接地保护、缺相等变频器保护及报警功能；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11.能适应-10℃～40℃的使用环境温度和 -20℃～65℃储存温度，最大90%RH不结露的环境湿度。要求能适应高度1000m以下，振动5.9m/秒</w:t>
            </w:r>
            <w:r>
              <w:rPr>
                <w:rFonts w:hint="eastAsia" w:ascii="宋体" w:hAnsi="宋体" w:cs="宋体"/>
                <w:color w:val="auto"/>
                <w:kern w:val="0"/>
                <w:sz w:val="20"/>
                <w:szCs w:val="20"/>
                <w:highlight w:val="none"/>
              </w:rPr>
              <w:t>²</w:t>
            </w:r>
            <w:r>
              <w:rPr>
                <w:rFonts w:hint="eastAsia" w:ascii="黑体" w:hAnsi="黑体" w:eastAsia="黑体" w:cs="宋体"/>
                <w:color w:val="auto"/>
                <w:kern w:val="0"/>
                <w:sz w:val="20"/>
                <w:szCs w:val="20"/>
                <w:highlight w:val="none"/>
              </w:rPr>
              <w:t>(=0.6g)以下使用环境；</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12.冷却方式采用强制风冷。</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六、安装附件部分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电源布线耗材</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电源主线采用2.5mm</w:t>
            </w:r>
            <w:r>
              <w:rPr>
                <w:rFonts w:hint="eastAsia" w:ascii="宋体" w:hAnsi="宋体" w:cs="宋体"/>
                <w:color w:val="auto"/>
                <w:kern w:val="0"/>
                <w:sz w:val="20"/>
                <w:szCs w:val="20"/>
                <w:highlight w:val="none"/>
              </w:rPr>
              <w:t>²</w:t>
            </w:r>
            <w:r>
              <w:rPr>
                <w:rFonts w:hint="eastAsia" w:ascii="黑体" w:hAnsi="黑体" w:eastAsia="黑体" w:cs="宋体"/>
                <w:color w:val="auto"/>
                <w:kern w:val="0"/>
                <w:sz w:val="20"/>
                <w:szCs w:val="20"/>
                <w:highlight w:val="none"/>
              </w:rPr>
              <w:t>BVR铜软线铺设；选用Ф20或Ф25PVC阻燃线管，每桌采用软铜质电线与主线对接取电；选用合适规格的线管包裹取电连接线。</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风机布线耗材</w:t>
            </w:r>
          </w:p>
        </w:tc>
        <w:tc>
          <w:tcPr>
            <w:tcW w:w="5487" w:type="dxa"/>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风机专用线电源主线需采用4mm</w:t>
            </w:r>
            <w:r>
              <w:rPr>
                <w:rFonts w:hint="eastAsia" w:ascii="宋体" w:hAnsi="宋体" w:cs="宋体"/>
                <w:color w:val="auto"/>
                <w:kern w:val="0"/>
                <w:sz w:val="20"/>
                <w:szCs w:val="20"/>
                <w:highlight w:val="none"/>
              </w:rPr>
              <w:t>²</w:t>
            </w:r>
            <w:r>
              <w:rPr>
                <w:rFonts w:hint="eastAsia" w:ascii="黑体" w:hAnsi="黑体" w:eastAsia="黑体" w:cs="宋体"/>
                <w:color w:val="auto"/>
                <w:kern w:val="0"/>
                <w:sz w:val="20"/>
                <w:szCs w:val="20"/>
                <w:highlight w:val="none"/>
              </w:rPr>
              <w:t>RVV塑铜线铺设经教师电源控制台至风机。</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给/排水全套装置</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1.PPR材质水管，上水管和进水管为Ф25mm；UPVC材质排水管为Ф75mm。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2.开关阀门，外丝连接件、PVC胶水等。</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系统安装辅件</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采用固定横梁吊装方式，减少楼板承重，防止左右晃动，可进行上下、左右的平衡调节。</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主要辅件有：矩形钢、三角构件、直角座、龙骨架连接件、吊装挂件、安装连接板等。</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吊装系统安装调试</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吊顶式安装系统采用模块化结构设计及吊装安装方式，包括：</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1.系统结构安装调试：</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2.系统控制安装调试；</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3.通风系统安装调试；</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4.给排水安装调试；</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5.供电系统安装调试；</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6.照明系统安装调试。</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房屋内部及走廊粉刷</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1.基础处理:旧墙涂料铲除</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2.基础:草酸清洗、基膜和墙固处理、素水泥浆修补</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3.面层:乳胶3遍</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1194.99</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地面混凝土拆除</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1.部位：1楼和2楼两边的两个大房间（共4间）</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2.拆除：拆除原23cm地面、垃圾外运5km</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192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地砖铺装</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1.找平层厚度、砂浆配合比:30mm厚1:3水泥砂浆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2.面层材料品种、规格、颜色:800*800以内耐磨防滑地面砖</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277.6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防盗门</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1.部位:旧门更换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2.材质规格:防盗门0.98*2.35</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3.其他:旧门拆除运输到指定地点</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防盗窗</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1.框外围尺寸:2.2*2.25</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2.框、扇材质:不锈钢防盗窗</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3.部位：1楼</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9.9</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窗帘</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1.窗帘部位:窗户</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2.规格、类型:布艺窗帘满足使用要求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225.6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铝板吊顶</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1.龙骨材料种类、规格、中距:轻钢龙骨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2.面层材料品种、规格:铝扣板</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201.93</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13</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护眼灯具安装</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1.名称:护眼平板灯</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2.规格、类型:600*600或1200*280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3.其他:满足使用要求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黑板灯具安装 </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1.名称:黑板灯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2.规格、类型:双管荧光灯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3.其他:满足使用要求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线路改造</w:t>
            </w:r>
          </w:p>
        </w:tc>
        <w:tc>
          <w:tcPr>
            <w:tcW w:w="5487" w:type="dxa"/>
            <w:shd w:val="clear" w:color="auto" w:fill="auto"/>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1.工作内容:线管改造、走线等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2.规格、类型:满足使用要求</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320</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816" w:type="dxa"/>
            <w:shd w:val="clear" w:color="auto" w:fill="auto"/>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电子白板教学一体机（含黑板）</w:t>
            </w:r>
          </w:p>
        </w:tc>
        <w:tc>
          <w:tcPr>
            <w:tcW w:w="5487" w:type="dxa"/>
            <w:shd w:val="clear" w:color="auto" w:fill="auto"/>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86寸触摸电子白板，含黑板整体尺寸4.55米*1.4米</w:t>
            </w:r>
          </w:p>
        </w:tc>
        <w:tc>
          <w:tcPr>
            <w:tcW w:w="1016"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auto" w:fill="auto"/>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现有设备拆除及全屋保洁</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1.工作内容:现有教学设备、器具拆除搬运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2.运距:甲方指定地点</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3.工作内容:专业对房屋保洁、清扫、消毒</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4.规格、类型:满足使用要求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320</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化学准备室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一、准备室设备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（准备台）</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规格：≥2400mm（L）×1050mm（W）×850mm（H）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1.台面：选用厚度≥12.7mm实芯理化板，边缘加厚到≥25.4mm。具有耐酸碱、耐腐蚀、耐有机溶剂、抗菌、抗污染等性能；经过机械打磨、倒角、精细工艺处理，呈现光滑，便于维护及具有承重性能。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2.产品结构：铝木结构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台身用材：台身用材：桌体结构为内槽式铝合金框架结构,框架立柱：壁厚≥1.0mm、截面尺寸≥50mm×50mm棱角为椭圆形。横梁：壁厚≥0.8mm、截面尺寸≥40mm×40mm；铝型材槽表面经酸洗、磷化、环氧树脂高温固化处理具有耐腐蚀、耐高温等特点。</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4.柜身：背板及吊板采用厚度不低于16mm的实验室专用三聚氰胺板制作。</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5.组装：接缝严密，连接牢固，无松动现象。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6.连接件：ABS专用连接组装件；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7.板材贴面：采用三聚氰胺板进行贴面。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板材封边：可见截面均经过PVC封边，贴面和封边部件应严密、平整，不允许出现脱胶、鼓泡、凹陷、压痕以及表面划伤、麻点、裂痕、崩角和刃口，外表的圆角、倒棱应均匀一致。外露截面PVC边条厚度不低于2mm，并进行倒角处理。密封性好、外形美观、经久耐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9.导轨：三节静音导轨。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10.拉手：采用桥型铝合金拉手；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11.铰链：采用不锈钢铰链。</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12.台身设计：台身前部为开门设计。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13.可调脚：采用模具成型PC＋ABS工程塑料合金注塑专用垫，高≥30mm，可暗藏固定防止晃动，并能有效防止桌身受潮，延长设备的使用寿命。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14.台面根据需求可设有化验水槽、水嘴等的定位孔，各定位孔根据实际尺寸开设。</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仪器柜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活动层板高度可以调整。下柜体为板式对开门，柜内设25mm厚活动层板1层。裸露部位均用PVC封边条利用机械高温热熔工艺封边，粘力强，密封性稳定，经久耐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5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vMerge w:val="restart"/>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全钢通风橱</w:t>
            </w:r>
          </w:p>
        </w:tc>
        <w:tc>
          <w:tcPr>
            <w:tcW w:w="5487" w:type="dxa"/>
            <w:vMerge w:val="restart"/>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1、规格：≥1500mm（L）×850mm（W）×2350mm（H）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2、质量标准：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通风柜选用≥1.0mm厚冷轧镀锌钢板，表面经环氧树脂静电喷涂；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移动视窗≥5mm钢化玻璃产品；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上下推拉可停止在任意高度；</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所有的内部连接装置都需隐藏布置和抗腐蚀。没有外露的螺钉；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外部连接装置都抗化学腐蚀，用聚氯乙稀包裹的不锈钢部件与非金属材料；</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通风柜内衬材料采用≥5mm抗贝特板，有良好的化学抗性；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通风柜结构坚固，由双层框架支持；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3、排气出口：排气出口为圆形，套管连接，减少气体扰流；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扰流板和内衬材料一致，扰流板支架由非金属材料构成；</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4、通风柜其他内衬材料：</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通风柜内部其他材料双面都有环氧树脂喷涂，耐酸碱及有机溶剂腐蚀的，无裸露金属或不能抗腐蚀和防火的材料；</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5、配件：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通风柜配有一次性成型PP小杯槽，耐酸碱、耐腐蚀；</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通风柜里面的配件（龙头喷嘴）由黄铜构成，外面环氧树脂喷涂；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6、通风柜照明：</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照明罩内部白色，高反射的塑料材质；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照明装置上面有安全玻璃面板，并且和柜体密封；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照明亮度：≥80 Lux；</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7、电：三线接地插座，220V，10安培；</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8、风机：</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通风柜配有PP防腐离心风机，防腐耐酸碱；</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功率≥0.3kW；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转速：1450r/min；</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排风量：2000-2200m</w:t>
            </w:r>
            <w:r>
              <w:rPr>
                <w:rFonts w:hint="eastAsia" w:ascii="宋体" w:hAnsi="宋体" w:cs="宋体"/>
                <w:color w:val="auto"/>
                <w:kern w:val="0"/>
                <w:sz w:val="20"/>
                <w:szCs w:val="20"/>
                <w:highlight w:val="none"/>
              </w:rPr>
              <w:t>³</w:t>
            </w:r>
            <w:r>
              <w:rPr>
                <w:rFonts w:hint="eastAsia" w:ascii="黑体" w:hAnsi="黑体" w:eastAsia="黑体" w:cs="宋体"/>
                <w:color w:val="auto"/>
                <w:kern w:val="0"/>
                <w:sz w:val="20"/>
                <w:szCs w:val="20"/>
                <w:highlight w:val="none"/>
              </w:rPr>
              <w:t>/h；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噪音：≤65dB；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9、触控式控制面板：</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控制内容：风机、风阀角度、照明等。</w:t>
            </w:r>
          </w:p>
        </w:tc>
        <w:tc>
          <w:tcPr>
            <w:tcW w:w="10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trPr>
        <w:tc>
          <w:tcPr>
            <w:tcW w:w="516" w:type="dxa"/>
            <w:vMerge w:val="continue"/>
            <w:vAlign w:val="center"/>
          </w:tcPr>
          <w:p>
            <w:pPr>
              <w:jc w:val="left"/>
              <w:rPr>
                <w:rFonts w:ascii="黑体" w:hAnsi="黑体" w:eastAsia="黑体" w:cs="宋体"/>
                <w:color w:val="auto"/>
                <w:kern w:val="0"/>
                <w:sz w:val="20"/>
                <w:szCs w:val="20"/>
                <w:highlight w:val="none"/>
              </w:rPr>
            </w:pPr>
          </w:p>
        </w:tc>
        <w:tc>
          <w:tcPr>
            <w:tcW w:w="816" w:type="dxa"/>
            <w:vMerge w:val="continue"/>
            <w:vAlign w:val="center"/>
          </w:tcPr>
          <w:p>
            <w:pPr>
              <w:jc w:val="left"/>
              <w:rPr>
                <w:rFonts w:ascii="黑体" w:hAnsi="黑体" w:eastAsia="黑体" w:cs="宋体"/>
                <w:color w:val="auto"/>
                <w:kern w:val="0"/>
                <w:sz w:val="20"/>
                <w:szCs w:val="20"/>
                <w:highlight w:val="none"/>
              </w:rPr>
            </w:pPr>
          </w:p>
        </w:tc>
        <w:tc>
          <w:tcPr>
            <w:tcW w:w="5487" w:type="dxa"/>
            <w:vMerge w:val="continue"/>
            <w:vAlign w:val="center"/>
          </w:tcPr>
          <w:p>
            <w:pPr>
              <w:jc w:val="left"/>
              <w:rPr>
                <w:rFonts w:ascii="黑体" w:hAnsi="黑体" w:eastAsia="黑体" w:cs="宋体"/>
                <w:color w:val="auto"/>
                <w:kern w:val="0"/>
                <w:sz w:val="20"/>
                <w:szCs w:val="20"/>
                <w:highlight w:val="none"/>
              </w:rPr>
            </w:pPr>
          </w:p>
        </w:tc>
        <w:tc>
          <w:tcPr>
            <w:tcW w:w="1016" w:type="dxa"/>
            <w:vMerge w:val="continue"/>
            <w:vAlign w:val="center"/>
          </w:tcPr>
          <w:p>
            <w:pPr>
              <w:jc w:val="left"/>
              <w:rPr>
                <w:rFonts w:ascii="黑体" w:hAnsi="黑体" w:eastAsia="黑体" w:cs="宋体"/>
                <w:color w:val="auto"/>
                <w:kern w:val="0"/>
                <w:sz w:val="20"/>
                <w:szCs w:val="20"/>
                <w:highlight w:val="none"/>
              </w:rPr>
            </w:pPr>
          </w:p>
        </w:tc>
        <w:tc>
          <w:tcPr>
            <w:tcW w:w="1111" w:type="dxa"/>
            <w:vMerge w:val="continue"/>
            <w:vAlign w:val="center"/>
          </w:tcPr>
          <w:p>
            <w:pPr>
              <w:jc w:val="left"/>
              <w:rPr>
                <w:rFonts w:ascii="黑体" w:hAnsi="黑体" w:eastAsia="黑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储物架（主）</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1.规格：≥530mm*480mm*2000mm；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2.材质：主体承重采用四根铝合金立柱，表面经氧化处理，防酸碱，耐腐蚀；</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储物架（副）</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1.规格：≥510mm*480mm*2000mm；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2.材质：主体采用两根铝合金立柱，表面经氧化处理，防酸碱，耐腐蚀；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平放框</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3.结构：平放框配备纵隔板、横隔板、小隔板、卡槽、滑轨等组件；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5.卡槽：≥64mmx42mmx12mm 采用透明PC材质，能放置储物标签，便于器材识别与管理；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6.滑轨：≥467mmx27mmx52mm，采用增强尼龙塑料材质，能自适应框体拉出、下垂、划过等操作，集成的拉出止动结构可防止模块化框体掉落。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斜放框</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3.结构：配备纵隔板、横隔板、小隔板、卡槽、滑轨，斜放配件等组件；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4.摆放方式：斜放式；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6.卡槽：≥64mmx42mmx12mm 采用透明PC材质，能放置储物标签，便于器材识别与管理；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7.滑轨：≥467mmx27mmx52mm，采用增强尼龙塑料材质，能自适应框体拉出、下垂、划过等操作，集成的拉出止动结构可防止模块化框体掉落。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层板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1.规格：≥480x466x15mm；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2.材质：层板采用壁厚≥1.2mm冷轧钢板，表面经钣金喷塑处理，防水，耐酸碱，耐腐蚀；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3.配件：层板下方配备不少于4个尼龙塑料层板支撑扣。</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移动推车</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1.规格参数：≥1110*480*1100mm；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2.功能材质：主体承重架体采用铝合金材料，表面氧化处理工艺，架体连接件采用增强尼龙塑料，整体结构稳；架体由铝型材框架、铝合金把手、层板3个、储物筐4个、推车顶层平台等组成；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移动推车同时预制多个层板及储物筐；层板采用≥1.0mm冷轧钢板，表面经高压静电喷涂环氧树脂防护层，耐酸碱，耐腐蚀，层板下方采用4个增强尼龙塑料支撑件，单个层板承重≤30kg；储物筐采用工程塑料ABS/PC，承重≤10kg；层板和储物筐可根据收纳物品大小调节层高；</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推车顶层平台规格≥1000mm*480mm*8mm，配置抗倍特材质，顶部可根据需求存放实验器材等；移动推车配备6个万向轮，方便移动，具有锁停功能；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3.适用范围：:适用于各学科实验室，便于实验器材、实验箱、实验耗材等运输及移动。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二、老师办公区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（工作桌）</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整桌规格：≥1200mm（L）×600mm（W）×780mm（H）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1.台面：选用厚度≥12.7mm实芯理化板，具有耐酸碱、耐腐蚀、耐有机溶剂、抗菌、抗污染等性能；经过机械打磨、倒角、精细工艺处理，呈现光滑，便于维护及具有承重性能。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2.桌体结构：塑铝结构。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4.主横梁采用铝型材拉伸成型，规格≥1095mm×80mm，表面经过防腐氧化处理，具有较强的耐蚀性及承重性。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5.前挡条采用铝型材拉伸成型，规格≥1080mm×60mm，表面经过防腐氧化处理高≥35mm。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6.桌体型材框架表面包覆有ABS环保材料外壳。</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7.桌体底部脚垫高度可调、耐磨、防潮。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教师椅</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1.规格：≥550×500×1070mm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2.采用PU皮面，海绵坐垫；</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3.黑色PP加玻纤内外塑框；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4.一体成型PP固定扶手；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5.中靠背46-49cm，人体工程学设计；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6.≥1.0mm厚汽杆；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7.PP加纤五星塑脚；</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8.φ50mm（偏差±5%）黑边尼龙万向轮。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吊柜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规格：≥420mm（L）×460mm（W）×620mm（H）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注塑工艺,一次性成型设计,材质为ABS材料</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文件柜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2.材质：整体选用增强PP塑料+ABS材质，注塑成型；具有耐腐蚀、耐酸碱、防水、耐候性、电绝缘性等性能。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整体由底板、侧板、背板、柜门、层板构成；柜体上下两层流线型设计，榫卯链接结构，使整柜更具稳定性；外表面和内表面可触及隐蔽处，均无锐利的棱角、毛刺；尖锐边角以及所有接触人体的边棱均为倒圆角。</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4.底板：规格≥1000mm×478mm×63mm，壁厚度≥3.0mm，底板采用镂空原理及分层设计，多个受力点均匀分布，6个调节脚垫位置布局合理。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5.侧板：规格≥895mm×415mm×45mm，采用增强PP材质一体注塑成型；内侧设计5档层板调节棱。</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6.背板：规格≥998mm×915mm×30mm，整板采用增强PP材质一体注塑成型，设计凹凸造型，避免背板变形。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7.柜门：规格≥934mm×500mm，外框采用增强PP材质一体注塑成型；外框表面镶嵌厚度≥4.5mm钢化烤漆玻璃，配ABS注塑成型拉手，柜门与侧板连接结构采用上下轴嵌入式设计。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层板：规格≥910mm×400mm,采用增强PP材质注塑一次成型，厚度≥3.0mm，具有耐腐蚀、耐酸碱、防水、耐候性、电绝缘性等特点。上层柜配置2个层板，下层柜配置1个层板；层板下方内置2条镀锌方钢及加强筋，符合承重要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9.门锁：门锁、锁芯、锁舌、钥匙、插销材质均为ABS注塑成型，具有耐腐蚀、耐酸碱、耐候性、电绝缘性等性能。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三、给排水设备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化验水槽（配出水装置）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1.材质：PP材质。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2.水槽外部规格：≥440mm（L）×330mm（W）×200mm（H）。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3.密封方式：水封式，可防止废水回流和堵塞。</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4.配备出水装置：一高二低出水口，不锈钢材质管体，陶瓷阀芯，人体工学设计高密度PP开关旋钮。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独立水槽台（配出水装置）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1.整体规格：≥450mm（L）×600mm（W）×820mm（H） </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2.材质：整体采用ABS和改性PP材质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3.化验水槽规格：≥390mm（L）×340mm（W）×255mm（H），由PP塑料一体化注塑成型。槽面设有溢水口，三联水嘴及台式洗眼器放置孔位。下水口滤网设计、水槽内侧倾斜面设计、四周边缘化设计。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4.水槽箱体由ABS塑料注塑成型，前后门设计，方便检修清理。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5.配备出水装置：一高二低出水口，不锈钢材质管体，陶瓷阀芯，人体工学设计高密度PP开关旋钮。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四、安装附件部分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电源布线耗材</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1.地面以上连接线外部配有防火耐高温套管。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2.电源布管布线施工，埋地管为PVC穿线管，采用铜芯线。</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给/排水全套装置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PPR材质水管，上水管和进水管为Ф25；UPVC材质排水管为Ф50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含开关阀门，外丝连接件、PVC胶水等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化学仪器药品室（含危化品室）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仪器柜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活动层板高度可以调整。下柜体为板式对开门，柜内设25mm厚活动层板1层。裸露部位均用PVC封边条利用机械高温热熔工艺封边，粘力强，密封性稳定，经久耐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药品柜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层板高度可调整；配有防酸碱药品架,板材厚度≥16mm。下柜体为板式对开门。裸露部位均用PVC封边条利用机械高温热熔工艺封边，粘力强，密封性稳定，经久耐用；经检测达到相关环保标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5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vMerge w:val="restart"/>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易燃品毒害品储存柜</w:t>
            </w:r>
          </w:p>
        </w:tc>
        <w:tc>
          <w:tcPr>
            <w:tcW w:w="5487" w:type="dxa"/>
            <w:vMerge w:val="restart"/>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1.尺寸：≥900mm（L）×510mm（W）1840mm（H）；门类型：双开门。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2.易燃品毒害品储存柜外壳体全部采用≥1.2mm的冷轧钢板，柜体底座采用≥2.0mm的冷轧钢板,内外表面经酸洗磷化环氧树脂粉末喷涂，烘热固化处理。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3.易燃品毒害品储存柜体内胆均采用≥4mmPP聚丙烯板；柜体右侧下部设置≥120×110mm进风口，内部有一体化PP聚丙烯可调风阀，可根据需求调整进风量大小；柜体的底板中部有≥</w:t>
            </w:r>
            <w:r>
              <w:rPr>
                <w:rFonts w:ascii="Calibri" w:hAnsi="Calibri" w:eastAsia="黑体" w:cs="Calibri"/>
                <w:color w:val="auto"/>
                <w:kern w:val="0"/>
                <w:sz w:val="20"/>
                <w:szCs w:val="20"/>
                <w:highlight w:val="none"/>
              </w:rPr>
              <w:t>Φ</w:t>
            </w:r>
            <w:r>
              <w:rPr>
                <w:rFonts w:hint="eastAsia" w:ascii="黑体" w:hAnsi="黑体" w:eastAsia="黑体" w:cs="宋体"/>
                <w:color w:val="auto"/>
                <w:kern w:val="0"/>
                <w:sz w:val="20"/>
                <w:szCs w:val="20"/>
                <w:highlight w:val="none"/>
              </w:rPr>
              <w:t>10mm漏液孔，上覆不锈钢漏液网；柜体底部设H≥160mm黄沙防倒挡板，可用作黄沙填埋腔，用于埋放金属钠、黄磷、白磷等固体易燃物。</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4.柜底装有四个静音防静电滚轮，便于易燃品毒害品储存柜移动；设4个调节螺母，既可用于储存柜定位，也可作调整脚使用。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柜内配3个一次成型聚丙烯阶梯层板，层板四周边缘厚度平均值不小于4.2mm;每层阶梯板外延边有积液槽，积液槽高度平均值不小于3mm，背面网格加强筋设计，加强承重性；每个层板靠背板处设有PP螺丝限位，留出约5mm气体流动空间，便于顶部风机抽风。</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6.柜顶部中间开有≥</w:t>
            </w:r>
            <w:r>
              <w:rPr>
                <w:rFonts w:ascii="Calibri" w:hAnsi="Calibri" w:eastAsia="黑体" w:cs="Calibri"/>
                <w:color w:val="auto"/>
                <w:kern w:val="0"/>
                <w:sz w:val="20"/>
                <w:szCs w:val="20"/>
                <w:highlight w:val="none"/>
              </w:rPr>
              <w:t>φ</w:t>
            </w:r>
            <w:r>
              <w:rPr>
                <w:rFonts w:hint="eastAsia" w:ascii="黑体" w:hAnsi="黑体" w:eastAsia="黑体" w:cs="宋体"/>
                <w:color w:val="auto"/>
                <w:kern w:val="0"/>
                <w:sz w:val="20"/>
                <w:szCs w:val="20"/>
                <w:highlight w:val="none"/>
              </w:rPr>
              <w:t>160mm蜂窝口，柜内出风口处采用PP聚丙烯一体式网状结构，有效避免异物进入柜内，，方便耐用。柜顶风口内置轴流风机，无火花静电，当风机开机前要把进风口转至打开状态。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7.密封件：柜体门与柜体之间应安装防火膨胀密封件；当温度为150℃~180℃时密封条局部膨胀，温度达到200℃时密封条全部膨胀，膨胀比例为1:5，以保证储存药品的安全性。</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8.陶瓷纤维棉：柜体应填充具有保温隔热作用的陶瓷纤维棉，密度≥130㎏/m</w:t>
            </w:r>
            <w:r>
              <w:rPr>
                <w:rFonts w:hint="eastAsia" w:ascii="宋体" w:hAnsi="宋体" w:cs="宋体"/>
                <w:color w:val="auto"/>
                <w:kern w:val="0"/>
                <w:sz w:val="20"/>
                <w:szCs w:val="20"/>
                <w:highlight w:val="none"/>
              </w:rPr>
              <w:t>³</w:t>
            </w:r>
            <w:r>
              <w:rPr>
                <w:rFonts w:hint="eastAsia" w:ascii="黑体" w:hAnsi="黑体" w:eastAsia="黑体" w:cs="黑体"/>
                <w:color w:val="auto"/>
                <w:kern w:val="0"/>
                <w:sz w:val="20"/>
                <w:szCs w:val="20"/>
                <w:highlight w:val="none"/>
              </w:rPr>
              <w:t>。</w:t>
            </w:r>
            <w:r>
              <w:rPr>
                <w:rFonts w:hint="eastAsia" w:ascii="黑体" w:hAnsi="黑体" w:eastAsia="黑体" w:cs="宋体"/>
                <w:color w:val="auto"/>
                <w:kern w:val="0"/>
                <w:sz w:val="20"/>
                <w:szCs w:val="20"/>
                <w:highlight w:val="none"/>
              </w:rPr>
              <w:t xml:space="preserve">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9.铰链：铰链应为钢琴式铰链，确保门能开180度。                                                                                                                                                                    10.锁具：双人双锁管理，配备电子密码锁和二代防盗机械锁，密码锁具有开锁记录查询及隐码功能。锁舌选用坚韧且有弹性的高分子合成塑料制成，耐磨且抗腐蚀性能极强。                                                                                                                                       11.环保性能：国标规定，室内甲醛含量不得超过0.08mg/m3;苯含量不得超过0.09mg/m3。</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12.配备接地装置实现完全接地。</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13.装箱时柜内外的说明标识：</w:t>
            </w:r>
          </w:p>
        </w:tc>
        <w:tc>
          <w:tcPr>
            <w:tcW w:w="10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trPr>
        <w:tc>
          <w:tcPr>
            <w:tcW w:w="516" w:type="dxa"/>
            <w:vMerge w:val="continue"/>
            <w:vAlign w:val="center"/>
          </w:tcPr>
          <w:p>
            <w:pPr>
              <w:jc w:val="left"/>
              <w:rPr>
                <w:rFonts w:ascii="黑体" w:hAnsi="黑体" w:eastAsia="黑体" w:cs="宋体"/>
                <w:color w:val="auto"/>
                <w:kern w:val="0"/>
                <w:sz w:val="20"/>
                <w:szCs w:val="20"/>
                <w:highlight w:val="none"/>
              </w:rPr>
            </w:pPr>
          </w:p>
        </w:tc>
        <w:tc>
          <w:tcPr>
            <w:tcW w:w="816" w:type="dxa"/>
            <w:vMerge w:val="continue"/>
            <w:vAlign w:val="center"/>
          </w:tcPr>
          <w:p>
            <w:pPr>
              <w:jc w:val="left"/>
              <w:rPr>
                <w:rFonts w:ascii="黑体" w:hAnsi="黑体" w:eastAsia="黑体" w:cs="宋体"/>
                <w:color w:val="auto"/>
                <w:kern w:val="0"/>
                <w:sz w:val="20"/>
                <w:szCs w:val="20"/>
                <w:highlight w:val="none"/>
              </w:rPr>
            </w:pPr>
          </w:p>
        </w:tc>
        <w:tc>
          <w:tcPr>
            <w:tcW w:w="5487" w:type="dxa"/>
            <w:vMerge w:val="continue"/>
            <w:vAlign w:val="center"/>
          </w:tcPr>
          <w:p>
            <w:pPr>
              <w:jc w:val="left"/>
              <w:rPr>
                <w:rFonts w:ascii="黑体" w:hAnsi="黑体" w:eastAsia="黑体" w:cs="宋体"/>
                <w:color w:val="auto"/>
                <w:kern w:val="0"/>
                <w:sz w:val="20"/>
                <w:szCs w:val="20"/>
                <w:highlight w:val="none"/>
              </w:rPr>
            </w:pPr>
          </w:p>
        </w:tc>
        <w:tc>
          <w:tcPr>
            <w:tcW w:w="1016" w:type="dxa"/>
            <w:vMerge w:val="continue"/>
            <w:vAlign w:val="center"/>
          </w:tcPr>
          <w:p>
            <w:pPr>
              <w:jc w:val="left"/>
              <w:rPr>
                <w:rFonts w:ascii="黑体" w:hAnsi="黑体" w:eastAsia="黑体" w:cs="宋体"/>
                <w:color w:val="auto"/>
                <w:kern w:val="0"/>
                <w:sz w:val="20"/>
                <w:szCs w:val="20"/>
                <w:highlight w:val="none"/>
              </w:rPr>
            </w:pPr>
          </w:p>
        </w:tc>
        <w:tc>
          <w:tcPr>
            <w:tcW w:w="1111" w:type="dxa"/>
            <w:vMerge w:val="continue"/>
            <w:vAlign w:val="center"/>
          </w:tcPr>
          <w:p>
            <w:pPr>
              <w:jc w:val="left"/>
              <w:rPr>
                <w:rFonts w:ascii="黑体" w:hAnsi="黑体" w:eastAsia="黑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强酸碱柜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1.尺寸：≥900mm（L）×450mm（W）×1800mm（H）门类型：四开门。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2.采用手动四开门设计，门缝不大于3mm，且门缝上下大小一致，左右门的高度一致。</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3.材质：≥8mm厚PP聚丙烯树脂板，具有耐强酸、强碱与抗腐蚀的特性，经同色焊条无缝焊接处理，保证柜体之坚固及密封性。</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层板：采用瓷白色PP（聚丙烯）板材，一次注塑成型，四边有不小于20mm立边，可有效盛接漏液，底部波纹状设计，避免泄漏时瓶底粘结层板，从而减少存取的安全隐患和造成二次污染的可能性，层板底部包钢处理（预留查验小口），承重能力强，整体设计为活动式，可随意抽取放在合适的位置。</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5.门板：采用同质PP材料制作，门厚20mm，视窗采用5mm钢化玻璃，防腐蚀，可视性强。</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6.绞链：塑胶射出一体成型，抗腐蚀性佳。</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7.把手：塑胶射出一体成型，抗腐蚀性佳，备有安全双门锁，加强管制。                                                                                                                                                                                              8.螺丝：不锈钢材质，防止因腐蚀而引起螺丝断裂，造成柜体垮塌。                                                                                      9.锁具：双锁设计，双人双锁管理，配有PP材质一体成型（易更换）的锁扣。</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10.多语言反光警告标签。</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通风药品柜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2、材质：整体选用增强PP塑料+ABS材质，注塑成型；具有耐腐蚀、耐酸碱、防水、耐候性、电绝缘性等性能。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整体由底板、侧板、背板、柜门、层板构成；柜体上下两层流线型设计，榫卯链接结构，使整柜更具稳定性；外表面和内表面可触及隐蔽处，均无锐利的棱角、毛刺；尖锐边角以及所有接触人体的边棱均为倒圆角。</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4、底板：规格≥1000mm×478mm×63mm，壁厚度≥3.0mm，底板采用镂空原理及分层设计，多个受力点均匀分布，6个调节脚垫位置布局合理。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5、侧板：规格≥895mm×415mm×45mm，采用增强PP材质一体注塑成型；内侧设计5档层板调节棱。</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6、背板：规格≥998mm×915mm×30mm，整板采用增强PP材质一体注塑成型，设计凹凸造型，避免背板变形。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7、柜门：规格≥934mm×500mm，外框采用PP材质一体注塑成型；外框表面镶嵌厚度≥4.5mm钢化烤漆玻璃，配ABS注塑成型拉手，柜门与侧板连接结构采用上下轴嵌入式设计。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层板：规格≥910mm×400mm,采用PP材质注塑一次成型，厚度≥3.0mm，具有耐腐蚀、耐酸碱、防水、耐候性、电绝缘性等特点。上层柜配置2个层板，下层柜配置1个层板；层板下方内置2条镀锌方钢及加强筋，符合承重要求，方钢采用耐腐蚀软体PVC整条包裹，避免化学药品所产生的气体渗入。</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9、门锁：门锁、锁芯、锁舌、钥匙、插销材质均为ABS注塑成型，具有耐腐蚀、耐酸碱、耐候性、电绝缘性等性能。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柜体顶部设有通风孔。</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10、药品阶梯：规格≥875mm×230mm×180mm，2层设计；采用增强PP材质注塑一次成型，具有耐腐蚀、耐酸碱、防水、耐候性等性能。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电源布线耗材</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1.地面以上连接线外部配有防火耐高温套管。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2.电源布管布线施工，埋地管为PVC穿线管，采用铜芯线。</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轴流风机</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≥110W轴流风机、电机，需含设备调试等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通风管道</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1.主通风管规格：φ160mm/200mm，PVC成品管道；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2.支管道规格：φ110mm，PVC成品管道；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3.管道配件：管道三通、弯头、变径、直接。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（实际管径视现场情况可适当调整）</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生物综合实验室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一、教师控制演示区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（教师演示台）</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规格：≥2800mm（L）×700mm（W）×850mm（H）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1.台面：采用≥13.0mm厚优抗板台面，台面边缘用同质材料板双层加厚至≥26.0mm，由专业生产厂家用CNC机械加工而成。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2.产品结构：铝木结构</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台身用材：桌体结构为内槽式铝合金框架结构,框架立柱：壁厚≥1.0mm、截面尺寸≥50mm×50mm，棱角为椭圆形。横梁：壁厚≥0.8mm、截面尺寸≥40mm×40mm；铝型材槽表面经酸洗、磷化、环氧树脂高温固化处理具有耐腐蚀、耐高温等特点。</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4.柜身：背板及吊板采用厚度不低于16mm的实验室专用三聚氰胺板制作。</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5.组装：接缝严密，连接牢固，无松动现象。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6.连接件：ABS专用连接组装件；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7.板材贴面：采用三聚氰胺板进行贴面。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板材封边：可见截面均经过PVC封边，贴面和封边部件应严密、平整，不允许出现脱胶、鼓泡、凹陷、压痕以及表面划伤、麻点、裂痕、崩角和刃口，外表的圆角、倒棱应均匀一致。外露截面PVC边条厚度不低于1.8mm，并进行倒角处理。密封性好、外形美观、经久耐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9.导轨：三节静音导轨。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10.拉手：采用桥型铝合金拉手；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11.铰链：采用不锈钢铰链。</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12.台身设计：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（1）箱体预设电脑主机箱柜、视频展台柜、电源控制台、键盘托等。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（2）台身前部为开门设计，便于电器维护。</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13.可调脚：采用模具成型PC＋ABS工程塑料合金注塑专用垫，高≥30mm，可暗藏固定防止晃动，并能有效防止桌身受潮，延长设备的使用寿命。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14.台面根据需求可设有化验水槽、水嘴等的定位孔，各定位孔根据实际尺寸开设。</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教师椅</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1.规格：≥550×500×1070mm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2.采用PU皮面，海绵坐垫；</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3.黑色PP加玻纤内外塑框；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4.一体成型PP固定扶手；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5.中靠背46-49cm，人体工程学设计；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6.≥1.0mm厚汽杆；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7.PP加纤五星塑脚；</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8.φ50mm（偏差±5%）黑边尼龙万向轮。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教师主控电源</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采用内嵌式4.3英寸全触摸液晶显示（偏差±5%），智能一体化界面，线路采用高速贴片机焊接，可人性化设置开机验证方式和定时关机时间，教师与学生数据传输采用有线或无线通信，电源参数如下：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1.教师交流：支持通过触摸显示屏操作0-30V交流电压，选取方式采用数控快捷方式，不得采用累计或步进式，电压分辨率为1V，具备过载自动保护及报警装置。</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2.教师直流：支持通过触摸显示屏操作0-30V直流电压，选取方式采用数控快捷方式，不得采用累计或步进式，电压分辨率为0.1V，具备过载自动保护及报警装置。</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3.学生交流：教师电源支持分组控制学生交流电压，控制范围为0-30V，分辨率为1V.</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4.学生直流：教师电源支持分组控制学生直流电压，控制范围为0-30V，分辨率为0.1V.</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5.学生高压：教师电源支持分组控制学生的高压220V电压，此电源与学生低压区分隔离，当高压关闭时学生低压仍可使用。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6.锁定功能：教师端支持远程锁定学生电源低压交、直流电压。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7.直流高压：输出240V或300V的高压，输出电流为100mA,具备过载保护功能.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8.教师自用不少于两路220V多功能插座输出。</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二、学生实验学习区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（学生）</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整桌规格：≥1200mm（L）×600mm（W）×780mm（H）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采用厚度≥20mm无甲醛新型环保陶瓷台面，表面采用实验室专业耐腐蚀、耐刻刮、耐污染釉面，由黑色坯体与耐腐蚀釉面经高温长时间一体烧制而成，黑色坯体可避免台面侧面因二次低温上釉易脱落现象的发生。</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2.桌体结构：塑铝结构。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4.主横梁采用铝型材拉伸成型，规格≥1095mm×80mm，表面经过防腐氧化处理，具有较强的耐蚀性及承重性。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5.前挡条采用铝型材拉伸成型，规格≥1080mm×60mm，表面经过防腐氧化处理高≥35mm。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6.桌体型材框架表面包覆有ABS环保材料外壳。</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7.桌体底部脚垫高度可调、耐磨、防潮。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8.书包斗：内部规格≥385mm×250mm×130mm，采用ABS工程塑料一次注塑成型，书包斗固定挂架采用≥1110mm×20mm×10mm矩形钢构件，钢构件表面经镀锌处理，框架横梁与桌脚之间均采用PC＋ABS工程塑料合金连插件连接。</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电源功能柱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1.规格：≥270mm（L）×165mm（W）×750mm（H）；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2.材质：整体采用PP和ABS材质，具有耐化学性、耐热性、电绝缘性等性能；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3.主体设置多组加强筋，能够起到增强主体刚性和进行限位的作用；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4.设有检修口，拆装方便，便于线路检修和维护；</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学生凳</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1.规格：≥φ300mm×440mm。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2.凳面：采用ABS环保材质一体注塑成型，防摔耐磨。人体工程学设计，中间有内弧成型，深度≥8mm。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3.升降式螺杆：直径≥20mm螺纹碳钢，配合高强度钢制托盘于凳面底部固定，钢板厚度≥2mm。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支持调节凳子高度，升降≥50mm。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4.钢脚架：由壁厚≥1.2mm椭圆形钢管及壁厚≥2mm圆钢管焊接组成，表面经高温烤漆处理。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5.脚垫：塑胶材质，采用PP加纤维制实心倒勾式一体注塑成型，防水防滑。</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学生电源</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电源外壳采用模具一次成型，一体化PVC按键设计，安装于抽屉之内，自带两块数字表分别显示输出电压与电流，电源采用数控式操作，可精准输出所需电压。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1.交流输出：支持由学生或教师操作输出0-30V交流电压，分辨率为1V，带有交流电流显示，具备过载声光报警保护功能。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2.直流输出：支持由学生或教师操作输出0-30V直流电压，分辨率为0.1V，带有直流电流显示，具备过载声光报警保护功能。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3.数字表分别显示交流电压，直流电压，交流电流，直流电流。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4.锁定：教师端支持远程锁定学生电源低压交、直流电压。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5.不少于两路220V多功能插座输出，与低压单独控制，此电压关闭时低压仍可使用。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学生光源</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灯采用内置灯珠LED灯条，台灯整体功率不小于7w，光通量不小于350lm，色温6000k，台灯外壳采用ABS工程塑料注塑成型，光线柔和无频闪；照明角度可调节，调节的支撑脚内置不锈钢阻尼转轴，调节次数5000次内阻尼力度没有明显衰减。</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58</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三、给排水设备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化验水槽（配出水装置）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1.材质：PP材质。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2.水槽外部规格：≥440mm（L）×330mm（W）×200mm（H）。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3.密封方式：水封式，可防止废水回流和堵塞。</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4.槽体上部配备出水装置：单联出水口，管体部份为黄铜合金制，陶瓷阀芯，表面经环氧树脂静电喷涂处理，耐酸碱腐蚀。出水口为铜质瓷芯尖嘴型，可拆卸清洗阻塞。</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独立水槽台（配出水装置）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1.整体规格：≥450mm（L）×600mm（W）×820mm（H）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2.材质：整体采用ABS和改性PP材质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3.化验水槽规格：≥390mm（L）×340mm（W）×255mm（H），由PP塑料一体化注塑成型。槽面设有溢水口，三联水嘴及台式洗眼器放置孔位。下水口滤网设计、水槽内侧倾斜面设计、四周边缘化设计。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4.水槽箱体由ABS塑料注塑成型，前后门设计，方便检修清理。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5.配备出水装置：一高二低出水口，不锈钢材质管体，陶瓷阀芯，人体工学设计高密度PP开关旋钮。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四、安装附件及装修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电源布线耗材</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1.地面耗材：每桌采用软铜质电线与主线对接取电；选用合适规格的线管包裹取电连接线。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2.地下耗材：电源主线采用2.5mm</w:t>
            </w:r>
            <w:r>
              <w:rPr>
                <w:rFonts w:hint="eastAsia" w:ascii="宋体" w:hAnsi="宋体" w:cs="宋体"/>
                <w:color w:val="auto"/>
                <w:kern w:val="0"/>
                <w:sz w:val="20"/>
                <w:szCs w:val="20"/>
                <w:highlight w:val="none"/>
              </w:rPr>
              <w:t>²</w:t>
            </w:r>
            <w:r>
              <w:rPr>
                <w:rFonts w:hint="eastAsia" w:ascii="黑体" w:hAnsi="黑体" w:eastAsia="黑体" w:cs="宋体"/>
                <w:color w:val="auto"/>
                <w:kern w:val="0"/>
                <w:sz w:val="20"/>
                <w:szCs w:val="20"/>
                <w:highlight w:val="none"/>
              </w:rPr>
              <w:t>BVR铜软线铺设；选用Ф20或Ф25PVC阻燃线管</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给/排水全套装置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1.PPR材质水管，上水管和进水管为Ф25；UPVC材质排水管为Ф50。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2.开关阀门，外丝连接件、PVC胶水等。  </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房屋内部及走廊粉刷</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1.基础处理:旧墙涂料铲除</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2.基础:草酸清洗、基膜和墙固处理、素水泥浆修补</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3.面层:乳胶3遍</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1446.7</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地面混凝土拆除</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1.部位：1楼和2楼两边的两个大房间（共4间）</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2.拆除：拆除原23cm地面、垃圾外运5km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192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地砖铺装</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1.找平层厚度、砂浆配合比:30mm厚1:3水泥砂浆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2.面层材料品种、规格、颜色:800*800以内耐磨防滑地面砖</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277.6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防盗门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1.部位:旧门更换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2.材质规格:防盗门0.98*2.35</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3.其他:旧门拆除运输到指定地点</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窗帘</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1.窗帘部位:窗户</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2.规格、类型:布艺窗帘满足使用要求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225.6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护眼灯具安装</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1.名称:护眼平板灯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2.规格、类型:1200*280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3.其他:满足使用要求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43</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黑板灯具安装 </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1.名称:黑板灯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2.规格、类型:双管荧光灯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3.其他:满足使用要求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线路改造</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1.工作内容:线管改造、走线等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2.规格、类型:满足使用要求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320</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电子白板教学一体机（含黑板）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86寸触摸电子白板，含黑板整体尺寸4.55米*1.4米</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现有设备拆除及全屋保洁</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1.工作内容:现有教学设备、器具拆除搬运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2.运距:甲方指定地点</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3.工作内容:专业对房屋保洁、清扫、消毒</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4.规格、类型:满足使用要求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320</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生物准备室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一、准备室设备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（准备台）</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规格：≥2400mm（L）×1050mm（W）×850mm（H）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1.台面：选用厚度≥12.7mm实芯理化板，边缘加厚到≥25.4mm。具有耐酸碱、耐腐蚀、耐有机溶剂、抗菌、抗污染等性能；经过机械打磨、倒角、精细工艺处理，呈现光滑，便于维护及具有承重性能。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2.产品结构：铝木结构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台身用材：台身用材：桌体结构为内槽式铝合金框架结构,框架立柱：壁厚≥1.0mm、截面尺寸≥50mm×50mm棱角为椭圆形。横梁：壁厚≥0.8mm、截面尺寸≥40mm×40mm；铝型材槽表面经酸洗、磷化、环氧树脂高温固化处理具有耐腐蚀、耐高温等特点。</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4.柜身：背板及吊板采用厚度不低于16mm的实验室专用三聚氰胺板制作。</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5.组装：接缝严密，连接牢固，无松动现象。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6.连接件：ABS专用连接组装件；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7.板材贴面：采用三聚氰胺板进行贴面。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板材封边：可见截面均经过PVC封边，贴面和封边部件应严密、平整，不允许出现脱胶、鼓泡、凹陷、压痕以及表面划伤、麻点、裂痕、崩角和刃口，外表的圆角、倒棱应均匀一致。外露截面PVC边条厚度不低于2mm，并进行倒角处理。密封性好、外形美观、经久耐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9.导轨：三节静音导轨。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10.拉手：采用桥型铝合金拉手；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11.铰链：采用不锈钢铰链。</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12.台身设计：台身前部为开门设计。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13.可调脚：采用模具成型PC＋ABS工程塑料合金注塑专用垫，高≥30mm，可暗藏固定防止晃动，并能有效防止桌身受潮，延长设备的使用寿命。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14.台面根据需求可设有化验水槽、水嘴等的定位孔，各定位孔根据实际尺寸开设。</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标本柜</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（单面）</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柜体下部规格≥1000mm（L）×500mm（W）×600mm（H），采用≥16mm厚三聚氰胺贴面板经机械加工而成，柜体为板式对开门。上柜体规格≥1000mm（L）×500mm（W）×1400mm（H）采用≥5mm厚玻璃构成，推拉门，上柜内设≥8mm厚玻璃隔板不少于2层。四边由铝合金框架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药品柜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层板高度可调整；配有防酸碱药品架,板材厚度≥16mm。下柜体为板式对开门。裸露部位均用PVC封边条利用机械高温热熔工艺封边，粘力强，密封性稳定，经久耐用；经检测达到相关环保标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仪器柜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活动层板高度可以调整。下柜体为板式对开门，柜内设25mm厚活动层板1层。裸露部位均用PVC封边条利用机械高温热熔工艺封边，粘力强，密封性稳定，经久耐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储物架（主）</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1.规格：≥530mm*480mm*2000mm；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2.材质：主体承重采用四根铝合金立柱，表面经氧化处理，防酸碱，耐腐蚀；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储物架（副）</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1.规格：≥510mm*480mm*2000mm；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2.材质：主体采用两根铝合金立柱，表面经氧化处理，防酸碱，耐腐蚀；</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平放框</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3.结构：平放框配备纵隔板、横隔板、小隔板、卡槽、滑轨等组件；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5.卡槽：≥64mmx42mmx12mm 采用透明PC材质，能放置储物标签，便于器材识别与管理；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6.滑轨：≥467mmx27mmx52mm，采用增强尼龙塑料材质，能自适应框体拉出、下垂、划过等操作，集成的拉出止动结构可防止模块化框体掉落。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斜放框</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3.结构：配备纵隔板、横隔板、小隔板、卡槽、滑轨，斜放配件等组件；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4.摆放方式：斜放式；</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6.卡槽：≥64mmx42mmx12mm 采用透明PC材质，能放置储物标签，便于器材识别与管理；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7.滑轨：≥467mmx27mmx52mm，采用增强尼龙塑料材质，能自适应框体拉出、下垂、划过等操作，集成的拉出止动结构可防止模块化框体掉落。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层板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1.规格：≥480x466x15mm；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2.材质：层板采用壁厚≥1.2mm冷轧钢板，表面经钣金喷塑处理，防水，耐酸碱，耐腐蚀；</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3.配件：层板下方配备不少于4个尼龙塑料层板支撑扣。</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移动推车</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1.规格参数：≥1110*480*1100mm；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2.功能材质：主体承重架体采用铝合金材料，表面氧化处理工艺，架体连接件采用增强尼龙塑料，整体结构稳；架体由铝型材框架、铝合金把手、层板3个、储物筐4个、推车顶层平台等组成；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移动推车同时预制多个层板及储物筐；层板采用≥1.0mm冷轧钢板，表面经高压静电喷涂环氧树脂防护层，耐酸碱，耐腐蚀，层板下方采用4个增强尼龙塑料支撑件，单个层板承重≤30kg；储物筐采用工程塑料ABS/PC，承重≤10kg；层板和储物筐可根据收纳物品大小调节层高；</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推车顶层平台规格≥1000mm*480mm*8mm，配置抗倍特材质，顶部可根据需求存放实验器材等；移动推车配备6个万向轮，方便移动，具有锁停功能；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3.适用范围：:适用于各学科实验室，便于实验器材、实验箱、实验耗材等运输及移动。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二、老师办公区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（工作桌）</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整桌规格：≥1200mm（L）×600mm（W）×780mm（H）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1.台面：选用厚度≥12.7mm实芯理化板，具有耐酸碱、耐腐蚀、耐有机溶剂、抗菌、抗污染等性能；经过机械打磨、倒角、精细工艺处理，呈现光滑，便于维护及具有承重性能。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2.桌体结构：塑铝结构。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3.桌体内部通过铝合金矩形管材立柱连接桌体顶部和底部承重框架，立柱规格≥725mm×65mm×30mm，桌体左右横梁及支撑脚采用铝材压铸成型， 采用镶嵌式安装方式及工字形结构框架，使桌体具有承重性及稳定性。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4.主横梁采用铝型材拉伸成型，规格≥1095mm×80mm，表面经过防腐氧化处理，具有较强的耐蚀性及承重性。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5.前挡条采用铝型材拉伸成型，规格≥1080mm×60mm，表面经过防腐氧化处理高≥35mm。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6.桌体型材框架表面包覆有ABS环保材料外壳。</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7.桌体底部脚垫高度可调、耐磨、防潮。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教师椅</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1.规格：≥550×500×1070mm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2.采用PU皮面，海绵坐垫；</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3.黑色PP加玻纤内外塑框；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4.一体成型PP固定扶手；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5.中靠背46-49cm，人体工程学设计；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6.≥1.0mm厚汽杆；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7.PP加纤五星塑脚；</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8.φ50mm（偏差±5%）黑边尼龙万向轮。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吊柜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规格：≥420mm（L）×460mm（W）×620mm（H）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注塑工艺,一次性成型设计,材质为ABS材料</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文件柜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2.材质：整体选用增强PP塑料+ABS材质，注塑成型；具有耐腐蚀、耐酸碱、防水、耐候性、电绝缘性等性能。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整体由底板、侧板、背板、柜门、层板构成；柜体上下两层流线型设计，榫卯链接结构，使整柜更具稳定性；外表面和内表面可触及隐蔽处，均无锐利的棱角、毛刺；尖锐边角以及所有接触人体的边棱均为倒圆角。</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4.底板：规格≥1000mm×478mm×63mm，壁厚度≥3.0mm，底板采用镂空原理及分层设计，多个受力点均匀分布，6个调节脚垫位置布局合理。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5.侧板：规格≥895mm×415mm×45mm，采用增强PP材质一体注塑成型；内侧设计5档层板调节棱。</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6.背板：规格≥998mm×915mm×30mm，整板采用增强PP材质一体注塑成型，设计凹凸造型，避免背板变形。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7.柜门：规格≥934mm×500mm，外框采用增强PP材质一体注塑成型；外框表面镶嵌厚度≥4.5mm钢化烤漆玻璃，配ABS注塑成型拉手，柜门与侧板连接结构采用上下轴嵌入式设计。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层板：规格≥910mm×400mm,采用增强PP材质注塑一次成型，厚度≥3.0mm，具有耐腐蚀、耐酸碱、防水、耐候性、电绝缘性等特点。上层柜配置2个层板，下层柜配置1个层板；层板下方内置2条镀锌方钢及加强筋，符合承重要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9.门锁：门锁、锁芯、锁舌、钥匙、插销材质均为ABS注塑成型，具有耐腐蚀、耐酸碱、耐候性、电绝缘性等性能。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三、给排水设备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化验水槽（配出水装置）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1.材质：PP材质。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2.水槽外部规格：≥440mm（L）×330mm（W）×200mm（H）。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3.密封方式：水封式，可防止废水回流和堵塞。</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4.配备出水装置：一高二低出水口，不锈钢材质管体，陶瓷阀芯，人体工学设计高密度PP开关旋钮。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独立水槽台（配出水装置）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1.整体规格：≥450mm（L）×600mm（W）×820mm（H） </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2.材质：整体采用ABS和改性PP材质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3.化验水槽规格：≥390mm（L）×340mm（W）×255mm（H），由PP塑料一体化注塑成型。槽面设有溢水口，三联水嘴及台式洗眼器放置孔位。下水口滤网设计、水槽内侧倾斜面设计、四周边缘化设计。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4.水槽箱体由ABS塑料注塑成型，前后门设计，方便检修清理。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5.配备出水装置：一高二低出水口，不锈钢材质管体，陶瓷阀芯，人体工学设计高密度PP开关旋钮。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四、安装附件部分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给/排水全套装置</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PPR材质水管，上水管和进水管为Ф25；UPVC材质排水管为Ф50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含开关阀门，外丝连接件、PVC胶水等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生物标本仪器室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仪器柜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活动层板高度可以调整。下柜体为板式对开门，柜内设25mm厚活动层板1层。裸露部位均用PVC封边条利用机械高温热熔工艺封边，粘力强，密封性稳定，经久耐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标本柜</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（单面）</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柜体下部规格≥1000mm（L）×500mm（W）×600mm（H），采用≥16mm厚三聚氰胺贴面板经机械加工而成，柜体为板式对开门。上柜体规格≥1000mm（L）×500mm（W）×1400mm（H）采用≥5mm厚玻璃构成，推拉门，上柜内设≥8mm厚玻璃隔板不少于2层。四边由铝合金框架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药品柜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1.规格：≥1000mm（L）×500mm（W）×2000mm（H）。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柜体采用≥16mm厚三聚氰胺贴面板经机械加工而成，上柜体镶装≥4mm厚玻璃的对开门，柜内设至少2层≥25mm厚活动层板，层板高度可调整；配有防酸碱药品架,板材厚度≥16mm。下柜体为板式对开门。裸露部位均用PVC封边条利用机械高温热熔工艺封边，粘力强，密封性稳定，经久耐用；经检测达到相关环保标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3.柜体结构为内槽式铝合金框架，厚度为≥1.0mm，其表面利用环氧树脂静电喷涂，ABS专用连接件连接，接缝严密牢固不变型。柜门采用国产≥165度铰链，可开关10万次以上。不锈钢桥式拉手。</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储物架（主）</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1.规格：≥530mm*480mm*2000mm；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2.材质：主体承重采用四根铝合金立柱，表面经氧化处理，防酸碱，耐腐蚀；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储物架（副）</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1.规格：≥510mm*480mm*2000mm；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2.材质：主体采用两根铝合金立柱，表面经氧化处理，防酸碱，耐腐蚀；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主体承重立柱预设滑轨孔位，可确保储物筐高度灵活调节，满足不同器材空间储物需求，架体间采用增强尼龙塑料连接，结构稳定，不易晃动，顶部设置储物架防尘盖板，厚度≥0.8mm，表面经钣金喷塑处理，易清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4.可调脚：可调地脚采用PP材质，可调高度5mm。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平放框</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3.结构：平放框配备纵隔板、横隔板、小隔板、卡槽、滑轨等组件；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5.卡槽：≥64mmx42mmx12mm 采用透明PC材质，能放置储物标签，便于器材识别与管理；</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6.滑轨：≥467mmx27mmx52mm，采用增强尼龙塑料材质，能自适应框体拉出、下垂、划过等操作，集成的拉出止动结构可防止模块化框体掉落。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斜放框</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1.规格：≥439mmx439mmx103mm，灰色；</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2.材质：采用ABS材质，注塑成型，具有耐酸碱、防水、耐热，耐候性、电绝缘性等性能，底部采用实心设计，能防止液体类物体泄漏流到下层框体；</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3.结构：配备纵隔板、横隔板、小隔板、卡槽、滑轨，斜放配件等组件；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4.摆放方式：斜放式；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5.隔板：横、纵隔板采用规格≥398mmx22mmx100mm ABS塑料，隔板可自定义调节，能满足不同器材摆放，增加空间利用率；</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6.卡槽：≥64mmx42mmx12mm 采用透明PC材质，能放置储物标签，便于器材识别与管理；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7.滑轨：≥467mmx27mmx52mm，采用增强尼龙塑料材质，能自适应框体拉出、下垂、划过等操作，集成的拉出止动结构可防止模块化框体掉落。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层板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1.规格：≥480x466x15mm；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2.材质：层板采用壁厚≥1.2mm冷轧钢板，表面经钣金喷塑处理，防水，耐酸碱，耐腐蚀；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3.配件：层板下方配备不少于4个尼龙塑料层板支撑扣。</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移动推车</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1.规格参数：≥1110*480*1100mm；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2.功能材质：主体承重架体采用铝合金材料，表面氧化处理工艺，架体连接件采用增强尼龙塑料，整体结构稳；架体由铝型材框架、铝合金把手、层板3个、储物筐4个、推车顶层平台等组成；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移动推车同时预制多个层板及储物筐；层板采用≥1.0mm冷轧钢板，表面经高压静电喷涂环氧树脂防护层，耐酸碱，耐腐蚀，层板下方采用4个增强尼龙塑料支撑件，单个层板承重≤30kg；储物筐采用工程塑料ABS/PC，承重≤10kg；层板和储物筐可根据收纳物品大小调节层高；</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推车顶层平台规格≥1000mm*480mm*8mm，配置抗倍特材质，顶部可根据需求存放实验器材等；移动推车配备6个万向轮，方便移动，具有锁停功能；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3.适用范围：:适用于各学科实验室，便于实验器材、实验箱、实验耗材等运输及移动。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实验室废水处理系统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实验室废水处理系统</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1.处理后水质标准：达到《污水综合排放标准》（GB8978-1996）,处理量：2000L/天（按工作8小时计）。设备尺寸：1850*800*1800，设备净重：≥380kg，电源输入：AC220V，功率2.55kw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 通过在线pH仪表控制加药泵的运行和停止，具有迟滞量设置功能。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 通过液位传感器控制增压泵、加药泵的运行和停止。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 配置pH调节装置，通过传感器在线监控水质，根据需要添加相应药剂，完成水质酸碱度控制，同时系统具有根据pH值自动调整加药速度的功能，以确保pH调节效率和效果。</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5.配置重金属螯合、混凝沉降装置及污泥过滤装置，通过加入螯合能力更强、更环保的新型重金属螯合剂及助凝剂，高效去除重金属、胶体及悬浮物等污染物。</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设备处理工艺采用高级氧化，絮凝、沉淀、过滤、光催化氧化，复合式杀菌消毒不仅可以利用二氧化氯进行消杀，还可以利用臭氧以氧原子的氧化作用破坏微生物膜的结构实现杀菌作用，并且能充分将废水中的细菌病毒杀死，彻底杀灭大肠杆菌，在规定的时间和场所内，臭氧的泄漏量为≤0.1mg/m</w:t>
            </w:r>
            <w:r>
              <w:rPr>
                <w:rFonts w:hint="eastAsia" w:ascii="宋体" w:hAnsi="宋体" w:cs="宋体"/>
                <w:color w:val="auto"/>
                <w:kern w:val="0"/>
                <w:sz w:val="20"/>
                <w:szCs w:val="20"/>
                <w:highlight w:val="none"/>
              </w:rPr>
              <w:t>³</w:t>
            </w:r>
            <w:r>
              <w:rPr>
                <w:rFonts w:hint="eastAsia" w:ascii="黑体" w:hAnsi="黑体" w:eastAsia="黑体" w:cs="黑体"/>
                <w:color w:val="auto"/>
                <w:kern w:val="0"/>
                <w:sz w:val="20"/>
                <w:szCs w:val="20"/>
                <w:highlight w:val="none"/>
              </w:rPr>
              <w:t>，粪大肠杆菌的杀菌率达到</w:t>
            </w:r>
            <w:r>
              <w:rPr>
                <w:rFonts w:hint="eastAsia" w:ascii="黑体" w:hAnsi="黑体" w:eastAsia="黑体" w:cs="宋体"/>
                <w:color w:val="auto"/>
                <w:kern w:val="0"/>
                <w:sz w:val="20"/>
                <w:szCs w:val="20"/>
                <w:highlight w:val="none"/>
              </w:rPr>
              <w:t>99.99%以上，安全高效。</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 利用智能系统控制废水中的水质变化和处理流程，无需专人看守。</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8.配置复合过滤装置，用于去除水中的悬浮物、胶体、重金属等杂质及细菌、病毒等污染物。</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9.设备系统具备全能自动启停功能，无需定时开关机，用户单位实验室额外工作加班，设备正常运行。</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 出水水质需符合GB8978-1996污水综合排放标准的三级排放标准里的COD≤120mg/l.BOD≤60mg/l.PH6--9.粪大肠杆菌群数≤5000个。SS≤60mg/l.总铬≤5.0mg/l的排放限值要求。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11.设备采用一体式、模块化设计，结构紧凑占地面积小，相关系统组件全部为快开式活接连接，方便保养和检修。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高中物理教学仪器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微电流放大器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多路输入档。一路为毫伏级，低阻抗输入，放大倍数约一千倍。两路用于传感器，分别为电流型放大输出和电压型放大输出</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湿度计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空盒气压表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800hPa～1060hPa，1hPa；误差≤±2.0hPa</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量角器(圆等分器)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半圆直径不小于190mm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惯性演示器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摩擦计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螺旋弹簧组</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0.5N，1N，2N</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组</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微小形变演示器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利用光杠杆原理</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力的合成分解演示器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支杆定滑轮和桌边夹组</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每套带支杆单滑轮、尼龙线、桌边夹各3件，小铁环1件，支杆高度可调</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高中力学演示板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滚摆</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离心轨道</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有捕球网</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电动离心转台</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可调速</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毛钱管(牛顿管)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带释放装置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伽利略理想斜面演示器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长度不小于1200mm，一端高度可连续升降，连接曲面光滑</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运动合成分解演示器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可做匀速-匀速、匀速-匀加速运动合成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演示轨道小车</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利用电火花计时，车拖纸带式，打点有效距离不小于900mm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轨道小车</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车拖纸带打点式，打点有效距离不小于600mm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气垫导轨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不小于1200mm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牛顿第二定律演示仪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反冲运动演示器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有两种以上表现形式</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超重失重演示器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记忆式</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动能势能演示器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半定量实验</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平抛竖落仪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平抛运动实验器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运动频闪观测仪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频闪光源25Hz、50Hz，可实时观测运动物体图像</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二维空间—时间描迹仪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同步计时打点描迹，悬浮式平抛</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向心力演示器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动量传递演示器(碰撞球)</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5球</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音叉</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256Hz</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音叉</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512Hz</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单摆组</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5个摆球</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组</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玻棒(附丝绸)</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或有机玻棒(附丝绸)，教师用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胶棒(附毛皮)</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或聚碳酸酯棒(附毛皮)，教师用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箔片验电器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教师用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指针验电器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带法拉第圆筒</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枕形导体</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小灯座</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单刀开关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滑动变阻器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20Ω，2A</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滑动变阻器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50Ω，1.5A</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滑动变阻器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200Ω，1.25A</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电阻定律演示器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电阻定律实验器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不少于四根导线，长度、截面积、材料不同</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演示线路实验板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高中演示组</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球形导体</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验电器连接杆</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移电球(验电球)</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静电实验箱</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避雷针原理、静电屏蔽、静电除尘、静电植绒、静电乒乓、静电转轮等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金属网罩</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电荷间作用力演示器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电场线演示器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平行板电容器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电场中带电粒子运动模拟演示器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模拟电场中带电粒子加速、偏转</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常用电容器示教板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电解电容器、云母电容器、陶瓷电容器、薄膜电容器、贴片电容器、微调电容器、可变电容器等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常用电阻器示教板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定值电阻(碳膜电阻、金属膜电阻、绕线电阻、水泥电阻等)、可变电阻(电位器等)、特殊电阻(热敏电阻、光敏电阻等)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条形磁铁</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铝铁碳，180 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蹄形磁铁</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铝铁碳，100mm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立体磁感线演示器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永磁、电磁场</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磁感线演示板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电流磁场演示器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菱形小磁针</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16个</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翼形磁针</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演示原副线圈</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静电实验箱</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避雷针原理、静电屏蔽、静电除尘、静电植绒、静电乒乓、静电转轮等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金属网罩</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电荷间作用力演示器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电场线演示器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平行板电容器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电场中带电粒子运动模拟演示器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模拟电场中带电粒子加速、偏转</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常用电容器示教板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电解电容器、云母电容器、陶瓷电容器、薄膜电容器、贴片电容器、微调电容器、可变电容器等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常用电阻器示教板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定值电阻(碳膜电阻、金属膜电阻、绕线电阻、水泥电阻等)、可变电阻(电位器等)、特殊电阻(热敏电阻、光敏电阻等)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条形磁铁</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铝铁碳，180 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蹄形磁铁</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铝铁碳，100mm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立体磁感线演示器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永磁、电磁场</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磁感线演示板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电流磁场演示器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菱形小磁针</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16个</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翼形磁针</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演示原副线圈</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活扳手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150mm或250mm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手剪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钳工工具，剪铁皮、铜片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直角尺</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钳工工具</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电烙铁</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60W，20W，橡胶线</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平口钳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80mm，台钻上用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台钻</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φ1mm～φ13mm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手电钻</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φ1mm～φ13mm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钻头</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φ1mm～φ13mm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台虎钳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烙铁架</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油石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粗细两面</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冲子</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水平尺</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三水泡型，水平面工作长度160mm～250mm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工作服</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护目镜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防强光，上部衰减10倍～20倍，下部透射比≥75％</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护目镜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防机械冲击</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手套</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棉纱线</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双</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向心力实验器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量  程：力 0 N～10 N  角速度 0 rad/s～99 rad/s</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分度：力 0.001N     角速度 0.01rad/s</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1.产品由外壳、底座、触屏、动力旋臂（内置力传感器）、砝码和配重砝码等组成。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2.外壳的底座采用ABS塑料注塑工艺一次成型、组装，保障实验过程安全稳定。</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3.内置传感器、显示屏和动力装置，无需连接采集终端，支持通过触屏操控旋臂运行状态同时显示实验数据和图象。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4.内置无线传输模块，通过数据线或无线方式与采集终端相连；</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5.至少配备四种规格的砝码和四种规格配重砝码，便于灵活变更质量及精准配重。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6.功能：用于验证向心力与质量、半径及转速的关系。</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法拉第电磁感应定律实验器Ⅰ</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组成：由固定底座、触摸显示屏（不小于4.3英寸）、线圈组、磁铁组、磁感应传感器（内置）、电压传感器（内置）、电机联动装置组成。固定底座、磁感线圈组外壳、磁铁组外壳均采用ABS塑料一体化注塑成型；磁感线圈组内置多匝漆包线线圈；磁铁组由电机联动装置驱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功能：用于在磁场强度不变的条件下，感应电动势与运动速度的关系实验。可通过触摸显示屏操作步进电机不少于4档不同转速，配合内置磁感应传感器、电压传感器，描绘磁铁转动过程中，感应电动势与线圈匝数、运动速度之间的关系。电机联动装置可减少实验过程产生的不稳定因素，使实验结果具备可重复性。触摸显示屏可配合采集终端实时显示不同转速下产生的实验数据，也可脱离采集终端单独使用，便于学生操作。</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高中化学仪器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钢制黑板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900mm×600mm，双面</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电动钻孔器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仪器车</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至少两层，上层带护栏</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辆</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磁力加热搅拌器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烘干箱</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水浴锅</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铜制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保温漏斗</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铜制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注射器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50mL，塑料</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塑料洗瓶</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250mL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试剂瓶托盘</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实验用品提篮</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可固定试管、试剂瓶等仪器，底部有抽屉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塑料水槽</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250mm×180mm×100mm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碘升华凝华管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密封式</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聚光小手电筒</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激光笔</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方座支架</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托盘天平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100g，0.1g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托盘天平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500g，0.5g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电子天平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400g，0.1g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电子停表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0.1s</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温度计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红液，0℃～100℃</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温度计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水银，0℃～360℃</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演示电流电压表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2.5级</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密度计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密度＞1 g/cm3</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密度计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密度＜1 g/cm3</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酸度计(pH计)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测量范围：pH 0～14，分辨率：0.1</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原电池实验器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贮气装置</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溶液导电演示器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微型溶液导电实验器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金属电极，笔式，所需溶液不超过3mL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中和热测定仪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化学实验废液处理装置</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不小于20升/次，无极变速双搅拌，附循环泵</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气体实验微型装置</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以微型玻璃仪器为主,能完成氧气、氢气、二氧化碳、一氧化碳、氯气、氨气、二氧化硫、硫化氢、一氧化氮、二氧化氮等十几种气体的制备和性质实验,反应容器一般不超过30mL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水电解器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氢燃料电池演示器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两个质子交换膜电极，膜电极不小于33mm×33mm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氢燃料电池实验器 </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一个质子交换膜电极，膜电极不小于15mm×15mm，带电流、电压表</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电解槽演示器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离子交换膜</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原电池实验器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离子交换柱</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含玻璃纤维和离子交换树脂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电泳演示器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丁达尔现象实验器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二氧化氮球</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双球，内封NO2和N2O4</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渗析实验器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1.尺寸大于等于50*50**70mm，有机玻璃材料</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放电反应实验仪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通电两分钟之内即有氮气与氧气反应的现象，消耗功率不大于30W</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光化学实验演示器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能演示甲烷与氯气的反应</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分子结构模型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演示用，氢原子球直径不小于23mm，其他原子球直径不小于30mm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金刚石结构模型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1.碳原子:Φ30mm的4孔黑色塑料球30个；化学键：Φ3mm×35mm镀镍金属杆40根</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石墨结构模型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1.产品明示信息:碳原子：Φ30mm的5孔黑色塑料球39个；化学键：Φ3mm×50mm镀镍金属杆45根</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2.Φ3mm×90mm镀镍金属杆14根。</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碳-60结构模型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1.产品明示信息:碳原子：Φ30mm的3孔黑色塑料球60个；化学键共90根：Φ3mm×40mm的镀镍金属杆60根</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2.Φ3mm×40mm的镀镍金属杆带红色皮套的30根</w:t>
            </w:r>
            <w:r>
              <w:rPr>
                <w:rFonts w:hint="eastAsia" w:ascii="黑体" w:hAnsi="黑体" w:eastAsia="黑体" w:cs="宋体"/>
                <w:color w:val="auto"/>
                <w:kern w:val="0"/>
                <w:sz w:val="20"/>
                <w:szCs w:val="20"/>
                <w:highlight w:val="none"/>
              </w:rPr>
              <w:br w:type="page"/>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氯化钠晶体结构模型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球直径不小于30mm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氯化铯晶体结构模型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球直径不小于30mm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二氧化碳晶体结构模型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球直径不小于25mm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金属晶体结构模型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球直径不小于30mm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电子云杂化轨道模型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1.SP、SP2、SP3、Px、Py、Pz </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金属矿物、金属及合金标本</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各类不少于5种</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盒</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原油常见馏分标本</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不少于8种</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盒</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合成有机高分子材料标本</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不少于10种</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盒</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新型无机非金属材料标本</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氧化铝陶瓷、氮化硅陶瓷、光导纤维等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盒</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元素周期表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有外围电子层排布，带轴</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原电池原理挂图</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定制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钢铁的电化腐蚀挂图</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对开、铜板纸</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电解氯化铜溶液挂图</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对开、铜板纸</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量筒</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试管夹</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1.产品为竹制品。                                                                    2.长度170mm，宽度12mm，厚度7.5mm。                                                        3.试管夹弹簧有足够弹性，作防锈处理。                                                                                                                                                                                                            </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水止皮管夹</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钢丝制成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螺旋皮管夹</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钢材制成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石棉网</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铁网及石棉，铁网尺寸不小于100mm*100mm。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二连球</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由橡皮手捏充气球和橡皮贮气球及橡胶导气管相连接而成。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研钵</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瓷，60mm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研钵</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瓷，90mm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蒸发皿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瓷，60mm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蒸发皿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瓷，100mm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塑料多用滴管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白金丝</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φ0.5mm×50mm；具金属柄，可拆卸</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铝(条)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克</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葡萄糖</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试剂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克</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蔗糖</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克</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酒精</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0.95</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千克</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石蕊</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指示剂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克</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酚酞</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指示剂</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克</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品红</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染料</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克</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pH广范围试纸</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1～14</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本</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蓝石蕊试纸</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本</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尖嘴钳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把</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手锤</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把</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三角锉刀</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250mm带柄</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剪刀</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把</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玻璃瓶盖开启器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玻璃管切割器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工作服</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防酸碱</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护目镜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侧面完全遮挡</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防护面罩</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可提供颈部和头部保护</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防毒口罩</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有活性炭</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手套</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耐酸</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双</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手套</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一次性乳胶手套</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双</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洗眼器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简易急救箱</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实验防护屏</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易燃品储存柜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防火、防盗、防腐蚀</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毒害品储存柜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防火、防盗、防腐蚀</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有机化学分子结构模型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高中演示 球棍和比例都能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球径30和40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56个球   130根键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氧化钙晶体（胞）模型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直径23塑料球+金属杆组成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面心立方堆积（双色2体）</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由直径23塑料球+金属杆组成，堆积由直径30球球堆积组成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体心立方堆积（双色2体）</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由直径23塑料球+金属杆组成，堆积由直径30球球堆积组成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六方堆积（双色2体）</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由直径23塑料球+金属杆组成，堆积由直径30球球堆积组成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金属晶体</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直径23塑料球+金属杆组成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面心立方堆积ABC球模式模型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面心立方堆积（ABC）球棍式  由直径23塑料球+金属杆组成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铜晶胞模型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直径23塑料球+金属杆组成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碘晶胞模型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直径23塑料球+金属杆组成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石墨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直径23塑料球+金属杆组成</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微型溶液导电实验器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主要由溶液盒、电极、开关、灯座、灯泡组成。1.溶液盒为透明塑料制成，带盖，外形尺寸：78mm×44mm×50mm。2.电极为碳棒，直径3mm，长35mm。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原电池实验器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供中学化学课学生分组进行原电池实验用。2、产品由容器、电极板（铜板、锌板、铝板）、电极卡、容器盖、接线柱组成。3、容器由透明塑料制成，内腔尺寸：60mm×30mm×75mm。4.电极板尺寸：60mm×15mm×1mm。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金刚石</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二氧化硅</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二氧化碳晶胞模型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碘单质晶胞模型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直径23</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原子轨道模型(球形，哑铃形)</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s、px、py、pz、dx2-y2、dz2、dxy、dyz、dzx</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四水合铜离子模型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球棍  直径23</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酒精喷灯</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1.结构合理，制作精细、使用方便；                                             2.仪器由灯壶、灯管、空气调节器、预热壶、加料口等部分组成；                                             3.空气调节器应能自如的调节空气进量从而调节火焰大小；                                                                   4.仪器应密闭而无渗漏；                                                                5.灯壶加工精细，壶底无焊接；</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蒸馏烧瓶</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250mL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圆底烧瓶</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圆底，长颈，250mL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三颈烧瓶</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250mL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恒压滴液漏斗</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100ml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移液管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高中生物教学仪器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打孔器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四件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仪器车</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600*400*800</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辆</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生物显微镜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≥640倍</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生物显微镜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≥1000倍，双筒</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双目立体显微镜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40倍</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放大镜</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手持式，有效通光孔径不小于30mm，5倍</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酸度计(pH计)</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测量范围:pH 0～14，分辨率:0.1</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血球计数板</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片</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接种环</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金属手柄，合金金属丝</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支</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研磨过滤器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容量20mL</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普通手术剪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直尖头，140mm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把</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眼用手术剪</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直尖头，100mm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把</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解剖镊</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尖头，125mm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把</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解剖镊</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阔头，125mm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把</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眼用镊</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直唇头齿,100mm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把</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始祖鸟化石及复原模型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产品由始祖鸟化石模型及复原模型组成，分别置于底座上，模型应采用硬塑料或复合材料制作。始祖鸟化石模型外形尺寸不小于390mm×490mm。示头骨、脊柱、肋骨、附肢骨和羽毛印迹，各部形态正确清晰，并显示化石裂缝。骨化石与石块的颜色应有区别。始祖鸟复原模型的体长不小于450mm。符合JY0313-1991《始祖鸟化石模型及复原模型》的有关规定。</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细胞亚显微结构模型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符合国家教学仪器行业标准</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细胞膜结构模型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符合国家教学仪器行业标准</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减数分裂中染色体变化模型组件</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符合国家教学仪器行业标准</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DNA结构模型</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国标</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涂布器</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玻璃</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干热灭菌箱</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外形尺寸：530*480*420mm,电源电压AC220V 50Hz，输入功率500W.</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二苯胺</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100g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生长调节剂</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生根粉25g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瓶</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阶梯教室桌椅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座椅</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1.背绵：采用冷发泡高回弹定型PU海绵</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2.座绵：采用冷发泡高回弹定型PU海绵</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3.座/背板：优质高密度硬木多层板，厚度≥15mm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4.面料：采用优质麻绒面料；椅背拉线定位并加垫丝光绵；</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5.椅脚：冷轧板冲压，厚度2.0MM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6.写字板机构：配内藏式新型圆铁支架写字板；</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7.回复功能：采用弹簧加阻尼气杆回复机构。</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8.地爆螺钉：采用不锈钢内六角圆柱头螺钉与镀彩锌膨胀螺母。</w:t>
            </w:r>
          </w:p>
        </w:tc>
        <w:tc>
          <w:tcPr>
            <w:tcW w:w="10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张</w:t>
            </w:r>
          </w:p>
        </w:tc>
        <w:tc>
          <w:tcPr>
            <w:tcW w:w="1111"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会议桌</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高度80CM，高密度压实板，环保油漆</w:t>
            </w:r>
          </w:p>
        </w:tc>
        <w:tc>
          <w:tcPr>
            <w:tcW w:w="10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米</w:t>
            </w:r>
          </w:p>
        </w:tc>
        <w:tc>
          <w:tcPr>
            <w:tcW w:w="1111"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运动场提升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1、LED显示系统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全彩LED屏</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1.LED显示屏灯珠采用表贴三合一铜线封装；LED封装形式：SMD2121黑灯；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2.LED显示屏采用≤2.5mm点间距，像素点密度≥160000点/m</w:t>
            </w:r>
            <w:r>
              <w:rPr>
                <w:rFonts w:hint="eastAsia" w:ascii="宋体" w:hAnsi="宋体" w:cs="宋体"/>
                <w:color w:val="auto"/>
                <w:kern w:val="0"/>
                <w:sz w:val="20"/>
                <w:szCs w:val="20"/>
                <w:highlight w:val="none"/>
              </w:rPr>
              <w:t>²</w:t>
            </w:r>
            <w:r>
              <w:rPr>
                <w:rFonts w:hint="eastAsia" w:ascii="黑体" w:hAnsi="黑体" w:eastAsia="黑体" w:cs="黑体"/>
                <w:color w:val="auto"/>
                <w:kern w:val="0"/>
                <w:sz w:val="20"/>
                <w:szCs w:val="20"/>
                <w:highlight w:val="none"/>
              </w:rPr>
              <w:t>；</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3.LED显示屏模组尺寸（宽）320mm *（高）160mm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4.LED显示屏采用前/后维护安装方式，可正面拆卸模组、接收卡、电源，模组、接收卡等低压器件多次热插拔测试后都能正常工作；</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5.LED显示屏具备IP5X防护等级；</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6.LED显示屏亮度可达到200-600CD/m</w:t>
            </w:r>
            <w:r>
              <w:rPr>
                <w:rFonts w:hint="eastAsia" w:ascii="宋体" w:hAnsi="宋体" w:cs="宋体"/>
                <w:color w:val="auto"/>
                <w:kern w:val="0"/>
                <w:sz w:val="20"/>
                <w:szCs w:val="20"/>
                <w:highlight w:val="none"/>
              </w:rPr>
              <w:t>²</w:t>
            </w:r>
            <w:r>
              <w:rPr>
                <w:rFonts w:hint="eastAsia" w:ascii="黑体" w:hAnsi="黑体" w:eastAsia="黑体" w:cs="黑体"/>
                <w:color w:val="auto"/>
                <w:kern w:val="0"/>
                <w:sz w:val="20"/>
                <w:szCs w:val="20"/>
                <w:highlight w:val="none"/>
              </w:rPr>
              <w:t>，可通过配套软件</w:t>
            </w:r>
            <w:r>
              <w:rPr>
                <w:rFonts w:hint="eastAsia" w:ascii="黑体" w:hAnsi="黑体" w:eastAsia="黑体" w:cs="宋体"/>
                <w:color w:val="auto"/>
                <w:kern w:val="0"/>
                <w:sz w:val="20"/>
                <w:szCs w:val="20"/>
                <w:highlight w:val="none"/>
              </w:rPr>
              <w:t>0-100%多级调节，设置亮度定时调节，支持亮度传感器自动调节（手动/自动/软件任意调节）；LED显示屏对比度≥10000：1；LED显示屏亮度均匀性≥99%；LED显示色度均匀性±0.001Cx,Cy之内；</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7.LED显示屏杂点率≤1/100000且无连续失控点；LED显示屏像素中心距相对偏差≤1%；LED显示屏观看水平/垂直视角≥175°；</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8.LED显示屏平均故障恢复时间（MTTR）≤2分钟；</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9.LED显示屏刷新频率≥3840Hz，可通过配套控制软件调节刷新率设置选项；</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10.LED显示屏为保证播放效果，采用32S恒流驱动芯片；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11.LED显示屏色温1000K-20000K连续可调，可设冷色、暖色、标准等多档白场调节,色温为8500K时，100%、75%、50%、25%四档电平白场调节色温误差≤100K；</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12.LED显示屏峰值功耗：≤500W/㎡；LED显示屏平均功耗：≤168W/㎡；</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20.968</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视频处理器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1.支持≥3个窗口和≥1路OSD。</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2.支持快捷配屏和高级配屏功能。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3.支持HDMI、DVI输入分辨率自定义调节。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4.支持设备间备份设置。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5.视频输出最大带载高达390万像素，最大宽度10240像素，最大高度8192像素。</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6.支持带载屏体亮度调节。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7.支持一键将优先级最低的窗口全屏自动缩放。</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8.支持创建≥10个用户场景作为模板保存，方便使用。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9.支持选择HDMI输入源或DVI输入源作为同步信号，达到输出的场级同步。</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10.前面板配备直观的LCD显示界面，清晰的按键灯提示，简化了系统的控制操作。</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11.支持音频输入输出。</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显示屏控制设备嵌入式软件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1.一款用于LED显示屏控制和播放的专业软件。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2.支持视频、音频、图像、文字、Flash、Gif等形式的媒体文件播放；</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3.支持Microsoft office的Word、Excel、PPT显示；支持多页面多分区节目编辑；</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4.支持时钟、计时、网页、表格、数据库、天气预报显示；支持外部视频、环境信息、体育比分、桌面拷贝播放；</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5.支持对LED大屏幕的手工校正，同时兼容其它专业校正设备采集的校正数据；</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配电柜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1.额定功率：20KW，输出路数：≥6路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2.输入电压：三相五线制AC380V±10％，频率50Hz±5％，具有过压、浪涌、短路、过流、过载等保护功能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3.内置避雷器，具有避雷防雷功能。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4.配电柜含多功能卡控制，具有远程控制功能。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5.支持通过LED显示屏智慧控制系统软件实现远程开关电箱、远程通讯、电源监视、温度监控、消防监控等操作。</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台式电脑</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I5-10500 8G 1T Win10，21.5英寸 </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2、舞台灯光系统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面光</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1.输入电压：AC 110-240V 50/60Hz，200W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2.光源：COB 200W LED 2700K-7000K</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3.平均寿命：50000H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4.色温：2700K-7000K可调  显值Ra≥95</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5.光学角度：12-36度</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6.显示界面：LCD液晶显示+四按键 /可支持中英文切换</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7.信号输入/输出：3P-XLR输入/输出，DMX512信号。</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8.通道模式：3/6通道</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9.灯具材料：压铸铝</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10.工作环境：-20℃~45℃</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11.防护等级：IP20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12.灯具尺寸（L×W×H）：412.5×273×236mm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13.包装尺寸（L×W×H）：485×350×310mm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14.毛重：7.8KG（1PCS）</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15.净重：6.5KG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一顶光</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1.输入电压：AC 110-240V 50/60Hz，165W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2.光源：54×3W LED(R14G14B14W12)</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3.平均寿命：50000H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4.色温：3200K～7200K线性调节</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5.透镜角度：25°(15°、45°可选)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6.控制方式：多种声控、DMX512、内置程序自走、主从联机模式，支持RDM协议及程序在线更新功能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7.通道：4/8通道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8.灯具材料：铸铝外壳</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9.防护等级：防火V-1，防护IP20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10.灯具尺寸（L×W×H）：287×215×320mm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11.包装尺寸（L×W×H）：250×250×360mm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12.毛重：3.2kg</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13.净重：2.8kg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一顶光</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1.输入电压:AC 110-240V 50/60Hz，120W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2.光源:暖白300颗0.2W 2835 LED+冷白330颗0.2W 2835 LED</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3.平均寿命:30000H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4.色温:3000-6500K可调，CRI≥97，TLCI≥95</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5.通道:2/5通道</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6.控制模式:DMX信号控制或手动按键控制，支持RDM协议及程序在线更新功能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7.防护等级:IP20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8.灯具尺寸（L×W×H）:525×368×94mm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9.包装尺寸（L×W×H）:575×165×440mm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10.毛重:11.8kg</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11.净重:9.8kg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二顶光</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1.输入电压：AC 110-240V 50/60Hz，165W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2.光源：54×3W LED(R14G14B14W12)</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3.平均寿命：50000H</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4.色温：3200K～7200K线性调节</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5.透镜角度：25°(15°、45°可选)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6.控制方式：多种声控、DMX512、内置程序自走、主从联机模式，支持RDM协议及程序在线更新功能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7.通道：4/8通道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8.灯具材料：铸铝外壳</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9.防护等级：防火V-1，防护IP20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10.灯具尺寸（L×W×H）：287×215×320mm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11.包装尺寸（L×W×H）：250×250×360mm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12.毛重：3.2kg</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13.净重：2.8kg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二顶光（摇头灯）</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1.输入电压：AC110V-240V 50/60Hz ，350W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2.镇流器：电子镇流器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3.光源：OSRAM 251W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4.平均寿命：2000H</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5.色温：8000K</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6.光束角度：2.5°</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7.控制方式：DMX512协议，支持RDM协议及程序在线更新功能；支持Art-net以太网数据接口 （DMX无线功能选配）</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8.通道：14/17通道</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9.灯具材料：耐高温塑料+模压合金材料</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10.防护等级：IP20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11.灯具尺寸（L×W×H）：340×240×506mm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12.包装尺寸（L×W×H）：400×375×525mm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13.毛重：18.0kg</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14.净重：15.6kg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控制台</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1.输入电压：AC 100-240V/50-60Hz，15.6W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2.产品尺寸（L×W×H）：485×400×105</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3.净重：8kg</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4.纸箱尺寸（L×W×H）：565×485×210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5.纸箱毛重：10KG</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6.航空箱（L×W×H）：565×485×225</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7.航空箱毛重：17kg</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▲8.为保障所有系统兼容性和方便系统升级，售后统一管理，所投舞台灯光、灯光控台、线阵音箱、专业功放、数字调音台、网络中控主机、会议系统主机等设备为同一品牌。</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直通箱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1.供电：三相五线制AC380V±10％，频率50Hz±5％</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2.额定功率：12路×4kW，可适用于任何负载。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3.产品尺寸（L×W×H）:415×485×133mm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4.包装尺寸（L×W×H）:535×465×205mm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5.毛重:11.8kg</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6.净重:11.2kg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信号放大器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1.输入电压：AC 110-240V 50/60Hz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2.输出：DMX512/1990信号</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3.产品尺寸（L×W×H）：482×165×44.5mm，国际标准1U尺寸</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4.包装尺寸（L×W×H）：525×225×105mm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5.毛重：3.5kg</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6.净重：2.7kg</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5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vMerge w:val="restart"/>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无线话筒</w:t>
            </w:r>
          </w:p>
        </w:tc>
        <w:tc>
          <w:tcPr>
            <w:tcW w:w="5487" w:type="dxa"/>
            <w:vMerge w:val="restart"/>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1.调制方式：宽带调频（FM）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2.频率范围：530-580MHz，640-690MHz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3.信道数目：200个预置频道，通道间隔250kHz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4.频率稳定度：±0.005%</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5.动态范围：100dB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6.最大频偏：±48kHz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7.音频频率响应：50Hz-16.5kHz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8.综合信噪比：105dB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9.综合失真：≤0.3%</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10.相邻信道抑制：≥70dB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11.工作距离：约100-150m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接收机指标</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1.接收方式：自动选讯接收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2.振荡方式：锁相环（PLL）频率合成</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3.天线输入：BNC插座/（50Ω）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4.中频：110MHz，10.7MHz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5.灵敏度：12dBuV(80dBS/N)</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6.杂散抑制：≥75dB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7.最大输出电平：+10dBV</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8.供电：DC 12V-1A</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9.工作电流：≤500mA</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10.产品尺寸（L×D×H）：420×159×43mm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11.净重：2.785kg</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发射器指标</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1.天线：手持麦克风内置螺旋天线</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2.射频输出功率：30mW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3.拾音头：动圈式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4.杂散抑制：-60dB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5.供电：两节AA碱性电池</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6.电池寿命：&gt;6小时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7.工作环境温度：-10℃到+50℃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8.功耗：10W</w:t>
            </w:r>
          </w:p>
        </w:tc>
        <w:tc>
          <w:tcPr>
            <w:tcW w:w="10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6" w:type="dxa"/>
            <w:vMerge w:val="continue"/>
            <w:vAlign w:val="center"/>
          </w:tcPr>
          <w:p>
            <w:pPr>
              <w:jc w:val="left"/>
              <w:rPr>
                <w:rFonts w:ascii="黑体" w:hAnsi="黑体" w:eastAsia="黑体" w:cs="宋体"/>
                <w:color w:val="auto"/>
                <w:kern w:val="0"/>
                <w:sz w:val="20"/>
                <w:szCs w:val="20"/>
                <w:highlight w:val="none"/>
              </w:rPr>
            </w:pPr>
          </w:p>
        </w:tc>
        <w:tc>
          <w:tcPr>
            <w:tcW w:w="816" w:type="dxa"/>
            <w:vMerge w:val="continue"/>
            <w:vAlign w:val="center"/>
          </w:tcPr>
          <w:p>
            <w:pPr>
              <w:jc w:val="left"/>
              <w:rPr>
                <w:rFonts w:ascii="黑体" w:hAnsi="黑体" w:eastAsia="黑体" w:cs="宋体"/>
                <w:color w:val="auto"/>
                <w:kern w:val="0"/>
                <w:sz w:val="20"/>
                <w:szCs w:val="20"/>
                <w:highlight w:val="none"/>
              </w:rPr>
            </w:pPr>
          </w:p>
        </w:tc>
        <w:tc>
          <w:tcPr>
            <w:tcW w:w="5487" w:type="dxa"/>
            <w:vMerge w:val="continue"/>
            <w:vAlign w:val="center"/>
          </w:tcPr>
          <w:p>
            <w:pPr>
              <w:jc w:val="left"/>
              <w:rPr>
                <w:rFonts w:ascii="黑体" w:hAnsi="黑体" w:eastAsia="黑体" w:cs="宋体"/>
                <w:color w:val="auto"/>
                <w:kern w:val="0"/>
                <w:sz w:val="20"/>
                <w:szCs w:val="20"/>
                <w:highlight w:val="none"/>
              </w:rPr>
            </w:pPr>
          </w:p>
        </w:tc>
        <w:tc>
          <w:tcPr>
            <w:tcW w:w="1016" w:type="dxa"/>
            <w:vMerge w:val="continue"/>
            <w:vAlign w:val="center"/>
          </w:tcPr>
          <w:p>
            <w:pPr>
              <w:jc w:val="left"/>
              <w:rPr>
                <w:rFonts w:ascii="黑体" w:hAnsi="黑体" w:eastAsia="黑体" w:cs="宋体"/>
                <w:color w:val="auto"/>
                <w:kern w:val="0"/>
                <w:sz w:val="20"/>
                <w:szCs w:val="20"/>
                <w:highlight w:val="none"/>
              </w:rPr>
            </w:pPr>
          </w:p>
        </w:tc>
        <w:tc>
          <w:tcPr>
            <w:tcW w:w="1111" w:type="dxa"/>
            <w:vMerge w:val="continue"/>
            <w:vAlign w:val="center"/>
          </w:tcPr>
          <w:p>
            <w:pPr>
              <w:jc w:val="left"/>
              <w:rPr>
                <w:rFonts w:ascii="黑体" w:hAnsi="黑体" w:eastAsia="黑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话筒呼叫控制嵌入软件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技术参数：</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1.软件内嵌于无线话筒系统设备，话筒呼叫控制功能。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2.采用UHF超高频段双真分集接收，并采用PLL锁相环多信道频率合成技术。</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3.支持自动选讯接收方式。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4.支持信道选择、频率可调、可设置主机与话筒配对。</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5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vMerge w:val="restart"/>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无线话筒</w:t>
            </w:r>
          </w:p>
        </w:tc>
        <w:tc>
          <w:tcPr>
            <w:tcW w:w="5487" w:type="dxa"/>
            <w:vMerge w:val="restart"/>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1.调制方式：宽带调频（FM）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2.频率范围：530-580MHz，640-690MHz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3.信道数目：200个预置频道，通道间隔250kHz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4.频率稳定度：±0.005%</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5.动态范围：100dB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6.最大频偏：±48kHz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7.音频频率响应：50Hz-16.5kHz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8.综合信噪比：105dB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9.综合失真：≤0.3%</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10.相邻信道抑制：≥70dB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11.工作距离：约100-150m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接收机指标</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1.接收方式：自动选讯接收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2.振荡方式：锁相环（PLL）频率合成</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3.天线输入：BNC插座/（50Ω）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4.中频：110MHz，10.7MHz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5.灵敏度：12dBuV(80dBS/N)</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6.杂散抑制：≥75dB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7.最大输出电平：+10dBV</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8.供电：DC 12V-1A</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9.工作电流：≤500mA</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10.产品尺寸（L×D×H）：420×159×43mm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11.净重：2.785kg</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发射器指标</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1.天线：腰挂发射器采用1/4波长鞭状天线</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2.射频输出功率：30mW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3.拾音头：电容式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4.杂散抑制：-60dB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5.供电：两节AA碱性电池</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6.电池寿命：&gt;6小时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7.工作环境温度：-10℃到+50℃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8.功耗：10W</w:t>
            </w:r>
          </w:p>
        </w:tc>
        <w:tc>
          <w:tcPr>
            <w:tcW w:w="10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16" w:type="dxa"/>
            <w:vMerge w:val="continue"/>
            <w:vAlign w:val="center"/>
          </w:tcPr>
          <w:p>
            <w:pPr>
              <w:jc w:val="left"/>
              <w:rPr>
                <w:rFonts w:ascii="黑体" w:hAnsi="黑体" w:eastAsia="黑体" w:cs="宋体"/>
                <w:color w:val="auto"/>
                <w:kern w:val="0"/>
                <w:sz w:val="20"/>
                <w:szCs w:val="20"/>
                <w:highlight w:val="none"/>
              </w:rPr>
            </w:pPr>
          </w:p>
        </w:tc>
        <w:tc>
          <w:tcPr>
            <w:tcW w:w="816" w:type="dxa"/>
            <w:vMerge w:val="continue"/>
            <w:vAlign w:val="center"/>
          </w:tcPr>
          <w:p>
            <w:pPr>
              <w:jc w:val="left"/>
              <w:rPr>
                <w:rFonts w:ascii="黑体" w:hAnsi="黑体" w:eastAsia="黑体" w:cs="宋体"/>
                <w:color w:val="auto"/>
                <w:kern w:val="0"/>
                <w:sz w:val="20"/>
                <w:szCs w:val="20"/>
                <w:highlight w:val="none"/>
              </w:rPr>
            </w:pPr>
          </w:p>
        </w:tc>
        <w:tc>
          <w:tcPr>
            <w:tcW w:w="5487" w:type="dxa"/>
            <w:vMerge w:val="continue"/>
            <w:vAlign w:val="center"/>
          </w:tcPr>
          <w:p>
            <w:pPr>
              <w:jc w:val="left"/>
              <w:rPr>
                <w:rFonts w:ascii="黑体" w:hAnsi="黑体" w:eastAsia="黑体" w:cs="宋体"/>
                <w:color w:val="auto"/>
                <w:kern w:val="0"/>
                <w:sz w:val="20"/>
                <w:szCs w:val="20"/>
                <w:highlight w:val="none"/>
              </w:rPr>
            </w:pPr>
          </w:p>
        </w:tc>
        <w:tc>
          <w:tcPr>
            <w:tcW w:w="1016" w:type="dxa"/>
            <w:vMerge w:val="continue"/>
            <w:vAlign w:val="center"/>
          </w:tcPr>
          <w:p>
            <w:pPr>
              <w:jc w:val="left"/>
              <w:rPr>
                <w:rFonts w:ascii="黑体" w:hAnsi="黑体" w:eastAsia="黑体" w:cs="宋体"/>
                <w:color w:val="auto"/>
                <w:kern w:val="0"/>
                <w:sz w:val="20"/>
                <w:szCs w:val="20"/>
                <w:highlight w:val="none"/>
              </w:rPr>
            </w:pPr>
          </w:p>
        </w:tc>
        <w:tc>
          <w:tcPr>
            <w:tcW w:w="1111" w:type="dxa"/>
            <w:vMerge w:val="continue"/>
            <w:vAlign w:val="center"/>
          </w:tcPr>
          <w:p>
            <w:pPr>
              <w:jc w:val="left"/>
              <w:rPr>
                <w:rFonts w:ascii="黑体" w:hAnsi="黑体" w:eastAsia="黑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话筒呼叫控制嵌入软件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技术参数：</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1.软件内嵌于无线话筒系统设备，话筒呼叫控制功能。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2.采用UHF超高频段双真分集接收，并采用PLL锁相环多信道频率合成技术。</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3.支持自动选讯接收方式。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4.支持信道选择、频率可调、可设置主机与话筒配对。</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话筒天线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1.射频频率范围：450-950MHz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2.供电方式：BNC，8-12V DC</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3.电流：0.04A</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4.驻波比：≤2.0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5.输入阻抗：50Ω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6.放大器底噪：＜3.6dB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7.增益：18db(典型)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8.极化方式：垂直</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9.前后比：≥25dB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10.接头类型：BNC</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11.指向性：180度指向</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天线分配器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 xml:space="preserve">1.频率范围：450MHz -950MHz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2.总增益：0dB，±2dB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3.输入/出阻抗：50Ω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4.天线供电：+12V DC/0.1A  中央点为正极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5.直流输出：12V DC/3A（MAX）*4组  中央点为正极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6.电源：100-240V AC，50/60Hz，12V DC/3A</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7.连接器端口：BNC</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数字调音台</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1.具有≥10.1英寸1280x800真彩电阻触摸屏、数字编码器以及按键构成的操作面板，能够快速方便地进行设置。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2.具有≥17个电动推子，电动推子可操控：≥1个LR主声道推子、≥16个通道推子。（提供≥17个电动推子的产品图佐证）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3.支持中英文界面切换，且无需重启。</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4.内置USB录音、放音功能。能够识别USB电子盘内的中英文歌曲名，具备快进、下一曲、快速暂停等功能，非常方便现场操作；且支持播放APE、FLAC、MP3、WAV无损音频格式。</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5.内置≥16个通道独立的反馈抑制器，内置≥16路自动混音（增益共享型）。（提供功能界面佐证）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6.具有≥2个内置效果器，自带有经典混响、大房间混响等效果模块；FX音效可使用专用的返回通道返回到混音且不占用单声道和立体声输入通道。</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7.支持iPad触摸屏全功能控制，实时数据同步；支持≥8个终端同时控制。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8.可通过网络或者USB升级ARM固件、DSP固件。</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9.每个输入通道具有≥4段参数均衡、噪声门、高低通、压缩、反相。（提供功能界面佐证）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10.每个输出通道具有≥8段参数均衡、高低通、压缩、反相、延时器。（提供功能界面佐证）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11.模拟输入≥24CH ( MIC/Line)；输出通道支持L/R、10BUS、HeadPhone(L/R)，10BUS混音总线可选择推子前、推子后（PRE/POST）。</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12.支持≥100组场景预设功能，可导出、导入USB存储器，便于数据备份；支持32个PEQ模式存储。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13.内置信号发生器：正弦波、粉红噪声、白噪声。</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14.支持通道参数拷贝功能，相同的通道快速复制数据，通道名称可自定义。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15.接线方式：平衡式输入、输出卡侬。</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16.支持≥8个推子编组、≥8个用户自定义按键、≥4个快速静音组按键。</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17.具有面板锁定按键，防止误操作。</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音频处理器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1.数字音频处理器支持≥12路平衡式话筒/线路输入通道，采用裸线接口端子，平衡接法；支持≥12路平衡式线路输出，采用裸线接口端子，平衡接法。</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2.输入通道支持前级放大、信号发生器、扩展器、压缩器、≥5段参量均衡、AM自动混音功能、AFC自适应反馈消除、AEC回声消除、ANC噪声消除。</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3.输出通道支持≥31段图示均衡器、延时器、分频器、高低通滤波器、限幅器。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4.支持≥24bit/48kHz的声音，支持输入通道48V幻象供电。</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5.具有液晶显示屏，支持显示设备网络信息、实时电平、通道静音状态、矩阵混音状态。（提供设备界面截图佐证）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6.支持通过ipad或iPhone或安卓手机APP软件进行操作控制，面板具备USB接口。（提供功能界面截图及接口截图佐证）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7.配置双向RS-232接口，可用于控制外部设备；配置RS-485接口，可实现自动摄像跟踪功能。配置≥8通道可编程GPIO控制接口（可自定义输入输出）。</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8.支持断电自动保护记忆功能。支持通道拷贝、粘贴、联控功能。支持通过浏览器访问设备，下载自带管理控制软件；可工作在XP/Windows7、8、10等系统环境下。</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线阵音箱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1.箱体采用优质夹板制作、体积小、质量轻、耐磨喷漆处理。</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2.由2个5"钕磁中低频单元，1个1.73"钕磁高频驱动器组成，灵敏度高。</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3.精确设计的分频器优化功率响应及人声部分的中频表现力。</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4.采用吊装组合线阵设计，允许0-10度范围调整音箱覆盖区域。</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5.专业吊挂件组合，简易快捷的吊挂方式，易于音响工程装配。</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6.产品应用范围广,与TA专业功放、前级效果处理器配套使用，适用于会议室，多功能厅，宴会厅等扩声使用。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技术参数：</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1.类型：2分频线性阵列音箱</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2.额定功率：200W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3.峰值功率：800W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4.标称阻抗：16Ω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5.频率范围：65Hz-20KHz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6.灵敏度：100dB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7.最大声压级（额定/峰值）：123dB/129dB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8.低频扬声器：5"低音*2</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9.高频扬声器：1.73"压缩驱动器*1</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10.水平覆盖角(-6dB)：120°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11.垂直覆盖角(-6dB)：10°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12.重量：9.2kg</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13.尺寸(H×W×D)：(167+118)×455×315mm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专业功放</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1.输出功率：立体声@8Ω：350W×2；立体声@4Ω：600W×2</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2.输入灵敏度：2.2dBu(1V)</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 xml:space="preserve">3.输入阻抗：10KΩ </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4.频率响应(@1W功率下)：20Hz-20KHz/±1dB @8Ω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5.THD+N(@1/8功率下) ：≤0.01%</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6.分离度(@1KHz) ：≥80dB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 xml:space="preserve">7.阻尼系数(@1KHz) ：≥200@ 8 ohms </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8.信噪比（A计权）：≥93dB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9.输入电压：~220V/50Hz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10.最大功耗：850W</w:t>
            </w:r>
            <w:r>
              <w:rPr>
                <w:rFonts w:hint="eastAsia" w:ascii="黑体" w:hAnsi="黑体" w:eastAsia="黑体" w:cs="宋体"/>
                <w:color w:val="auto"/>
                <w:kern w:val="0"/>
                <w:sz w:val="20"/>
                <w:szCs w:val="20"/>
                <w:highlight w:val="none"/>
              </w:rPr>
              <w:br w:type="page"/>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YT支架</w:t>
            </w:r>
          </w:p>
        </w:tc>
        <w:tc>
          <w:tcPr>
            <w:tcW w:w="5487" w:type="dxa"/>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产品尺寸：453*448*55mm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YT支架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1.标配长度：6米</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2.尺寸：320*220*170mm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3.材质：国标G80级锰钢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4.外壳：加厚合金钢，采用45号钢并淬火处理，更好保护内部结构</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5.表面处理：淬火工艺+镀锌</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6.颜色：黄色+红色</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7.链条破断应力：≥800Mpa</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8.刹车系统：双重干式，有效控制升降系统，稳定升降，安全保障</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9.轴承：滚针轴承，顺滑导链不卡顿，操作更省力，使用稳定，寿命长</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专业音箱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1.阻抗：8Ω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2.频响：60Hz~20KHz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3.额定功率：200W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4.峰值功率：800W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5.灵敏度：96dB/W/M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6.最大声压级（额定/峰值）：119dB/126dB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7.覆盖角度：(H)80°(V)60°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8.高音：1.4"压缩高音单元×1</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9.低音：8"低音×1</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YT支架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固定面板孔位尺寸（长*宽）： 140mm*65mm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箱体固定面板孔位尺寸（长*宽）： 128mm*70mm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设备面板尺寸：160mm*90mm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专业功放</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1.输出功率：立体声@8Ω：350W×2；立体声@4Ω：600W×2</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2.输入灵敏度：2.2dBu(1V)</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 xml:space="preserve">3.输入阻抗：10KΩ </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4.频率响应(@1W功率下)：20Hz-20KHz/±1dB @8Ω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5.THD+N(@1/8功率下) ：≤0.01%</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6.分离度(@1KHz) ：≥80dB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 xml:space="preserve">7.阻尼系数(@1KHz) ：≥200@ 8 ohms </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8.信噪比（A计权）：≥93dB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9.输入电压：~220V/50Hz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10.最大功耗：850W</w:t>
            </w:r>
            <w:r>
              <w:rPr>
                <w:rFonts w:hint="eastAsia" w:ascii="黑体" w:hAnsi="黑体" w:eastAsia="黑体" w:cs="宋体"/>
                <w:color w:val="auto"/>
                <w:kern w:val="0"/>
                <w:sz w:val="20"/>
                <w:szCs w:val="20"/>
                <w:highlight w:val="none"/>
              </w:rPr>
              <w:br w:type="page"/>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专业音箱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1.阻抗：8Ω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2.频响：60Hz-20KHz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3.额定功率：300W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4.峰值功率：1200W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5.灵敏度：98dB/W/M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6.最大声压级（额定/峰值）：123dB/129dB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7.覆盖角度：(H)80°(V)60°</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8.高音：1.4"压缩高音单元×1</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9.低音：10"低音×1</w:t>
            </w:r>
            <w:r>
              <w:rPr>
                <w:rFonts w:hint="eastAsia" w:ascii="黑体" w:hAnsi="黑体" w:eastAsia="黑体" w:cs="宋体"/>
                <w:color w:val="auto"/>
                <w:kern w:val="0"/>
                <w:sz w:val="20"/>
                <w:szCs w:val="20"/>
                <w:highlight w:val="none"/>
              </w:rPr>
              <w:br w:type="page"/>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专业功放</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1.输出功率：立体声@8Ω：500W×2；立体声@4Ω：850W×2；桥接@8Ω：1700W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2.输入灵敏度：2.2dBu(1V)/8.2dBu(2V)</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3.输入阻抗：10KΩ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4.频率响应(@1W功率下)：20Hz-20KHz/±1dB @8Ω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5.THD+N(@1/8功率下) ：≤0.01%</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6.分离度(@1KHz) ：≥80dB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7.阻尼系数(@1KHz) ：≥200@ 8 ohms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8.信噪比（A计权）：≥100dB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9.输入电压：~220V/50Hz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10.最大功耗：1200W</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专业音箱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1.阻抗：8Ω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2.频响：40Hz~400Hz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3.额定功率：500W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4.峰值功率：2000W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5.灵敏度：98dB/W/M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6.最大声压级（额定/峰值）：125dB/131dB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7.低音：15"低音×1</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专业功放</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1.输出功率*（1KHz/THD≤1％）：立体声8Ω：2*700W；立体声4Ω：2*1200W；立体声2Ω：2*1800W；桥接16Ω：1400W；桥接8Ω：2400W；桥接4Ω：3600W；</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2.连接座：XLR 接口</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3.电压增益 (@1KHz)：37.5dB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4.输入灵敏度：2.2dBU(1V)、8.2dBU(2V)、</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5.输入阻抗：10K Ω 非平衡、20KΩ 平衡</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6.频率响应(@1W功率下）：20Hz-20KHz/±1dB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7.THD+N(@1/8功率下）：≤0.01％</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8.信噪比 (A计权)：≥102dB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9.阻尼系数 (@ 1KHz)：≥200@ 8 ohms</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10.分离度 (@1KHz)：≥85dB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11.保护方式：过压保护、欠压保护、过流保护、直流保护、短路保护</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12.指示灯：电源 、保护、信号、失真</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13.冷却方式：风扇冷却</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14.供电：~ 220 50Hz</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15.最大功耗：1800W</w:t>
            </w:r>
            <w:r>
              <w:rPr>
                <w:rFonts w:hint="eastAsia" w:ascii="黑体" w:hAnsi="黑体" w:eastAsia="黑体" w:cs="宋体"/>
                <w:color w:val="auto"/>
                <w:kern w:val="0"/>
                <w:sz w:val="20"/>
                <w:szCs w:val="20"/>
                <w:highlight w:val="none"/>
              </w:rPr>
              <w:br w:type="page"/>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4、无线数字会议发言系统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5" w:hRule="atLeast"/>
        </w:trPr>
        <w:tc>
          <w:tcPr>
            <w:tcW w:w="5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vMerge w:val="restart"/>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会议系统主机</w:t>
            </w:r>
          </w:p>
        </w:tc>
        <w:tc>
          <w:tcPr>
            <w:tcW w:w="5487" w:type="dxa"/>
            <w:vMerge w:val="restart"/>
            <w:shd w:val="clear" w:color="000000" w:fill="FFFFFF"/>
            <w:vAlign w:val="center"/>
          </w:tcPr>
          <w:p>
            <w:pPr>
              <w:jc w:val="left"/>
              <w:textAlignment w:val="center"/>
              <w:rPr>
                <w:rFonts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1.设备具有音频时钟同步传输技术，音频延时小于5ms。</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2.内置高性能DSP处理器，具有音频矩阵、啸叫抑制、EQ、音量、延时器等调节功能。</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3.音频输入接口包括有≥1路RCA、≥1路卡侬头、≥2路凤凰端子。音频输出接口包括有≥1路RCA、≥1路卡侬头、≥16路凤凰端子。支持≥16通道音频输出功能，可灵活配置为角色分离输出模式、同传输出模式、相控输出模式。每个输出通道都可以调节EQ、音量、延时器等参数。（提供设备接口图及功能界面截图佐证）</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4.支持≥16通道角色分离输出模式，可使有线或无线单元根据ID号独立输出，最大支持128路有线单元或无线单元独立音频输出，并支持通过录音软件实现每个单元独立录音、或语音转写设备对接实现角色分离。</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5.支持≥16通道同传输出模式，可使同传音频根据通道号独立输出，可供录音或监听设备使用。且输出通道数量，可通过外部设备扩展。</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6.支持≥16通道相控输出模式，内置≥nx16音频矩阵处理器，实现≥16通道分组输出功能。可使任意输入源（包括所有输入源和在线话筒），按任意音量比例，输出到任意通道。</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7.会议主机采用TCP/IP网络协议，且同时支持C/S、B/S架构，可供PC软件或浏览器控制。</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8.通过WEB控制音频矩阵参数（包括EQ、音量、延时器、话筒灵敏度等）、输出模式切换、开关话筒同步、中英俄法四种语言切换、控制角色分离主机。（提供功能界面截图佐证）（出具满足该参数的第三方权威机构检测报告，提供相关证明材料）</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9.超大系统容量，系统最大支持4096台有线会议单元和300台无线会议单元。系统最大发言数量为16个有线话筒和8个无线话筒。</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10.支持环形手拉手功能，确保在其中的一条网线断开或者单元出问题时，会议能继续正常进行。</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11.具有支持中、英、俄、法文多种语言任意切换显示。</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12.PC软件可查看在线无线单元的电池电量、WiFi信号等信息状态；支持一键关闭所有无线单元、单独关闭某个无线单元。</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13.支持同声传译功能，系统最大可同时传输63+1的有线同声传译。</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14.具有消防报警联动触发接口，提供火灾报警信息，第一时间提醒会场人员紧急撤离，确保与会人员安全。</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15.具有1路RS-485接口，支持一台摄像机实现摄像跟踪，支持PELCO-D、VISCA控制协议。配合摄像跟踪主机达到多路视频自动跟踪功能。</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16.≥四种话筒管理模式:FIFO（先进先出）、NORMAL（普通模式）、VOICE（声控模式）、APPLY（申请模式）。</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17.系统具有发起会议签到、表决、选举、评级、满意度、自定义等功能。</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18.具有≥4.3英寸全彩触摸屏，可实现对参数设置或查看，进行任意触摸操作。</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19.强大的编ID功能，可对有线单元、无线单元、译员机、角色分离主机进行编ID。</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20.具备USB录音功能，可录制和播放会议记录。</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21.支持≥10段 EQ调节功能，≥16路多功能输出通道与≥2路LINEOUT输出通道都具有≥10段 EQ调节功能。</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22.支持AP信道扫描，监测现场的无线信道使用情况，支持信道自动或手动配置最佳信道，支持AP名称在线显示列表。</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23.支持触摸屏幕输入注册码进行主机注册。</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24.支持对接语音转写服务器，实现语音转写功能</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25.会议主机具备设置主机或从机功能，当主机出现故障时，可自动切换至从机运行，实现双备份功能</w:t>
            </w:r>
          </w:p>
        </w:tc>
        <w:tc>
          <w:tcPr>
            <w:tcW w:w="10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trPr>
        <w:tc>
          <w:tcPr>
            <w:tcW w:w="516" w:type="dxa"/>
            <w:vMerge w:val="continue"/>
            <w:vAlign w:val="center"/>
          </w:tcPr>
          <w:p>
            <w:pPr>
              <w:jc w:val="left"/>
              <w:rPr>
                <w:rFonts w:ascii="黑体" w:hAnsi="黑体" w:eastAsia="黑体" w:cs="宋体"/>
                <w:color w:val="auto"/>
                <w:kern w:val="0"/>
                <w:sz w:val="20"/>
                <w:szCs w:val="20"/>
                <w:highlight w:val="none"/>
              </w:rPr>
            </w:pPr>
          </w:p>
        </w:tc>
        <w:tc>
          <w:tcPr>
            <w:tcW w:w="816" w:type="dxa"/>
            <w:vMerge w:val="continue"/>
            <w:vAlign w:val="center"/>
          </w:tcPr>
          <w:p>
            <w:pPr>
              <w:jc w:val="left"/>
              <w:rPr>
                <w:rFonts w:ascii="黑体" w:hAnsi="黑体" w:eastAsia="黑体" w:cs="宋体"/>
                <w:color w:val="auto"/>
                <w:kern w:val="0"/>
                <w:sz w:val="20"/>
                <w:szCs w:val="20"/>
                <w:highlight w:val="none"/>
              </w:rPr>
            </w:pPr>
          </w:p>
        </w:tc>
        <w:tc>
          <w:tcPr>
            <w:tcW w:w="5487" w:type="dxa"/>
            <w:vMerge w:val="continue"/>
            <w:vAlign w:val="center"/>
          </w:tcPr>
          <w:p>
            <w:pPr>
              <w:jc w:val="left"/>
              <w:rPr>
                <w:rFonts w:ascii="黑体" w:hAnsi="黑体" w:eastAsia="黑体" w:cs="宋体"/>
                <w:color w:val="auto"/>
                <w:kern w:val="0"/>
                <w:sz w:val="20"/>
                <w:szCs w:val="20"/>
                <w:highlight w:val="none"/>
              </w:rPr>
            </w:pPr>
          </w:p>
        </w:tc>
        <w:tc>
          <w:tcPr>
            <w:tcW w:w="1016" w:type="dxa"/>
            <w:vMerge w:val="continue"/>
            <w:vAlign w:val="center"/>
          </w:tcPr>
          <w:p>
            <w:pPr>
              <w:jc w:val="left"/>
              <w:rPr>
                <w:rFonts w:ascii="黑体" w:hAnsi="黑体" w:eastAsia="黑体" w:cs="宋体"/>
                <w:color w:val="auto"/>
                <w:kern w:val="0"/>
                <w:sz w:val="20"/>
                <w:szCs w:val="20"/>
                <w:highlight w:val="none"/>
              </w:rPr>
            </w:pPr>
          </w:p>
        </w:tc>
        <w:tc>
          <w:tcPr>
            <w:tcW w:w="1111" w:type="dxa"/>
            <w:vMerge w:val="continue"/>
            <w:vAlign w:val="center"/>
          </w:tcPr>
          <w:p>
            <w:pPr>
              <w:jc w:val="left"/>
              <w:rPr>
                <w:rFonts w:ascii="黑体" w:hAnsi="黑体" w:eastAsia="黑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全数字会议系统软件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1.软件内嵌于会议系统主机设备，应用于对传音会议系统音频传输软件的管理或控制。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2.支持同声传译功能。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3.内置DSP音频处理技术，支持EQ均衡调节音频处理能力。</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4.支持话筒管理能力，通过不同的模式限制话筒发言数量，保障会场发言秩序。</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5.软件支持根据话筒ID提供不同的代码编号给中控系统，与中控系统对接后，可实现摄像自动跟踪功能。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会议话筒处理器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1.具有自动混音功能，包括增益共享型自动混音以及门限型自动混音。具有自动增益功能，能够有效将话筒音量保持在一定动态范围。</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2.具有AFC反馈抑制功能，采用陷波+移频双方式，能够自动抓取啸叫点并设置陷波器陷波，陷波器支持≥12个固定点+≥12个动态点，可有效消除啸叫功能。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3.具有话筒语音激励功能，可设置跟踪阈值，当话筒发言达阈值时可实现联动摄像跟踪功能。具有EQ调节功能，输出具有≥31段图示均衡器调节。</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4.具有≥2路网口，用于连接无线AP和与会议主机通信；通过网络协议对接数字会议主机，实现音频数据传输。具有≥1路EXTENSION接口，用于连接会议主机扩展口。具有≥1路卡侬平衡输出，≥1路莲花非平衡输出。</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具有≥1路RS-485通信接口，支持对接摄像机实现摄像跟踪。具有≥1路RS-232通信接口（摄像跟踪），对接中控系统主机或摄像跟踪主机实现发言摄像跟踪功能。具有≥1路RS-232通信接口（语音转写），支持对接语音转写服务器，实现语音转写功能。（提供设备接口图佐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6.支持话筒同时开麦数量≥16个有线单元+≥8个无线单元。</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会议话筒</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1.采用心型指向性驻极体麦克风，要求内部具有DSP音频处理，没有“噗噗”的低频冲击声，内部具有反馈抑制功能，可有效地防止啸叫。</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2.采用≥128位AES加密技术，支持 WPA/WPA2 无线安全技术，防止窃听和非授权访问，提供更高的会议系统机密性。</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3.支持触摸按键签到功能。具备优先权功能，可关闭正在发言的所有代表话筒。具有声控功能，可智能打开话筒。具有发言计时和定时发言功能。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4.具备TYPE-C口，可进行升级程序和在线充电，内置容量锂电池，电池容量≥4800mAh，可持续≥15小时发言。</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5.支持后台≥5段EQ调节功能，可针对发言者的声音特点调节不同的音效。</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全数字会议系统音频传输内嵌软件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1.软件内嵌于会议单元设备，应用于对全数字会议系统音频传输软件的管理或控制。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2.支持中英文语言管理界面。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3.支持48KHz采样率音频处理能力。</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4.支持电池管理功能，可显示电量/信号等信息</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会议话筒</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1.采用心型指向性驻极体麦克风，要求内部具有DSP音频处理，没有“噗噗”的低频冲击声，内部具有反馈抑制功能，可有效地防止啸叫。</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2.采用≥128位AES加密技术，支持 WPA/WPA2 无线安全技术，防止窃听和非授权访问，提供更高的会议系统机密性.</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3.支持触摸按键签到功能。具有声控功能，可智能打开话筒。具有发言计时和定时发言功能。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4.具备TYPE-C口，可进行升级程序和在线充电，内置容量锂电池，电池容量≥4800mAh，可持续≥15小时发言。</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5.支持后台≥5段EQ调节功能，可针对发言者的声音特点调节不同的音效。</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全数字会议系统音频传输内嵌软件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1.软件内嵌于会议单元设备，应用于对全数字会议系统音频传输软件的管理或控制。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2.支持中英文语言管理界面。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3.支持48KHz采样率音频处理能力。</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4.支持电池管理功能，可显示电量/信号等信息</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发射器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1.遵从Wi-Fi 6协议标准（IEEE 802.11ax），向下兼容802.11a/b/g/n/ac/Wave2，支持MU-MIMO，允许AP同时接收多个终端发送数据，整机最大传输速率可达1.601Gbps</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2.支持OFDMA空间复用技术和1024QAM调制解调算法。</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3.支持中文SSID，可指定最长包含≥31个字符的SSID，也可以使用中英文混合的SSID</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4.支持WPA3安全协议，使会议内容更具保密性更安全。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5.支持优于80/160MHz的高带宽频段，能减少了拥堵，达到低延迟，提供更高的性能。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充电箱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1.充电箱具有≥10个USB接口，支持使用USB线充电，提供5V/9V供电。一端连接充电器一端连接会议单元,支持18W快充。支持同时插满所有USB接口，供设备批量充电。</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2.根据设备的耐受电流大小充电器会自动匹配合适的电流大小给设备充电，同时有过流保护功能，保证被充电单元的安全。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3.智能自动电路保护，所有USB插口均具有短路保护功能和自恢复功能。</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电源适配器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功率：30W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POE供电距离：100m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网口类型：千兆</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5、中央控制系统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5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vMerge w:val="restart"/>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网络中控主机</w:t>
            </w:r>
          </w:p>
        </w:tc>
        <w:tc>
          <w:tcPr>
            <w:tcW w:w="5487" w:type="dxa"/>
            <w:vMerge w:val="restart"/>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1.采用SMT全贴片式生产工艺，高度集成处理芯片，系统运行稳定、流畅。内置32位Cortex-A8 ARM架构内嵌式处理器，处理速度高达720MHz。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2.支持红外控制、RS-232、RS-422、RS-485、UDP、TCP、telnet、http、MQTT以及SNMP等多种协议，兼容性强，可对接第三方设备。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3.主机具备不少于4.3英寸触摸彩屏、≥8路独立可编程串口、≥8路独立可编程IR红外发射口、≥8路数字I/0控制口、≥8路弱电继电器控制接口、≥1个NET网络控制接口、≥1路TF卡接口。（提供设备接口图佐证）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4.支持状态反馈。操作人员可在控制端查看所有设备开关状态，设备受控情况一目了然，大大减轻操作人员工作强度，使用更加人性化。</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5.支持信号预览。用户可通过控制端查看会议摄像机画面并根据会议画面对设备进行调整，同时可查看多路画面。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6.支持双机热备份。当中控主机出现故障时，备用中控主机自动承担服务，切换时间小于1.2s，从而保证系统在不需要人工干预的情况下能正常运行。</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7.支持触发联动。中控主机可根据传感器采集数据和预设数据进行比对，从而自动控制空调或加湿器等设备，使环境维持在舒适的温湿度范围内。</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8.支持互联网控制。中控主机在连接互联网的情况下，用户可操作手机或平板等移动端通过互联网实现对中控主机远程控制。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9.支持语音控制。中控主机可搭配语音控制软件或支持对接主机的第三方语音音箱，通过将语音转换成中控指令，实现对周边设备控制或场景调用。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10.支持扫二维码控制。中控主机在连接互联网的情况下会在云平台自动生成二维码，通过微信或者浏览器扫一扫二维码，即可进入控制界面，实现对中控主机控制。支持密码权限设置。</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11.支持定时控制。用户可预先设置定时控制任务，到达指定时间后，中控主机自动执行控制任务。</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12.支持视频矩阵可视化控制。用户可通过控制端实时预览、拖动并切换矩阵视频信号，支持设置触碰和投放触发切换方式。</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13.支持拼接矩阵可视化控制。用户可通过控制端实时预览、放大、缩小、拖动并切换拼接矩阵视频信号，可对输入信号源进行置底、置顶以及一键清屏等操作，支持设置触碰和投放触发切换方式。</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14.支持电脑远程控制。当中控主机和电脑在同一局域网情况下，用户可通过控制端APP实时对电脑远程桌面控制并查看电脑工作状态。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15.对接云会务系统。用户通过手机APP或WEB端预约会议室时，可设置情景类型以及开始/结束时间。会议开始前，系统会自动调用场景，场景内所有设备联动启动或切换；会议结束后设备自动关闭。</w:t>
            </w:r>
          </w:p>
        </w:tc>
        <w:tc>
          <w:tcPr>
            <w:tcW w:w="1016"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vMerge w:val="restart"/>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9" w:hRule="atLeast"/>
        </w:trPr>
        <w:tc>
          <w:tcPr>
            <w:tcW w:w="516" w:type="dxa"/>
            <w:vMerge w:val="continue"/>
            <w:vAlign w:val="center"/>
          </w:tcPr>
          <w:p>
            <w:pPr>
              <w:jc w:val="left"/>
              <w:rPr>
                <w:rFonts w:ascii="黑体" w:hAnsi="黑体" w:eastAsia="黑体" w:cs="宋体"/>
                <w:color w:val="auto"/>
                <w:kern w:val="0"/>
                <w:sz w:val="20"/>
                <w:szCs w:val="20"/>
                <w:highlight w:val="none"/>
              </w:rPr>
            </w:pPr>
          </w:p>
        </w:tc>
        <w:tc>
          <w:tcPr>
            <w:tcW w:w="816" w:type="dxa"/>
            <w:vMerge w:val="continue"/>
            <w:vAlign w:val="center"/>
          </w:tcPr>
          <w:p>
            <w:pPr>
              <w:jc w:val="left"/>
              <w:rPr>
                <w:rFonts w:ascii="黑体" w:hAnsi="黑体" w:eastAsia="黑体" w:cs="宋体"/>
                <w:color w:val="auto"/>
                <w:kern w:val="0"/>
                <w:sz w:val="20"/>
                <w:szCs w:val="20"/>
                <w:highlight w:val="none"/>
              </w:rPr>
            </w:pPr>
          </w:p>
        </w:tc>
        <w:tc>
          <w:tcPr>
            <w:tcW w:w="5487" w:type="dxa"/>
            <w:vMerge w:val="continue"/>
            <w:vAlign w:val="center"/>
          </w:tcPr>
          <w:p>
            <w:pPr>
              <w:jc w:val="left"/>
              <w:rPr>
                <w:rFonts w:ascii="黑体" w:hAnsi="黑体" w:eastAsia="黑体" w:cs="宋体"/>
                <w:color w:val="auto"/>
                <w:kern w:val="0"/>
                <w:sz w:val="20"/>
                <w:szCs w:val="20"/>
                <w:highlight w:val="none"/>
              </w:rPr>
            </w:pPr>
          </w:p>
        </w:tc>
        <w:tc>
          <w:tcPr>
            <w:tcW w:w="1016" w:type="dxa"/>
            <w:vMerge w:val="continue"/>
            <w:vAlign w:val="center"/>
          </w:tcPr>
          <w:p>
            <w:pPr>
              <w:jc w:val="left"/>
              <w:rPr>
                <w:rFonts w:ascii="黑体" w:hAnsi="黑体" w:eastAsia="黑体" w:cs="宋体"/>
                <w:color w:val="auto"/>
                <w:kern w:val="0"/>
                <w:sz w:val="20"/>
                <w:szCs w:val="20"/>
                <w:highlight w:val="none"/>
              </w:rPr>
            </w:pPr>
          </w:p>
        </w:tc>
        <w:tc>
          <w:tcPr>
            <w:tcW w:w="1111" w:type="dxa"/>
            <w:vMerge w:val="continue"/>
            <w:vAlign w:val="center"/>
          </w:tcPr>
          <w:p>
            <w:pPr>
              <w:jc w:val="left"/>
              <w:rPr>
                <w:rFonts w:ascii="黑体" w:hAnsi="黑体" w:eastAsia="黑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网络中控系统逻辑处理内嵌软件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1.软件内嵌于中央控制系统主机设备，实现系统控制逻辑、处理等功能。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2.主要包括硬件逻辑模块、软件逻辑模块、红外代码管理、编译、下载、监视等。</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3.编程软件支持添加与实际工程对应硬件的逻辑模块。</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4.实现串口代码数据、IR红外数据、继电器、I/O数据等的代码转发、逻辑算法处理等编程功能。</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5.支持界面设计软件实现中控控制界面的制作及编辑，支持互锁模式，支持3D按键等灵活的按键设计模块。</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控制器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1.具有≥8路自动、手动电源控制器，内置8个20A继电器，最大负载能力4400W/单路；配合中控主机使用，用于控制灯光、电动投影幕、电动窗帘等会议室周边设备。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2.每路继电器都有三连接点的接线柱,具有常开与常闭的功能。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3.具有复位按键，支持恢复到出厂的默认设置。具有1路网络接口，支持通过网络实现远程控制。</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4.具有设备运行状态指示灯及8个继电器的开关状态指示灯。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5.具有键盘锁（LOCK）功能。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6.机器具备ID识别，通过中控主机网络控制多台时，可通过ID识别。</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触控屏</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1.设备采用操作系统不低于Android11，显示器≥10.1 英寸高清屏，显示画面≥1920*1200分辨率，显示屏≥五点触控，摄像头像素≥500W。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2.支持隐私保护功能，触摸屏拥有物理隐私拨片，滑动可遮挡摄像头，保护用户隐私。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3.支持场景调用。搭配中控主机可预先设置会议模式、观影模式、无人模式等多个场景模式。触摸屏只需一键操作即可完成场景内所有设备联动启动或切换，避免了繁琐的操作步骤。</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4.内置≥4个拾音麦，拾音距离≥7米；搭配中控主机支持通过语音助手控制切换矩阵显示画面、设备开关等功能。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5.内置距离传感器、光感、距离传感器。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6.具有指示灯，可根据会议状态切换指示灯显示状态，无需接近即可了解会议室使用情况。</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7.支持状态反馈，操作人员可在此面板端查看所有设备开关状态。</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平板电脑</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1.处理器：高通骁龙</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2.运行内存：8GB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3.机身内存：128GB</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4.操作系统：HarmonyOS</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路由器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1.最高无线速率可达3800Mbps</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2.四频并发，2.4GHz和5GHz两个频段负载均衡，保障网络性能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3.支持POE/DC供电</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4.LAN输出口：千兆网口</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机柜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47U加厚机柜，600*1000*2277mm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8口PDU国标电源插排×1，固定板部件×1,风扇×2,2"重型脚轮×4，M12支脚×4，M6方螺母螺钉×20，内六角扳手×1</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其他辅材</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电源适配器、线材等</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946" w:type="dxa"/>
            <w:gridSpan w:val="5"/>
            <w:shd w:val="clear" w:color="000000" w:fill="FFFFFF"/>
            <w:noWrap/>
            <w:vAlign w:val="center"/>
          </w:tcPr>
          <w:p>
            <w:pPr>
              <w:jc w:val="center"/>
              <w:rPr>
                <w:rFonts w:ascii="黑体" w:hAnsi="黑体" w:eastAsia="黑体" w:cs="宋体"/>
                <w:b/>
                <w:bCs/>
                <w:color w:val="auto"/>
                <w:kern w:val="0"/>
                <w:sz w:val="20"/>
                <w:szCs w:val="20"/>
                <w:highlight w:val="none"/>
              </w:rPr>
            </w:pPr>
            <w:r>
              <w:rPr>
                <w:rFonts w:hint="eastAsia" w:ascii="黑体" w:hAnsi="黑体" w:eastAsia="黑体" w:cs="宋体"/>
                <w:b/>
                <w:bCs/>
                <w:color w:val="auto"/>
                <w:kern w:val="0"/>
                <w:sz w:val="20"/>
                <w:szCs w:val="20"/>
                <w:highlight w:val="none"/>
              </w:rPr>
              <w:t>运动场（足球场）提升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无线话筒</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1.频率指标：≥530-580MHz，640-690MHz，调制方式：宽带FM，频道数目：≥200个频道。</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2.配套有≥1台接收主机和≥2个无线手持话筒。</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3.采用UHF超高频段双真分集接收，并采用PLL锁相环多信道频率合成技术。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4.接收机指标：采用自动选讯接收方式，灵敏度:≥12dB μV（80dBS/N)，频率响应:等同或优于50Hz-16.5kHz。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5.发射机指标：音头采用动圈式麦克风；手持麦克风内置螺旋天线。</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6.输出功率:≥30mW。</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话筒天线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1.天线接收频段广，可接收470-960MHZ的频率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2.天线极化方式：线性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3.天线驻波比：≤2.0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4.放大器增益：四档可调（-6dB/0dB/6dB/12dB)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5.放大器低噪：&lt;2.6dB</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分线盒</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1.通过内部补偿电路可以减少接线线损。</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2.在放大器系统中，通过此分线盒方便转接和安装。</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3.分线盒与强波器串连在线路中，方便连接。</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4.分线盒在线路中有隔离杂讯的功能，防止自激。</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天线分配器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1.提供≥2进≥8出的天线信号分配器设备。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2.简化天线装配工程，提升接收距离及效能。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3.两路天线信号接收到分配器的天线输入端。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4.两路信号输出到下一台分配器的天线输入端进行级联。</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放大器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1.频率范围：≥500MHZ-1GHZ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2.端子：TNC</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3.噪声＜3dB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4.增益＞15db</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数字调音台</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1.≥7英寸高清触摸屏，分辨率≥1024×600；数字编码器以及专用按键构成的操作面板。</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2.≥20路输入：≥12路话筒模拟输入；≥2组立体声输入（≥4个输入）；≥2路S/PDIF数字输入；≥2路USB立体声播放，</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3.≥12路输出：≥2路MAINLR母线输出；≥4路AUX辅助输出；≥2路MONITORLR监听输出；≥2路AES/EBU输出；≥2路S/PDIF数字输出；</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4.内置USB录音、播放功能，支持APE\MP3\FLAC\WAV音频格式；USB声卡支持多轨录音及播放；</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5.≥8个DCA编组、≥8个静音编组，输入输出、效果器通道均可编入；</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6.每路输入通道具有≥6段参量均衡器、压缩器、噪声门、极性、延时器；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7.每路输出通道具有≥8段参量均衡器、31段图示均衡器、高低通滤波器、压限器、延时器；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8.输入内置自适应陷波反馈抑制算法、自动混音；</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9.延时、合唱、混响、变调等多种效果器类型；</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10.支持≥255组场景预设，可导入USB存储，便于备份调用；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11.内置：正弦波、白/粉噪声信号发生器；</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12.独特的Link连接功能，可进行相邻通道绑定设置；防碰、误操作面板锁；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13.通道名自定义。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14.支持Windows、Linux、MacOS、Android、IOS等操作系统全功能控制软件。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音频处理器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1.数字音频处理器支持≥16路平衡式话筒/线路输入通道，采用裸线接口端子，平衡接法；支持≥16路平衡式线路输出，采用裸线接口端子，平衡接法。</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2.输入通道支持前级放大、信号发生器、扩展器、压缩器、≥12段参量均衡，≥31段图示均衡、闪避器、AGC自动增益、AM自动混音功能（门限式、增益共享式）、AFC自适应反馈消除、AEC回声消除、ANC噪声消除、音频矩阵。（提供设备界面截图佐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3.输出通道支持≥12段参量均衡，≥31段图示均衡、延时器、分频器、高低通滤波器、限幅器。</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4.高性能专业DSP处理器，支持≥32bit/48kHz的声音，支持输入通道48V幻象供电。</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5.具有2英寸IPS真彩显示屏，支持显示设备网络信息、实时电平、通道静音状态。</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6.支持通过APP软件进行操作控制，面板具备USB接口，支持多媒体存储，可进行播放或存储录播。</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7.配置双向RS-232接口，可用于控制外部设备；配置RS-485接口，可实现自动摄像跟踪功能。配置≥8通道可编程GPIO控制接口（可自定义输入输出）。</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8.支持断电自动保护记忆功能。支持通道拷贝、粘贴、联控功能。管理控制软件可工作在XP/Windows7、8、10等系统环境下。</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9.≥8个场景预设，支持场景信息导入、场景信息导出。</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线阵音箱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1.箱体采用进口桦木制作、耐磨喷漆处理；由二个10寸（250mm）的钕磁低频驱动器以及一个75mm钕磁高频驱动器组成。</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2.采用吊装组合线阵设计，允许0-14度范围调整音箱覆盖区域。专业吊挂件组合。</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3.功率≥700W；标称阻抗：8Ω。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4.频率范围：60Hz-20KHz，灵敏度≥104dB (1M/1W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5.低频扬声器：10" x 2，高频扬声器：75mm（3"）压缩驱动器×1，水平覆盖角(-6dB)≥110°；垂直覆盖角(-6dB)≥10°。</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专业功放</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1.双通道大功率专业数字功放；</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2.功放有直流、短路、过载、过热保护；</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3.采用可变震荡调制技术、多重反馈调控技术以及输出功率控制技术</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4.支持灵敏度1V/2V可选择切换，XLR平衡式输入/XLR 平衡式LINK输出；SPEAKON音响插座输出；</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5.输出功率（1KHz/THD≤1％）：连续功率：立体声8Ω×2：≥2*1000W；立体声4Ω×2：≥2*1700W；立体声2Ω×2：≥2*2900W；桥接16Ω：≥2000W；桥接8Ω：≥3400W；桥接4Ω：≥5800W；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6.电压增益 (@1KHz)：≥39dB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7.频率响应(@1W功率下）：≥20Hz-20KHz/±1dB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8.THD+N(@1/8功率下）：≤0.01％</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9.信噪比 (A计权)：≥105dB</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YT支架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YT支架包含：田字架1个，U型扣4个，连接杆4条。</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YT支架</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YT支架产品尺寸：736*791*68mm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 xml:space="preserve">木板厚度：18mm </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底部四个角装4个轮(带刹车)</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颜色：喷黑漆</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号角扬声器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1.频响：≥50Hz～18KHz@-10d</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2.额定功率：75W、150W、300W/100V ,400W/8Ω可选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3.峰值功率：1600W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4.最大声压级（额定/峰值）:127dB/135dB</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5.灵敏度≥103dB±3dB@（1W/1m）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6.水平覆盖角≥90°，垂直覆盖角≥90°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7.喇叭单元：15"低音×1，1.7"压缩高音单元×1</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专业功放</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1.1U机箱设计，采用D类数字功放设计方案。</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2.标准XLR输入接口，和LINK输出口。</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3.电源采用开关电源技术，效率高，有效的抑制电源谐波。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4.内置智能削峰限幅器，支持开机软启动，防止开机时向电网吸收大电流，干扰其它用电设备。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5.具有：过压保护，欠压保护，过流保护，直流保护，输出短路保护，温控风扇等功能。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6.输出功率：立体声@8Ω：≥700W×2；立体声@4Ω：≥1000W×2；桥接@16Ω：≥1400W；桥接@8Ω：≥2000W</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专业音箱</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1.阻抗：8Ω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2.频响：≥50Hz-20KHz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3.额定功率≥400W</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4.灵敏度≥99dB/W/M</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5.水平覆盖角≥80°，垂直覆盖角≥60°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6.高音：1.7"压缩高音单元×1；低音：12"低音×1</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7.防护等级：IP55</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4</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专业功放</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1.1U机箱设计，采用D类数字功放设计方案。</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2.标准XLR输入接口，和LINK输出口。</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3.电源采用开关电源技术，效率高，有效的抑制电源谐波。</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4.内置智能削峰限幅器，支持开机软启动，防止开机时向电网吸收大电流，干扰其它用电设备。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5.具有：过压保护，欠压保护，过流保护，直流保护，输出短路保护，温控风扇等功能。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6.输出功率：立体声@8Ω：≥700W×2；立体声@4Ω：≥1000W×2；桥接@16Ω：≥1400W；桥接@8Ω：≥2000W</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机柜</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32U机柜，600*800*1610mm</w:t>
            </w:r>
            <w:r>
              <w:rPr>
                <w:rFonts w:hint="eastAsia" w:ascii="黑体" w:hAnsi="黑体" w:eastAsia="黑体" w:cs="宋体"/>
                <w:color w:val="auto"/>
                <w:kern w:val="0"/>
                <w:sz w:val="20"/>
                <w:szCs w:val="20"/>
                <w:highlight w:val="none"/>
              </w:rPr>
              <w:br w:type="page"/>
            </w:r>
            <w:r>
              <w:rPr>
                <w:rFonts w:hint="eastAsia" w:ascii="黑体" w:hAnsi="黑体" w:eastAsia="黑体" w:cs="宋体"/>
                <w:color w:val="auto"/>
                <w:kern w:val="0"/>
                <w:sz w:val="20"/>
                <w:szCs w:val="20"/>
                <w:highlight w:val="none"/>
              </w:rPr>
              <w:t>8口PDU国标电源插排×1，固定板部件×1,风扇×4,2"重型脚轮×4，M12支脚×4，M6方螺母螺钉×20，内六角扳手×1</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17</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电源管理器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1.支持≥8通道电源时序打开/关闭，支持远程控制（上电+24V直流信号）8通道电源时序打开/关闭—当电源开关处于off位置时有效。支持配置CH1和CH2通道为受控或不受控状态。</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2.当远程控制有效时同时控制后板ALARM（报警）端口导通以起到级联控制ALARM（报警）功能。</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 xml:space="preserve">3.单个通道最大负载功率3500W，所有通道负载总功率达6000W，输入连接器：大功率线码式电源连接器。 </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4.输出连接器：≥2个16A，≥2个16A接线端子和≥4个10A电源插座。</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5.具有≥1路USB接口。</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18</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无线话筒</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1.具有≥1台接收主机、≥4只桌面式鹅颈咪杆话筒；频率范围：优于或等同540MHz-590MHz、640MHz-690MHz。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2.接收机具有≥4路平衡输出、≥1路非平衡混音输出。</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3.具有自动频率扫描功能，可快速地给麦克风找到清晰的频率。</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4.支持混响调节功能，比例调节、延时调节、电平调节不低于25个档位。</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5.支持麦克风均衡器调节功能，不低于高、中、低音三种调节档位。</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6.接收机具有显示屏，用户可通过显示屏查看设备发射功率强度、音频加密状态、电池电量、频率数值。</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7.桌面麦不低于1个3.5mm耳机孔，可通过3.5mm耳机孔输入音频。</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8.桌面麦支持通过Type-C口进行充电。</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9.桌面麦电池孔位不低于4个，连续使用时长不低于15小时；电池具有扩展性，连续使用时长可扩展至60小时。</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19</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话筒天线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1.射频频率范围：≥450-950MHz</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2.驻波比：≤2.0</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3.输入阻抗：50Ω</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4.指向性：≥180度指向</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20</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天线分配器</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1.具有≥2个信号输入接口，支持接收天线信号，实现放大射频信号的效果。</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2.具有≥8个天线信号输出接口，可将一对天线分频至4台（一拖二）接收机达到扩展无线话筒系统的目的。</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3.具有≥2个天线级联接口；支持级联分配器，可实现放大射频信号扩展无线话筒天线的目的。</w:t>
            </w:r>
            <w:r>
              <w:rPr>
                <w:rFonts w:hint="eastAsia" w:ascii="黑体" w:hAnsi="黑体" w:eastAsia="黑体" w:cs="宋体"/>
                <w:color w:val="auto"/>
                <w:kern w:val="0"/>
                <w:sz w:val="20"/>
                <w:szCs w:val="20"/>
                <w:highlight w:val="none"/>
              </w:rPr>
              <w:br w:type="textWrapping"/>
            </w:r>
            <w:r>
              <w:rPr>
                <w:rFonts w:hint="eastAsia" w:ascii="黑体" w:hAnsi="黑体" w:eastAsia="黑体" w:cs="宋体"/>
                <w:color w:val="auto"/>
                <w:kern w:val="0"/>
                <w:sz w:val="20"/>
                <w:szCs w:val="20"/>
                <w:highlight w:val="none"/>
              </w:rPr>
              <w:t>4.具有≥4个直流电源接口，支持给4台接收机提供供电。</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21</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YT音频连接线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3米YT音频连接线：卡侬头（母）*1卡侬头（公）*1，线径：0.3mm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22</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YT音频连接线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3米YT音频连接线：卡农头（母）*1，线径：0.3mm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23</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YT音频连接线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3米YT音频连接线：卡农头（公）*1，线径：0.3mm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16</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24</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YT音频连接线</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5米YT音频连接线：3.5（耳机插头）*1,6.35话筒插头*2,线径：0.3mm</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25</w:t>
            </w:r>
          </w:p>
        </w:tc>
        <w:tc>
          <w:tcPr>
            <w:tcW w:w="816" w:type="dxa"/>
            <w:shd w:val="clear" w:color="000000" w:fill="FFFFFF"/>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其他辅材</w:t>
            </w:r>
          </w:p>
        </w:tc>
        <w:tc>
          <w:tcPr>
            <w:tcW w:w="5487" w:type="dxa"/>
            <w:shd w:val="clear" w:color="000000" w:fill="FFFFFF"/>
            <w:vAlign w:val="center"/>
          </w:tcPr>
          <w:p>
            <w:pPr>
              <w:jc w:val="left"/>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各项线材、钢管、电工胶布、焊锡、热缩管、大二芯6.35单插头、镀金3.5mm立体声耳机公插头、卡农公头、卡农母头、BNC公头、BNC母头、10A插头、16A插头</w:t>
            </w:r>
          </w:p>
        </w:tc>
        <w:tc>
          <w:tcPr>
            <w:tcW w:w="1016"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1</w:t>
            </w:r>
          </w:p>
        </w:tc>
        <w:tc>
          <w:tcPr>
            <w:tcW w:w="1111" w:type="dxa"/>
            <w:shd w:val="clear" w:color="000000" w:fill="FFFFFF"/>
            <w:noWrap/>
            <w:vAlign w:val="center"/>
          </w:tcPr>
          <w:p>
            <w:pPr>
              <w:jc w:val="center"/>
              <w:rPr>
                <w:rFonts w:ascii="黑体" w:hAnsi="黑体" w:eastAsia="黑体" w:cs="宋体"/>
                <w:color w:val="auto"/>
                <w:kern w:val="0"/>
                <w:sz w:val="20"/>
                <w:szCs w:val="20"/>
                <w:highlight w:val="none"/>
              </w:rPr>
            </w:pPr>
            <w:r>
              <w:rPr>
                <w:rFonts w:hint="eastAsia" w:ascii="黑体" w:hAnsi="黑体" w:eastAsia="黑体" w:cs="宋体"/>
                <w:color w:val="auto"/>
                <w:kern w:val="0"/>
                <w:sz w:val="20"/>
                <w:szCs w:val="20"/>
                <w:highlight w:val="none"/>
              </w:rPr>
              <w:t>项</w:t>
            </w:r>
          </w:p>
        </w:tc>
      </w:tr>
    </w:tbl>
    <w:p>
      <w:pPr>
        <w:pStyle w:val="3"/>
        <w:rPr>
          <w:color w:val="auto"/>
          <w:highlight w:val="none"/>
        </w:rPr>
      </w:pPr>
    </w:p>
    <w:p>
      <w:pPr>
        <w:pStyle w:val="52"/>
        <w:pageBreakBefore/>
        <w:rPr>
          <w:rStyle w:val="62"/>
          <w:rFonts w:ascii="仿宋" w:hAnsi="仿宋" w:eastAsia="仿宋" w:cs="仿宋"/>
          <w:bCs/>
          <w:color w:val="auto"/>
          <w:sz w:val="32"/>
          <w:szCs w:val="32"/>
          <w:highlight w:val="none"/>
        </w:rPr>
      </w:pPr>
      <w:r>
        <w:rPr>
          <w:rStyle w:val="62"/>
          <w:rFonts w:ascii="仿宋" w:hAnsi="仿宋" w:eastAsia="仿宋" w:cs="仿宋"/>
          <w:bCs/>
          <w:color w:val="auto"/>
          <w:sz w:val="32"/>
          <w:szCs w:val="32"/>
          <w:highlight w:val="none"/>
        </w:rPr>
        <w:t xml:space="preserve">第六章 </w:t>
      </w:r>
      <w:r>
        <w:rPr>
          <w:rStyle w:val="62"/>
          <w:rFonts w:hint="eastAsia" w:ascii="仿宋" w:hAnsi="仿宋" w:eastAsia="仿宋" w:cs="仿宋"/>
          <w:bCs/>
          <w:color w:val="auto"/>
          <w:sz w:val="32"/>
          <w:szCs w:val="32"/>
          <w:highlight w:val="none"/>
        </w:rPr>
        <w:t>投标文件</w:t>
      </w:r>
      <w:r>
        <w:rPr>
          <w:rStyle w:val="62"/>
          <w:rFonts w:ascii="仿宋" w:hAnsi="仿宋" w:eastAsia="仿宋" w:cs="仿宋"/>
          <w:bCs/>
          <w:color w:val="auto"/>
          <w:sz w:val="32"/>
          <w:szCs w:val="32"/>
          <w:highlight w:val="none"/>
        </w:rPr>
        <w:t>格式</w:t>
      </w:r>
    </w:p>
    <w:p>
      <w:pPr>
        <w:pStyle w:val="122"/>
        <w:spacing w:before="312" w:after="312" w:line="600" w:lineRule="exact"/>
        <w:rPr>
          <w:rStyle w:val="62"/>
          <w:rFonts w:ascii="仿宋" w:hAnsi="仿宋" w:eastAsia="仿宋"/>
          <w:b/>
          <w:color w:val="auto"/>
          <w:sz w:val="44"/>
          <w:szCs w:val="44"/>
          <w:highlight w:val="none"/>
        </w:rPr>
      </w:pPr>
    </w:p>
    <w:p>
      <w:pPr>
        <w:pStyle w:val="122"/>
        <w:spacing w:before="312" w:after="312" w:line="600" w:lineRule="exact"/>
        <w:jc w:val="center"/>
        <w:rPr>
          <w:rStyle w:val="62"/>
          <w:rFonts w:ascii="仿宋" w:hAnsi="仿宋" w:eastAsia="仿宋" w:cs="仿宋"/>
          <w:b/>
          <w:bCs/>
          <w:color w:val="auto"/>
          <w:sz w:val="32"/>
          <w:highlight w:val="none"/>
          <w:u w:val="single"/>
        </w:rPr>
      </w:pPr>
    </w:p>
    <w:p>
      <w:pPr>
        <w:pStyle w:val="122"/>
        <w:spacing w:before="312" w:after="312"/>
        <w:jc w:val="center"/>
        <w:rPr>
          <w:rStyle w:val="62"/>
          <w:rFonts w:ascii="仿宋" w:hAnsi="仿宋" w:eastAsia="仿宋" w:cs="仿宋"/>
          <w:b/>
          <w:bCs/>
          <w:color w:val="auto"/>
          <w:sz w:val="84"/>
          <w:szCs w:val="84"/>
          <w:highlight w:val="none"/>
        </w:rPr>
      </w:pPr>
      <w:r>
        <w:rPr>
          <w:rStyle w:val="62"/>
          <w:rFonts w:ascii="仿宋" w:hAnsi="仿宋" w:eastAsia="仿宋" w:cs="仿宋"/>
          <w:b/>
          <w:bCs/>
          <w:color w:val="auto"/>
          <w:sz w:val="84"/>
          <w:szCs w:val="84"/>
          <w:highlight w:val="none"/>
        </w:rPr>
        <w:t>响应性文件</w:t>
      </w:r>
    </w:p>
    <w:p>
      <w:pPr>
        <w:pStyle w:val="122"/>
        <w:spacing w:before="312" w:after="312" w:line="600" w:lineRule="exact"/>
        <w:jc w:val="center"/>
        <w:rPr>
          <w:rStyle w:val="62"/>
          <w:rFonts w:ascii="仿宋" w:hAnsi="仿宋" w:eastAsia="仿宋" w:cs="仿宋"/>
          <w:b/>
          <w:bCs/>
          <w:color w:val="auto"/>
          <w:sz w:val="32"/>
          <w:highlight w:val="none"/>
          <w:u w:val="single"/>
        </w:rPr>
      </w:pPr>
      <w:r>
        <w:rPr>
          <w:rStyle w:val="62"/>
          <w:rFonts w:ascii="仿宋" w:hAnsi="仿宋" w:eastAsia="仿宋"/>
          <w:color w:val="auto"/>
          <w:sz w:val="28"/>
          <w:szCs w:val="28"/>
          <w:highlight w:val="none"/>
        </w:rPr>
        <w:t xml:space="preserve"> </w:t>
      </w:r>
    </w:p>
    <w:p>
      <w:pPr>
        <w:pStyle w:val="122"/>
        <w:spacing w:before="312" w:after="312" w:line="600" w:lineRule="exact"/>
        <w:jc w:val="center"/>
        <w:rPr>
          <w:rStyle w:val="62"/>
          <w:rFonts w:ascii="仿宋" w:hAnsi="仿宋" w:eastAsia="仿宋" w:cs="仿宋"/>
          <w:b/>
          <w:bCs/>
          <w:color w:val="auto"/>
          <w:sz w:val="32"/>
          <w:highlight w:val="none"/>
          <w:u w:val="single"/>
        </w:rPr>
      </w:pPr>
    </w:p>
    <w:p>
      <w:pPr>
        <w:pStyle w:val="122"/>
        <w:spacing w:before="312" w:after="312" w:line="600" w:lineRule="exact"/>
        <w:jc w:val="center"/>
        <w:rPr>
          <w:rStyle w:val="62"/>
          <w:rFonts w:ascii="仿宋" w:hAnsi="仿宋" w:eastAsia="仿宋" w:cs="仿宋"/>
          <w:b/>
          <w:bCs/>
          <w:color w:val="auto"/>
          <w:sz w:val="32"/>
          <w:highlight w:val="none"/>
          <w:u w:val="single"/>
        </w:rPr>
      </w:pPr>
    </w:p>
    <w:p>
      <w:pPr>
        <w:pStyle w:val="122"/>
        <w:spacing w:before="312" w:after="312" w:line="600" w:lineRule="exact"/>
        <w:jc w:val="center"/>
        <w:rPr>
          <w:rStyle w:val="62"/>
          <w:rFonts w:ascii="仿宋" w:hAnsi="仿宋" w:eastAsia="仿宋" w:cs="仿宋"/>
          <w:b/>
          <w:bCs/>
          <w:color w:val="auto"/>
          <w:sz w:val="32"/>
          <w:highlight w:val="none"/>
          <w:u w:val="single"/>
        </w:rPr>
      </w:pPr>
    </w:p>
    <w:p>
      <w:pPr>
        <w:pStyle w:val="122"/>
        <w:spacing w:before="312" w:after="312" w:line="600" w:lineRule="exact"/>
        <w:rPr>
          <w:rStyle w:val="62"/>
          <w:rFonts w:ascii="仿宋" w:hAnsi="仿宋" w:eastAsia="仿宋" w:cs="仿宋"/>
          <w:b/>
          <w:bCs/>
          <w:color w:val="auto"/>
          <w:sz w:val="32"/>
          <w:highlight w:val="none"/>
          <w:u w:val="single"/>
        </w:rPr>
      </w:pPr>
    </w:p>
    <w:p>
      <w:pPr>
        <w:pStyle w:val="122"/>
        <w:spacing w:before="312" w:after="312" w:line="600" w:lineRule="exact"/>
        <w:jc w:val="center"/>
        <w:rPr>
          <w:rStyle w:val="62"/>
          <w:rFonts w:ascii="仿宋" w:hAnsi="仿宋" w:eastAsia="仿宋" w:cs="仿宋"/>
          <w:b/>
          <w:bCs/>
          <w:color w:val="auto"/>
          <w:sz w:val="32"/>
          <w:highlight w:val="none"/>
          <w:u w:val="single"/>
        </w:rPr>
      </w:pPr>
    </w:p>
    <w:p>
      <w:pPr>
        <w:pStyle w:val="116"/>
        <w:spacing w:line="500" w:lineRule="exact"/>
        <w:ind w:left="1701" w:leftChars="504" w:hanging="643"/>
        <w:rPr>
          <w:rStyle w:val="62"/>
          <w:rFonts w:ascii="仿宋" w:hAnsi="仿宋" w:eastAsia="仿宋" w:cs="仿宋"/>
          <w:b/>
          <w:bCs/>
          <w:color w:val="auto"/>
          <w:sz w:val="32"/>
          <w:highlight w:val="none"/>
          <w:u w:val="single"/>
        </w:rPr>
      </w:pPr>
      <w:r>
        <w:rPr>
          <w:rStyle w:val="62"/>
          <w:rFonts w:ascii="仿宋" w:hAnsi="仿宋" w:eastAsia="仿宋" w:cs="仿宋"/>
          <w:b/>
          <w:bCs/>
          <w:color w:val="auto"/>
          <w:sz w:val="32"/>
          <w:highlight w:val="none"/>
        </w:rPr>
        <w:t>供  应  商：</w:t>
      </w:r>
      <w:r>
        <w:rPr>
          <w:rStyle w:val="62"/>
          <w:rFonts w:ascii="仿宋" w:hAnsi="仿宋" w:eastAsia="仿宋" w:cs="仿宋"/>
          <w:b/>
          <w:bCs/>
          <w:color w:val="auto"/>
          <w:sz w:val="32"/>
          <w:highlight w:val="none"/>
          <w:u w:val="single" w:color="000000"/>
        </w:rPr>
        <w:t>（单位电子签章）</w:t>
      </w:r>
    </w:p>
    <w:p>
      <w:pPr>
        <w:pStyle w:val="116"/>
        <w:spacing w:line="500" w:lineRule="exact"/>
        <w:ind w:left="1701" w:leftChars="504" w:hanging="643"/>
        <w:rPr>
          <w:rStyle w:val="62"/>
          <w:rFonts w:ascii="仿宋" w:hAnsi="仿宋" w:eastAsia="仿宋" w:cs="仿宋"/>
          <w:b/>
          <w:bCs/>
          <w:color w:val="auto"/>
          <w:sz w:val="32"/>
          <w:highlight w:val="none"/>
        </w:rPr>
      </w:pPr>
      <w:r>
        <w:rPr>
          <w:rStyle w:val="62"/>
          <w:rFonts w:ascii="仿宋" w:hAnsi="仿宋" w:eastAsia="仿宋" w:cs="仿宋"/>
          <w:b/>
          <w:bCs/>
          <w:color w:val="auto"/>
          <w:sz w:val="32"/>
          <w:highlight w:val="none"/>
        </w:rPr>
        <w:t>法定代表人：</w:t>
      </w:r>
      <w:r>
        <w:rPr>
          <w:rStyle w:val="62"/>
          <w:rFonts w:ascii="仿宋" w:hAnsi="仿宋" w:eastAsia="仿宋" w:cs="仿宋"/>
          <w:b/>
          <w:bCs/>
          <w:color w:val="auto"/>
          <w:sz w:val="32"/>
          <w:highlight w:val="none"/>
          <w:u w:val="single" w:color="000000"/>
        </w:rPr>
        <w:t>（电子签名或盖章）</w:t>
      </w:r>
    </w:p>
    <w:p>
      <w:pPr>
        <w:pStyle w:val="116"/>
        <w:spacing w:line="500" w:lineRule="exact"/>
        <w:ind w:left="1063" w:hanging="643"/>
        <w:rPr>
          <w:rStyle w:val="62"/>
          <w:rFonts w:ascii="仿宋" w:hAnsi="仿宋" w:eastAsia="仿宋" w:cs="仿宋"/>
          <w:b/>
          <w:bCs/>
          <w:color w:val="auto"/>
          <w:sz w:val="32"/>
          <w:highlight w:val="none"/>
        </w:rPr>
      </w:pPr>
    </w:p>
    <w:p>
      <w:pPr>
        <w:pStyle w:val="116"/>
        <w:spacing w:line="500" w:lineRule="exact"/>
        <w:ind w:left="643" w:leftChars="0" w:hanging="643"/>
        <w:jc w:val="center"/>
        <w:rPr>
          <w:rStyle w:val="62"/>
          <w:rFonts w:ascii="仿宋" w:hAnsi="仿宋" w:eastAsia="仿宋" w:cs="仿宋"/>
          <w:b/>
          <w:bCs/>
          <w:color w:val="auto"/>
          <w:sz w:val="32"/>
          <w:highlight w:val="none"/>
        </w:rPr>
      </w:pPr>
      <w:r>
        <w:rPr>
          <w:rStyle w:val="62"/>
          <w:rFonts w:ascii="仿宋" w:hAnsi="仿宋" w:eastAsia="仿宋" w:cs="仿宋"/>
          <w:b/>
          <w:bCs/>
          <w:color w:val="auto"/>
          <w:sz w:val="32"/>
          <w:highlight w:val="none"/>
        </w:rPr>
        <w:t>年   月   日</w:t>
      </w:r>
    </w:p>
    <w:p>
      <w:pPr>
        <w:pStyle w:val="116"/>
        <w:spacing w:line="500" w:lineRule="exact"/>
        <w:ind w:left="602" w:leftChars="0" w:hanging="602"/>
        <w:rPr>
          <w:rStyle w:val="62"/>
          <w:rFonts w:ascii="仿宋" w:hAnsi="仿宋" w:eastAsia="仿宋" w:cs="仿宋"/>
          <w:b/>
          <w:bCs/>
          <w:color w:val="auto"/>
          <w:sz w:val="30"/>
          <w:szCs w:val="30"/>
          <w:highlight w:val="none"/>
        </w:rPr>
      </w:pPr>
    </w:p>
    <w:p>
      <w:pPr>
        <w:pageBreakBefore/>
        <w:snapToGrid w:val="0"/>
        <w:spacing w:line="360" w:lineRule="auto"/>
        <w:jc w:val="center"/>
        <w:rPr>
          <w:rStyle w:val="62"/>
          <w:rFonts w:ascii="仿宋" w:hAnsi="仿宋" w:eastAsia="仿宋"/>
          <w:color w:val="auto"/>
          <w:kern w:val="0"/>
          <w:szCs w:val="21"/>
          <w:highlight w:val="none"/>
        </w:rPr>
      </w:pPr>
      <w:r>
        <w:rPr>
          <w:rStyle w:val="62"/>
          <w:rFonts w:ascii="仿宋" w:hAnsi="仿宋" w:eastAsia="仿宋"/>
          <w:color w:val="auto"/>
          <w:kern w:val="0"/>
          <w:sz w:val="32"/>
          <w:szCs w:val="32"/>
          <w:highlight w:val="none"/>
        </w:rPr>
        <w:t>目  录</w:t>
      </w:r>
    </w:p>
    <w:p>
      <w:pPr>
        <w:pStyle w:val="120"/>
        <w:spacing w:line="480" w:lineRule="exact"/>
        <w:jc w:val="both"/>
        <w:rPr>
          <w:rFonts w:hAnsi="宋体" w:cs="宋体"/>
          <w:color w:val="auto"/>
          <w:sz w:val="22"/>
          <w:szCs w:val="22"/>
          <w:highlight w:val="none"/>
        </w:rPr>
      </w:pPr>
      <w:bookmarkStart w:id="305" w:name="_Toc13689"/>
      <w:bookmarkStart w:id="306" w:name="_Toc21132"/>
      <w:bookmarkStart w:id="307" w:name="_Toc12777"/>
      <w:r>
        <w:rPr>
          <w:rFonts w:hint="eastAsia" w:hAnsi="宋体" w:cs="宋体"/>
          <w:color w:val="auto"/>
          <w:sz w:val="22"/>
          <w:szCs w:val="22"/>
          <w:highlight w:val="none"/>
        </w:rPr>
        <w:t>一、投标函及投标函附录</w:t>
      </w:r>
      <w:bookmarkEnd w:id="305"/>
      <w:bookmarkEnd w:id="306"/>
      <w:bookmarkEnd w:id="307"/>
      <w:r>
        <w:rPr>
          <w:rFonts w:hint="eastAsia" w:hAnsi="宋体" w:cs="宋体"/>
          <w:color w:val="auto"/>
          <w:sz w:val="22"/>
          <w:szCs w:val="22"/>
          <w:highlight w:val="none"/>
        </w:rPr>
        <w:t xml:space="preserve"> </w:t>
      </w:r>
    </w:p>
    <w:p>
      <w:pPr>
        <w:widowControl w:val="0"/>
        <w:spacing w:line="360" w:lineRule="auto"/>
        <w:textAlignment w:val="auto"/>
        <w:outlineLvl w:val="0"/>
        <w:rPr>
          <w:rFonts w:ascii="宋体" w:hAnsi="宋体" w:cs="宋体"/>
          <w:color w:val="auto"/>
          <w:sz w:val="22"/>
          <w:szCs w:val="22"/>
          <w:highlight w:val="none"/>
        </w:rPr>
      </w:pPr>
      <w:bookmarkStart w:id="308" w:name="_Toc30934"/>
      <w:bookmarkStart w:id="309" w:name="_Toc26545"/>
      <w:bookmarkStart w:id="310" w:name="_Toc11898"/>
      <w:r>
        <w:rPr>
          <w:rFonts w:hint="eastAsia" w:ascii="宋体" w:hAnsi="宋体" w:cs="宋体"/>
          <w:color w:val="auto"/>
          <w:sz w:val="22"/>
          <w:szCs w:val="22"/>
          <w:highlight w:val="none"/>
        </w:rPr>
        <w:t>二、法定代表人（单位负责人）身份证明</w:t>
      </w:r>
      <w:bookmarkEnd w:id="308"/>
      <w:bookmarkEnd w:id="309"/>
      <w:bookmarkEnd w:id="310"/>
    </w:p>
    <w:p>
      <w:pPr>
        <w:widowControl w:val="0"/>
        <w:spacing w:line="360" w:lineRule="auto"/>
        <w:textAlignment w:val="auto"/>
        <w:outlineLvl w:val="0"/>
        <w:rPr>
          <w:rFonts w:ascii="宋体" w:hAnsi="宋体" w:cs="宋体"/>
          <w:color w:val="auto"/>
          <w:sz w:val="22"/>
          <w:szCs w:val="22"/>
          <w:highlight w:val="none"/>
        </w:rPr>
      </w:pPr>
      <w:bookmarkStart w:id="311" w:name="_Toc7094"/>
      <w:bookmarkStart w:id="312" w:name="_Toc26910"/>
      <w:bookmarkStart w:id="313" w:name="_Toc6489"/>
      <w:r>
        <w:rPr>
          <w:rFonts w:hint="eastAsia" w:ascii="宋体" w:hAnsi="宋体" w:cs="宋体"/>
          <w:color w:val="auto"/>
          <w:sz w:val="22"/>
          <w:szCs w:val="22"/>
          <w:highlight w:val="none"/>
        </w:rPr>
        <w:t>三、授权委托书</w:t>
      </w:r>
      <w:bookmarkEnd w:id="311"/>
      <w:bookmarkEnd w:id="312"/>
      <w:bookmarkEnd w:id="313"/>
      <w:r>
        <w:rPr>
          <w:rFonts w:hint="eastAsia" w:ascii="宋体" w:hAnsi="宋体" w:cs="宋体"/>
          <w:color w:val="auto"/>
          <w:sz w:val="22"/>
          <w:szCs w:val="22"/>
          <w:highlight w:val="none"/>
        </w:rPr>
        <w:t xml:space="preserve"> </w:t>
      </w:r>
    </w:p>
    <w:p>
      <w:pPr>
        <w:widowControl w:val="0"/>
        <w:spacing w:line="360" w:lineRule="auto"/>
        <w:textAlignment w:val="auto"/>
        <w:outlineLvl w:val="0"/>
        <w:rPr>
          <w:rFonts w:ascii="宋体" w:hAnsi="宋体" w:cs="宋体"/>
          <w:color w:val="auto"/>
          <w:sz w:val="22"/>
          <w:szCs w:val="22"/>
          <w:highlight w:val="none"/>
        </w:rPr>
      </w:pPr>
      <w:bookmarkStart w:id="314" w:name="_Toc8397"/>
      <w:bookmarkStart w:id="315" w:name="_Toc22457"/>
      <w:bookmarkStart w:id="316" w:name="_Toc31116"/>
      <w:r>
        <w:rPr>
          <w:rFonts w:hint="eastAsia" w:ascii="宋体" w:hAnsi="宋体" w:cs="宋体"/>
          <w:color w:val="auto"/>
          <w:sz w:val="22"/>
          <w:szCs w:val="22"/>
          <w:highlight w:val="none"/>
        </w:rPr>
        <w:t>四、分项报价表</w:t>
      </w:r>
      <w:bookmarkEnd w:id="314"/>
      <w:bookmarkEnd w:id="315"/>
      <w:bookmarkEnd w:id="316"/>
    </w:p>
    <w:p>
      <w:pPr>
        <w:widowControl w:val="0"/>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（一）货物分项报价一览表</w:t>
      </w:r>
    </w:p>
    <w:p>
      <w:pPr>
        <w:widowControl w:val="0"/>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（二）小型、微型（监狱、残疾人福利性单位）企业产品明细表（非专门面向中小企业适用）</w:t>
      </w:r>
    </w:p>
    <w:p>
      <w:pPr>
        <w:widowControl w:val="0"/>
        <w:spacing w:line="360" w:lineRule="auto"/>
        <w:textAlignment w:val="auto"/>
        <w:outlineLvl w:val="0"/>
        <w:rPr>
          <w:rFonts w:ascii="宋体" w:hAnsi="宋体" w:cs="宋体"/>
          <w:color w:val="auto"/>
          <w:sz w:val="22"/>
          <w:szCs w:val="22"/>
          <w:highlight w:val="none"/>
        </w:rPr>
      </w:pPr>
      <w:bookmarkStart w:id="317" w:name="_Toc32143"/>
      <w:bookmarkStart w:id="318" w:name="_Toc13721"/>
      <w:bookmarkStart w:id="319" w:name="_Toc31053"/>
      <w:r>
        <w:rPr>
          <w:rFonts w:hint="eastAsia" w:ascii="宋体" w:hAnsi="宋体" w:cs="宋体"/>
          <w:color w:val="auto"/>
          <w:sz w:val="22"/>
          <w:szCs w:val="22"/>
          <w:highlight w:val="none"/>
        </w:rPr>
        <w:t>五、商务及技术偏差表</w:t>
      </w:r>
      <w:bookmarkEnd w:id="317"/>
      <w:bookmarkEnd w:id="318"/>
      <w:bookmarkEnd w:id="319"/>
    </w:p>
    <w:p>
      <w:pPr>
        <w:widowControl w:val="0"/>
        <w:spacing w:line="360" w:lineRule="auto"/>
        <w:textAlignment w:val="auto"/>
        <w:outlineLvl w:val="0"/>
        <w:rPr>
          <w:rFonts w:ascii="宋体" w:hAnsi="宋体" w:cs="宋体"/>
          <w:color w:val="auto"/>
          <w:sz w:val="22"/>
          <w:szCs w:val="22"/>
          <w:highlight w:val="none"/>
        </w:rPr>
      </w:pPr>
      <w:bookmarkStart w:id="320" w:name="_Toc3937"/>
      <w:bookmarkStart w:id="321" w:name="_Toc5845"/>
      <w:bookmarkStart w:id="322" w:name="_Toc17907"/>
      <w:r>
        <w:rPr>
          <w:rFonts w:hint="eastAsia" w:ascii="宋体" w:hAnsi="宋体" w:cs="宋体"/>
          <w:color w:val="auto"/>
          <w:sz w:val="22"/>
          <w:szCs w:val="22"/>
          <w:highlight w:val="none"/>
        </w:rPr>
        <w:t>六、投标货物技术性能指标的详细描述及技术支持资料</w:t>
      </w:r>
      <w:bookmarkEnd w:id="320"/>
      <w:bookmarkEnd w:id="321"/>
      <w:bookmarkEnd w:id="322"/>
    </w:p>
    <w:p>
      <w:pPr>
        <w:widowControl w:val="0"/>
        <w:spacing w:line="360" w:lineRule="auto"/>
        <w:textAlignment w:val="auto"/>
        <w:outlineLvl w:val="0"/>
        <w:rPr>
          <w:rFonts w:ascii="宋体" w:hAnsi="宋体" w:cs="宋体"/>
          <w:color w:val="auto"/>
          <w:sz w:val="22"/>
          <w:szCs w:val="22"/>
          <w:highlight w:val="none"/>
        </w:rPr>
      </w:pPr>
      <w:bookmarkStart w:id="323" w:name="_Toc7517"/>
      <w:bookmarkStart w:id="324" w:name="_Toc14289"/>
      <w:bookmarkStart w:id="325" w:name="_Toc6168"/>
      <w:r>
        <w:rPr>
          <w:rFonts w:hint="eastAsia" w:ascii="宋体" w:hAnsi="宋体" w:cs="宋体"/>
          <w:color w:val="auto"/>
          <w:sz w:val="22"/>
          <w:szCs w:val="22"/>
          <w:highlight w:val="none"/>
        </w:rPr>
        <w:t>七、售后服务承诺</w:t>
      </w:r>
      <w:bookmarkEnd w:id="323"/>
      <w:bookmarkEnd w:id="324"/>
      <w:bookmarkEnd w:id="325"/>
    </w:p>
    <w:p>
      <w:pPr>
        <w:widowControl w:val="0"/>
        <w:spacing w:line="360" w:lineRule="auto"/>
        <w:textAlignment w:val="auto"/>
        <w:outlineLvl w:val="0"/>
        <w:rPr>
          <w:rFonts w:ascii="宋体" w:hAnsi="宋体" w:cs="宋体"/>
          <w:color w:val="auto"/>
          <w:sz w:val="22"/>
          <w:szCs w:val="22"/>
          <w:highlight w:val="none"/>
        </w:rPr>
      </w:pPr>
      <w:bookmarkStart w:id="326" w:name="_Toc194"/>
      <w:bookmarkStart w:id="327" w:name="_Toc23020"/>
      <w:bookmarkStart w:id="328" w:name="_Toc26660"/>
      <w:r>
        <w:rPr>
          <w:rFonts w:hint="eastAsia" w:ascii="宋体" w:hAnsi="宋体" w:cs="宋体"/>
          <w:color w:val="auto"/>
          <w:sz w:val="22"/>
          <w:szCs w:val="22"/>
          <w:highlight w:val="none"/>
        </w:rPr>
        <w:t>八、资格审查资料</w:t>
      </w:r>
      <w:bookmarkEnd w:id="326"/>
      <w:bookmarkEnd w:id="327"/>
      <w:bookmarkEnd w:id="328"/>
    </w:p>
    <w:p>
      <w:pPr>
        <w:pStyle w:val="3"/>
        <w:widowControl w:val="0"/>
        <w:spacing w:after="0" w:line="360" w:lineRule="auto"/>
        <w:textAlignment w:val="auto"/>
        <w:outlineLvl w:val="0"/>
        <w:rPr>
          <w:rFonts w:ascii="宋体" w:hAnsi="宋体" w:cs="宋体"/>
          <w:color w:val="auto"/>
          <w:sz w:val="22"/>
          <w:szCs w:val="22"/>
          <w:highlight w:val="none"/>
        </w:rPr>
      </w:pPr>
      <w:bookmarkStart w:id="329" w:name="_Toc26487"/>
      <w:bookmarkStart w:id="330" w:name="_Toc2565"/>
      <w:bookmarkStart w:id="331" w:name="_Toc14678"/>
      <w:r>
        <w:rPr>
          <w:rFonts w:hint="eastAsia" w:ascii="宋体" w:hAnsi="宋体" w:cs="宋体"/>
          <w:color w:val="auto"/>
          <w:sz w:val="22"/>
          <w:szCs w:val="22"/>
          <w:highlight w:val="none"/>
        </w:rPr>
        <w:t>九、中小企业声明函（如有）</w:t>
      </w:r>
      <w:bookmarkEnd w:id="329"/>
      <w:bookmarkEnd w:id="330"/>
      <w:bookmarkEnd w:id="331"/>
    </w:p>
    <w:p>
      <w:pPr>
        <w:pStyle w:val="44"/>
        <w:spacing w:line="360" w:lineRule="auto"/>
        <w:outlineLvl w:val="0"/>
        <w:rPr>
          <w:rFonts w:hAnsi="宋体"/>
          <w:color w:val="auto"/>
          <w:sz w:val="22"/>
          <w:szCs w:val="22"/>
          <w:highlight w:val="none"/>
        </w:rPr>
      </w:pPr>
      <w:bookmarkStart w:id="332" w:name="_Toc1456"/>
      <w:bookmarkStart w:id="333" w:name="_Toc878"/>
      <w:bookmarkStart w:id="334" w:name="_Toc5598"/>
      <w:r>
        <w:rPr>
          <w:rFonts w:hint="eastAsia" w:hAnsi="宋体"/>
          <w:color w:val="auto"/>
          <w:kern w:val="2"/>
          <w:sz w:val="22"/>
          <w:szCs w:val="22"/>
          <w:highlight w:val="none"/>
        </w:rPr>
        <w:t>十、残疾人福利性单位声明函（</w:t>
      </w:r>
      <w:r>
        <w:rPr>
          <w:rFonts w:hint="eastAsia" w:hAnsi="宋体"/>
          <w:color w:val="auto"/>
          <w:sz w:val="22"/>
          <w:szCs w:val="22"/>
          <w:highlight w:val="none"/>
        </w:rPr>
        <w:t>如有）（非专门面向中小企业适用）</w:t>
      </w:r>
      <w:bookmarkEnd w:id="332"/>
      <w:bookmarkEnd w:id="333"/>
      <w:bookmarkEnd w:id="334"/>
    </w:p>
    <w:p>
      <w:pPr>
        <w:widowControl w:val="0"/>
        <w:spacing w:line="360" w:lineRule="auto"/>
        <w:textAlignment w:val="auto"/>
        <w:outlineLvl w:val="0"/>
        <w:rPr>
          <w:rFonts w:ascii="宋体" w:hAnsi="宋体" w:cs="宋体"/>
          <w:color w:val="auto"/>
          <w:sz w:val="22"/>
          <w:szCs w:val="22"/>
          <w:highlight w:val="none"/>
        </w:rPr>
      </w:pPr>
      <w:bookmarkStart w:id="335" w:name="_Toc25481"/>
      <w:bookmarkStart w:id="336" w:name="_Toc26812"/>
      <w:bookmarkStart w:id="337" w:name="_Toc32651"/>
      <w:r>
        <w:rPr>
          <w:rFonts w:hint="eastAsia" w:ascii="宋体" w:hAnsi="宋体" w:cs="宋体"/>
          <w:color w:val="auto"/>
          <w:sz w:val="22"/>
          <w:szCs w:val="22"/>
          <w:highlight w:val="none"/>
        </w:rPr>
        <w:t>十一、监狱企业证明文件（如有）（非专门面向中小企业适用）</w:t>
      </w:r>
      <w:bookmarkEnd w:id="335"/>
      <w:bookmarkEnd w:id="336"/>
      <w:bookmarkEnd w:id="337"/>
    </w:p>
    <w:p>
      <w:pPr>
        <w:widowControl w:val="0"/>
        <w:spacing w:line="360" w:lineRule="auto"/>
        <w:textAlignment w:val="auto"/>
        <w:outlineLvl w:val="0"/>
        <w:rPr>
          <w:rFonts w:ascii="宋体" w:hAnsi="宋体" w:cs="宋体"/>
          <w:color w:val="auto"/>
          <w:sz w:val="22"/>
          <w:szCs w:val="22"/>
          <w:highlight w:val="none"/>
        </w:rPr>
      </w:pPr>
      <w:bookmarkStart w:id="338" w:name="_Toc11928"/>
      <w:bookmarkStart w:id="339" w:name="_Toc435"/>
      <w:bookmarkStart w:id="340" w:name="_Toc3997"/>
      <w:bookmarkStart w:id="341" w:name="_Toc18452"/>
      <w:r>
        <w:rPr>
          <w:rFonts w:hint="eastAsia" w:ascii="宋体" w:hAnsi="宋体" w:cs="宋体"/>
          <w:color w:val="auto"/>
          <w:sz w:val="22"/>
          <w:szCs w:val="22"/>
          <w:highlight w:val="none"/>
        </w:rPr>
        <w:t>十二、反商业贿赂承诺书</w:t>
      </w:r>
      <w:bookmarkEnd w:id="338"/>
      <w:bookmarkEnd w:id="339"/>
      <w:bookmarkEnd w:id="340"/>
      <w:bookmarkEnd w:id="341"/>
    </w:p>
    <w:p>
      <w:pPr>
        <w:widowControl w:val="0"/>
        <w:spacing w:line="360" w:lineRule="auto"/>
        <w:textAlignment w:val="auto"/>
        <w:outlineLvl w:val="0"/>
        <w:rPr>
          <w:rFonts w:ascii="宋体" w:hAnsi="宋体" w:cs="宋体"/>
          <w:color w:val="auto"/>
          <w:sz w:val="22"/>
          <w:szCs w:val="22"/>
          <w:highlight w:val="none"/>
        </w:rPr>
      </w:pPr>
      <w:bookmarkStart w:id="342" w:name="_Toc13609"/>
      <w:bookmarkStart w:id="343" w:name="_Toc18096"/>
      <w:bookmarkStart w:id="344" w:name="_Toc29791"/>
      <w:r>
        <w:rPr>
          <w:rFonts w:hint="eastAsia" w:ascii="宋体" w:hAnsi="宋体" w:cs="宋体"/>
          <w:color w:val="auto"/>
          <w:sz w:val="22"/>
          <w:szCs w:val="22"/>
          <w:highlight w:val="none"/>
        </w:rPr>
        <w:t>十三、其他材料</w:t>
      </w:r>
      <w:bookmarkEnd w:id="342"/>
      <w:bookmarkEnd w:id="343"/>
      <w:bookmarkEnd w:id="344"/>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pStyle w:val="5"/>
        <w:numPr>
          <w:ilvl w:val="0"/>
          <w:numId w:val="0"/>
        </w:numPr>
        <w:spacing w:line="400" w:lineRule="exact"/>
        <w:ind w:left="210" w:right="210"/>
        <w:jc w:val="center"/>
        <w:rPr>
          <w:rFonts w:ascii="宋体" w:hAnsi="宋体" w:eastAsia="宋体" w:cs="宋体"/>
          <w:b/>
          <w:color w:val="auto"/>
          <w:szCs w:val="28"/>
          <w:highlight w:val="none"/>
        </w:rPr>
      </w:pPr>
      <w:bookmarkStart w:id="345" w:name="_Toc472429342"/>
      <w:bookmarkStart w:id="346" w:name="_Toc20587"/>
      <w:bookmarkStart w:id="347" w:name="_Toc472337697"/>
      <w:bookmarkStart w:id="348" w:name="_Toc30429"/>
      <w:bookmarkStart w:id="349" w:name="_Toc7784"/>
      <w:r>
        <w:rPr>
          <w:rFonts w:hint="eastAsia" w:ascii="宋体" w:hAnsi="宋体" w:eastAsia="宋体" w:cs="宋体"/>
          <w:b/>
          <w:color w:val="auto"/>
          <w:szCs w:val="28"/>
          <w:highlight w:val="none"/>
        </w:rPr>
        <w:t>一、投标函及投标函附录</w:t>
      </w:r>
      <w:bookmarkEnd w:id="345"/>
      <w:bookmarkEnd w:id="346"/>
      <w:bookmarkEnd w:id="347"/>
      <w:bookmarkEnd w:id="348"/>
      <w:bookmarkEnd w:id="349"/>
    </w:p>
    <w:p>
      <w:pPr>
        <w:spacing w:line="400" w:lineRule="exact"/>
        <w:jc w:val="center"/>
        <w:outlineLvl w:val="1"/>
        <w:rPr>
          <w:rFonts w:ascii="宋体" w:hAnsi="宋体" w:cs="宋体"/>
          <w:b/>
          <w:color w:val="auto"/>
          <w:sz w:val="28"/>
          <w:szCs w:val="28"/>
          <w:highlight w:val="none"/>
        </w:rPr>
      </w:pPr>
      <w:bookmarkStart w:id="350" w:name="_Toc3908"/>
      <w:bookmarkStart w:id="351" w:name="_Toc7394"/>
      <w:bookmarkStart w:id="352" w:name="_Toc12380"/>
      <w:bookmarkStart w:id="353" w:name="_Toc1872"/>
      <w:r>
        <w:rPr>
          <w:rFonts w:hint="eastAsia" w:ascii="宋体" w:hAnsi="宋体" w:cs="宋体"/>
          <w:b/>
          <w:color w:val="auto"/>
          <w:sz w:val="28"/>
          <w:szCs w:val="28"/>
          <w:highlight w:val="none"/>
        </w:rPr>
        <w:t>（一）投标函</w:t>
      </w:r>
      <w:bookmarkEnd w:id="350"/>
      <w:bookmarkEnd w:id="351"/>
      <w:bookmarkEnd w:id="352"/>
      <w:bookmarkEnd w:id="353"/>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（采购人）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（项目名称）招标文件的全部内容，愿以人民币（大写）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元）的投标总报价，质保期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，提供招标文件规定的各项技术服务，并按合同约定履行义务。</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2.我方承诺投标有效期为自投标截止之日起60日历天。在投标有效期内不修改、撤销投标文件。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3.如我方中标：</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（3）我方承诺按照招标文件规定向你方递交履约担保。</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（4）如果我方中标，同意按招标文件规定的收费标准向采购代理机构支付服务费。</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4.我方在此声明，所递交的投标文件及有关资料内容完整、真实和准确，且不存在第二章“投标人须知”第1.4.3项规定的任何一种情形。</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 </w:t>
      </w:r>
      <w:r>
        <w:rPr>
          <w:rFonts w:hint="eastAsia" w:ascii="宋体" w:hAnsi="宋体" w:cs="宋体"/>
          <w:color w:val="auto"/>
          <w:szCs w:val="21"/>
          <w:highlight w:val="none"/>
          <w:u w:val="single"/>
        </w:rPr>
        <w:t>（其他补充说明）</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p>
    <w:p>
      <w:pPr>
        <w:spacing w:line="400" w:lineRule="exact"/>
        <w:ind w:firstLine="3885" w:firstLineChars="1850"/>
        <w:rPr>
          <w:rFonts w:ascii="宋体" w:hAnsi="宋体" w:cs="宋体"/>
          <w:color w:val="auto"/>
          <w:szCs w:val="21"/>
          <w:highlight w:val="none"/>
        </w:rPr>
      </w:pPr>
      <w:r>
        <w:rPr>
          <w:rFonts w:hint="eastAsia" w:ascii="宋体" w:hAnsi="宋体" w:cs="宋体"/>
          <w:color w:val="auto"/>
          <w:szCs w:val="21"/>
          <w:highlight w:val="none"/>
        </w:rPr>
        <w:t>投标人：（单位电子签章）</w:t>
      </w:r>
    </w:p>
    <w:p>
      <w:pPr>
        <w:spacing w:line="400" w:lineRule="exact"/>
        <w:ind w:firstLine="3885" w:firstLineChars="1850"/>
        <w:rPr>
          <w:rFonts w:ascii="宋体" w:hAnsi="宋体" w:cs="宋体"/>
          <w:color w:val="auto"/>
          <w:szCs w:val="21"/>
          <w:highlight w:val="none"/>
        </w:rPr>
      </w:pPr>
      <w:r>
        <w:rPr>
          <w:rFonts w:hint="eastAsia" w:ascii="宋体" w:hAnsi="宋体" w:cs="宋体"/>
          <w:color w:val="auto"/>
          <w:szCs w:val="21"/>
          <w:highlight w:val="none"/>
        </w:rPr>
        <w:t>法定代表人或其委托代理人：（电子签名或签名或盖章）</w:t>
      </w:r>
    </w:p>
    <w:p>
      <w:pPr>
        <w:spacing w:line="400" w:lineRule="exact"/>
        <w:ind w:firstLine="3885" w:firstLineChars="1850"/>
        <w:rPr>
          <w:rFonts w:ascii="宋体" w:hAnsi="宋体" w:cs="宋体"/>
          <w:color w:val="auto"/>
          <w:szCs w:val="21"/>
          <w:highlight w:val="none"/>
        </w:rPr>
      </w:pPr>
      <w:r>
        <w:rPr>
          <w:rFonts w:hint="eastAsia" w:ascii="宋体" w:hAnsi="宋体" w:cs="宋体"/>
          <w:color w:val="auto"/>
          <w:szCs w:val="21"/>
          <w:highlight w:val="none"/>
        </w:rPr>
        <w:t>地址：</w:t>
      </w:r>
    </w:p>
    <w:p>
      <w:pPr>
        <w:spacing w:line="400" w:lineRule="exact"/>
        <w:ind w:firstLine="3885" w:firstLineChars="1850"/>
        <w:rPr>
          <w:rFonts w:ascii="宋体" w:hAnsi="宋体" w:cs="宋体"/>
          <w:color w:val="auto"/>
          <w:szCs w:val="21"/>
          <w:highlight w:val="none"/>
        </w:rPr>
      </w:pPr>
      <w:r>
        <w:rPr>
          <w:rFonts w:hint="eastAsia" w:ascii="宋体" w:hAnsi="宋体" w:cs="宋体"/>
          <w:color w:val="auto"/>
          <w:szCs w:val="21"/>
          <w:highlight w:val="none"/>
        </w:rPr>
        <w:t>电话：</w:t>
      </w:r>
    </w:p>
    <w:p>
      <w:pPr>
        <w:spacing w:line="400" w:lineRule="exact"/>
        <w:ind w:firstLine="3990" w:firstLineChars="1900"/>
        <w:outlineLvl w:val="9"/>
        <w:rPr>
          <w:rFonts w:ascii="宋体" w:hAnsi="宋体" w:cs="宋体"/>
          <w:color w:val="auto"/>
          <w:szCs w:val="21"/>
          <w:highlight w:val="none"/>
        </w:rPr>
      </w:pPr>
      <w:r>
        <w:rPr>
          <w:rFonts w:hint="eastAsia" w:ascii="宋体" w:hAnsi="宋体" w:cs="宋体"/>
          <w:color w:val="auto"/>
          <w:szCs w:val="21"/>
          <w:highlight w:val="none"/>
        </w:rPr>
        <w:t>年   月  日</w:t>
      </w:r>
    </w:p>
    <w:p>
      <w:pPr>
        <w:spacing w:line="400" w:lineRule="exact"/>
        <w:outlineLvl w:val="9"/>
        <w:rPr>
          <w:rFonts w:ascii="宋体" w:hAnsi="宋体" w:cs="宋体"/>
          <w:b/>
          <w:color w:val="auto"/>
          <w:sz w:val="28"/>
          <w:szCs w:val="28"/>
          <w:highlight w:val="none"/>
        </w:rPr>
      </w:pPr>
      <w:bookmarkStart w:id="354" w:name="_Toc28369"/>
    </w:p>
    <w:p>
      <w:pPr>
        <w:outlineLvl w:val="9"/>
        <w:rPr>
          <w:color w:val="auto"/>
          <w:highlight w:val="none"/>
        </w:rPr>
      </w:pPr>
    </w:p>
    <w:p>
      <w:pPr>
        <w:spacing w:line="400" w:lineRule="exact"/>
        <w:jc w:val="center"/>
        <w:outlineLvl w:val="9"/>
        <w:rPr>
          <w:rFonts w:ascii="宋体" w:hAnsi="宋体" w:cs="宋体"/>
          <w:b/>
          <w:color w:val="auto"/>
          <w:sz w:val="28"/>
          <w:szCs w:val="28"/>
          <w:highlight w:val="none"/>
        </w:rPr>
      </w:pPr>
      <w:bookmarkStart w:id="355" w:name="_Toc19956"/>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9"/>
        <w:rPr>
          <w:rFonts w:ascii="宋体" w:hAnsi="宋体" w:cs="宋体"/>
          <w:b/>
          <w:color w:val="auto"/>
          <w:sz w:val="28"/>
          <w:szCs w:val="28"/>
          <w:highlight w:val="none"/>
        </w:rPr>
      </w:pPr>
    </w:p>
    <w:p>
      <w:pPr>
        <w:spacing w:line="400" w:lineRule="exact"/>
        <w:jc w:val="center"/>
        <w:outlineLvl w:val="1"/>
        <w:rPr>
          <w:rFonts w:ascii="宋体" w:hAnsi="宋体" w:cs="宋体"/>
          <w:b/>
          <w:color w:val="auto"/>
          <w:sz w:val="28"/>
          <w:szCs w:val="28"/>
          <w:highlight w:val="none"/>
        </w:rPr>
      </w:pPr>
      <w:bookmarkStart w:id="356" w:name="_Toc29177"/>
      <w:bookmarkStart w:id="357" w:name="_Toc3219"/>
      <w:r>
        <w:rPr>
          <w:rFonts w:hint="eastAsia" w:ascii="宋体" w:hAnsi="宋体" w:cs="宋体"/>
          <w:b/>
          <w:color w:val="auto"/>
          <w:sz w:val="28"/>
          <w:szCs w:val="28"/>
          <w:highlight w:val="none"/>
        </w:rPr>
        <w:t>（二）投标函附录</w:t>
      </w:r>
      <w:bookmarkEnd w:id="354"/>
      <w:bookmarkEnd w:id="355"/>
      <w:bookmarkEnd w:id="356"/>
      <w:bookmarkEnd w:id="357"/>
    </w:p>
    <w:p>
      <w:pPr>
        <w:spacing w:line="400" w:lineRule="exact"/>
        <w:rPr>
          <w:rFonts w:ascii="宋体" w:hAnsi="宋体" w:cs="宋体"/>
          <w:color w:val="auto"/>
          <w:szCs w:val="21"/>
          <w:highlight w:val="none"/>
        </w:rPr>
      </w:pP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94" w:type="dxa"/>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6794" w:type="dxa"/>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投标报价（元）</w:t>
            </w:r>
          </w:p>
        </w:tc>
        <w:tc>
          <w:tcPr>
            <w:tcW w:w="6794" w:type="dxa"/>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质保期</w:t>
            </w:r>
          </w:p>
        </w:tc>
        <w:tc>
          <w:tcPr>
            <w:tcW w:w="6794" w:type="dxa"/>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794" w:type="dxa"/>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794" w:type="dxa"/>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交货地点</w:t>
            </w:r>
          </w:p>
        </w:tc>
        <w:tc>
          <w:tcPr>
            <w:tcW w:w="6794"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交货期</w:t>
            </w:r>
          </w:p>
        </w:tc>
        <w:tc>
          <w:tcPr>
            <w:tcW w:w="6794" w:type="dxa"/>
            <w:vAlign w:val="center"/>
          </w:tcPr>
          <w:p>
            <w:pPr>
              <w:spacing w:line="400" w:lineRule="exact"/>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价格折扣（非专门面向中小企业采购时使用）</w:t>
            </w:r>
          </w:p>
        </w:tc>
        <w:tc>
          <w:tcPr>
            <w:tcW w:w="6794" w:type="dxa"/>
            <w:vAlign w:val="center"/>
          </w:tcPr>
          <w:p>
            <w:pPr>
              <w:pStyle w:val="159"/>
              <w:widowControl w:val="0"/>
              <w:autoSpaceDE w:val="0"/>
              <w:autoSpaceDN w:val="0"/>
              <w:spacing w:before="0" w:after="0" w:line="400" w:lineRule="exact"/>
              <w:jc w:val="center"/>
              <w:rPr>
                <w:rFonts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符合小微企业价格折扣（</w:t>
            </w:r>
            <w:r>
              <w:rPr>
                <w:rFonts w:hint="eastAsia" w:ascii="宋体" w:hAnsi="宋体" w:eastAsia="宋体" w:cs="宋体"/>
                <w:color w:val="auto"/>
                <w:spacing w:val="-1"/>
                <w:sz w:val="21"/>
                <w:szCs w:val="21"/>
                <w:highlight w:val="none"/>
                <w:u w:val="single"/>
                <w:lang w:eastAsia="zh-CN"/>
              </w:rPr>
              <w:t>是</w:t>
            </w:r>
            <w:r>
              <w:rPr>
                <w:rFonts w:hint="eastAsia" w:ascii="宋体" w:hAnsi="宋体" w:eastAsia="宋体" w:cs="宋体"/>
                <w:color w:val="auto"/>
                <w:spacing w:val="-1"/>
                <w:sz w:val="21"/>
                <w:szCs w:val="21"/>
                <w:highlight w:val="none"/>
                <w:u w:val="single"/>
                <w:lang w:val="en-US" w:eastAsia="zh-CN"/>
              </w:rPr>
              <w:t>/否</w:t>
            </w:r>
            <w:r>
              <w:rPr>
                <w:rFonts w:hint="eastAsia" w:ascii="宋体" w:hAnsi="宋体" w:eastAsia="宋体" w:cs="宋体"/>
                <w:color w:val="auto"/>
                <w:spacing w:val="-1"/>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6794" w:type="dxa"/>
            <w:vAlign w:val="center"/>
          </w:tcPr>
          <w:p>
            <w:pPr>
              <w:spacing w:line="400" w:lineRule="exact"/>
              <w:jc w:val="left"/>
              <w:rPr>
                <w:rFonts w:ascii="宋体" w:hAnsi="宋体" w:cs="宋体"/>
                <w:color w:val="auto"/>
                <w:szCs w:val="21"/>
                <w:highlight w:val="none"/>
              </w:rPr>
            </w:pPr>
          </w:p>
        </w:tc>
      </w:tr>
    </w:tbl>
    <w:p>
      <w:pPr>
        <w:spacing w:line="400" w:lineRule="exact"/>
        <w:ind w:firstLine="422" w:firstLineChars="200"/>
        <w:rPr>
          <w:rFonts w:ascii="宋体" w:hAnsi="宋体" w:cs="宋体"/>
          <w:b/>
          <w:color w:val="auto"/>
          <w:szCs w:val="21"/>
          <w:highlight w:val="none"/>
        </w:rPr>
      </w:pPr>
    </w:p>
    <w:p>
      <w:pPr>
        <w:spacing w:line="400" w:lineRule="exact"/>
        <w:ind w:firstLine="3885" w:firstLineChars="1850"/>
        <w:rPr>
          <w:rFonts w:ascii="宋体" w:hAnsi="宋体" w:cs="宋体"/>
          <w:color w:val="auto"/>
          <w:szCs w:val="21"/>
          <w:highlight w:val="none"/>
        </w:rPr>
      </w:pPr>
      <w:r>
        <w:rPr>
          <w:rFonts w:hint="eastAsia" w:ascii="宋体" w:hAnsi="宋体" w:cs="宋体"/>
          <w:color w:val="auto"/>
          <w:szCs w:val="21"/>
          <w:highlight w:val="none"/>
        </w:rPr>
        <w:t>投标人：（单位电子签章）</w:t>
      </w:r>
    </w:p>
    <w:p>
      <w:pPr>
        <w:spacing w:line="400" w:lineRule="exact"/>
        <w:ind w:firstLine="3885" w:firstLineChars="1850"/>
        <w:rPr>
          <w:rFonts w:ascii="宋体" w:hAnsi="宋体" w:cs="宋体"/>
          <w:color w:val="auto"/>
          <w:szCs w:val="21"/>
          <w:highlight w:val="none"/>
        </w:rPr>
      </w:pPr>
    </w:p>
    <w:p>
      <w:pPr>
        <w:spacing w:line="400" w:lineRule="exact"/>
        <w:ind w:firstLine="3885" w:firstLineChars="1850"/>
        <w:rPr>
          <w:rFonts w:ascii="宋体" w:hAnsi="宋体" w:cs="宋体"/>
          <w:color w:val="auto"/>
          <w:szCs w:val="21"/>
          <w:highlight w:val="none"/>
        </w:rPr>
      </w:pPr>
      <w:r>
        <w:rPr>
          <w:rFonts w:hint="eastAsia" w:ascii="宋体" w:hAnsi="宋体" w:cs="宋体"/>
          <w:color w:val="auto"/>
          <w:szCs w:val="21"/>
          <w:highlight w:val="none"/>
        </w:rPr>
        <w:t>法定代表人或其委托代理人：（电子签名或签名或盖章）</w:t>
      </w:r>
    </w:p>
    <w:p>
      <w:pPr>
        <w:spacing w:line="400" w:lineRule="exact"/>
        <w:ind w:firstLine="3885" w:firstLineChars="1850"/>
        <w:rPr>
          <w:rFonts w:ascii="宋体" w:hAnsi="宋体" w:cs="宋体"/>
          <w:color w:val="auto"/>
          <w:szCs w:val="21"/>
          <w:highlight w:val="none"/>
        </w:rPr>
      </w:pPr>
    </w:p>
    <w:p>
      <w:pPr>
        <w:spacing w:line="400" w:lineRule="exact"/>
        <w:ind w:firstLine="3990" w:firstLineChars="1900"/>
        <w:rPr>
          <w:rFonts w:ascii="宋体" w:hAnsi="宋体" w:cs="宋体"/>
          <w:color w:val="auto"/>
          <w:szCs w:val="21"/>
          <w:highlight w:val="none"/>
        </w:rPr>
      </w:pPr>
      <w:r>
        <w:rPr>
          <w:rFonts w:hint="eastAsia" w:ascii="宋体" w:hAnsi="宋体" w:cs="宋体"/>
          <w:color w:val="auto"/>
          <w:szCs w:val="21"/>
          <w:highlight w:val="none"/>
        </w:rPr>
        <w:t>年   月    日</w:t>
      </w:r>
    </w:p>
    <w:p>
      <w:pPr>
        <w:spacing w:after="205" w:afterLines="50" w:line="400" w:lineRule="exact"/>
        <w:jc w:val="center"/>
        <w:rPr>
          <w:rFonts w:ascii="宋体" w:hAnsi="宋体" w:cs="宋体"/>
          <w:color w:val="auto"/>
          <w:szCs w:val="21"/>
          <w:highlight w:val="none"/>
        </w:rPr>
      </w:pPr>
    </w:p>
    <w:p>
      <w:pPr>
        <w:pStyle w:val="2"/>
        <w:spacing w:line="400" w:lineRule="exact"/>
        <w:ind w:firstLine="210"/>
        <w:rPr>
          <w:rFonts w:ascii="宋体" w:hAnsi="宋体" w:eastAsia="宋体" w:cs="宋体"/>
          <w:color w:val="auto"/>
          <w:sz w:val="21"/>
          <w:szCs w:val="21"/>
          <w:highlight w:val="none"/>
        </w:rPr>
      </w:pPr>
    </w:p>
    <w:p>
      <w:pPr>
        <w:rPr>
          <w:color w:val="auto"/>
          <w:highlight w:val="none"/>
        </w:rPr>
      </w:pPr>
    </w:p>
    <w:p>
      <w:pPr>
        <w:pStyle w:val="5"/>
        <w:numPr>
          <w:ilvl w:val="0"/>
          <w:numId w:val="0"/>
        </w:numPr>
        <w:spacing w:line="400" w:lineRule="exact"/>
        <w:ind w:left="210" w:right="210"/>
        <w:jc w:val="center"/>
        <w:rPr>
          <w:rFonts w:ascii="宋体" w:hAnsi="宋体" w:eastAsia="宋体" w:cs="宋体"/>
          <w:b/>
          <w:color w:val="auto"/>
          <w:szCs w:val="28"/>
          <w:highlight w:val="none"/>
        </w:rPr>
      </w:pPr>
      <w:bookmarkStart w:id="358" w:name="_Toc20335"/>
      <w:bookmarkStart w:id="359" w:name="_Toc25583"/>
      <w:bookmarkStart w:id="360" w:name="_Toc46"/>
      <w:r>
        <w:rPr>
          <w:rFonts w:hint="eastAsia" w:ascii="宋体" w:hAnsi="宋体" w:eastAsia="宋体" w:cs="宋体"/>
          <w:b/>
          <w:color w:val="auto"/>
          <w:szCs w:val="28"/>
          <w:highlight w:val="none"/>
        </w:rPr>
        <w:t>二、法定代表人（单位负责人）身份证明</w:t>
      </w:r>
      <w:bookmarkEnd w:id="358"/>
      <w:bookmarkEnd w:id="359"/>
      <w:bookmarkEnd w:id="360"/>
    </w:p>
    <w:p>
      <w:pPr>
        <w:spacing w:line="400" w:lineRule="exact"/>
        <w:ind w:firstLine="420" w:firstLineChars="200"/>
        <w:rPr>
          <w:rFonts w:ascii="宋体" w:hAnsi="宋体" w:cs="宋体"/>
          <w:color w:val="auto"/>
          <w:szCs w:val="21"/>
          <w:highlight w:val="none"/>
        </w:rPr>
      </w:pP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投标人名称：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姓名：</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性别：</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pPr>
        <w:spacing w:line="400" w:lineRule="exact"/>
        <w:ind w:firstLine="840" w:firstLineChars="400"/>
        <w:rPr>
          <w:rFonts w:ascii="宋体" w:hAnsi="宋体" w:cs="宋体"/>
          <w:color w:val="auto"/>
          <w:szCs w:val="21"/>
          <w:highlight w:val="none"/>
        </w:rPr>
      </w:pPr>
      <w:r>
        <w:rPr>
          <w:rFonts w:hint="eastAsia" w:ascii="宋体" w:hAnsi="宋体" w:cs="宋体"/>
          <w:color w:val="auto"/>
          <w:szCs w:val="21"/>
          <w:highlight w:val="none"/>
        </w:rPr>
        <w:t>特此证明。</w:t>
      </w:r>
    </w:p>
    <w:p>
      <w:pPr>
        <w:spacing w:line="400" w:lineRule="exact"/>
        <w:ind w:firstLine="420" w:firstLineChars="200"/>
        <w:rPr>
          <w:rFonts w:ascii="宋体" w:hAnsi="宋体" w:cs="宋体"/>
          <w:color w:val="auto"/>
          <w:szCs w:val="21"/>
          <w:highlight w:val="none"/>
        </w:rPr>
      </w:pP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附：法定代表人身份证复印件。</w:t>
      </w:r>
    </w:p>
    <w:p>
      <w:pPr>
        <w:pStyle w:val="2"/>
        <w:spacing w:line="400" w:lineRule="exact"/>
        <w:ind w:firstLine="210"/>
        <w:rPr>
          <w:rFonts w:ascii="宋体" w:hAnsi="宋体" w:eastAsia="宋体" w:cs="宋体"/>
          <w:color w:val="auto"/>
          <w:sz w:val="21"/>
          <w:szCs w:val="21"/>
          <w:highlight w:val="none"/>
        </w:rPr>
      </w:pPr>
    </w:p>
    <w:p>
      <w:pPr>
        <w:spacing w:line="400" w:lineRule="exact"/>
        <w:ind w:firstLine="420" w:firstLineChars="200"/>
        <w:rPr>
          <w:rFonts w:ascii="宋体" w:hAnsi="宋体" w:cs="宋体"/>
          <w:color w:val="auto"/>
          <w:szCs w:val="21"/>
          <w:highlight w:val="none"/>
        </w:rPr>
      </w:pPr>
    </w:p>
    <w:p>
      <w:pPr>
        <w:spacing w:line="400" w:lineRule="exact"/>
        <w:ind w:firstLine="4200" w:firstLineChars="2000"/>
        <w:rPr>
          <w:rFonts w:ascii="宋体" w:hAnsi="宋体" w:cs="宋体"/>
          <w:color w:val="auto"/>
          <w:szCs w:val="21"/>
          <w:highlight w:val="none"/>
        </w:rPr>
      </w:pPr>
      <w:r>
        <w:rPr>
          <w:rFonts w:hint="eastAsia" w:ascii="宋体" w:hAnsi="宋体" w:cs="宋体"/>
          <w:color w:val="auto"/>
          <w:szCs w:val="21"/>
          <w:highlight w:val="none"/>
        </w:rPr>
        <w:t>投标人：（单位电子签章）</w:t>
      </w:r>
    </w:p>
    <w:p>
      <w:pPr>
        <w:spacing w:line="400" w:lineRule="exact"/>
        <w:ind w:firstLine="4515" w:firstLineChars="2150"/>
        <w:rPr>
          <w:rFonts w:ascii="宋体" w:hAnsi="宋体" w:cs="宋体"/>
          <w:color w:val="auto"/>
          <w:szCs w:val="21"/>
          <w:highlight w:val="none"/>
          <w:u w:val="single"/>
        </w:rPr>
      </w:pPr>
    </w:p>
    <w:p>
      <w:pPr>
        <w:spacing w:line="400" w:lineRule="exact"/>
        <w:ind w:firstLine="4515" w:firstLineChars="2150"/>
        <w:rPr>
          <w:rFonts w:ascii="宋体" w:hAnsi="宋体" w:cs="宋体"/>
          <w:color w:val="auto"/>
          <w:szCs w:val="21"/>
          <w:highlight w:val="none"/>
        </w:rPr>
      </w:pPr>
      <w:r>
        <w:rPr>
          <w:rFonts w:hint="eastAsia" w:ascii="宋体" w:hAnsi="宋体" w:cs="宋体"/>
          <w:color w:val="auto"/>
          <w:szCs w:val="21"/>
          <w:highlight w:val="none"/>
        </w:rPr>
        <w:t>年  月   日</w:t>
      </w:r>
    </w:p>
    <w:p>
      <w:pPr>
        <w:spacing w:line="400" w:lineRule="exact"/>
        <w:ind w:firstLine="420" w:firstLineChars="200"/>
        <w:rPr>
          <w:rFonts w:ascii="宋体" w:hAnsi="宋体" w:cs="宋体"/>
          <w:color w:val="auto"/>
          <w:szCs w:val="21"/>
          <w:highlight w:val="none"/>
        </w:rPr>
        <w:sectPr>
          <w:pgSz w:w="11905" w:h="16838"/>
          <w:pgMar w:top="1440" w:right="1349" w:bottom="1440" w:left="1349" w:header="850" w:footer="850" w:gutter="0"/>
          <w:cols w:space="720" w:num="1"/>
          <w:docGrid w:type="lines" w:linePitch="411" w:charSpace="0"/>
        </w:sectPr>
      </w:pPr>
    </w:p>
    <w:p>
      <w:pPr>
        <w:pStyle w:val="5"/>
        <w:numPr>
          <w:ilvl w:val="0"/>
          <w:numId w:val="0"/>
        </w:numPr>
        <w:spacing w:line="400" w:lineRule="exact"/>
        <w:ind w:left="210" w:right="210"/>
        <w:jc w:val="center"/>
        <w:rPr>
          <w:rFonts w:ascii="宋体" w:hAnsi="宋体" w:eastAsia="宋体" w:cs="宋体"/>
          <w:b/>
          <w:color w:val="auto"/>
          <w:szCs w:val="28"/>
          <w:highlight w:val="none"/>
        </w:rPr>
      </w:pPr>
      <w:bookmarkStart w:id="361" w:name="_Toc29493"/>
      <w:bookmarkStart w:id="362" w:name="_Toc28459"/>
      <w:bookmarkStart w:id="363" w:name="_Toc19020"/>
      <w:bookmarkStart w:id="364" w:name="_Toc184635140"/>
      <w:r>
        <w:rPr>
          <w:rFonts w:hint="eastAsia" w:ascii="宋体" w:hAnsi="宋体" w:eastAsia="宋体" w:cs="宋体"/>
          <w:b/>
          <w:color w:val="auto"/>
          <w:szCs w:val="28"/>
          <w:highlight w:val="none"/>
        </w:rPr>
        <w:t>三、授权委托书</w:t>
      </w:r>
      <w:bookmarkEnd w:id="361"/>
      <w:bookmarkEnd w:id="362"/>
      <w:bookmarkEnd w:id="363"/>
      <w:bookmarkEnd w:id="364"/>
    </w:p>
    <w:p>
      <w:pPr>
        <w:spacing w:line="400" w:lineRule="exact"/>
        <w:ind w:firstLine="420" w:firstLineChars="200"/>
        <w:rPr>
          <w:rFonts w:ascii="宋体" w:hAnsi="宋体" w:cs="宋体"/>
          <w:color w:val="auto"/>
          <w:szCs w:val="21"/>
          <w:highlight w:val="none"/>
        </w:rPr>
      </w:pP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投标文件、签订合同和处理有关事宜，其法律后果由我方承担。</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pStyle w:val="3"/>
        <w:rPr>
          <w:rFonts w:ascii="宋体" w:hAnsi="宋体" w:cs="宋体"/>
          <w:color w:val="auto"/>
          <w:szCs w:val="21"/>
          <w:highlight w:val="none"/>
        </w:rPr>
      </w:pPr>
    </w:p>
    <w:p>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委托期限：本授权书至投标有效期结束前始终有效。</w:t>
      </w:r>
    </w:p>
    <w:p>
      <w:pPr>
        <w:spacing w:line="400" w:lineRule="exact"/>
        <w:ind w:firstLine="420" w:firstLineChars="200"/>
        <w:rPr>
          <w:rFonts w:ascii="宋体" w:hAnsi="宋体" w:cs="宋体"/>
          <w:color w:val="auto"/>
          <w:szCs w:val="21"/>
          <w:highlight w:val="none"/>
        </w:rPr>
      </w:pP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附：法定代表人身份证复印件及委托代理人身份证复印件</w:t>
      </w:r>
    </w:p>
    <w:p>
      <w:pPr>
        <w:spacing w:line="400" w:lineRule="exact"/>
        <w:ind w:firstLine="420" w:firstLineChars="200"/>
        <w:rPr>
          <w:rFonts w:ascii="宋体" w:hAnsi="宋体" w:cs="宋体"/>
          <w:color w:val="auto"/>
          <w:szCs w:val="21"/>
          <w:highlight w:val="none"/>
        </w:rPr>
      </w:pP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注：本授权委托书需由投标人加盖单位公章并由法定代表人和委托代理人签字。</w:t>
      </w:r>
    </w:p>
    <w:p>
      <w:pPr>
        <w:spacing w:line="400" w:lineRule="exact"/>
        <w:ind w:firstLine="420" w:firstLineChars="200"/>
        <w:rPr>
          <w:rFonts w:ascii="宋体" w:hAnsi="宋体" w:cs="宋体"/>
          <w:color w:val="auto"/>
          <w:szCs w:val="21"/>
          <w:highlight w:val="none"/>
        </w:rPr>
      </w:pPr>
    </w:p>
    <w:p>
      <w:pPr>
        <w:spacing w:line="400" w:lineRule="exact"/>
        <w:ind w:firstLine="4725" w:firstLineChars="2250"/>
        <w:rPr>
          <w:rFonts w:ascii="宋体" w:hAnsi="宋体" w:cs="宋体"/>
          <w:color w:val="auto"/>
          <w:szCs w:val="21"/>
          <w:highlight w:val="none"/>
        </w:rPr>
      </w:pPr>
      <w:r>
        <w:rPr>
          <w:rFonts w:hint="eastAsia" w:ascii="宋体" w:hAnsi="宋体" w:cs="宋体"/>
          <w:color w:val="auto"/>
          <w:szCs w:val="21"/>
          <w:highlight w:val="none"/>
        </w:rPr>
        <w:t>投标人：（单位电子签章）</w:t>
      </w:r>
    </w:p>
    <w:p>
      <w:pPr>
        <w:spacing w:line="400" w:lineRule="exact"/>
        <w:ind w:firstLine="420" w:firstLineChars="200"/>
        <w:rPr>
          <w:rFonts w:ascii="宋体" w:hAnsi="宋体" w:cs="宋体"/>
          <w:color w:val="auto"/>
          <w:szCs w:val="21"/>
          <w:highlight w:val="none"/>
        </w:rPr>
      </w:pPr>
    </w:p>
    <w:p>
      <w:pPr>
        <w:spacing w:line="400" w:lineRule="exact"/>
        <w:ind w:firstLine="4725" w:firstLineChars="2250"/>
        <w:rPr>
          <w:rFonts w:ascii="宋体" w:hAnsi="宋体" w:cs="宋体"/>
          <w:color w:val="auto"/>
          <w:szCs w:val="21"/>
          <w:highlight w:val="none"/>
        </w:rPr>
      </w:pPr>
      <w:r>
        <w:rPr>
          <w:rFonts w:hint="eastAsia" w:ascii="宋体" w:hAnsi="宋体" w:cs="宋体"/>
          <w:color w:val="auto"/>
          <w:szCs w:val="21"/>
          <w:highlight w:val="none"/>
        </w:rPr>
        <w:t>法定代表人：（电子签名或签名）</w:t>
      </w:r>
    </w:p>
    <w:p>
      <w:pPr>
        <w:spacing w:line="400" w:lineRule="exact"/>
        <w:ind w:firstLine="420" w:firstLineChars="200"/>
        <w:rPr>
          <w:rFonts w:ascii="宋体" w:hAnsi="宋体" w:cs="宋体"/>
          <w:color w:val="auto"/>
          <w:szCs w:val="21"/>
          <w:highlight w:val="none"/>
        </w:rPr>
      </w:pPr>
    </w:p>
    <w:p>
      <w:pPr>
        <w:spacing w:line="400" w:lineRule="exact"/>
        <w:ind w:firstLine="4725" w:firstLineChars="2250"/>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pPr>
        <w:spacing w:line="400" w:lineRule="exact"/>
        <w:ind w:firstLine="4725" w:firstLineChars="2250"/>
        <w:rPr>
          <w:rFonts w:ascii="宋体" w:hAnsi="宋体" w:cs="宋体"/>
          <w:color w:val="auto"/>
          <w:szCs w:val="21"/>
          <w:highlight w:val="none"/>
        </w:rPr>
      </w:pPr>
      <w:r>
        <w:rPr>
          <w:rFonts w:hint="eastAsia" w:ascii="宋体" w:hAnsi="宋体" w:cs="宋体"/>
          <w:color w:val="auto"/>
          <w:szCs w:val="21"/>
          <w:highlight w:val="none"/>
        </w:rPr>
        <w:t>委托代理人：（电子签名或签名）</w:t>
      </w:r>
    </w:p>
    <w:p>
      <w:pPr>
        <w:spacing w:line="400" w:lineRule="exact"/>
        <w:ind w:firstLine="420" w:firstLineChars="200"/>
        <w:rPr>
          <w:rFonts w:ascii="宋体" w:hAnsi="宋体" w:cs="宋体"/>
          <w:color w:val="auto"/>
          <w:szCs w:val="21"/>
          <w:highlight w:val="none"/>
        </w:rPr>
      </w:pPr>
    </w:p>
    <w:p>
      <w:pPr>
        <w:spacing w:line="400" w:lineRule="exact"/>
        <w:ind w:firstLine="4725" w:firstLineChars="2250"/>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pPr>
        <w:spacing w:line="400" w:lineRule="exact"/>
        <w:ind w:firstLine="5355" w:firstLineChars="2550"/>
        <w:rPr>
          <w:rFonts w:ascii="宋体" w:hAnsi="宋体" w:cs="宋体"/>
          <w:color w:val="auto"/>
          <w:szCs w:val="21"/>
          <w:highlight w:val="none"/>
        </w:rPr>
      </w:pPr>
    </w:p>
    <w:p>
      <w:pPr>
        <w:spacing w:line="400" w:lineRule="exact"/>
        <w:ind w:firstLine="5040" w:firstLineChars="2400"/>
        <w:rPr>
          <w:rFonts w:ascii="宋体" w:hAnsi="宋体" w:cs="宋体"/>
          <w:color w:val="auto"/>
          <w:szCs w:val="21"/>
          <w:highlight w:val="none"/>
        </w:rPr>
      </w:pPr>
      <w:r>
        <w:rPr>
          <w:rFonts w:hint="eastAsia" w:ascii="宋体" w:hAnsi="宋体" w:cs="宋体"/>
          <w:color w:val="auto"/>
          <w:szCs w:val="21"/>
          <w:highlight w:val="none"/>
        </w:rPr>
        <w:t>年  月   日</w:t>
      </w:r>
    </w:p>
    <w:p>
      <w:pPr>
        <w:spacing w:line="400" w:lineRule="exact"/>
        <w:rPr>
          <w:rFonts w:ascii="宋体" w:hAnsi="宋体" w:cs="宋体"/>
          <w:color w:val="auto"/>
          <w:szCs w:val="21"/>
          <w:highlight w:val="none"/>
        </w:rPr>
      </w:pPr>
    </w:p>
    <w:p>
      <w:pPr>
        <w:spacing w:line="400" w:lineRule="exact"/>
        <w:rPr>
          <w:rFonts w:ascii="宋体" w:hAnsi="宋体" w:cs="宋体"/>
          <w:bCs/>
          <w:color w:val="auto"/>
          <w:szCs w:val="21"/>
          <w:highlight w:val="none"/>
        </w:rPr>
      </w:pPr>
    </w:p>
    <w:p>
      <w:pPr>
        <w:spacing w:line="400" w:lineRule="exact"/>
        <w:rPr>
          <w:rFonts w:ascii="宋体" w:hAnsi="宋体" w:cs="宋体"/>
          <w:bCs/>
          <w:color w:val="auto"/>
          <w:szCs w:val="21"/>
          <w:highlight w:val="none"/>
        </w:rPr>
      </w:pPr>
    </w:p>
    <w:p>
      <w:pPr>
        <w:pStyle w:val="2"/>
        <w:spacing w:line="400" w:lineRule="exact"/>
        <w:ind w:firstLine="0"/>
        <w:rPr>
          <w:rFonts w:ascii="宋体" w:hAnsi="宋体" w:eastAsia="宋体" w:cs="宋体"/>
          <w:color w:val="auto"/>
          <w:sz w:val="21"/>
          <w:szCs w:val="21"/>
          <w:highlight w:val="none"/>
        </w:rPr>
      </w:pPr>
    </w:p>
    <w:p>
      <w:pPr>
        <w:pStyle w:val="23"/>
        <w:ind w:firstLine="600"/>
        <w:rPr>
          <w:color w:val="auto"/>
          <w:highlight w:val="none"/>
        </w:rPr>
      </w:pPr>
    </w:p>
    <w:p>
      <w:pPr>
        <w:rPr>
          <w:color w:val="auto"/>
          <w:highlight w:val="none"/>
        </w:rPr>
      </w:pPr>
      <w:bookmarkStart w:id="365" w:name="_Toc2283"/>
    </w:p>
    <w:p>
      <w:pPr>
        <w:pStyle w:val="42"/>
        <w:rPr>
          <w:color w:val="auto"/>
          <w:highlight w:val="none"/>
        </w:rPr>
      </w:pPr>
    </w:p>
    <w:p>
      <w:pPr>
        <w:rPr>
          <w:color w:val="auto"/>
          <w:highlight w:val="none"/>
        </w:rPr>
      </w:pPr>
    </w:p>
    <w:p>
      <w:pPr>
        <w:pStyle w:val="5"/>
        <w:numPr>
          <w:ilvl w:val="0"/>
          <w:numId w:val="0"/>
        </w:numPr>
        <w:spacing w:line="400" w:lineRule="exact"/>
        <w:ind w:left="210" w:right="210"/>
        <w:jc w:val="center"/>
        <w:rPr>
          <w:rFonts w:ascii="宋体" w:hAnsi="宋体" w:eastAsia="宋体" w:cs="宋体"/>
          <w:b/>
          <w:color w:val="auto"/>
          <w:szCs w:val="28"/>
          <w:highlight w:val="none"/>
        </w:rPr>
      </w:pPr>
      <w:bookmarkStart w:id="366" w:name="_Toc15300"/>
      <w:bookmarkStart w:id="367" w:name="_Toc25518"/>
      <w:r>
        <w:rPr>
          <w:rFonts w:hint="eastAsia" w:ascii="宋体" w:hAnsi="宋体" w:eastAsia="宋体" w:cs="宋体"/>
          <w:b/>
          <w:color w:val="auto"/>
          <w:szCs w:val="28"/>
          <w:highlight w:val="none"/>
        </w:rPr>
        <w:t>四、分项报价表</w:t>
      </w:r>
      <w:bookmarkEnd w:id="365"/>
      <w:bookmarkEnd w:id="366"/>
      <w:bookmarkEnd w:id="367"/>
    </w:p>
    <w:p>
      <w:pPr>
        <w:spacing w:line="400" w:lineRule="exact"/>
        <w:ind w:left="699" w:leftChars="227" w:hanging="222" w:hangingChars="106"/>
        <w:rPr>
          <w:rFonts w:ascii="宋体" w:hAnsi="宋体" w:cs="宋体"/>
          <w:color w:val="auto"/>
          <w:szCs w:val="21"/>
          <w:highlight w:val="none"/>
        </w:rPr>
      </w:pPr>
    </w:p>
    <w:p>
      <w:pPr>
        <w:numPr>
          <w:ilvl w:val="0"/>
          <w:numId w:val="6"/>
        </w:numPr>
        <w:spacing w:line="360" w:lineRule="exact"/>
        <w:jc w:val="center"/>
        <w:outlineLvl w:val="1"/>
        <w:rPr>
          <w:rFonts w:ascii="宋体" w:hAnsi="宋体" w:cs="宋体"/>
          <w:b/>
          <w:color w:val="auto"/>
          <w:sz w:val="24"/>
          <w:highlight w:val="none"/>
        </w:rPr>
      </w:pPr>
      <w:bookmarkStart w:id="368" w:name="_Toc28302"/>
      <w:bookmarkStart w:id="369" w:name="_Toc7079"/>
      <w:bookmarkStart w:id="370" w:name="_Toc22456"/>
      <w:bookmarkStart w:id="371" w:name="_Toc11200"/>
      <w:r>
        <w:rPr>
          <w:rFonts w:hint="eastAsia" w:ascii="宋体" w:hAnsi="宋体" w:cs="宋体"/>
          <w:b/>
          <w:color w:val="auto"/>
          <w:sz w:val="24"/>
          <w:highlight w:val="none"/>
        </w:rPr>
        <w:t>货物分项报价一览表</w:t>
      </w:r>
      <w:bookmarkEnd w:id="368"/>
      <w:bookmarkEnd w:id="369"/>
      <w:bookmarkEnd w:id="370"/>
      <w:bookmarkEnd w:id="371"/>
    </w:p>
    <w:p>
      <w:pPr>
        <w:pStyle w:val="44"/>
        <w:rPr>
          <w:rFonts w:hAnsi="宋体"/>
          <w:color w:val="auto"/>
          <w:highlight w:val="none"/>
        </w:rPr>
      </w:pPr>
    </w:p>
    <w:p>
      <w:pPr>
        <w:spacing w:line="312" w:lineRule="auto"/>
        <w:jc w:val="center"/>
        <w:outlineLvl w:val="9"/>
        <w:rPr>
          <w:rFonts w:ascii="宋体" w:hAnsi="宋体" w:cs="宋体"/>
          <w:b/>
          <w:color w:val="auto"/>
          <w:szCs w:val="21"/>
          <w:highlight w:val="none"/>
        </w:rPr>
      </w:pPr>
      <w:r>
        <w:rPr>
          <w:rFonts w:hint="eastAsia" w:ascii="宋体" w:hAnsi="宋体" w:cs="宋体"/>
          <w:b/>
          <w:color w:val="auto"/>
          <w:sz w:val="28"/>
          <w:szCs w:val="28"/>
          <w:highlight w:val="none"/>
        </w:rPr>
        <w:t xml:space="preserve">                                                 </w:t>
      </w:r>
      <w:bookmarkStart w:id="372" w:name="_Toc17693"/>
      <w:bookmarkStart w:id="373" w:name="_Toc14647"/>
      <w:bookmarkStart w:id="374" w:name="_Toc10761"/>
      <w:bookmarkStart w:id="375" w:name="_Toc26265"/>
      <w:r>
        <w:rPr>
          <w:rFonts w:hint="eastAsia" w:ascii="宋体" w:hAnsi="宋体" w:cs="宋体"/>
          <w:b/>
          <w:color w:val="auto"/>
          <w:szCs w:val="21"/>
          <w:highlight w:val="none"/>
        </w:rPr>
        <w:t>单位：元</w:t>
      </w:r>
      <w:bookmarkEnd w:id="372"/>
      <w:bookmarkEnd w:id="373"/>
      <w:bookmarkEnd w:id="374"/>
      <w:bookmarkEnd w:id="375"/>
    </w:p>
    <w:tbl>
      <w:tblPr>
        <w:tblStyle w:val="24"/>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82"/>
        <w:gridCol w:w="1325"/>
        <w:gridCol w:w="1026"/>
        <w:gridCol w:w="1113"/>
        <w:gridCol w:w="1113"/>
        <w:gridCol w:w="927"/>
        <w:gridCol w:w="927"/>
        <w:gridCol w:w="1113"/>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53" w:type="dxa"/>
            <w:vAlign w:val="center"/>
          </w:tcPr>
          <w:p>
            <w:pPr>
              <w:rPr>
                <w:rFonts w:ascii="宋体" w:hAnsi="宋体" w:cs="宋体"/>
                <w:color w:val="auto"/>
                <w:szCs w:val="21"/>
                <w:highlight w:val="none"/>
              </w:rPr>
            </w:pPr>
            <w:r>
              <w:rPr>
                <w:rFonts w:hint="eastAsia" w:ascii="宋体" w:hAnsi="宋体" w:cs="宋体"/>
                <w:color w:val="auto"/>
                <w:szCs w:val="21"/>
                <w:highlight w:val="none"/>
              </w:rPr>
              <w:t>序号</w:t>
            </w:r>
          </w:p>
        </w:tc>
        <w:tc>
          <w:tcPr>
            <w:tcW w:w="1182" w:type="dxa"/>
            <w:vAlign w:val="center"/>
          </w:tcPr>
          <w:p>
            <w:pPr>
              <w:rPr>
                <w:rFonts w:ascii="宋体" w:hAnsi="宋体" w:cs="宋体"/>
                <w:color w:val="auto"/>
                <w:szCs w:val="21"/>
                <w:highlight w:val="none"/>
              </w:rPr>
            </w:pPr>
            <w:r>
              <w:rPr>
                <w:rFonts w:hint="eastAsia" w:ascii="宋体" w:hAnsi="宋体" w:cs="宋体"/>
                <w:color w:val="auto"/>
                <w:szCs w:val="21"/>
                <w:highlight w:val="none"/>
              </w:rPr>
              <w:t>货物名称</w:t>
            </w:r>
          </w:p>
        </w:tc>
        <w:tc>
          <w:tcPr>
            <w:tcW w:w="1325" w:type="dxa"/>
            <w:vAlign w:val="center"/>
          </w:tcPr>
          <w:p>
            <w:pPr>
              <w:rPr>
                <w:rFonts w:ascii="宋体" w:hAnsi="宋体" w:cs="宋体"/>
                <w:color w:val="auto"/>
                <w:szCs w:val="21"/>
                <w:highlight w:val="none"/>
              </w:rPr>
            </w:pPr>
            <w:r>
              <w:rPr>
                <w:rFonts w:hint="eastAsia" w:ascii="宋体" w:hAnsi="宋体" w:cs="宋体"/>
                <w:color w:val="auto"/>
                <w:szCs w:val="21"/>
                <w:highlight w:val="none"/>
              </w:rPr>
              <w:t>规格型号</w:t>
            </w:r>
          </w:p>
        </w:tc>
        <w:tc>
          <w:tcPr>
            <w:tcW w:w="1026" w:type="dxa"/>
            <w:vAlign w:val="center"/>
          </w:tcPr>
          <w:p>
            <w:pPr>
              <w:rPr>
                <w:rFonts w:ascii="宋体" w:hAnsi="宋体" w:cs="宋体"/>
                <w:color w:val="auto"/>
                <w:szCs w:val="21"/>
                <w:highlight w:val="none"/>
              </w:rPr>
            </w:pPr>
            <w:r>
              <w:rPr>
                <w:rFonts w:hint="eastAsia" w:ascii="宋体" w:hAnsi="宋体" w:cs="宋体"/>
                <w:color w:val="auto"/>
                <w:szCs w:val="21"/>
                <w:highlight w:val="none"/>
              </w:rPr>
              <w:t>制造商</w:t>
            </w:r>
          </w:p>
        </w:tc>
        <w:tc>
          <w:tcPr>
            <w:tcW w:w="1113" w:type="dxa"/>
            <w:vAlign w:val="center"/>
          </w:tcPr>
          <w:p>
            <w:pPr>
              <w:rPr>
                <w:rFonts w:ascii="宋体" w:hAnsi="宋体" w:cs="宋体"/>
                <w:color w:val="auto"/>
                <w:szCs w:val="21"/>
                <w:highlight w:val="none"/>
              </w:rPr>
            </w:pPr>
            <w:r>
              <w:rPr>
                <w:rFonts w:hint="eastAsia" w:ascii="宋体" w:hAnsi="宋体" w:cs="宋体"/>
                <w:color w:val="auto"/>
                <w:szCs w:val="21"/>
                <w:highlight w:val="none"/>
              </w:rPr>
              <w:t>品牌</w:t>
            </w:r>
          </w:p>
        </w:tc>
        <w:tc>
          <w:tcPr>
            <w:tcW w:w="1113" w:type="dxa"/>
            <w:vAlign w:val="center"/>
          </w:tcPr>
          <w:p>
            <w:pPr>
              <w:rPr>
                <w:rFonts w:ascii="宋体" w:hAnsi="宋体" w:cs="宋体"/>
                <w:color w:val="auto"/>
                <w:szCs w:val="21"/>
                <w:highlight w:val="none"/>
              </w:rPr>
            </w:pPr>
            <w:r>
              <w:rPr>
                <w:rFonts w:hint="eastAsia" w:ascii="宋体" w:hAnsi="宋体" w:cs="宋体"/>
                <w:color w:val="auto"/>
                <w:szCs w:val="21"/>
                <w:highlight w:val="none"/>
              </w:rPr>
              <w:t>单位</w:t>
            </w:r>
          </w:p>
        </w:tc>
        <w:tc>
          <w:tcPr>
            <w:tcW w:w="927" w:type="dxa"/>
            <w:vAlign w:val="center"/>
          </w:tcPr>
          <w:p>
            <w:pPr>
              <w:rPr>
                <w:rFonts w:ascii="宋体" w:hAnsi="宋体" w:cs="宋体"/>
                <w:color w:val="auto"/>
                <w:szCs w:val="21"/>
                <w:highlight w:val="none"/>
              </w:rPr>
            </w:pPr>
            <w:r>
              <w:rPr>
                <w:rFonts w:hint="eastAsia" w:ascii="宋体" w:hAnsi="宋体" w:cs="宋体"/>
                <w:color w:val="auto"/>
                <w:szCs w:val="21"/>
                <w:highlight w:val="none"/>
              </w:rPr>
              <w:t>数量</w:t>
            </w:r>
          </w:p>
        </w:tc>
        <w:tc>
          <w:tcPr>
            <w:tcW w:w="927" w:type="dxa"/>
            <w:vAlign w:val="center"/>
          </w:tcPr>
          <w:p>
            <w:pPr>
              <w:rPr>
                <w:rFonts w:ascii="宋体" w:hAnsi="宋体" w:cs="宋体"/>
                <w:color w:val="auto"/>
                <w:szCs w:val="21"/>
                <w:highlight w:val="none"/>
              </w:rPr>
            </w:pPr>
            <w:r>
              <w:rPr>
                <w:rFonts w:hint="eastAsia" w:ascii="宋体" w:hAnsi="宋体" w:cs="宋体"/>
                <w:color w:val="auto"/>
                <w:szCs w:val="21"/>
                <w:highlight w:val="none"/>
              </w:rPr>
              <w:t>单价</w:t>
            </w:r>
          </w:p>
        </w:tc>
        <w:tc>
          <w:tcPr>
            <w:tcW w:w="1113" w:type="dxa"/>
            <w:vAlign w:val="center"/>
          </w:tcPr>
          <w:p>
            <w:pPr>
              <w:rPr>
                <w:rFonts w:ascii="宋体" w:hAnsi="宋体" w:cs="宋体"/>
                <w:color w:val="auto"/>
                <w:szCs w:val="21"/>
                <w:highlight w:val="none"/>
              </w:rPr>
            </w:pPr>
            <w:r>
              <w:rPr>
                <w:rFonts w:hint="eastAsia" w:ascii="宋体" w:hAnsi="宋体" w:cs="宋体"/>
                <w:color w:val="auto"/>
                <w:szCs w:val="21"/>
                <w:highlight w:val="none"/>
              </w:rPr>
              <w:t>合计</w:t>
            </w:r>
          </w:p>
        </w:tc>
        <w:tc>
          <w:tcPr>
            <w:tcW w:w="985" w:type="dxa"/>
            <w:vAlign w:val="center"/>
          </w:tcPr>
          <w:p>
            <w:pP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82" w:type="dxa"/>
            <w:vAlign w:val="center"/>
          </w:tcPr>
          <w:p>
            <w:pPr>
              <w:jc w:val="center"/>
              <w:rPr>
                <w:rFonts w:ascii="宋体" w:hAnsi="宋体" w:cs="宋体"/>
                <w:color w:val="auto"/>
                <w:szCs w:val="21"/>
                <w:highlight w:val="none"/>
              </w:rPr>
            </w:pPr>
          </w:p>
        </w:tc>
        <w:tc>
          <w:tcPr>
            <w:tcW w:w="1325" w:type="dxa"/>
            <w:vAlign w:val="center"/>
          </w:tcPr>
          <w:p>
            <w:pPr>
              <w:jc w:val="center"/>
              <w:rPr>
                <w:rFonts w:ascii="宋体" w:hAnsi="宋体" w:cs="宋体"/>
                <w:color w:val="auto"/>
                <w:szCs w:val="21"/>
                <w:highlight w:val="none"/>
              </w:rPr>
            </w:pPr>
          </w:p>
        </w:tc>
        <w:tc>
          <w:tcPr>
            <w:tcW w:w="1026"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85"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182" w:type="dxa"/>
            <w:vAlign w:val="center"/>
          </w:tcPr>
          <w:p>
            <w:pPr>
              <w:jc w:val="center"/>
              <w:rPr>
                <w:rFonts w:ascii="宋体" w:hAnsi="宋体" w:cs="宋体"/>
                <w:color w:val="auto"/>
                <w:szCs w:val="21"/>
                <w:highlight w:val="none"/>
              </w:rPr>
            </w:pPr>
          </w:p>
        </w:tc>
        <w:tc>
          <w:tcPr>
            <w:tcW w:w="1325" w:type="dxa"/>
            <w:vAlign w:val="center"/>
          </w:tcPr>
          <w:p>
            <w:pPr>
              <w:jc w:val="center"/>
              <w:rPr>
                <w:rFonts w:ascii="宋体" w:hAnsi="宋体" w:cs="宋体"/>
                <w:color w:val="auto"/>
                <w:szCs w:val="21"/>
                <w:highlight w:val="none"/>
              </w:rPr>
            </w:pPr>
          </w:p>
        </w:tc>
        <w:tc>
          <w:tcPr>
            <w:tcW w:w="1026"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85"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182" w:type="dxa"/>
            <w:vAlign w:val="center"/>
          </w:tcPr>
          <w:p>
            <w:pPr>
              <w:jc w:val="center"/>
              <w:rPr>
                <w:rFonts w:ascii="宋体" w:hAnsi="宋体" w:cs="宋体"/>
                <w:color w:val="auto"/>
                <w:szCs w:val="21"/>
                <w:highlight w:val="none"/>
              </w:rPr>
            </w:pPr>
          </w:p>
        </w:tc>
        <w:tc>
          <w:tcPr>
            <w:tcW w:w="1325" w:type="dxa"/>
            <w:vAlign w:val="center"/>
          </w:tcPr>
          <w:p>
            <w:pPr>
              <w:jc w:val="center"/>
              <w:rPr>
                <w:rFonts w:ascii="宋体" w:hAnsi="宋体" w:cs="宋体"/>
                <w:color w:val="auto"/>
                <w:szCs w:val="21"/>
                <w:highlight w:val="none"/>
              </w:rPr>
            </w:pPr>
          </w:p>
        </w:tc>
        <w:tc>
          <w:tcPr>
            <w:tcW w:w="1026"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85"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182" w:type="dxa"/>
            <w:vAlign w:val="center"/>
          </w:tcPr>
          <w:p>
            <w:pPr>
              <w:jc w:val="center"/>
              <w:rPr>
                <w:rFonts w:ascii="宋体" w:hAnsi="宋体" w:cs="宋体"/>
                <w:color w:val="auto"/>
                <w:szCs w:val="21"/>
                <w:highlight w:val="none"/>
              </w:rPr>
            </w:pPr>
          </w:p>
        </w:tc>
        <w:tc>
          <w:tcPr>
            <w:tcW w:w="1325" w:type="dxa"/>
            <w:vAlign w:val="center"/>
          </w:tcPr>
          <w:p>
            <w:pPr>
              <w:jc w:val="center"/>
              <w:rPr>
                <w:rFonts w:ascii="宋体" w:hAnsi="宋体" w:cs="宋体"/>
                <w:color w:val="auto"/>
                <w:szCs w:val="21"/>
                <w:highlight w:val="none"/>
              </w:rPr>
            </w:pPr>
          </w:p>
        </w:tc>
        <w:tc>
          <w:tcPr>
            <w:tcW w:w="1026"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85"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182" w:type="dxa"/>
            <w:vAlign w:val="center"/>
          </w:tcPr>
          <w:p>
            <w:pPr>
              <w:jc w:val="center"/>
              <w:rPr>
                <w:rFonts w:ascii="宋体" w:hAnsi="宋体" w:cs="宋体"/>
                <w:color w:val="auto"/>
                <w:szCs w:val="21"/>
                <w:highlight w:val="none"/>
              </w:rPr>
            </w:pPr>
          </w:p>
        </w:tc>
        <w:tc>
          <w:tcPr>
            <w:tcW w:w="1325" w:type="dxa"/>
            <w:vAlign w:val="center"/>
          </w:tcPr>
          <w:p>
            <w:pPr>
              <w:jc w:val="center"/>
              <w:rPr>
                <w:rFonts w:ascii="宋体" w:hAnsi="宋体" w:cs="宋体"/>
                <w:color w:val="auto"/>
                <w:szCs w:val="21"/>
                <w:highlight w:val="none"/>
              </w:rPr>
            </w:pPr>
          </w:p>
        </w:tc>
        <w:tc>
          <w:tcPr>
            <w:tcW w:w="1026"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927" w:type="dxa"/>
            <w:vAlign w:val="center"/>
          </w:tcPr>
          <w:p>
            <w:pPr>
              <w:jc w:val="center"/>
              <w:rPr>
                <w:rFonts w:ascii="宋体" w:hAnsi="宋体" w:cs="宋体"/>
                <w:color w:val="auto"/>
                <w:szCs w:val="21"/>
                <w:highlight w:val="none"/>
              </w:rPr>
            </w:pPr>
          </w:p>
        </w:tc>
        <w:tc>
          <w:tcPr>
            <w:tcW w:w="1113" w:type="dxa"/>
            <w:vAlign w:val="center"/>
          </w:tcPr>
          <w:p>
            <w:pPr>
              <w:jc w:val="center"/>
              <w:rPr>
                <w:rFonts w:ascii="宋体" w:hAnsi="宋体" w:cs="宋体"/>
                <w:color w:val="auto"/>
                <w:szCs w:val="21"/>
                <w:highlight w:val="none"/>
              </w:rPr>
            </w:pPr>
          </w:p>
        </w:tc>
        <w:tc>
          <w:tcPr>
            <w:tcW w:w="985"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182" w:type="dxa"/>
          </w:tcPr>
          <w:p>
            <w:pPr>
              <w:rPr>
                <w:rFonts w:ascii="宋体" w:hAnsi="宋体" w:cs="宋体"/>
                <w:color w:val="auto"/>
                <w:szCs w:val="21"/>
                <w:highlight w:val="none"/>
              </w:rPr>
            </w:pPr>
          </w:p>
        </w:tc>
        <w:tc>
          <w:tcPr>
            <w:tcW w:w="1325" w:type="dxa"/>
          </w:tcPr>
          <w:p>
            <w:pPr>
              <w:rPr>
                <w:rFonts w:ascii="宋体" w:hAnsi="宋体" w:cs="宋体"/>
                <w:color w:val="auto"/>
                <w:szCs w:val="21"/>
                <w:highlight w:val="none"/>
              </w:rPr>
            </w:pPr>
          </w:p>
        </w:tc>
        <w:tc>
          <w:tcPr>
            <w:tcW w:w="1026" w:type="dxa"/>
          </w:tcPr>
          <w:p>
            <w:pPr>
              <w:rPr>
                <w:rFonts w:ascii="宋体" w:hAnsi="宋体" w:cs="宋体"/>
                <w:color w:val="auto"/>
                <w:szCs w:val="21"/>
                <w:highlight w:val="none"/>
              </w:rPr>
            </w:pPr>
          </w:p>
        </w:tc>
        <w:tc>
          <w:tcPr>
            <w:tcW w:w="1113" w:type="dxa"/>
          </w:tcPr>
          <w:p>
            <w:pPr>
              <w:rPr>
                <w:rFonts w:ascii="宋体" w:hAnsi="宋体" w:cs="宋体"/>
                <w:color w:val="auto"/>
                <w:szCs w:val="21"/>
                <w:highlight w:val="none"/>
              </w:rPr>
            </w:pPr>
          </w:p>
        </w:tc>
        <w:tc>
          <w:tcPr>
            <w:tcW w:w="1113" w:type="dxa"/>
          </w:tcPr>
          <w:p>
            <w:pPr>
              <w:rPr>
                <w:rFonts w:ascii="宋体" w:hAnsi="宋体" w:cs="宋体"/>
                <w:color w:val="auto"/>
                <w:szCs w:val="21"/>
                <w:highlight w:val="none"/>
              </w:rPr>
            </w:pPr>
          </w:p>
        </w:tc>
        <w:tc>
          <w:tcPr>
            <w:tcW w:w="927" w:type="dxa"/>
          </w:tcPr>
          <w:p>
            <w:pPr>
              <w:rPr>
                <w:rFonts w:ascii="宋体" w:hAnsi="宋体" w:cs="宋体"/>
                <w:color w:val="auto"/>
                <w:szCs w:val="21"/>
                <w:highlight w:val="none"/>
              </w:rPr>
            </w:pPr>
          </w:p>
        </w:tc>
        <w:tc>
          <w:tcPr>
            <w:tcW w:w="927" w:type="dxa"/>
          </w:tcPr>
          <w:p>
            <w:pPr>
              <w:rPr>
                <w:rFonts w:ascii="宋体" w:hAnsi="宋体" w:cs="宋体"/>
                <w:color w:val="auto"/>
                <w:szCs w:val="21"/>
                <w:highlight w:val="none"/>
              </w:rPr>
            </w:pPr>
          </w:p>
        </w:tc>
        <w:tc>
          <w:tcPr>
            <w:tcW w:w="1113" w:type="dxa"/>
          </w:tcPr>
          <w:p>
            <w:pPr>
              <w:rPr>
                <w:rFonts w:ascii="宋体" w:hAnsi="宋体" w:cs="宋体"/>
                <w:color w:val="auto"/>
                <w:szCs w:val="21"/>
                <w:highlight w:val="none"/>
              </w:rPr>
            </w:pPr>
          </w:p>
        </w:tc>
        <w:tc>
          <w:tcPr>
            <w:tcW w:w="985" w:type="dxa"/>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539" w:type="dxa"/>
            <w:gridSpan w:val="7"/>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    计</w:t>
            </w:r>
          </w:p>
        </w:tc>
        <w:tc>
          <w:tcPr>
            <w:tcW w:w="927" w:type="dxa"/>
          </w:tcPr>
          <w:p>
            <w:pPr>
              <w:jc w:val="center"/>
              <w:rPr>
                <w:rFonts w:ascii="宋体" w:hAnsi="宋体" w:cs="宋体"/>
                <w:color w:val="auto"/>
                <w:szCs w:val="21"/>
                <w:highlight w:val="none"/>
              </w:rPr>
            </w:pPr>
          </w:p>
        </w:tc>
        <w:tc>
          <w:tcPr>
            <w:tcW w:w="1113" w:type="dxa"/>
          </w:tcPr>
          <w:p>
            <w:pPr>
              <w:rPr>
                <w:rFonts w:ascii="宋体" w:hAnsi="宋体" w:cs="宋体"/>
                <w:color w:val="auto"/>
                <w:szCs w:val="21"/>
                <w:highlight w:val="none"/>
              </w:rPr>
            </w:pPr>
          </w:p>
        </w:tc>
        <w:tc>
          <w:tcPr>
            <w:tcW w:w="985" w:type="dxa"/>
          </w:tcPr>
          <w:p>
            <w:pPr>
              <w:rPr>
                <w:rFonts w:ascii="宋体" w:hAnsi="宋体" w:cs="宋体"/>
                <w:color w:val="auto"/>
                <w:szCs w:val="21"/>
                <w:highlight w:val="none"/>
              </w:rPr>
            </w:pPr>
          </w:p>
        </w:tc>
      </w:tr>
    </w:tbl>
    <w:p>
      <w:pPr>
        <w:spacing w:line="336" w:lineRule="auto"/>
        <w:rPr>
          <w:rFonts w:ascii="宋体" w:hAnsi="宋体" w:cs="宋体"/>
          <w:color w:val="auto"/>
          <w:szCs w:val="21"/>
          <w:highlight w:val="none"/>
        </w:rPr>
      </w:pPr>
      <w:r>
        <w:rPr>
          <w:rFonts w:hint="eastAsia" w:ascii="宋体" w:hAnsi="宋体" w:cs="宋体"/>
          <w:color w:val="auto"/>
          <w:szCs w:val="21"/>
          <w:highlight w:val="none"/>
        </w:rPr>
        <w:t>注：该表格仅供参考投标人，可根据需要自行扩展。</w:t>
      </w:r>
    </w:p>
    <w:p>
      <w:pPr>
        <w:spacing w:line="312" w:lineRule="auto"/>
        <w:rPr>
          <w:rFonts w:ascii="宋体" w:hAnsi="宋体" w:cs="宋体"/>
          <w:color w:val="auto"/>
          <w:sz w:val="24"/>
          <w:highlight w:val="none"/>
        </w:rPr>
      </w:pPr>
    </w:p>
    <w:p>
      <w:pPr>
        <w:tabs>
          <w:tab w:val="left" w:pos="1365"/>
        </w:tabs>
        <w:spacing w:line="360" w:lineRule="auto"/>
        <w:ind w:firstLine="315" w:firstLineChars="150"/>
        <w:jc w:val="right"/>
        <w:rPr>
          <w:rFonts w:ascii="宋体" w:hAnsi="宋体" w:cs="宋体"/>
          <w:color w:val="auto"/>
          <w:szCs w:val="21"/>
          <w:highlight w:val="none"/>
        </w:rPr>
      </w:pPr>
      <w:r>
        <w:rPr>
          <w:rFonts w:hint="eastAsia" w:ascii="宋体" w:hAnsi="宋体" w:cs="宋体"/>
          <w:color w:val="auto"/>
          <w:szCs w:val="21"/>
          <w:highlight w:val="none"/>
        </w:rPr>
        <w:t xml:space="preserve">投标单位（盖章）：                    </w:t>
      </w:r>
    </w:p>
    <w:p>
      <w:pPr>
        <w:tabs>
          <w:tab w:val="left" w:pos="1365"/>
        </w:tabs>
        <w:spacing w:line="360" w:lineRule="auto"/>
        <w:ind w:firstLine="315" w:firstLineChars="150"/>
        <w:jc w:val="right"/>
        <w:rPr>
          <w:rFonts w:ascii="宋体" w:hAnsi="宋体" w:cs="宋体"/>
          <w:color w:val="auto"/>
          <w:szCs w:val="21"/>
          <w:highlight w:val="none"/>
        </w:rPr>
      </w:pPr>
      <w:r>
        <w:rPr>
          <w:rFonts w:hint="eastAsia" w:ascii="宋体" w:hAnsi="宋体" w:cs="宋体"/>
          <w:color w:val="auto"/>
          <w:szCs w:val="21"/>
          <w:highlight w:val="none"/>
        </w:rPr>
        <w:t>法定代表人或其委托代理人（电子签名或签名或盖章）：</w:t>
      </w:r>
    </w:p>
    <w:p>
      <w:pPr>
        <w:spacing w:line="312" w:lineRule="auto"/>
        <w:jc w:val="right"/>
        <w:rPr>
          <w:rFonts w:ascii="宋体" w:hAnsi="宋体" w:cs="宋体"/>
          <w:b/>
          <w:color w:val="auto"/>
          <w:sz w:val="24"/>
          <w:highlight w:val="none"/>
        </w:rPr>
      </w:pPr>
      <w:r>
        <w:rPr>
          <w:rFonts w:hint="eastAsia" w:ascii="宋体" w:hAnsi="宋体" w:cs="宋体"/>
          <w:color w:val="auto"/>
          <w:szCs w:val="21"/>
          <w:highlight w:val="none"/>
        </w:rPr>
        <w:t>日   期：     年    月    日</w:t>
      </w:r>
    </w:p>
    <w:p>
      <w:pPr>
        <w:pStyle w:val="5"/>
        <w:numPr>
          <w:ilvl w:val="0"/>
          <w:numId w:val="6"/>
        </w:numPr>
        <w:snapToGrid w:val="0"/>
        <w:spacing w:line="400" w:lineRule="exact"/>
        <w:ind w:left="0" w:firstLine="0"/>
        <w:jc w:val="center"/>
        <w:rPr>
          <w:rFonts w:ascii="宋体" w:hAnsi="宋体" w:eastAsia="宋体" w:cs="宋体"/>
          <w:color w:val="auto"/>
          <w:highlight w:val="none"/>
        </w:rPr>
      </w:pPr>
      <w:bookmarkStart w:id="376" w:name="_Toc6602"/>
      <w:bookmarkStart w:id="377" w:name="_Toc6768"/>
      <w:bookmarkStart w:id="378" w:name="_Toc29376"/>
      <w:r>
        <w:rPr>
          <w:rFonts w:hint="eastAsia" w:ascii="宋体" w:hAnsi="宋体" w:eastAsia="宋体" w:cs="宋体"/>
          <w:color w:val="auto"/>
          <w:highlight w:val="none"/>
        </w:rPr>
        <w:br w:type="page"/>
      </w:r>
      <w:bookmarkStart w:id="379" w:name="_Toc32690"/>
      <w:bookmarkStart w:id="380" w:name="_Toc11015"/>
      <w:r>
        <w:rPr>
          <w:rFonts w:hint="eastAsia" w:ascii="宋体" w:hAnsi="宋体" w:eastAsia="宋体" w:cs="宋体"/>
          <w:color w:val="auto"/>
          <w:highlight w:val="none"/>
        </w:rPr>
        <w:t>小型、微型（监狱、残疾人福利性单位）企业产品明细表</w:t>
      </w:r>
      <w:bookmarkEnd w:id="376"/>
      <w:bookmarkEnd w:id="377"/>
      <w:bookmarkEnd w:id="378"/>
      <w:bookmarkEnd w:id="379"/>
      <w:bookmarkEnd w:id="380"/>
    </w:p>
    <w:p>
      <w:pPr>
        <w:rPr>
          <w:color w:val="auto"/>
          <w:highlight w:val="none"/>
        </w:rPr>
      </w:pPr>
    </w:p>
    <w:tbl>
      <w:tblPr>
        <w:tblStyle w:val="24"/>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750"/>
        <w:gridCol w:w="1626"/>
        <w:gridCol w:w="1290"/>
        <w:gridCol w:w="2297"/>
        <w:gridCol w:w="1017"/>
        <w:gridCol w:w="8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39" w:type="dxa"/>
            <w:vMerge w:val="restart"/>
            <w:vAlign w:val="center"/>
          </w:tcPr>
          <w:p>
            <w:pPr>
              <w:pStyle w:val="160"/>
              <w:tabs>
                <w:tab w:val="left" w:pos="1260"/>
              </w:tabs>
              <w:spacing w:before="156" w:after="156" w:line="4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中小企业扶持政策</w:t>
            </w:r>
          </w:p>
        </w:tc>
        <w:tc>
          <w:tcPr>
            <w:tcW w:w="9840" w:type="dxa"/>
            <w:gridSpan w:val="7"/>
            <w:vAlign w:val="center"/>
          </w:tcPr>
          <w:p>
            <w:pPr>
              <w:pStyle w:val="160"/>
              <w:tabs>
                <w:tab w:val="left" w:pos="1260"/>
              </w:tabs>
              <w:spacing w:before="40" w:after="40" w:line="400" w:lineRule="exact"/>
              <w:rPr>
                <w:rFonts w:ascii="宋体" w:hAnsi="宋体" w:cs="宋体"/>
                <w:color w:val="auto"/>
                <w:szCs w:val="21"/>
                <w:highlight w:val="none"/>
                <w:lang w:val="en-GB"/>
              </w:rPr>
            </w:pPr>
            <w:r>
              <w:rPr>
                <w:rFonts w:hint="eastAsia" w:ascii="宋体" w:hAnsi="宋体" w:cs="宋体"/>
                <w:color w:val="auto"/>
                <w:szCs w:val="21"/>
                <w:highlight w:val="none"/>
                <w:lang w:val="en-GB"/>
              </w:rPr>
              <w:t>如属所列情形的，请在括号内打“√”：</w:t>
            </w:r>
          </w:p>
          <w:p>
            <w:pPr>
              <w:pStyle w:val="160"/>
              <w:tabs>
                <w:tab w:val="left" w:pos="1260"/>
              </w:tabs>
              <w:spacing w:before="40" w:after="40" w:line="400" w:lineRule="exact"/>
              <w:rPr>
                <w:rFonts w:ascii="宋体" w:hAnsi="宋体" w:cs="宋体"/>
                <w:color w:val="auto"/>
                <w:szCs w:val="21"/>
                <w:highlight w:val="none"/>
              </w:rPr>
            </w:pPr>
            <w:r>
              <w:rPr>
                <w:rFonts w:hint="eastAsia" w:ascii="宋体" w:hAnsi="宋体" w:cs="宋体"/>
                <w:color w:val="auto"/>
                <w:szCs w:val="21"/>
                <w:highlight w:val="none"/>
              </w:rPr>
              <w:t>（  ）小型、微型企业投标且提供本企业制造的产品。</w:t>
            </w:r>
          </w:p>
          <w:p>
            <w:pPr>
              <w:pStyle w:val="160"/>
              <w:tabs>
                <w:tab w:val="left" w:pos="1260"/>
              </w:tabs>
              <w:spacing w:before="40" w:after="40" w:line="400" w:lineRule="exact"/>
              <w:rPr>
                <w:rFonts w:ascii="宋体" w:hAnsi="宋体" w:cs="宋体"/>
                <w:color w:val="auto"/>
                <w:szCs w:val="21"/>
                <w:highlight w:val="none"/>
              </w:rPr>
            </w:pPr>
            <w:r>
              <w:rPr>
                <w:rFonts w:hint="eastAsia" w:ascii="宋体" w:hAnsi="宋体" w:cs="宋体"/>
                <w:color w:val="auto"/>
                <w:szCs w:val="21"/>
                <w:highlight w:val="none"/>
              </w:rPr>
              <w:t>（  ）小微企业投标且提供其他小型、微型企业产品的，请填写下表内容：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39" w:type="dxa"/>
            <w:vMerge w:val="continue"/>
            <w:vAlign w:val="center"/>
          </w:tcPr>
          <w:p>
            <w:pPr>
              <w:pStyle w:val="160"/>
              <w:tabs>
                <w:tab w:val="left" w:pos="1260"/>
              </w:tabs>
              <w:spacing w:before="156" w:after="156" w:line="400" w:lineRule="exact"/>
              <w:jc w:val="center"/>
              <w:rPr>
                <w:rFonts w:ascii="宋体" w:hAnsi="宋体" w:cs="宋体"/>
                <w:color w:val="auto"/>
                <w:szCs w:val="21"/>
                <w:highlight w:val="none"/>
                <w:lang w:val="en-GB"/>
              </w:rPr>
            </w:pPr>
          </w:p>
        </w:tc>
        <w:tc>
          <w:tcPr>
            <w:tcW w:w="175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货物名称</w:t>
            </w:r>
          </w:p>
        </w:tc>
        <w:tc>
          <w:tcPr>
            <w:tcW w:w="1626"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品牌</w:t>
            </w:r>
            <w:r>
              <w:rPr>
                <w:rFonts w:hint="eastAsia" w:ascii="宋体" w:hAnsi="宋体" w:cs="宋体"/>
                <w:color w:val="auto"/>
                <w:szCs w:val="21"/>
                <w:highlight w:val="none"/>
              </w:rPr>
              <w:t>/规格</w:t>
            </w:r>
            <w:r>
              <w:rPr>
                <w:rFonts w:hint="eastAsia" w:ascii="宋体" w:hAnsi="宋体" w:cs="宋体"/>
                <w:color w:val="auto"/>
                <w:szCs w:val="21"/>
                <w:highlight w:val="none"/>
                <w:lang w:val="en-GB"/>
              </w:rPr>
              <w:t>型号</w:t>
            </w:r>
          </w:p>
        </w:tc>
        <w:tc>
          <w:tcPr>
            <w:tcW w:w="129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229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制造商企业类型</w:t>
            </w:r>
          </w:p>
        </w:tc>
        <w:tc>
          <w:tcPr>
            <w:tcW w:w="101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数量</w:t>
            </w:r>
          </w:p>
        </w:tc>
        <w:tc>
          <w:tcPr>
            <w:tcW w:w="8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单价</w:t>
            </w:r>
          </w:p>
        </w:tc>
        <w:tc>
          <w:tcPr>
            <w:tcW w:w="10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r>
              <w:rPr>
                <w:rFonts w:hint="eastAsia" w:ascii="宋体" w:hAnsi="宋体" w:cs="宋体"/>
                <w:color w:val="auto"/>
                <w:szCs w:val="21"/>
                <w:highlight w:val="none"/>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pPr>
              <w:pStyle w:val="160"/>
              <w:tabs>
                <w:tab w:val="left" w:pos="1260"/>
              </w:tabs>
              <w:spacing w:before="156" w:after="156" w:line="400" w:lineRule="exact"/>
              <w:jc w:val="center"/>
              <w:rPr>
                <w:rFonts w:ascii="宋体" w:hAnsi="宋体" w:cs="宋体"/>
                <w:color w:val="auto"/>
                <w:szCs w:val="21"/>
                <w:highlight w:val="none"/>
                <w:lang w:val="en-GB"/>
              </w:rPr>
            </w:pPr>
          </w:p>
        </w:tc>
        <w:tc>
          <w:tcPr>
            <w:tcW w:w="175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626"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29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229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1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8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pPr>
              <w:pStyle w:val="160"/>
              <w:tabs>
                <w:tab w:val="left" w:pos="1260"/>
              </w:tabs>
              <w:spacing w:before="156" w:after="156" w:line="400" w:lineRule="exact"/>
              <w:jc w:val="center"/>
              <w:rPr>
                <w:rFonts w:ascii="宋体" w:hAnsi="宋体" w:cs="宋体"/>
                <w:color w:val="auto"/>
                <w:szCs w:val="21"/>
                <w:highlight w:val="none"/>
                <w:lang w:val="en-GB"/>
              </w:rPr>
            </w:pPr>
          </w:p>
        </w:tc>
        <w:tc>
          <w:tcPr>
            <w:tcW w:w="175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626"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29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229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1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8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pPr>
              <w:pStyle w:val="160"/>
              <w:tabs>
                <w:tab w:val="left" w:pos="1260"/>
              </w:tabs>
              <w:spacing w:before="156" w:after="156" w:line="400" w:lineRule="exact"/>
              <w:jc w:val="center"/>
              <w:rPr>
                <w:rFonts w:ascii="宋体" w:hAnsi="宋体" w:cs="宋体"/>
                <w:color w:val="auto"/>
                <w:szCs w:val="21"/>
                <w:highlight w:val="none"/>
                <w:lang w:val="en-GB"/>
              </w:rPr>
            </w:pPr>
          </w:p>
        </w:tc>
        <w:tc>
          <w:tcPr>
            <w:tcW w:w="175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626"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29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229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1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8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pPr>
              <w:pStyle w:val="160"/>
              <w:tabs>
                <w:tab w:val="left" w:pos="1260"/>
              </w:tabs>
              <w:spacing w:before="156" w:after="156" w:line="400" w:lineRule="exact"/>
              <w:jc w:val="center"/>
              <w:rPr>
                <w:rFonts w:ascii="宋体" w:hAnsi="宋体" w:cs="宋体"/>
                <w:color w:val="auto"/>
                <w:szCs w:val="21"/>
                <w:highlight w:val="none"/>
                <w:lang w:val="en-GB"/>
              </w:rPr>
            </w:pPr>
          </w:p>
        </w:tc>
        <w:tc>
          <w:tcPr>
            <w:tcW w:w="175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626"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29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229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1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8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39" w:type="dxa"/>
            <w:vMerge w:val="continue"/>
            <w:vAlign w:val="center"/>
          </w:tcPr>
          <w:p>
            <w:pPr>
              <w:pStyle w:val="160"/>
              <w:tabs>
                <w:tab w:val="left" w:pos="1260"/>
              </w:tabs>
              <w:spacing w:before="156" w:after="156" w:line="400" w:lineRule="exact"/>
              <w:jc w:val="center"/>
              <w:rPr>
                <w:rFonts w:ascii="宋体" w:hAnsi="宋体" w:cs="宋体"/>
                <w:color w:val="auto"/>
                <w:szCs w:val="21"/>
                <w:highlight w:val="none"/>
                <w:lang w:val="en-GB"/>
              </w:rPr>
            </w:pPr>
          </w:p>
        </w:tc>
        <w:tc>
          <w:tcPr>
            <w:tcW w:w="6963" w:type="dxa"/>
            <w:gridSpan w:val="4"/>
            <w:vAlign w:val="center"/>
          </w:tcPr>
          <w:p>
            <w:pPr>
              <w:pStyle w:val="160"/>
              <w:tabs>
                <w:tab w:val="left" w:pos="1260"/>
              </w:tabs>
              <w:spacing w:before="40" w:after="40" w:line="400" w:lineRule="exact"/>
              <w:jc w:val="center"/>
              <w:rPr>
                <w:rFonts w:ascii="宋体" w:hAnsi="宋体" w:cs="宋体"/>
                <w:color w:val="auto"/>
                <w:szCs w:val="21"/>
                <w:highlight w:val="none"/>
                <w:lang w:val="en-GB"/>
              </w:rPr>
            </w:pPr>
            <w:r>
              <w:rPr>
                <w:rFonts w:hint="eastAsia" w:ascii="宋体" w:hAnsi="宋体" w:cs="宋体"/>
                <w:color w:val="auto"/>
                <w:szCs w:val="21"/>
                <w:highlight w:val="none"/>
              </w:rPr>
              <w:t>小型、微型企业产品</w:t>
            </w:r>
            <w:r>
              <w:rPr>
                <w:rFonts w:hint="eastAsia" w:ascii="宋体" w:hAnsi="宋体" w:cs="宋体"/>
                <w:color w:val="auto"/>
                <w:szCs w:val="21"/>
                <w:highlight w:val="none"/>
                <w:lang w:val="en-GB"/>
              </w:rPr>
              <w:t>合计</w:t>
            </w:r>
          </w:p>
        </w:tc>
        <w:tc>
          <w:tcPr>
            <w:tcW w:w="1017"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8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c>
          <w:tcPr>
            <w:tcW w:w="1030" w:type="dxa"/>
            <w:vAlign w:val="center"/>
          </w:tcPr>
          <w:p>
            <w:pPr>
              <w:pStyle w:val="160"/>
              <w:tabs>
                <w:tab w:val="left" w:pos="1260"/>
              </w:tabs>
              <w:spacing w:before="40" w:after="40" w:line="400" w:lineRule="exact"/>
              <w:jc w:val="center"/>
              <w:rPr>
                <w:rFonts w:ascii="宋体" w:hAnsi="宋体" w:cs="宋体"/>
                <w:color w:val="auto"/>
                <w:szCs w:val="21"/>
                <w:highlight w:val="none"/>
                <w:lang w:val="en-GB"/>
              </w:rPr>
            </w:pPr>
          </w:p>
        </w:tc>
      </w:tr>
    </w:tbl>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填报要求：</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 本表的货物名称、规格型号和注册商标、金额应与《货物分项报价一览表》一致。</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 制造商为小型或微型企业时才需要填“制造商企业类型”栏，填写内容为“小型”或“微型”。（监狱企业、残疾人福利企业视同小微企业）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 请投标人正确填写本表，所填内容将作为评审的依据。其内容或数据应与对应的证明资料相符。</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4.如产品较多时，投标人可自行增加表格。没有相关产品可不填此表。</w:t>
      </w:r>
    </w:p>
    <w:p>
      <w:pPr>
        <w:pStyle w:val="8"/>
        <w:spacing w:line="360" w:lineRule="auto"/>
        <w:ind w:firstLine="480"/>
        <w:rPr>
          <w:rFonts w:ascii="宋体" w:hAnsi="宋体" w:cs="宋体"/>
          <w:color w:val="auto"/>
          <w:szCs w:val="21"/>
          <w:highlight w:val="none"/>
        </w:rPr>
      </w:pPr>
    </w:p>
    <w:p>
      <w:pPr>
        <w:pStyle w:val="8"/>
        <w:spacing w:line="360" w:lineRule="auto"/>
        <w:ind w:firstLine="480"/>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法定代表人或其委托代理人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（电子签名或签名或盖章）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日   期：</w:t>
      </w:r>
    </w:p>
    <w:p>
      <w:pPr>
        <w:pStyle w:val="5"/>
        <w:numPr>
          <w:ilvl w:val="0"/>
          <w:numId w:val="0"/>
        </w:numPr>
        <w:spacing w:line="400" w:lineRule="exact"/>
        <w:ind w:left="210" w:right="210"/>
        <w:jc w:val="center"/>
        <w:rPr>
          <w:rFonts w:ascii="宋体" w:hAnsi="宋体" w:eastAsia="宋体" w:cs="宋体"/>
          <w:b/>
          <w:color w:val="auto"/>
          <w:szCs w:val="28"/>
          <w:highlight w:val="none"/>
        </w:rPr>
      </w:pPr>
      <w:bookmarkStart w:id="381" w:name="_Toc11173"/>
      <w:bookmarkStart w:id="382" w:name="_Toc12170"/>
      <w:bookmarkStart w:id="383" w:name="_Toc20760"/>
      <w:r>
        <w:rPr>
          <w:rFonts w:hint="eastAsia" w:ascii="宋体" w:hAnsi="宋体" w:eastAsia="宋体" w:cs="宋体"/>
          <w:b/>
          <w:color w:val="auto"/>
          <w:szCs w:val="28"/>
          <w:highlight w:val="none"/>
        </w:rPr>
        <w:t>五、商务及技术偏差表</w:t>
      </w:r>
      <w:bookmarkEnd w:id="381"/>
      <w:bookmarkEnd w:id="382"/>
      <w:bookmarkEnd w:id="383"/>
    </w:p>
    <w:p>
      <w:pPr>
        <w:pStyle w:val="2"/>
        <w:ind w:firstLine="403" w:firstLineChars="192"/>
        <w:jc w:val="center"/>
        <w:outlineLvl w:val="1"/>
        <w:rPr>
          <w:rFonts w:ascii="宋体" w:hAnsi="宋体" w:eastAsia="宋体" w:cs="宋体"/>
          <w:color w:val="auto"/>
          <w:sz w:val="21"/>
          <w:szCs w:val="21"/>
          <w:highlight w:val="none"/>
        </w:rPr>
      </w:pPr>
      <w:bookmarkStart w:id="384" w:name="_Toc26039"/>
      <w:bookmarkStart w:id="385" w:name="_Toc21242"/>
      <w:bookmarkStart w:id="386" w:name="_Toc10207"/>
      <w:bookmarkStart w:id="387" w:name="_Toc30744"/>
      <w:r>
        <w:rPr>
          <w:rFonts w:hint="eastAsia" w:ascii="宋体" w:hAnsi="宋体" w:eastAsia="宋体" w:cs="宋体"/>
          <w:color w:val="auto"/>
          <w:sz w:val="21"/>
          <w:szCs w:val="21"/>
          <w:highlight w:val="none"/>
        </w:rPr>
        <w:t>（一）商务偏差表</w:t>
      </w:r>
      <w:bookmarkEnd w:id="384"/>
      <w:bookmarkEnd w:id="385"/>
      <w:bookmarkEnd w:id="386"/>
      <w:bookmarkEnd w:id="387"/>
    </w:p>
    <w:tbl>
      <w:tblPr>
        <w:tblStyle w:val="24"/>
        <w:tblW w:w="822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9"/>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926" w:type="dxa"/>
          </w:tcPr>
          <w:p>
            <w:pPr>
              <w:pStyle w:val="161"/>
              <w:spacing w:before="72"/>
              <w:ind w:right="223" w:firstLine="210" w:firstLineChars="100"/>
              <w:rPr>
                <w:rFonts w:hint="default"/>
                <w:bCs/>
                <w:color w:val="auto"/>
                <w:sz w:val="21"/>
                <w:szCs w:val="21"/>
                <w:highlight w:val="none"/>
              </w:rPr>
            </w:pPr>
            <w:r>
              <w:rPr>
                <w:rFonts w:cs="宋体"/>
                <w:bCs/>
                <w:color w:val="auto"/>
                <w:sz w:val="21"/>
                <w:szCs w:val="21"/>
                <w:highlight w:val="none"/>
              </w:rPr>
              <w:t>序号</w:t>
            </w:r>
          </w:p>
        </w:tc>
        <w:tc>
          <w:tcPr>
            <w:tcW w:w="2693" w:type="dxa"/>
          </w:tcPr>
          <w:p>
            <w:pPr>
              <w:pStyle w:val="161"/>
              <w:spacing w:before="72"/>
              <w:rPr>
                <w:rFonts w:hint="default"/>
                <w:bCs/>
                <w:color w:val="auto"/>
                <w:sz w:val="21"/>
                <w:szCs w:val="21"/>
                <w:highlight w:val="none"/>
              </w:rPr>
            </w:pPr>
            <w:r>
              <w:rPr>
                <w:rFonts w:cs="宋体"/>
                <w:bCs/>
                <w:color w:val="auto"/>
                <w:sz w:val="21"/>
                <w:szCs w:val="21"/>
                <w:highlight w:val="none"/>
              </w:rPr>
              <w:t>招标文件章节及条款号</w:t>
            </w:r>
          </w:p>
        </w:tc>
        <w:tc>
          <w:tcPr>
            <w:tcW w:w="2979" w:type="dxa"/>
          </w:tcPr>
          <w:p>
            <w:pPr>
              <w:pStyle w:val="161"/>
              <w:spacing w:before="72"/>
              <w:rPr>
                <w:rFonts w:hint="default"/>
                <w:bCs/>
                <w:color w:val="auto"/>
                <w:sz w:val="21"/>
                <w:szCs w:val="21"/>
                <w:highlight w:val="none"/>
              </w:rPr>
            </w:pPr>
            <w:r>
              <w:rPr>
                <w:rFonts w:cs="宋体"/>
                <w:bCs/>
                <w:color w:val="auto"/>
                <w:sz w:val="21"/>
                <w:szCs w:val="21"/>
                <w:highlight w:val="none"/>
              </w:rPr>
              <w:t>投标文件章节及条款号</w:t>
            </w:r>
          </w:p>
        </w:tc>
        <w:tc>
          <w:tcPr>
            <w:tcW w:w="1625" w:type="dxa"/>
          </w:tcPr>
          <w:p>
            <w:pPr>
              <w:pStyle w:val="161"/>
              <w:spacing w:before="72"/>
              <w:rPr>
                <w:rFonts w:hint="default"/>
                <w:bCs/>
                <w:color w:val="auto"/>
                <w:sz w:val="21"/>
                <w:szCs w:val="21"/>
                <w:highlight w:val="none"/>
              </w:rPr>
            </w:pPr>
            <w:r>
              <w:rPr>
                <w:rFonts w:cs="宋体"/>
                <w:bCs/>
                <w:color w:val="auto"/>
                <w:sz w:val="21"/>
                <w:szCs w:val="21"/>
                <w:highlight w:val="none"/>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1</w:t>
            </w:r>
          </w:p>
        </w:tc>
        <w:tc>
          <w:tcPr>
            <w:tcW w:w="2693" w:type="dxa"/>
            <w:vAlign w:val="center"/>
          </w:tcPr>
          <w:p>
            <w:pPr>
              <w:spacing w:line="312" w:lineRule="auto"/>
              <w:jc w:val="center"/>
              <w:rPr>
                <w:rFonts w:ascii="宋体" w:hAnsi="宋体" w:cs="Times New Roman"/>
                <w:color w:val="auto"/>
                <w:szCs w:val="21"/>
                <w:highlight w:val="none"/>
              </w:rPr>
            </w:pPr>
          </w:p>
        </w:tc>
        <w:tc>
          <w:tcPr>
            <w:tcW w:w="2979" w:type="dxa"/>
            <w:vAlign w:val="center"/>
          </w:tcPr>
          <w:p>
            <w:pPr>
              <w:spacing w:line="312" w:lineRule="auto"/>
              <w:jc w:val="center"/>
              <w:rPr>
                <w:rFonts w:ascii="宋体" w:hAnsi="宋体" w:cs="Times New Roman"/>
                <w:color w:val="auto"/>
                <w:szCs w:val="21"/>
                <w:highlight w:val="none"/>
              </w:rPr>
            </w:pPr>
          </w:p>
        </w:tc>
        <w:tc>
          <w:tcPr>
            <w:tcW w:w="1625" w:type="dxa"/>
            <w:vAlign w:val="center"/>
          </w:tcPr>
          <w:p>
            <w:pPr>
              <w:spacing w:line="312" w:lineRule="auto"/>
              <w:jc w:val="center"/>
              <w:rPr>
                <w:rFonts w:ascii="宋体" w:hAnsi="宋体" w:cs="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2</w:t>
            </w:r>
          </w:p>
        </w:tc>
        <w:tc>
          <w:tcPr>
            <w:tcW w:w="2693" w:type="dxa"/>
            <w:vAlign w:val="center"/>
          </w:tcPr>
          <w:p>
            <w:pPr>
              <w:spacing w:line="312" w:lineRule="auto"/>
              <w:jc w:val="center"/>
              <w:rPr>
                <w:rFonts w:ascii="宋体" w:hAnsi="宋体" w:cs="Times New Roman"/>
                <w:color w:val="auto"/>
                <w:szCs w:val="21"/>
                <w:highlight w:val="none"/>
              </w:rPr>
            </w:pPr>
          </w:p>
        </w:tc>
        <w:tc>
          <w:tcPr>
            <w:tcW w:w="2979" w:type="dxa"/>
            <w:vAlign w:val="center"/>
          </w:tcPr>
          <w:p>
            <w:pPr>
              <w:spacing w:line="312" w:lineRule="auto"/>
              <w:jc w:val="center"/>
              <w:rPr>
                <w:rFonts w:ascii="宋体" w:hAnsi="宋体" w:cs="Times New Roman"/>
                <w:color w:val="auto"/>
                <w:szCs w:val="21"/>
                <w:highlight w:val="none"/>
              </w:rPr>
            </w:pPr>
          </w:p>
        </w:tc>
        <w:tc>
          <w:tcPr>
            <w:tcW w:w="1625" w:type="dxa"/>
            <w:vAlign w:val="center"/>
          </w:tcPr>
          <w:p>
            <w:pPr>
              <w:spacing w:line="312" w:lineRule="auto"/>
              <w:jc w:val="center"/>
              <w:rPr>
                <w:rFonts w:ascii="宋体" w:hAnsi="宋体" w:cs="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3</w:t>
            </w:r>
          </w:p>
        </w:tc>
        <w:tc>
          <w:tcPr>
            <w:tcW w:w="2693" w:type="dxa"/>
            <w:vAlign w:val="center"/>
          </w:tcPr>
          <w:p>
            <w:pPr>
              <w:spacing w:line="312" w:lineRule="auto"/>
              <w:jc w:val="center"/>
              <w:rPr>
                <w:rFonts w:ascii="宋体" w:hAnsi="宋体" w:cs="Times New Roman"/>
                <w:color w:val="auto"/>
                <w:szCs w:val="21"/>
                <w:highlight w:val="none"/>
              </w:rPr>
            </w:pPr>
          </w:p>
        </w:tc>
        <w:tc>
          <w:tcPr>
            <w:tcW w:w="2979" w:type="dxa"/>
            <w:vAlign w:val="center"/>
          </w:tcPr>
          <w:p>
            <w:pPr>
              <w:spacing w:line="312" w:lineRule="auto"/>
              <w:jc w:val="center"/>
              <w:rPr>
                <w:rFonts w:ascii="宋体" w:hAnsi="宋体" w:cs="Times New Roman"/>
                <w:color w:val="auto"/>
                <w:szCs w:val="21"/>
                <w:highlight w:val="none"/>
              </w:rPr>
            </w:pPr>
          </w:p>
        </w:tc>
        <w:tc>
          <w:tcPr>
            <w:tcW w:w="1625" w:type="dxa"/>
            <w:vAlign w:val="center"/>
          </w:tcPr>
          <w:p>
            <w:pPr>
              <w:spacing w:line="312" w:lineRule="auto"/>
              <w:jc w:val="center"/>
              <w:rPr>
                <w:rFonts w:ascii="宋体" w:hAnsi="宋体" w:cs="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4</w:t>
            </w:r>
          </w:p>
        </w:tc>
        <w:tc>
          <w:tcPr>
            <w:tcW w:w="2693" w:type="dxa"/>
            <w:vAlign w:val="center"/>
          </w:tcPr>
          <w:p>
            <w:pPr>
              <w:spacing w:line="312" w:lineRule="auto"/>
              <w:jc w:val="center"/>
              <w:rPr>
                <w:rFonts w:ascii="宋体" w:hAnsi="宋体" w:cs="Times New Roman"/>
                <w:color w:val="auto"/>
                <w:szCs w:val="21"/>
                <w:highlight w:val="none"/>
              </w:rPr>
            </w:pPr>
          </w:p>
        </w:tc>
        <w:tc>
          <w:tcPr>
            <w:tcW w:w="2979" w:type="dxa"/>
            <w:vAlign w:val="center"/>
          </w:tcPr>
          <w:p>
            <w:pPr>
              <w:spacing w:line="312" w:lineRule="auto"/>
              <w:jc w:val="center"/>
              <w:rPr>
                <w:rFonts w:ascii="宋体" w:hAnsi="宋体" w:cs="Times New Roman"/>
                <w:color w:val="auto"/>
                <w:szCs w:val="21"/>
                <w:highlight w:val="none"/>
              </w:rPr>
            </w:pPr>
          </w:p>
        </w:tc>
        <w:tc>
          <w:tcPr>
            <w:tcW w:w="1625" w:type="dxa"/>
            <w:vAlign w:val="center"/>
          </w:tcPr>
          <w:p>
            <w:pPr>
              <w:spacing w:line="312" w:lineRule="auto"/>
              <w:jc w:val="center"/>
              <w:rPr>
                <w:rFonts w:ascii="宋体" w:hAnsi="宋体" w:cs="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5</w:t>
            </w:r>
          </w:p>
        </w:tc>
        <w:tc>
          <w:tcPr>
            <w:tcW w:w="2693" w:type="dxa"/>
            <w:vAlign w:val="center"/>
          </w:tcPr>
          <w:p>
            <w:pPr>
              <w:spacing w:line="312" w:lineRule="auto"/>
              <w:jc w:val="center"/>
              <w:rPr>
                <w:rFonts w:ascii="宋体" w:hAnsi="宋体" w:cs="Times New Roman"/>
                <w:color w:val="auto"/>
                <w:szCs w:val="21"/>
                <w:highlight w:val="none"/>
              </w:rPr>
            </w:pPr>
          </w:p>
        </w:tc>
        <w:tc>
          <w:tcPr>
            <w:tcW w:w="2979" w:type="dxa"/>
            <w:vAlign w:val="center"/>
          </w:tcPr>
          <w:p>
            <w:pPr>
              <w:spacing w:line="312" w:lineRule="auto"/>
              <w:jc w:val="center"/>
              <w:rPr>
                <w:rFonts w:ascii="宋体" w:hAnsi="宋体" w:cs="Times New Roman"/>
                <w:color w:val="auto"/>
                <w:szCs w:val="21"/>
                <w:highlight w:val="none"/>
              </w:rPr>
            </w:pPr>
          </w:p>
        </w:tc>
        <w:tc>
          <w:tcPr>
            <w:tcW w:w="1625" w:type="dxa"/>
            <w:vAlign w:val="center"/>
          </w:tcPr>
          <w:p>
            <w:pPr>
              <w:spacing w:line="312" w:lineRule="auto"/>
              <w:jc w:val="center"/>
              <w:rPr>
                <w:rFonts w:ascii="宋体" w:hAnsi="宋体" w:cs="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6</w:t>
            </w:r>
          </w:p>
        </w:tc>
        <w:tc>
          <w:tcPr>
            <w:tcW w:w="2693" w:type="dxa"/>
            <w:vAlign w:val="center"/>
          </w:tcPr>
          <w:p>
            <w:pPr>
              <w:spacing w:line="312" w:lineRule="auto"/>
              <w:jc w:val="center"/>
              <w:rPr>
                <w:rFonts w:ascii="宋体" w:hAnsi="宋体" w:cs="Times New Roman"/>
                <w:color w:val="auto"/>
                <w:szCs w:val="21"/>
                <w:highlight w:val="none"/>
              </w:rPr>
            </w:pPr>
          </w:p>
        </w:tc>
        <w:tc>
          <w:tcPr>
            <w:tcW w:w="2979" w:type="dxa"/>
            <w:vAlign w:val="center"/>
          </w:tcPr>
          <w:p>
            <w:pPr>
              <w:spacing w:line="312" w:lineRule="auto"/>
              <w:jc w:val="center"/>
              <w:rPr>
                <w:rFonts w:ascii="宋体" w:hAnsi="宋体" w:cs="Times New Roman"/>
                <w:color w:val="auto"/>
                <w:szCs w:val="21"/>
                <w:highlight w:val="none"/>
              </w:rPr>
            </w:pPr>
          </w:p>
        </w:tc>
        <w:tc>
          <w:tcPr>
            <w:tcW w:w="1625" w:type="dxa"/>
            <w:vAlign w:val="center"/>
          </w:tcPr>
          <w:p>
            <w:pPr>
              <w:spacing w:line="312" w:lineRule="auto"/>
              <w:jc w:val="center"/>
              <w:rPr>
                <w:rFonts w:ascii="宋体" w:hAnsi="宋体" w:cs="Times New Roman"/>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pPr>
              <w:spacing w:line="312" w:lineRule="auto"/>
              <w:rPr>
                <w:rFonts w:ascii="宋体" w:hAnsi="宋体" w:cs="宋体"/>
                <w:bCs/>
                <w:i/>
                <w:color w:val="auto"/>
                <w:w w:val="115"/>
                <w:szCs w:val="21"/>
                <w:highlight w:val="none"/>
              </w:rPr>
            </w:pPr>
            <w:r>
              <w:rPr>
                <w:rFonts w:ascii="宋体" w:hAnsi="宋体"/>
                <w:color w:val="auto"/>
                <w:highlight w:val="none"/>
              </w:rPr>
              <w:t>…</w:t>
            </w:r>
          </w:p>
        </w:tc>
        <w:tc>
          <w:tcPr>
            <w:tcW w:w="2693" w:type="dxa"/>
            <w:vAlign w:val="center"/>
          </w:tcPr>
          <w:p>
            <w:pPr>
              <w:spacing w:line="312" w:lineRule="auto"/>
              <w:jc w:val="center"/>
              <w:rPr>
                <w:rFonts w:ascii="宋体" w:hAnsi="宋体" w:cs="Times New Roman"/>
                <w:color w:val="auto"/>
                <w:szCs w:val="21"/>
                <w:highlight w:val="none"/>
              </w:rPr>
            </w:pPr>
          </w:p>
        </w:tc>
        <w:tc>
          <w:tcPr>
            <w:tcW w:w="2979" w:type="dxa"/>
            <w:vAlign w:val="center"/>
          </w:tcPr>
          <w:p>
            <w:pPr>
              <w:spacing w:line="312" w:lineRule="auto"/>
              <w:jc w:val="center"/>
              <w:rPr>
                <w:rFonts w:ascii="宋体" w:hAnsi="宋体" w:cs="Times New Roman"/>
                <w:color w:val="auto"/>
                <w:szCs w:val="21"/>
                <w:highlight w:val="none"/>
              </w:rPr>
            </w:pPr>
          </w:p>
        </w:tc>
        <w:tc>
          <w:tcPr>
            <w:tcW w:w="1625" w:type="dxa"/>
            <w:vAlign w:val="center"/>
          </w:tcPr>
          <w:p>
            <w:pPr>
              <w:spacing w:line="312" w:lineRule="auto"/>
              <w:jc w:val="center"/>
              <w:rPr>
                <w:rFonts w:ascii="宋体" w:hAnsi="宋体" w:cs="Times New Roman"/>
                <w:color w:val="auto"/>
                <w:szCs w:val="21"/>
                <w:highlight w:val="none"/>
              </w:rPr>
            </w:pPr>
          </w:p>
        </w:tc>
      </w:tr>
    </w:tbl>
    <w:p>
      <w:pPr>
        <w:pStyle w:val="3"/>
        <w:spacing w:before="1"/>
        <w:rPr>
          <w:rFonts w:ascii="Microsoft JhengHei"/>
          <w:b/>
          <w:color w:val="auto"/>
          <w:sz w:val="4"/>
          <w:highlight w:val="none"/>
        </w:rPr>
      </w:pPr>
    </w:p>
    <w:p>
      <w:pPr>
        <w:pStyle w:val="2"/>
        <w:ind w:firstLine="403" w:firstLineChars="192"/>
        <w:jc w:val="center"/>
        <w:rPr>
          <w:rFonts w:ascii="宋体" w:hAnsi="宋体" w:eastAsia="宋体" w:cs="宋体"/>
          <w:color w:val="auto"/>
          <w:sz w:val="21"/>
          <w:szCs w:val="21"/>
          <w:highlight w:val="none"/>
        </w:rPr>
      </w:pPr>
    </w:p>
    <w:p>
      <w:pPr>
        <w:pStyle w:val="2"/>
        <w:ind w:firstLine="403" w:firstLineChars="192"/>
        <w:jc w:val="center"/>
        <w:rPr>
          <w:rFonts w:ascii="宋体" w:hAnsi="宋体" w:eastAsia="宋体" w:cs="宋体"/>
          <w:color w:val="auto"/>
          <w:sz w:val="21"/>
          <w:szCs w:val="21"/>
          <w:highlight w:val="none"/>
        </w:rPr>
      </w:pPr>
    </w:p>
    <w:p>
      <w:pPr>
        <w:pStyle w:val="2"/>
        <w:ind w:firstLine="403" w:firstLineChars="192"/>
        <w:jc w:val="center"/>
        <w:rPr>
          <w:rFonts w:ascii="宋体" w:hAnsi="宋体" w:eastAsia="宋体" w:cs="宋体"/>
          <w:color w:val="auto"/>
          <w:sz w:val="21"/>
          <w:szCs w:val="21"/>
          <w:highlight w:val="none"/>
        </w:rPr>
      </w:pPr>
    </w:p>
    <w:p>
      <w:pPr>
        <w:pStyle w:val="23"/>
        <w:rPr>
          <w:rFonts w:ascii="宋体" w:hAnsi="宋体" w:cs="宋体"/>
          <w:color w:val="auto"/>
          <w:sz w:val="21"/>
          <w:szCs w:val="21"/>
          <w:highlight w:val="none"/>
        </w:rPr>
      </w:pPr>
    </w:p>
    <w:p>
      <w:pPr>
        <w:rPr>
          <w:rFonts w:ascii="宋体" w:hAnsi="宋体" w:cs="宋体"/>
          <w:color w:val="auto"/>
          <w:szCs w:val="21"/>
          <w:highlight w:val="none"/>
        </w:rPr>
      </w:pPr>
    </w:p>
    <w:p>
      <w:pPr>
        <w:pStyle w:val="44"/>
        <w:rPr>
          <w:rFonts w:hAnsi="宋体"/>
          <w:color w:val="auto"/>
          <w:sz w:val="21"/>
          <w:szCs w:val="21"/>
          <w:highlight w:val="none"/>
        </w:rPr>
      </w:pPr>
    </w:p>
    <w:p>
      <w:pPr>
        <w:pStyle w:val="19"/>
        <w:rPr>
          <w:rFonts w:ascii="宋体" w:hAnsi="宋体" w:cs="宋体"/>
          <w:color w:val="auto"/>
          <w:sz w:val="21"/>
          <w:szCs w:val="21"/>
          <w:highlight w:val="none"/>
        </w:rPr>
      </w:pPr>
    </w:p>
    <w:p>
      <w:pPr>
        <w:pStyle w:val="19"/>
        <w:rPr>
          <w:rFonts w:ascii="宋体" w:hAnsi="宋体" w:cs="宋体"/>
          <w:color w:val="auto"/>
          <w:sz w:val="21"/>
          <w:szCs w:val="21"/>
          <w:highlight w:val="none"/>
        </w:rPr>
      </w:pPr>
    </w:p>
    <w:p>
      <w:pPr>
        <w:pStyle w:val="19"/>
        <w:rPr>
          <w:rFonts w:ascii="宋体" w:hAnsi="宋体" w:cs="宋体"/>
          <w:color w:val="auto"/>
          <w:sz w:val="21"/>
          <w:szCs w:val="21"/>
          <w:highlight w:val="none"/>
        </w:rPr>
      </w:pPr>
    </w:p>
    <w:p>
      <w:pPr>
        <w:pStyle w:val="2"/>
        <w:ind w:firstLine="403" w:firstLineChars="192"/>
        <w:jc w:val="center"/>
        <w:rPr>
          <w:rFonts w:ascii="宋体" w:hAnsi="宋体" w:eastAsia="宋体" w:cs="宋体"/>
          <w:color w:val="auto"/>
          <w:sz w:val="21"/>
          <w:szCs w:val="21"/>
          <w:highlight w:val="none"/>
        </w:rPr>
      </w:pPr>
    </w:p>
    <w:p>
      <w:pPr>
        <w:pStyle w:val="2"/>
        <w:ind w:firstLine="0"/>
        <w:rPr>
          <w:rFonts w:ascii="宋体" w:hAnsi="宋体" w:eastAsia="宋体" w:cs="宋体"/>
          <w:color w:val="auto"/>
          <w:sz w:val="21"/>
          <w:szCs w:val="21"/>
          <w:highlight w:val="none"/>
        </w:rPr>
      </w:pPr>
    </w:p>
    <w:p>
      <w:pPr>
        <w:pStyle w:val="23"/>
        <w:rPr>
          <w:rFonts w:ascii="宋体" w:hAnsi="宋体" w:cs="宋体"/>
          <w:color w:val="auto"/>
          <w:sz w:val="21"/>
          <w:szCs w:val="21"/>
          <w:highlight w:val="none"/>
        </w:rPr>
      </w:pPr>
    </w:p>
    <w:p>
      <w:pPr>
        <w:rPr>
          <w:rFonts w:ascii="宋体" w:hAnsi="宋体" w:cs="宋体"/>
          <w:color w:val="auto"/>
          <w:szCs w:val="21"/>
          <w:highlight w:val="none"/>
        </w:rPr>
      </w:pPr>
    </w:p>
    <w:p>
      <w:pPr>
        <w:pStyle w:val="42"/>
        <w:rPr>
          <w:rFonts w:ascii="宋体" w:hAnsi="宋体" w:cs="宋体"/>
          <w:color w:val="auto"/>
          <w:szCs w:val="21"/>
          <w:highlight w:val="none"/>
        </w:rPr>
      </w:pPr>
    </w:p>
    <w:p>
      <w:pPr>
        <w:pStyle w:val="43"/>
        <w:rPr>
          <w:rFonts w:ascii="宋体" w:hAnsi="宋体" w:cs="宋体"/>
          <w:color w:val="auto"/>
          <w:sz w:val="21"/>
          <w:szCs w:val="21"/>
          <w:highlight w:val="none"/>
        </w:rPr>
      </w:pPr>
    </w:p>
    <w:p>
      <w:pPr>
        <w:rPr>
          <w:rFonts w:ascii="宋体" w:hAnsi="宋体" w:cs="宋体"/>
          <w:color w:val="auto"/>
          <w:szCs w:val="21"/>
          <w:highlight w:val="none"/>
        </w:rPr>
      </w:pPr>
    </w:p>
    <w:p>
      <w:pPr>
        <w:pStyle w:val="42"/>
        <w:rPr>
          <w:rFonts w:ascii="宋体" w:hAnsi="宋体" w:cs="宋体"/>
          <w:color w:val="auto"/>
          <w:szCs w:val="21"/>
          <w:highlight w:val="none"/>
        </w:rPr>
      </w:pPr>
    </w:p>
    <w:p>
      <w:pPr>
        <w:pStyle w:val="43"/>
        <w:rPr>
          <w:color w:val="auto"/>
          <w:highlight w:val="none"/>
        </w:rPr>
      </w:pPr>
    </w:p>
    <w:p>
      <w:pPr>
        <w:pStyle w:val="2"/>
        <w:ind w:firstLine="403" w:firstLineChars="192"/>
        <w:jc w:val="center"/>
        <w:outlineLvl w:val="9"/>
        <w:rPr>
          <w:rFonts w:ascii="宋体" w:hAnsi="宋体" w:eastAsia="宋体" w:cs="宋体"/>
          <w:color w:val="auto"/>
          <w:sz w:val="21"/>
          <w:szCs w:val="21"/>
          <w:highlight w:val="none"/>
        </w:rPr>
      </w:pPr>
      <w:bookmarkStart w:id="388" w:name="_Toc26809"/>
    </w:p>
    <w:p>
      <w:pPr>
        <w:pStyle w:val="2"/>
        <w:ind w:firstLine="403" w:firstLineChars="192"/>
        <w:jc w:val="center"/>
        <w:outlineLvl w:val="1"/>
        <w:rPr>
          <w:rFonts w:ascii="宋体" w:hAnsi="宋体" w:eastAsia="宋体" w:cs="宋体"/>
          <w:color w:val="auto"/>
          <w:sz w:val="21"/>
          <w:szCs w:val="21"/>
          <w:highlight w:val="none"/>
        </w:rPr>
      </w:pPr>
      <w:bookmarkStart w:id="389" w:name="_Toc19860"/>
      <w:bookmarkStart w:id="390" w:name="_Toc12858"/>
      <w:bookmarkStart w:id="391" w:name="_Toc5229"/>
      <w:r>
        <w:rPr>
          <w:rFonts w:hint="eastAsia" w:ascii="宋体" w:hAnsi="宋体" w:eastAsia="宋体" w:cs="宋体"/>
          <w:color w:val="auto"/>
          <w:sz w:val="21"/>
          <w:szCs w:val="21"/>
          <w:highlight w:val="none"/>
        </w:rPr>
        <w:t>（二）技术偏差表</w:t>
      </w:r>
      <w:bookmarkEnd w:id="388"/>
      <w:bookmarkEnd w:id="389"/>
      <w:bookmarkEnd w:id="390"/>
      <w:bookmarkEnd w:id="391"/>
    </w:p>
    <w:p>
      <w:pPr>
        <w:tabs>
          <w:tab w:val="left" w:pos="926"/>
          <w:tab w:val="left" w:pos="4335"/>
          <w:tab w:val="left" w:pos="7227"/>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项目名称 ：                                              </w:t>
      </w:r>
    </w:p>
    <w:p>
      <w:pPr>
        <w:tabs>
          <w:tab w:val="left" w:pos="926"/>
          <w:tab w:val="left" w:pos="4335"/>
          <w:tab w:val="left" w:pos="639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rPr>
        <w:tab/>
      </w:r>
      <w:r>
        <w:rPr>
          <w:rFonts w:hint="eastAsia" w:ascii="宋体" w:hAnsi="宋体" w:cs="宋体"/>
          <w:color w:val="auto"/>
          <w:szCs w:val="21"/>
          <w:highlight w:val="none"/>
        </w:rPr>
        <w:tab/>
      </w:r>
    </w:p>
    <w:tbl>
      <w:tblPr>
        <w:tblStyle w:val="24"/>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58"/>
        <w:gridCol w:w="2353"/>
        <w:gridCol w:w="2384"/>
        <w:gridCol w:w="1362"/>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7" w:type="dxa"/>
            <w:vMerge w:val="restart"/>
            <w:vAlign w:val="center"/>
          </w:tcPr>
          <w:p>
            <w:pPr>
              <w:spacing w:line="312" w:lineRule="auto"/>
              <w:rPr>
                <w:rFonts w:ascii="宋体" w:hAnsi="宋体"/>
                <w:color w:val="auto"/>
                <w:szCs w:val="21"/>
                <w:highlight w:val="none"/>
              </w:rPr>
            </w:pPr>
            <w:r>
              <w:rPr>
                <w:rFonts w:hint="eastAsia" w:ascii="宋体" w:hAnsi="宋体"/>
                <w:color w:val="auto"/>
                <w:szCs w:val="21"/>
                <w:highlight w:val="none"/>
              </w:rPr>
              <w:t>序号</w:t>
            </w:r>
          </w:p>
        </w:tc>
        <w:tc>
          <w:tcPr>
            <w:tcW w:w="1558" w:type="dxa"/>
            <w:vMerge w:val="restart"/>
            <w:vAlign w:val="center"/>
          </w:tcPr>
          <w:p>
            <w:pPr>
              <w:spacing w:line="312"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4737" w:type="dxa"/>
            <w:gridSpan w:val="2"/>
            <w:vAlign w:val="center"/>
          </w:tcPr>
          <w:p>
            <w:pPr>
              <w:spacing w:line="312" w:lineRule="auto"/>
              <w:jc w:val="center"/>
              <w:rPr>
                <w:rFonts w:ascii="宋体" w:hAnsi="宋体"/>
                <w:color w:val="auto"/>
                <w:szCs w:val="21"/>
                <w:highlight w:val="none"/>
              </w:rPr>
            </w:pPr>
            <w:r>
              <w:rPr>
                <w:rFonts w:hint="eastAsia" w:ascii="宋体" w:hAnsi="宋体"/>
                <w:color w:val="auto"/>
                <w:szCs w:val="21"/>
                <w:highlight w:val="none"/>
              </w:rPr>
              <w:t>技术参数及要求</w:t>
            </w:r>
          </w:p>
        </w:tc>
        <w:tc>
          <w:tcPr>
            <w:tcW w:w="1362" w:type="dxa"/>
            <w:vMerge w:val="restart"/>
            <w:vAlign w:val="center"/>
          </w:tcPr>
          <w:p>
            <w:pPr>
              <w:spacing w:line="312" w:lineRule="auto"/>
              <w:jc w:val="center"/>
              <w:rPr>
                <w:rFonts w:ascii="宋体" w:hAnsi="宋体"/>
                <w:color w:val="auto"/>
                <w:szCs w:val="21"/>
                <w:highlight w:val="none"/>
              </w:rPr>
            </w:pPr>
            <w:r>
              <w:rPr>
                <w:rFonts w:hint="eastAsia" w:ascii="宋体" w:hAnsi="宋体"/>
                <w:color w:val="auto"/>
                <w:szCs w:val="21"/>
                <w:highlight w:val="none"/>
              </w:rPr>
              <w:t>对招标文件偏差</w:t>
            </w:r>
          </w:p>
        </w:tc>
        <w:tc>
          <w:tcPr>
            <w:tcW w:w="1113" w:type="dxa"/>
            <w:vMerge w:val="restart"/>
            <w:vAlign w:val="center"/>
          </w:tcPr>
          <w:p>
            <w:pPr>
              <w:spacing w:line="312" w:lineRule="auto"/>
              <w:rPr>
                <w:rFonts w:ascii="宋体" w:hAnsi="宋体"/>
                <w:color w:val="auto"/>
                <w:szCs w:val="21"/>
                <w:highlight w:val="none"/>
              </w:rPr>
            </w:pPr>
            <w:r>
              <w:rPr>
                <w:rFonts w:hint="eastAsia" w:ascii="宋体" w:hAnsi="宋体"/>
                <w:color w:val="auto"/>
                <w:szCs w:val="21"/>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47" w:type="dxa"/>
            <w:vMerge w:val="continue"/>
            <w:vAlign w:val="center"/>
          </w:tcPr>
          <w:p>
            <w:pPr>
              <w:spacing w:line="312" w:lineRule="auto"/>
              <w:jc w:val="center"/>
              <w:rPr>
                <w:rFonts w:ascii="宋体" w:hAnsi="宋体"/>
                <w:color w:val="auto"/>
                <w:szCs w:val="21"/>
                <w:highlight w:val="none"/>
              </w:rPr>
            </w:pPr>
          </w:p>
        </w:tc>
        <w:tc>
          <w:tcPr>
            <w:tcW w:w="1558" w:type="dxa"/>
            <w:vMerge w:val="continue"/>
            <w:vAlign w:val="center"/>
          </w:tcPr>
          <w:p>
            <w:pPr>
              <w:spacing w:line="312" w:lineRule="auto"/>
              <w:jc w:val="center"/>
              <w:rPr>
                <w:rFonts w:ascii="宋体" w:hAnsi="宋体"/>
                <w:color w:val="auto"/>
                <w:szCs w:val="21"/>
                <w:highlight w:val="none"/>
              </w:rPr>
            </w:pPr>
          </w:p>
        </w:tc>
        <w:tc>
          <w:tcPr>
            <w:tcW w:w="2353" w:type="dxa"/>
            <w:vAlign w:val="center"/>
          </w:tcPr>
          <w:p>
            <w:pPr>
              <w:spacing w:line="312" w:lineRule="auto"/>
              <w:jc w:val="center"/>
              <w:rPr>
                <w:rFonts w:ascii="宋体" w:hAnsi="宋体"/>
                <w:color w:val="auto"/>
                <w:szCs w:val="21"/>
                <w:highlight w:val="none"/>
              </w:rPr>
            </w:pPr>
            <w:r>
              <w:rPr>
                <w:rFonts w:hint="eastAsia" w:ascii="宋体" w:hAnsi="宋体"/>
                <w:color w:val="auto"/>
                <w:szCs w:val="21"/>
                <w:highlight w:val="none"/>
              </w:rPr>
              <w:t>招标技术要求</w:t>
            </w:r>
          </w:p>
        </w:tc>
        <w:tc>
          <w:tcPr>
            <w:tcW w:w="2384" w:type="dxa"/>
            <w:vAlign w:val="center"/>
          </w:tcPr>
          <w:p>
            <w:pPr>
              <w:spacing w:line="312" w:lineRule="auto"/>
              <w:jc w:val="center"/>
              <w:rPr>
                <w:rFonts w:ascii="宋体" w:hAnsi="宋体"/>
                <w:color w:val="auto"/>
                <w:szCs w:val="21"/>
                <w:highlight w:val="none"/>
              </w:rPr>
            </w:pPr>
            <w:r>
              <w:rPr>
                <w:rFonts w:hint="eastAsia" w:ascii="宋体" w:hAnsi="宋体"/>
                <w:color w:val="auto"/>
                <w:szCs w:val="21"/>
                <w:highlight w:val="none"/>
              </w:rPr>
              <w:t>投标技术指标</w:t>
            </w:r>
          </w:p>
        </w:tc>
        <w:tc>
          <w:tcPr>
            <w:tcW w:w="1362" w:type="dxa"/>
            <w:vMerge w:val="continue"/>
            <w:vAlign w:val="center"/>
          </w:tcPr>
          <w:p>
            <w:pPr>
              <w:spacing w:line="312" w:lineRule="auto"/>
              <w:jc w:val="center"/>
              <w:rPr>
                <w:rFonts w:ascii="宋体" w:hAnsi="宋体"/>
                <w:color w:val="auto"/>
                <w:szCs w:val="21"/>
                <w:highlight w:val="none"/>
              </w:rPr>
            </w:pPr>
          </w:p>
        </w:tc>
        <w:tc>
          <w:tcPr>
            <w:tcW w:w="1113" w:type="dxa"/>
            <w:vMerge w:val="continue"/>
            <w:vAlign w:val="center"/>
          </w:tcPr>
          <w:p>
            <w:pPr>
              <w:spacing w:line="312"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47"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1</w:t>
            </w:r>
          </w:p>
        </w:tc>
        <w:tc>
          <w:tcPr>
            <w:tcW w:w="1558" w:type="dxa"/>
            <w:vAlign w:val="center"/>
          </w:tcPr>
          <w:p>
            <w:pPr>
              <w:spacing w:line="312" w:lineRule="auto"/>
              <w:jc w:val="center"/>
              <w:rPr>
                <w:rFonts w:ascii="宋体" w:hAnsi="宋体"/>
                <w:color w:val="auto"/>
                <w:szCs w:val="21"/>
                <w:highlight w:val="none"/>
              </w:rPr>
            </w:pPr>
          </w:p>
        </w:tc>
        <w:tc>
          <w:tcPr>
            <w:tcW w:w="2353" w:type="dxa"/>
            <w:vAlign w:val="center"/>
          </w:tcPr>
          <w:p>
            <w:pPr>
              <w:spacing w:line="312" w:lineRule="auto"/>
              <w:jc w:val="center"/>
              <w:rPr>
                <w:rFonts w:ascii="宋体" w:hAnsi="宋体"/>
                <w:color w:val="auto"/>
                <w:szCs w:val="21"/>
                <w:highlight w:val="none"/>
              </w:rPr>
            </w:pPr>
          </w:p>
        </w:tc>
        <w:tc>
          <w:tcPr>
            <w:tcW w:w="2384" w:type="dxa"/>
            <w:vAlign w:val="center"/>
          </w:tcPr>
          <w:p>
            <w:pPr>
              <w:spacing w:line="312" w:lineRule="auto"/>
              <w:jc w:val="center"/>
              <w:rPr>
                <w:rFonts w:ascii="宋体" w:hAnsi="宋体"/>
                <w:color w:val="auto"/>
                <w:szCs w:val="21"/>
                <w:highlight w:val="none"/>
              </w:rPr>
            </w:pPr>
          </w:p>
        </w:tc>
        <w:tc>
          <w:tcPr>
            <w:tcW w:w="1362" w:type="dxa"/>
            <w:vAlign w:val="center"/>
          </w:tcPr>
          <w:p>
            <w:pPr>
              <w:spacing w:line="312" w:lineRule="auto"/>
              <w:jc w:val="center"/>
              <w:rPr>
                <w:rFonts w:ascii="宋体" w:hAnsi="宋体"/>
                <w:color w:val="auto"/>
                <w:szCs w:val="21"/>
                <w:highlight w:val="none"/>
              </w:rPr>
            </w:pPr>
          </w:p>
        </w:tc>
        <w:tc>
          <w:tcPr>
            <w:tcW w:w="1113" w:type="dxa"/>
            <w:vAlign w:val="center"/>
          </w:tcPr>
          <w:p>
            <w:pPr>
              <w:spacing w:line="312"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47"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2</w:t>
            </w:r>
          </w:p>
        </w:tc>
        <w:tc>
          <w:tcPr>
            <w:tcW w:w="1558" w:type="dxa"/>
            <w:vAlign w:val="center"/>
          </w:tcPr>
          <w:p>
            <w:pPr>
              <w:spacing w:line="312" w:lineRule="auto"/>
              <w:jc w:val="center"/>
              <w:rPr>
                <w:rFonts w:ascii="宋体" w:hAnsi="宋体"/>
                <w:color w:val="auto"/>
                <w:szCs w:val="21"/>
                <w:highlight w:val="none"/>
              </w:rPr>
            </w:pPr>
          </w:p>
        </w:tc>
        <w:tc>
          <w:tcPr>
            <w:tcW w:w="2353" w:type="dxa"/>
            <w:vAlign w:val="center"/>
          </w:tcPr>
          <w:p>
            <w:pPr>
              <w:spacing w:line="312" w:lineRule="auto"/>
              <w:jc w:val="center"/>
              <w:rPr>
                <w:rFonts w:ascii="宋体" w:hAnsi="宋体"/>
                <w:color w:val="auto"/>
                <w:szCs w:val="21"/>
                <w:highlight w:val="none"/>
              </w:rPr>
            </w:pPr>
          </w:p>
        </w:tc>
        <w:tc>
          <w:tcPr>
            <w:tcW w:w="2384" w:type="dxa"/>
            <w:vAlign w:val="center"/>
          </w:tcPr>
          <w:p>
            <w:pPr>
              <w:spacing w:line="312" w:lineRule="auto"/>
              <w:jc w:val="center"/>
              <w:rPr>
                <w:rFonts w:ascii="宋体" w:hAnsi="宋体"/>
                <w:color w:val="auto"/>
                <w:szCs w:val="21"/>
                <w:highlight w:val="none"/>
              </w:rPr>
            </w:pPr>
          </w:p>
        </w:tc>
        <w:tc>
          <w:tcPr>
            <w:tcW w:w="1362" w:type="dxa"/>
            <w:vAlign w:val="center"/>
          </w:tcPr>
          <w:p>
            <w:pPr>
              <w:spacing w:line="312" w:lineRule="auto"/>
              <w:jc w:val="center"/>
              <w:rPr>
                <w:rFonts w:ascii="宋体" w:hAnsi="宋体"/>
                <w:color w:val="auto"/>
                <w:szCs w:val="21"/>
                <w:highlight w:val="none"/>
              </w:rPr>
            </w:pPr>
          </w:p>
        </w:tc>
        <w:tc>
          <w:tcPr>
            <w:tcW w:w="1113" w:type="dxa"/>
            <w:vAlign w:val="center"/>
          </w:tcPr>
          <w:p>
            <w:pPr>
              <w:spacing w:line="312"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7"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3</w:t>
            </w:r>
          </w:p>
        </w:tc>
        <w:tc>
          <w:tcPr>
            <w:tcW w:w="1558" w:type="dxa"/>
            <w:vAlign w:val="center"/>
          </w:tcPr>
          <w:p>
            <w:pPr>
              <w:spacing w:line="312" w:lineRule="auto"/>
              <w:jc w:val="center"/>
              <w:rPr>
                <w:rFonts w:ascii="宋体" w:hAnsi="宋体"/>
                <w:color w:val="auto"/>
                <w:szCs w:val="21"/>
                <w:highlight w:val="none"/>
              </w:rPr>
            </w:pPr>
          </w:p>
        </w:tc>
        <w:tc>
          <w:tcPr>
            <w:tcW w:w="2353" w:type="dxa"/>
            <w:vAlign w:val="center"/>
          </w:tcPr>
          <w:p>
            <w:pPr>
              <w:spacing w:line="312" w:lineRule="auto"/>
              <w:jc w:val="center"/>
              <w:rPr>
                <w:rFonts w:ascii="宋体" w:hAnsi="宋体"/>
                <w:color w:val="auto"/>
                <w:szCs w:val="21"/>
                <w:highlight w:val="none"/>
              </w:rPr>
            </w:pPr>
          </w:p>
        </w:tc>
        <w:tc>
          <w:tcPr>
            <w:tcW w:w="2384" w:type="dxa"/>
            <w:vAlign w:val="center"/>
          </w:tcPr>
          <w:p>
            <w:pPr>
              <w:spacing w:line="312" w:lineRule="auto"/>
              <w:jc w:val="center"/>
              <w:rPr>
                <w:rFonts w:ascii="宋体" w:hAnsi="宋体"/>
                <w:color w:val="auto"/>
                <w:szCs w:val="21"/>
                <w:highlight w:val="none"/>
              </w:rPr>
            </w:pPr>
          </w:p>
        </w:tc>
        <w:tc>
          <w:tcPr>
            <w:tcW w:w="1362" w:type="dxa"/>
            <w:vAlign w:val="center"/>
          </w:tcPr>
          <w:p>
            <w:pPr>
              <w:spacing w:line="312" w:lineRule="auto"/>
              <w:jc w:val="center"/>
              <w:rPr>
                <w:rFonts w:ascii="宋体" w:hAnsi="宋体"/>
                <w:color w:val="auto"/>
                <w:szCs w:val="21"/>
                <w:highlight w:val="none"/>
              </w:rPr>
            </w:pPr>
          </w:p>
        </w:tc>
        <w:tc>
          <w:tcPr>
            <w:tcW w:w="1113" w:type="dxa"/>
            <w:vAlign w:val="center"/>
          </w:tcPr>
          <w:p>
            <w:pPr>
              <w:spacing w:line="312"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47"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4</w:t>
            </w:r>
          </w:p>
        </w:tc>
        <w:tc>
          <w:tcPr>
            <w:tcW w:w="1558" w:type="dxa"/>
            <w:vAlign w:val="center"/>
          </w:tcPr>
          <w:p>
            <w:pPr>
              <w:spacing w:line="312" w:lineRule="auto"/>
              <w:jc w:val="center"/>
              <w:rPr>
                <w:rFonts w:ascii="宋体" w:hAnsi="宋体"/>
                <w:color w:val="auto"/>
                <w:szCs w:val="21"/>
                <w:highlight w:val="none"/>
              </w:rPr>
            </w:pPr>
          </w:p>
        </w:tc>
        <w:tc>
          <w:tcPr>
            <w:tcW w:w="2353" w:type="dxa"/>
            <w:vAlign w:val="center"/>
          </w:tcPr>
          <w:p>
            <w:pPr>
              <w:spacing w:line="312" w:lineRule="auto"/>
              <w:jc w:val="center"/>
              <w:rPr>
                <w:rFonts w:ascii="宋体" w:hAnsi="宋体"/>
                <w:color w:val="auto"/>
                <w:szCs w:val="21"/>
                <w:highlight w:val="none"/>
              </w:rPr>
            </w:pPr>
          </w:p>
        </w:tc>
        <w:tc>
          <w:tcPr>
            <w:tcW w:w="2384" w:type="dxa"/>
            <w:vAlign w:val="center"/>
          </w:tcPr>
          <w:p>
            <w:pPr>
              <w:spacing w:line="312" w:lineRule="auto"/>
              <w:jc w:val="center"/>
              <w:rPr>
                <w:rFonts w:ascii="宋体" w:hAnsi="宋体"/>
                <w:color w:val="auto"/>
                <w:szCs w:val="21"/>
                <w:highlight w:val="none"/>
              </w:rPr>
            </w:pPr>
          </w:p>
        </w:tc>
        <w:tc>
          <w:tcPr>
            <w:tcW w:w="1362" w:type="dxa"/>
            <w:vAlign w:val="center"/>
          </w:tcPr>
          <w:p>
            <w:pPr>
              <w:spacing w:line="312" w:lineRule="auto"/>
              <w:jc w:val="center"/>
              <w:rPr>
                <w:rFonts w:ascii="宋体" w:hAnsi="宋体"/>
                <w:color w:val="auto"/>
                <w:szCs w:val="21"/>
                <w:highlight w:val="none"/>
              </w:rPr>
            </w:pPr>
          </w:p>
        </w:tc>
        <w:tc>
          <w:tcPr>
            <w:tcW w:w="1113" w:type="dxa"/>
            <w:vAlign w:val="center"/>
          </w:tcPr>
          <w:p>
            <w:pPr>
              <w:spacing w:line="312"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47"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5</w:t>
            </w:r>
          </w:p>
        </w:tc>
        <w:tc>
          <w:tcPr>
            <w:tcW w:w="1558" w:type="dxa"/>
            <w:vAlign w:val="center"/>
          </w:tcPr>
          <w:p>
            <w:pPr>
              <w:spacing w:line="312" w:lineRule="auto"/>
              <w:jc w:val="center"/>
              <w:rPr>
                <w:rFonts w:ascii="宋体" w:hAnsi="宋体"/>
                <w:color w:val="auto"/>
                <w:szCs w:val="21"/>
                <w:highlight w:val="none"/>
              </w:rPr>
            </w:pPr>
          </w:p>
        </w:tc>
        <w:tc>
          <w:tcPr>
            <w:tcW w:w="2353" w:type="dxa"/>
            <w:vAlign w:val="center"/>
          </w:tcPr>
          <w:p>
            <w:pPr>
              <w:spacing w:line="312" w:lineRule="auto"/>
              <w:jc w:val="center"/>
              <w:rPr>
                <w:rFonts w:ascii="宋体" w:hAnsi="宋体"/>
                <w:color w:val="auto"/>
                <w:szCs w:val="21"/>
                <w:highlight w:val="none"/>
              </w:rPr>
            </w:pPr>
          </w:p>
        </w:tc>
        <w:tc>
          <w:tcPr>
            <w:tcW w:w="2384" w:type="dxa"/>
            <w:vAlign w:val="center"/>
          </w:tcPr>
          <w:p>
            <w:pPr>
              <w:spacing w:line="312" w:lineRule="auto"/>
              <w:jc w:val="center"/>
              <w:rPr>
                <w:rFonts w:ascii="宋体" w:hAnsi="宋体"/>
                <w:color w:val="auto"/>
                <w:szCs w:val="21"/>
                <w:highlight w:val="none"/>
              </w:rPr>
            </w:pPr>
          </w:p>
        </w:tc>
        <w:tc>
          <w:tcPr>
            <w:tcW w:w="1362" w:type="dxa"/>
            <w:vAlign w:val="center"/>
          </w:tcPr>
          <w:p>
            <w:pPr>
              <w:spacing w:line="312" w:lineRule="auto"/>
              <w:jc w:val="center"/>
              <w:rPr>
                <w:rFonts w:ascii="宋体" w:hAnsi="宋体"/>
                <w:color w:val="auto"/>
                <w:szCs w:val="21"/>
                <w:highlight w:val="none"/>
              </w:rPr>
            </w:pPr>
          </w:p>
        </w:tc>
        <w:tc>
          <w:tcPr>
            <w:tcW w:w="1113" w:type="dxa"/>
            <w:vAlign w:val="center"/>
          </w:tcPr>
          <w:p>
            <w:pPr>
              <w:spacing w:line="312"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47"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6</w:t>
            </w:r>
          </w:p>
        </w:tc>
        <w:tc>
          <w:tcPr>
            <w:tcW w:w="1558" w:type="dxa"/>
            <w:vAlign w:val="center"/>
          </w:tcPr>
          <w:p>
            <w:pPr>
              <w:spacing w:line="312" w:lineRule="auto"/>
              <w:jc w:val="center"/>
              <w:rPr>
                <w:rFonts w:ascii="宋体" w:hAnsi="宋体"/>
                <w:color w:val="auto"/>
                <w:szCs w:val="21"/>
                <w:highlight w:val="none"/>
              </w:rPr>
            </w:pPr>
          </w:p>
        </w:tc>
        <w:tc>
          <w:tcPr>
            <w:tcW w:w="2353" w:type="dxa"/>
            <w:vAlign w:val="center"/>
          </w:tcPr>
          <w:p>
            <w:pPr>
              <w:spacing w:line="312" w:lineRule="auto"/>
              <w:jc w:val="center"/>
              <w:rPr>
                <w:rFonts w:ascii="宋体" w:hAnsi="宋体"/>
                <w:color w:val="auto"/>
                <w:szCs w:val="21"/>
                <w:highlight w:val="none"/>
              </w:rPr>
            </w:pPr>
          </w:p>
        </w:tc>
        <w:tc>
          <w:tcPr>
            <w:tcW w:w="2384" w:type="dxa"/>
            <w:vAlign w:val="center"/>
          </w:tcPr>
          <w:p>
            <w:pPr>
              <w:spacing w:line="312" w:lineRule="auto"/>
              <w:jc w:val="center"/>
              <w:rPr>
                <w:rFonts w:ascii="宋体" w:hAnsi="宋体"/>
                <w:color w:val="auto"/>
                <w:szCs w:val="21"/>
                <w:highlight w:val="none"/>
              </w:rPr>
            </w:pPr>
          </w:p>
        </w:tc>
        <w:tc>
          <w:tcPr>
            <w:tcW w:w="1362" w:type="dxa"/>
            <w:vAlign w:val="center"/>
          </w:tcPr>
          <w:p>
            <w:pPr>
              <w:spacing w:line="312" w:lineRule="auto"/>
              <w:jc w:val="center"/>
              <w:rPr>
                <w:rFonts w:ascii="宋体" w:hAnsi="宋体"/>
                <w:color w:val="auto"/>
                <w:szCs w:val="21"/>
                <w:highlight w:val="none"/>
              </w:rPr>
            </w:pPr>
          </w:p>
        </w:tc>
        <w:tc>
          <w:tcPr>
            <w:tcW w:w="1113" w:type="dxa"/>
            <w:vAlign w:val="center"/>
          </w:tcPr>
          <w:p>
            <w:pPr>
              <w:spacing w:line="312"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47" w:type="dxa"/>
            <w:vAlign w:val="center"/>
          </w:tcPr>
          <w:p>
            <w:pPr>
              <w:spacing w:line="312" w:lineRule="auto"/>
              <w:jc w:val="center"/>
              <w:rPr>
                <w:rFonts w:ascii="宋体" w:hAnsi="宋体" w:cs="Times New Roman"/>
                <w:color w:val="auto"/>
                <w:szCs w:val="21"/>
                <w:highlight w:val="none"/>
              </w:rPr>
            </w:pPr>
            <w:r>
              <w:rPr>
                <w:rFonts w:hint="eastAsia" w:ascii="宋体" w:hAnsi="宋体" w:cs="Times New Roman"/>
                <w:color w:val="auto"/>
                <w:szCs w:val="21"/>
                <w:highlight w:val="none"/>
              </w:rPr>
              <w:t>…</w:t>
            </w:r>
          </w:p>
        </w:tc>
        <w:tc>
          <w:tcPr>
            <w:tcW w:w="1558" w:type="dxa"/>
            <w:vAlign w:val="center"/>
          </w:tcPr>
          <w:p>
            <w:pPr>
              <w:spacing w:line="312" w:lineRule="auto"/>
              <w:rPr>
                <w:rFonts w:ascii="宋体" w:hAnsi="宋体"/>
                <w:color w:val="auto"/>
                <w:highlight w:val="none"/>
              </w:rPr>
            </w:pPr>
          </w:p>
        </w:tc>
        <w:tc>
          <w:tcPr>
            <w:tcW w:w="2353" w:type="dxa"/>
            <w:vAlign w:val="center"/>
          </w:tcPr>
          <w:p>
            <w:pPr>
              <w:spacing w:line="312" w:lineRule="auto"/>
              <w:rPr>
                <w:rFonts w:ascii="宋体" w:hAnsi="宋体"/>
                <w:color w:val="auto"/>
                <w:highlight w:val="none"/>
              </w:rPr>
            </w:pPr>
          </w:p>
        </w:tc>
        <w:tc>
          <w:tcPr>
            <w:tcW w:w="2384" w:type="dxa"/>
            <w:vAlign w:val="center"/>
          </w:tcPr>
          <w:p>
            <w:pPr>
              <w:spacing w:line="312" w:lineRule="auto"/>
              <w:rPr>
                <w:rFonts w:ascii="宋体" w:hAnsi="宋体"/>
                <w:color w:val="auto"/>
                <w:highlight w:val="none"/>
              </w:rPr>
            </w:pPr>
          </w:p>
        </w:tc>
        <w:tc>
          <w:tcPr>
            <w:tcW w:w="1362" w:type="dxa"/>
            <w:vAlign w:val="center"/>
          </w:tcPr>
          <w:p>
            <w:pPr>
              <w:spacing w:line="312" w:lineRule="auto"/>
              <w:rPr>
                <w:rFonts w:ascii="宋体" w:hAnsi="宋体"/>
                <w:color w:val="auto"/>
                <w:highlight w:val="none"/>
              </w:rPr>
            </w:pPr>
          </w:p>
        </w:tc>
        <w:tc>
          <w:tcPr>
            <w:tcW w:w="1113" w:type="dxa"/>
            <w:vAlign w:val="center"/>
          </w:tcPr>
          <w:p>
            <w:pPr>
              <w:spacing w:line="312" w:lineRule="auto"/>
              <w:rPr>
                <w:rFonts w:ascii="宋体" w:hAnsi="宋体"/>
                <w:color w:val="auto"/>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注：投标人应按招标文件中的采购项目产品技术标准与需求，根据投报产品进行相应响应，投标人必须根据所投产品的实际情况如实填写，照抄、复制招标文件主要技术指标要求的按无效投标处理。偏差情况填写“负偏差”或“正偏差”或“无偏差”。</w:t>
      </w:r>
    </w:p>
    <w:p>
      <w:pPr>
        <w:pStyle w:val="5"/>
        <w:numPr>
          <w:ilvl w:val="1"/>
          <w:numId w:val="0"/>
        </w:numPr>
        <w:spacing w:before="60" w:after="60" w:line="400" w:lineRule="exact"/>
        <w:rPr>
          <w:rFonts w:ascii="宋体" w:hAnsi="宋体" w:eastAsia="宋体" w:cs="宋体"/>
          <w:b/>
          <w:color w:val="auto"/>
          <w:sz w:val="21"/>
          <w:szCs w:val="21"/>
          <w:highlight w:val="none"/>
        </w:rPr>
      </w:pPr>
      <w:bookmarkStart w:id="392" w:name="_Toc23793"/>
      <w:bookmarkStart w:id="393" w:name="_Toc27209"/>
      <w:bookmarkStart w:id="394" w:name="_Toc29879"/>
      <w:bookmarkStart w:id="395" w:name="_Toc9280"/>
      <w:r>
        <w:rPr>
          <w:rFonts w:hint="eastAsia" w:ascii="宋体" w:hAnsi="宋体" w:eastAsia="宋体" w:cs="宋体"/>
          <w:b/>
          <w:color w:val="auto"/>
          <w:sz w:val="21"/>
          <w:szCs w:val="21"/>
          <w:highlight w:val="none"/>
        </w:rPr>
        <w:t>投标人保证：除商务和技术偏差表列出的偏差外，投标人响应招标文件的全部要求</w:t>
      </w:r>
      <w:r>
        <w:rPr>
          <w:rFonts w:hint="eastAsia" w:eastAsia="宋体" w:cs="宋体"/>
          <w:b/>
          <w:color w:val="auto"/>
          <w:sz w:val="21"/>
          <w:szCs w:val="21"/>
          <w:highlight w:val="none"/>
        </w:rPr>
        <w:t>。</w:t>
      </w:r>
      <w:bookmarkEnd w:id="392"/>
      <w:bookmarkEnd w:id="393"/>
      <w:bookmarkEnd w:id="394"/>
      <w:bookmarkEnd w:id="395"/>
    </w:p>
    <w:p>
      <w:pPr>
        <w:spacing w:line="400" w:lineRule="exact"/>
        <w:rPr>
          <w:rFonts w:ascii="宋体" w:hAnsi="宋体" w:cs="宋体"/>
          <w:color w:val="auto"/>
          <w:szCs w:val="21"/>
          <w:highlight w:val="none"/>
        </w:rPr>
      </w:pPr>
      <w:r>
        <w:rPr>
          <w:rFonts w:hint="eastAsia" w:ascii="宋体" w:hAnsi="宋体" w:cs="宋体"/>
          <w:color w:val="auto"/>
          <w:szCs w:val="21"/>
          <w:highlight w:val="none"/>
        </w:rPr>
        <w:t>投标人：（单位盖章）</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法定代表人或其委托代理人：（电子签名或签名或盖章）</w:t>
      </w:r>
    </w:p>
    <w:p>
      <w:pPr>
        <w:spacing w:line="400" w:lineRule="exact"/>
        <w:ind w:firstLine="4095" w:firstLineChars="1950"/>
        <w:rPr>
          <w:rFonts w:ascii="宋体" w:hAnsi="宋体" w:cs="宋体"/>
          <w:color w:val="auto"/>
          <w:szCs w:val="21"/>
          <w:highlight w:val="none"/>
        </w:rPr>
      </w:pPr>
      <w:r>
        <w:rPr>
          <w:rFonts w:hint="eastAsia" w:ascii="宋体" w:hAnsi="宋体" w:cs="宋体"/>
          <w:color w:val="auto"/>
          <w:szCs w:val="21"/>
          <w:highlight w:val="none"/>
        </w:rPr>
        <w:t>年  月  日</w:t>
      </w:r>
    </w:p>
    <w:p>
      <w:pPr>
        <w:pStyle w:val="2"/>
        <w:spacing w:line="400" w:lineRule="exact"/>
        <w:ind w:firstLine="210"/>
        <w:rPr>
          <w:rFonts w:ascii="宋体" w:hAnsi="宋体" w:eastAsia="宋体" w:cs="宋体"/>
          <w:color w:val="auto"/>
          <w:sz w:val="21"/>
          <w:szCs w:val="21"/>
          <w:highlight w:val="none"/>
        </w:rPr>
      </w:pPr>
    </w:p>
    <w:p>
      <w:pPr>
        <w:pStyle w:val="2"/>
        <w:ind w:firstLine="0"/>
        <w:rPr>
          <w:rFonts w:ascii="宋体" w:hAnsi="宋体" w:eastAsia="宋体" w:cs="宋体"/>
          <w:b/>
          <w:color w:val="auto"/>
          <w:sz w:val="21"/>
          <w:szCs w:val="21"/>
          <w:highlight w:val="none"/>
        </w:rPr>
      </w:pPr>
      <w:bookmarkStart w:id="396" w:name="_Toc150653531"/>
    </w:p>
    <w:p>
      <w:pPr>
        <w:pStyle w:val="2"/>
        <w:ind w:firstLine="0"/>
        <w:outlineLvl w:val="9"/>
        <w:rPr>
          <w:rFonts w:ascii="宋体" w:hAnsi="宋体" w:eastAsia="宋体" w:cs="宋体"/>
          <w:b/>
          <w:color w:val="auto"/>
          <w:sz w:val="28"/>
          <w:szCs w:val="28"/>
          <w:highlight w:val="none"/>
        </w:rPr>
      </w:pPr>
      <w:bookmarkStart w:id="397" w:name="_Toc5596"/>
    </w:p>
    <w:p>
      <w:pPr>
        <w:rPr>
          <w:rFonts w:ascii="宋体" w:hAnsi="宋体" w:cs="宋体"/>
          <w:b/>
          <w:color w:val="auto"/>
          <w:sz w:val="28"/>
          <w:szCs w:val="28"/>
          <w:highlight w:val="none"/>
        </w:rPr>
      </w:pPr>
      <w:bookmarkStart w:id="398" w:name="_Toc26923"/>
      <w:bookmarkStart w:id="399" w:name="_Toc14110"/>
      <w:r>
        <w:rPr>
          <w:rFonts w:hint="eastAsia" w:ascii="宋体" w:hAnsi="宋体" w:cs="宋体"/>
          <w:b/>
          <w:color w:val="auto"/>
          <w:sz w:val="28"/>
          <w:szCs w:val="28"/>
          <w:highlight w:val="none"/>
        </w:rPr>
        <w:br w:type="page"/>
      </w:r>
    </w:p>
    <w:p>
      <w:pPr>
        <w:pStyle w:val="5"/>
        <w:numPr>
          <w:ilvl w:val="0"/>
          <w:numId w:val="0"/>
        </w:numPr>
        <w:spacing w:line="400" w:lineRule="exact"/>
        <w:ind w:left="210" w:right="210"/>
        <w:jc w:val="center"/>
        <w:rPr>
          <w:rFonts w:ascii="宋体" w:hAnsi="宋体" w:eastAsia="宋体" w:cs="宋体"/>
          <w:b/>
          <w:color w:val="auto"/>
          <w:szCs w:val="28"/>
          <w:highlight w:val="none"/>
        </w:rPr>
      </w:pPr>
      <w:r>
        <w:rPr>
          <w:rFonts w:hint="eastAsia" w:ascii="宋体" w:hAnsi="宋体" w:eastAsia="宋体" w:cs="宋体"/>
          <w:b/>
          <w:color w:val="auto"/>
          <w:szCs w:val="28"/>
          <w:highlight w:val="none"/>
        </w:rPr>
        <w:t>六、投标货物技术性能指标的详细描述及技术支持资料</w:t>
      </w:r>
      <w:bookmarkEnd w:id="397"/>
      <w:bookmarkEnd w:id="398"/>
      <w:bookmarkEnd w:id="399"/>
    </w:p>
    <w:p>
      <w:pPr>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r>
        <w:rPr>
          <w:rFonts w:hint="eastAsia" w:ascii="宋体" w:hAnsi="宋体"/>
          <w:b/>
          <w:color w:val="auto"/>
          <w:szCs w:val="21"/>
          <w:highlight w:val="none"/>
        </w:rPr>
        <w:t>内容及格式由投标人自拟</w:t>
      </w:r>
      <w:r>
        <w:rPr>
          <w:rFonts w:hint="eastAsia" w:ascii="宋体" w:hAnsi="宋体" w:cs="宋体"/>
          <w:color w:val="auto"/>
          <w:kern w:val="0"/>
          <w:szCs w:val="21"/>
          <w:highlight w:val="none"/>
          <w:lang w:bidi="ar"/>
        </w:rPr>
        <w:t>）</w:t>
      </w:r>
    </w:p>
    <w:p>
      <w:pPr>
        <w:pStyle w:val="2"/>
        <w:rPr>
          <w:rFonts w:ascii="宋体" w:hAnsi="宋体" w:eastAsia="宋体" w:cs="宋体"/>
          <w:color w:val="auto"/>
          <w:kern w:val="0"/>
          <w:sz w:val="21"/>
          <w:szCs w:val="21"/>
          <w:highlight w:val="none"/>
          <w:lang w:bidi="ar"/>
        </w:rPr>
      </w:pPr>
    </w:p>
    <w:p>
      <w:pPr>
        <w:pStyle w:val="23"/>
        <w:rPr>
          <w:rFonts w:ascii="宋体" w:hAnsi="宋体" w:cs="宋体"/>
          <w:color w:val="auto"/>
          <w:sz w:val="21"/>
          <w:szCs w:val="21"/>
          <w:highlight w:val="none"/>
          <w:lang w:bidi="ar"/>
        </w:rPr>
      </w:pPr>
    </w:p>
    <w:p>
      <w:pPr>
        <w:rPr>
          <w:rFonts w:ascii="宋体" w:hAnsi="宋体" w:cs="宋体"/>
          <w:color w:val="auto"/>
          <w:kern w:val="0"/>
          <w:szCs w:val="21"/>
          <w:highlight w:val="none"/>
          <w:lang w:bidi="ar"/>
        </w:rPr>
      </w:pPr>
    </w:p>
    <w:p>
      <w:pPr>
        <w:pStyle w:val="2"/>
        <w:rPr>
          <w:rFonts w:ascii="宋体" w:hAnsi="宋体" w:eastAsia="宋体" w:cs="宋体"/>
          <w:color w:val="auto"/>
          <w:kern w:val="0"/>
          <w:sz w:val="21"/>
          <w:szCs w:val="21"/>
          <w:highlight w:val="none"/>
          <w:lang w:bidi="ar"/>
        </w:rPr>
      </w:pPr>
    </w:p>
    <w:p>
      <w:pPr>
        <w:pStyle w:val="23"/>
        <w:rPr>
          <w:rFonts w:ascii="宋体" w:hAnsi="宋体" w:cs="宋体"/>
          <w:color w:val="auto"/>
          <w:sz w:val="21"/>
          <w:szCs w:val="21"/>
          <w:highlight w:val="none"/>
          <w:lang w:bidi="ar"/>
        </w:rPr>
      </w:pPr>
    </w:p>
    <w:p>
      <w:pPr>
        <w:rPr>
          <w:rFonts w:ascii="宋体" w:hAnsi="宋体" w:cs="宋体"/>
          <w:color w:val="auto"/>
          <w:kern w:val="0"/>
          <w:szCs w:val="21"/>
          <w:highlight w:val="none"/>
          <w:lang w:bidi="ar"/>
        </w:rPr>
      </w:pPr>
    </w:p>
    <w:p>
      <w:pPr>
        <w:pStyle w:val="2"/>
        <w:rPr>
          <w:rFonts w:ascii="宋体" w:hAnsi="宋体" w:eastAsia="宋体" w:cs="宋体"/>
          <w:color w:val="auto"/>
          <w:kern w:val="0"/>
          <w:sz w:val="21"/>
          <w:szCs w:val="21"/>
          <w:highlight w:val="none"/>
          <w:lang w:bidi="ar"/>
        </w:rPr>
      </w:pPr>
    </w:p>
    <w:p>
      <w:pPr>
        <w:pStyle w:val="23"/>
        <w:rPr>
          <w:rFonts w:ascii="宋体" w:hAnsi="宋体" w:cs="宋体"/>
          <w:color w:val="auto"/>
          <w:sz w:val="21"/>
          <w:szCs w:val="21"/>
          <w:highlight w:val="none"/>
          <w:lang w:bidi="ar"/>
        </w:rPr>
      </w:pPr>
    </w:p>
    <w:p>
      <w:pPr>
        <w:rPr>
          <w:rFonts w:ascii="宋体" w:hAnsi="宋体" w:cs="宋体"/>
          <w:color w:val="auto"/>
          <w:kern w:val="0"/>
          <w:szCs w:val="21"/>
          <w:highlight w:val="none"/>
          <w:lang w:bidi="ar"/>
        </w:rPr>
      </w:pPr>
    </w:p>
    <w:p>
      <w:pPr>
        <w:pStyle w:val="2"/>
        <w:rPr>
          <w:rFonts w:ascii="宋体" w:hAnsi="宋体" w:eastAsia="宋体" w:cs="宋体"/>
          <w:color w:val="auto"/>
          <w:kern w:val="0"/>
          <w:sz w:val="21"/>
          <w:szCs w:val="21"/>
          <w:highlight w:val="none"/>
          <w:lang w:bidi="ar"/>
        </w:rPr>
      </w:pPr>
    </w:p>
    <w:p>
      <w:pPr>
        <w:pStyle w:val="23"/>
        <w:rPr>
          <w:rFonts w:ascii="宋体" w:hAnsi="宋体" w:cs="宋体"/>
          <w:color w:val="auto"/>
          <w:sz w:val="21"/>
          <w:szCs w:val="21"/>
          <w:highlight w:val="none"/>
          <w:lang w:bidi="ar"/>
        </w:rPr>
      </w:pPr>
    </w:p>
    <w:p>
      <w:pPr>
        <w:rPr>
          <w:color w:val="auto"/>
          <w:highlight w:val="none"/>
        </w:rPr>
      </w:pPr>
    </w:p>
    <w:p>
      <w:pPr>
        <w:rPr>
          <w:rFonts w:ascii="宋体" w:hAnsi="宋体" w:cs="宋体"/>
          <w:color w:val="auto"/>
          <w:kern w:val="0"/>
          <w:szCs w:val="21"/>
          <w:highlight w:val="none"/>
          <w:lang w:bidi="ar"/>
        </w:rPr>
      </w:pPr>
    </w:p>
    <w:p>
      <w:pPr>
        <w:pStyle w:val="2"/>
        <w:rPr>
          <w:rFonts w:ascii="宋体" w:hAnsi="宋体" w:eastAsia="宋体" w:cs="宋体"/>
          <w:color w:val="auto"/>
          <w:kern w:val="0"/>
          <w:sz w:val="21"/>
          <w:szCs w:val="21"/>
          <w:highlight w:val="none"/>
          <w:lang w:bidi="ar"/>
        </w:rPr>
      </w:pPr>
    </w:p>
    <w:p>
      <w:pPr>
        <w:rPr>
          <w:rFonts w:ascii="宋体" w:hAnsi="宋体" w:cs="宋体"/>
          <w:color w:val="auto"/>
          <w:kern w:val="0"/>
          <w:szCs w:val="21"/>
          <w:highlight w:val="none"/>
          <w:lang w:bidi="ar"/>
        </w:rPr>
      </w:pPr>
    </w:p>
    <w:p>
      <w:pPr>
        <w:pStyle w:val="2"/>
        <w:rPr>
          <w:rFonts w:ascii="宋体" w:hAnsi="宋体" w:eastAsia="宋体" w:cs="宋体"/>
          <w:color w:val="auto"/>
          <w:kern w:val="0"/>
          <w:sz w:val="21"/>
          <w:szCs w:val="21"/>
          <w:highlight w:val="none"/>
          <w:lang w:bidi="ar"/>
        </w:rPr>
      </w:pPr>
    </w:p>
    <w:p>
      <w:pPr>
        <w:outlineLvl w:val="9"/>
        <w:rPr>
          <w:color w:val="auto"/>
          <w:highlight w:val="none"/>
        </w:rPr>
      </w:pPr>
    </w:p>
    <w:p>
      <w:pPr>
        <w:pStyle w:val="2"/>
        <w:ind w:firstLine="0"/>
        <w:outlineLvl w:val="9"/>
        <w:rPr>
          <w:rFonts w:ascii="宋体" w:hAnsi="宋体" w:eastAsia="宋体" w:cs="宋体"/>
          <w:b/>
          <w:color w:val="auto"/>
          <w:sz w:val="28"/>
          <w:szCs w:val="28"/>
          <w:highlight w:val="none"/>
        </w:rPr>
      </w:pPr>
      <w:bookmarkStart w:id="400" w:name="_Toc18583"/>
    </w:p>
    <w:p>
      <w:pPr>
        <w:pStyle w:val="2"/>
        <w:ind w:firstLine="540" w:firstLineChars="192"/>
        <w:jc w:val="center"/>
        <w:outlineLvl w:val="9"/>
        <w:rPr>
          <w:rFonts w:ascii="宋体" w:hAnsi="宋体" w:eastAsia="宋体" w:cs="宋体"/>
          <w:b/>
          <w:color w:val="auto"/>
          <w:sz w:val="28"/>
          <w:szCs w:val="28"/>
          <w:highlight w:val="none"/>
        </w:rPr>
      </w:pPr>
    </w:p>
    <w:p>
      <w:pPr>
        <w:rPr>
          <w:rFonts w:ascii="宋体" w:hAnsi="宋体" w:cs="宋体"/>
          <w:b/>
          <w:color w:val="auto"/>
          <w:sz w:val="28"/>
          <w:szCs w:val="28"/>
          <w:highlight w:val="none"/>
        </w:rPr>
      </w:pPr>
      <w:bookmarkStart w:id="401" w:name="_Toc12806"/>
      <w:bookmarkStart w:id="402" w:name="_Toc13518"/>
      <w:r>
        <w:rPr>
          <w:rFonts w:hint="eastAsia" w:ascii="宋体" w:hAnsi="宋体" w:cs="宋体"/>
          <w:b/>
          <w:color w:val="auto"/>
          <w:sz w:val="28"/>
          <w:szCs w:val="28"/>
          <w:highlight w:val="none"/>
        </w:rPr>
        <w:br w:type="page"/>
      </w:r>
    </w:p>
    <w:p>
      <w:pPr>
        <w:pStyle w:val="5"/>
        <w:numPr>
          <w:ilvl w:val="0"/>
          <w:numId w:val="0"/>
        </w:numPr>
        <w:spacing w:line="400" w:lineRule="exact"/>
        <w:ind w:left="210" w:right="210"/>
        <w:jc w:val="center"/>
        <w:rPr>
          <w:rFonts w:hint="default" w:ascii="宋体" w:hAnsi="宋体" w:eastAsia="宋体" w:cs="宋体"/>
          <w:b/>
          <w:color w:val="auto"/>
          <w:szCs w:val="28"/>
          <w:highlight w:val="none"/>
          <w:lang w:val="en-US" w:eastAsia="zh-CN"/>
        </w:rPr>
      </w:pPr>
      <w:r>
        <w:rPr>
          <w:rFonts w:hint="eastAsia" w:ascii="宋体" w:hAnsi="宋体" w:eastAsia="宋体" w:cs="宋体"/>
          <w:b/>
          <w:color w:val="auto"/>
          <w:szCs w:val="28"/>
          <w:highlight w:val="none"/>
        </w:rPr>
        <w:t>七、</w:t>
      </w:r>
      <w:bookmarkEnd w:id="400"/>
      <w:bookmarkEnd w:id="401"/>
      <w:bookmarkEnd w:id="402"/>
      <w:r>
        <w:rPr>
          <w:rFonts w:hint="eastAsia" w:ascii="宋体" w:hAnsi="宋体" w:eastAsia="宋体" w:cs="宋体"/>
          <w:b/>
          <w:color w:val="auto"/>
          <w:szCs w:val="28"/>
          <w:highlight w:val="none"/>
        </w:rPr>
        <w:t>实施方案</w:t>
      </w:r>
      <w:r>
        <w:rPr>
          <w:rFonts w:hint="eastAsia" w:ascii="宋体" w:hAnsi="宋体" w:eastAsia="宋体" w:cs="宋体"/>
          <w:b/>
          <w:color w:val="auto"/>
          <w:szCs w:val="28"/>
          <w:highlight w:val="none"/>
          <w:lang w:eastAsia="zh-CN"/>
        </w:rPr>
        <w:t>、</w:t>
      </w:r>
      <w:r>
        <w:rPr>
          <w:rFonts w:hint="eastAsia" w:ascii="宋体" w:hAnsi="宋体" w:eastAsia="宋体" w:cs="宋体"/>
          <w:b/>
          <w:color w:val="auto"/>
          <w:szCs w:val="28"/>
          <w:highlight w:val="none"/>
        </w:rPr>
        <w:t>培训方案</w:t>
      </w:r>
      <w:r>
        <w:rPr>
          <w:rFonts w:hint="eastAsia" w:ascii="宋体" w:hAnsi="宋体" w:eastAsia="宋体" w:cs="宋体"/>
          <w:b/>
          <w:color w:val="auto"/>
          <w:szCs w:val="28"/>
          <w:highlight w:val="none"/>
          <w:lang w:eastAsia="zh-CN"/>
        </w:rPr>
        <w:t>、</w:t>
      </w:r>
      <w:r>
        <w:rPr>
          <w:rFonts w:hint="eastAsia" w:ascii="宋体" w:hAnsi="宋体" w:eastAsia="宋体" w:cs="宋体"/>
          <w:b/>
          <w:color w:val="auto"/>
          <w:szCs w:val="28"/>
          <w:highlight w:val="none"/>
        </w:rPr>
        <w:t>售后服务方案</w:t>
      </w:r>
      <w:r>
        <w:rPr>
          <w:rFonts w:hint="eastAsia" w:ascii="宋体" w:hAnsi="宋体" w:eastAsia="宋体" w:cs="宋体"/>
          <w:b/>
          <w:color w:val="auto"/>
          <w:szCs w:val="28"/>
          <w:highlight w:val="none"/>
          <w:lang w:val="en-US" w:eastAsia="zh-CN"/>
        </w:rPr>
        <w:t>和售后响应</w:t>
      </w:r>
    </w:p>
    <w:p>
      <w:pPr>
        <w:jc w:val="center"/>
        <w:rPr>
          <w:rFonts w:ascii="宋体" w:hAnsi="宋体" w:cs="宋体"/>
          <w:b/>
          <w:color w:val="auto"/>
          <w:szCs w:val="21"/>
          <w:highlight w:val="none"/>
        </w:rPr>
      </w:pPr>
      <w:r>
        <w:rPr>
          <w:rFonts w:hint="eastAsia" w:ascii="宋体" w:hAnsi="宋体" w:cs="宋体"/>
          <w:color w:val="auto"/>
          <w:kern w:val="0"/>
          <w:szCs w:val="21"/>
          <w:highlight w:val="none"/>
          <w:lang w:bidi="ar"/>
        </w:rPr>
        <w:t>（</w:t>
      </w:r>
      <w:r>
        <w:rPr>
          <w:rFonts w:hint="eastAsia" w:ascii="宋体" w:hAnsi="宋体"/>
          <w:b/>
          <w:color w:val="auto"/>
          <w:szCs w:val="21"/>
          <w:highlight w:val="none"/>
        </w:rPr>
        <w:t>内容及格式由投标人自拟</w:t>
      </w:r>
      <w:r>
        <w:rPr>
          <w:rFonts w:hint="eastAsia" w:ascii="宋体" w:hAnsi="宋体" w:cs="宋体"/>
          <w:color w:val="auto"/>
          <w:kern w:val="0"/>
          <w:szCs w:val="21"/>
          <w:highlight w:val="none"/>
          <w:lang w:bidi="ar"/>
        </w:rPr>
        <w:t>）</w:t>
      </w:r>
    </w:p>
    <w:bookmarkEnd w:id="396"/>
    <w:p>
      <w:pPr>
        <w:pStyle w:val="2"/>
        <w:spacing w:line="400" w:lineRule="exact"/>
        <w:ind w:firstLine="210"/>
        <w:jc w:val="center"/>
        <w:outlineLvl w:val="9"/>
        <w:rPr>
          <w:rFonts w:ascii="宋体" w:hAnsi="宋体" w:eastAsia="宋体" w:cs="宋体"/>
          <w:b/>
          <w:color w:val="auto"/>
          <w:sz w:val="28"/>
          <w:szCs w:val="28"/>
          <w:highlight w:val="none"/>
        </w:rPr>
      </w:pPr>
      <w:bookmarkStart w:id="403" w:name="_Toc32102"/>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2"/>
        <w:spacing w:line="400" w:lineRule="exact"/>
        <w:ind w:firstLine="210"/>
        <w:jc w:val="center"/>
        <w:outlineLvl w:val="9"/>
        <w:rPr>
          <w:rFonts w:ascii="宋体" w:hAnsi="宋体" w:eastAsia="宋体" w:cs="宋体"/>
          <w:b/>
          <w:color w:val="auto"/>
          <w:sz w:val="28"/>
          <w:szCs w:val="28"/>
          <w:highlight w:val="none"/>
        </w:rPr>
      </w:pPr>
    </w:p>
    <w:p>
      <w:pPr>
        <w:pStyle w:val="5"/>
        <w:numPr>
          <w:ilvl w:val="0"/>
          <w:numId w:val="0"/>
        </w:numPr>
        <w:spacing w:line="400" w:lineRule="exact"/>
        <w:ind w:left="210" w:right="210"/>
        <w:jc w:val="center"/>
        <w:rPr>
          <w:rFonts w:ascii="宋体" w:hAnsi="宋体" w:eastAsia="宋体" w:cs="宋体"/>
          <w:color w:val="auto"/>
          <w:sz w:val="21"/>
          <w:szCs w:val="21"/>
          <w:highlight w:val="none"/>
        </w:rPr>
      </w:pPr>
      <w:bookmarkStart w:id="404" w:name="_Toc5851"/>
      <w:bookmarkStart w:id="405" w:name="_Toc26641"/>
      <w:r>
        <w:rPr>
          <w:rFonts w:hint="eastAsia" w:ascii="宋体" w:hAnsi="宋体" w:eastAsia="宋体" w:cs="宋体"/>
          <w:b/>
          <w:color w:val="auto"/>
          <w:szCs w:val="28"/>
          <w:highlight w:val="none"/>
        </w:rPr>
        <w:t>八、 资格审查资料</w:t>
      </w:r>
      <w:bookmarkEnd w:id="403"/>
      <w:bookmarkEnd w:id="404"/>
      <w:bookmarkEnd w:id="405"/>
    </w:p>
    <w:p>
      <w:pPr>
        <w:rPr>
          <w:b/>
          <w:bCs/>
          <w:color w:val="auto"/>
          <w:highlight w:val="none"/>
        </w:rPr>
      </w:pPr>
      <w:bookmarkStart w:id="406" w:name="_Toc14938"/>
      <w:bookmarkStart w:id="407" w:name="_Toc7108"/>
      <w:bookmarkStart w:id="408" w:name="_Toc1960"/>
      <w:bookmarkStart w:id="409" w:name="_Toc18273"/>
      <w:r>
        <w:rPr>
          <w:rFonts w:hint="eastAsia"/>
          <w:b/>
          <w:bCs/>
          <w:color w:val="auto"/>
          <w:highlight w:val="none"/>
        </w:rPr>
        <w:t>1、投标人基本情况表</w:t>
      </w:r>
      <w:bookmarkEnd w:id="406"/>
      <w:bookmarkEnd w:id="407"/>
      <w:bookmarkEnd w:id="408"/>
      <w:bookmarkEnd w:id="409"/>
    </w:p>
    <w:tbl>
      <w:tblPr>
        <w:tblStyle w:val="24"/>
        <w:tblW w:w="86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926"/>
        <w:gridCol w:w="2005"/>
        <w:gridCol w:w="1333"/>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31"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投标人名称</w:t>
            </w:r>
          </w:p>
        </w:tc>
        <w:tc>
          <w:tcPr>
            <w:tcW w:w="6473" w:type="dxa"/>
            <w:gridSpan w:val="4"/>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31"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注册地址</w:t>
            </w:r>
          </w:p>
        </w:tc>
        <w:tc>
          <w:tcPr>
            <w:tcW w:w="2931" w:type="dxa"/>
            <w:gridSpan w:val="2"/>
          </w:tcPr>
          <w:p>
            <w:pPr>
              <w:spacing w:line="400" w:lineRule="exact"/>
              <w:rPr>
                <w:rFonts w:ascii="宋体" w:hAnsi="宋体" w:cs="宋体"/>
                <w:color w:val="auto"/>
                <w:szCs w:val="21"/>
                <w:highlight w:val="none"/>
              </w:rPr>
            </w:pPr>
          </w:p>
        </w:tc>
        <w:tc>
          <w:tcPr>
            <w:tcW w:w="133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2209" w:type="dxa"/>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31"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注册资金</w:t>
            </w:r>
          </w:p>
        </w:tc>
        <w:tc>
          <w:tcPr>
            <w:tcW w:w="2931" w:type="dxa"/>
            <w:gridSpan w:val="2"/>
          </w:tcPr>
          <w:p>
            <w:pPr>
              <w:spacing w:line="400" w:lineRule="exact"/>
              <w:rPr>
                <w:rFonts w:ascii="宋体" w:hAnsi="宋体" w:cs="宋体"/>
                <w:color w:val="auto"/>
                <w:szCs w:val="21"/>
                <w:highlight w:val="none"/>
              </w:rPr>
            </w:pPr>
          </w:p>
        </w:tc>
        <w:tc>
          <w:tcPr>
            <w:tcW w:w="133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成立时间</w:t>
            </w:r>
          </w:p>
        </w:tc>
        <w:tc>
          <w:tcPr>
            <w:tcW w:w="2209" w:type="dxa"/>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31" w:type="dxa"/>
            <w:vMerge w:val="restart"/>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联系方式</w:t>
            </w:r>
          </w:p>
        </w:tc>
        <w:tc>
          <w:tcPr>
            <w:tcW w:w="926"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p>
        </w:tc>
        <w:tc>
          <w:tcPr>
            <w:tcW w:w="2005" w:type="dxa"/>
          </w:tcPr>
          <w:p>
            <w:pPr>
              <w:spacing w:line="400" w:lineRule="exact"/>
              <w:rPr>
                <w:rFonts w:ascii="宋体" w:hAnsi="宋体" w:cs="宋体"/>
                <w:color w:val="auto"/>
                <w:szCs w:val="21"/>
                <w:highlight w:val="none"/>
              </w:rPr>
            </w:pPr>
          </w:p>
        </w:tc>
        <w:tc>
          <w:tcPr>
            <w:tcW w:w="133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2209" w:type="dxa"/>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1" w:type="dxa"/>
            <w:vMerge w:val="continue"/>
          </w:tcPr>
          <w:p>
            <w:pPr>
              <w:spacing w:line="400" w:lineRule="exact"/>
              <w:rPr>
                <w:rFonts w:ascii="宋体" w:hAnsi="宋体" w:cs="宋体"/>
                <w:color w:val="auto"/>
                <w:szCs w:val="21"/>
                <w:highlight w:val="none"/>
              </w:rPr>
            </w:pPr>
          </w:p>
        </w:tc>
        <w:tc>
          <w:tcPr>
            <w:tcW w:w="926"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传真</w:t>
            </w:r>
          </w:p>
        </w:tc>
        <w:tc>
          <w:tcPr>
            <w:tcW w:w="2005" w:type="dxa"/>
          </w:tcPr>
          <w:p>
            <w:pPr>
              <w:spacing w:line="400" w:lineRule="exact"/>
              <w:rPr>
                <w:rFonts w:ascii="宋体" w:hAnsi="宋体" w:cs="宋体"/>
                <w:color w:val="auto"/>
                <w:szCs w:val="21"/>
                <w:highlight w:val="none"/>
              </w:rPr>
            </w:pPr>
          </w:p>
        </w:tc>
        <w:tc>
          <w:tcPr>
            <w:tcW w:w="133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邮箱</w:t>
            </w:r>
          </w:p>
        </w:tc>
        <w:tc>
          <w:tcPr>
            <w:tcW w:w="2209" w:type="dxa"/>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31"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926"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姓名</w:t>
            </w:r>
          </w:p>
        </w:tc>
        <w:tc>
          <w:tcPr>
            <w:tcW w:w="2005" w:type="dxa"/>
          </w:tcPr>
          <w:p>
            <w:pPr>
              <w:spacing w:line="400" w:lineRule="exact"/>
              <w:rPr>
                <w:rFonts w:ascii="宋体" w:hAnsi="宋体" w:cs="宋体"/>
                <w:color w:val="auto"/>
                <w:szCs w:val="21"/>
                <w:highlight w:val="none"/>
              </w:rPr>
            </w:pPr>
          </w:p>
        </w:tc>
        <w:tc>
          <w:tcPr>
            <w:tcW w:w="133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2209" w:type="dxa"/>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31"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基本账户开户银行</w:t>
            </w:r>
          </w:p>
        </w:tc>
        <w:tc>
          <w:tcPr>
            <w:tcW w:w="6473" w:type="dxa"/>
            <w:gridSpan w:val="4"/>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31"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基本账户银行账号</w:t>
            </w:r>
          </w:p>
        </w:tc>
        <w:tc>
          <w:tcPr>
            <w:tcW w:w="6473" w:type="dxa"/>
            <w:gridSpan w:val="4"/>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31" w:type="dxa"/>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近三年营业额</w:t>
            </w:r>
          </w:p>
        </w:tc>
        <w:tc>
          <w:tcPr>
            <w:tcW w:w="6473" w:type="dxa"/>
            <w:gridSpan w:val="4"/>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31"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投标人关联企业情况（包括但不限于与投标人法定代表人为同一人或者存在控股、管理关系的不同单位）</w:t>
            </w:r>
          </w:p>
        </w:tc>
        <w:tc>
          <w:tcPr>
            <w:tcW w:w="6473" w:type="dxa"/>
            <w:gridSpan w:val="4"/>
          </w:tcPr>
          <w:p>
            <w:pPr>
              <w:spacing w:line="4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31" w:type="dxa"/>
          </w:tcPr>
          <w:p>
            <w:pPr>
              <w:spacing w:line="400" w:lineRule="exact"/>
              <w:ind w:firstLine="210" w:firstLineChars="100"/>
              <w:rPr>
                <w:rFonts w:ascii="宋体" w:hAnsi="宋体" w:cs="宋体"/>
                <w:color w:val="auto"/>
                <w:szCs w:val="21"/>
                <w:highlight w:val="none"/>
              </w:rPr>
            </w:pP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经营范围备注</w:t>
            </w:r>
          </w:p>
        </w:tc>
        <w:tc>
          <w:tcPr>
            <w:tcW w:w="6473" w:type="dxa"/>
            <w:gridSpan w:val="4"/>
          </w:tcPr>
          <w:p>
            <w:pPr>
              <w:spacing w:line="400" w:lineRule="exact"/>
              <w:ind w:firstLine="420" w:firstLineChars="200"/>
              <w:rPr>
                <w:rFonts w:ascii="宋体" w:hAnsi="宋体" w:cs="宋体"/>
                <w:color w:val="auto"/>
                <w:szCs w:val="21"/>
                <w:highlight w:val="none"/>
              </w:rPr>
            </w:pPr>
          </w:p>
        </w:tc>
      </w:tr>
    </w:tbl>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注：1.投标人应根据投标人须知“投标人资格要求”在本表后附</w:t>
      </w:r>
      <w:r>
        <w:rPr>
          <w:rFonts w:hint="eastAsia" w:ascii="宋体" w:hAnsi="宋体" w:cs="宋体"/>
          <w:b/>
          <w:bCs/>
          <w:color w:val="auto"/>
          <w:kern w:val="0"/>
          <w:szCs w:val="21"/>
          <w:highlight w:val="none"/>
          <w:lang w:bidi="ar"/>
        </w:rPr>
        <w:t>相关资格证明材料</w:t>
      </w:r>
      <w:r>
        <w:rPr>
          <w:rFonts w:hint="eastAsia" w:ascii="宋体" w:hAnsi="宋体" w:cs="宋体"/>
          <w:color w:val="auto"/>
          <w:szCs w:val="21"/>
          <w:highlight w:val="none"/>
        </w:rPr>
        <w:t>。</w:t>
      </w:r>
    </w:p>
    <w:p>
      <w:pPr>
        <w:spacing w:line="400" w:lineRule="exact"/>
        <w:outlineLvl w:val="1"/>
        <w:rPr>
          <w:rFonts w:ascii="宋体" w:hAnsi="宋体" w:cs="宋体"/>
          <w:color w:val="auto"/>
          <w:szCs w:val="21"/>
          <w:highlight w:val="none"/>
        </w:rPr>
        <w:sectPr>
          <w:headerReference r:id="rId12" w:type="default"/>
          <w:footerReference r:id="rId13" w:type="default"/>
          <w:pgSz w:w="11905" w:h="16838"/>
          <w:pgMar w:top="1440" w:right="1803" w:bottom="1440" w:left="1803" w:header="850" w:footer="850" w:gutter="0"/>
          <w:cols w:space="720" w:num="1"/>
          <w:docGrid w:type="lines" w:linePitch="411" w:charSpace="0"/>
        </w:sectPr>
      </w:pPr>
      <w:r>
        <w:rPr>
          <w:rFonts w:hint="eastAsia" w:ascii="宋体" w:hAnsi="宋体" w:cs="宋体"/>
          <w:color w:val="auto"/>
          <w:szCs w:val="21"/>
          <w:highlight w:val="none"/>
        </w:rPr>
        <w:t xml:space="preserve">   </w:t>
      </w:r>
      <w:bookmarkStart w:id="410" w:name="_Toc10988"/>
      <w:bookmarkStart w:id="411" w:name="_Toc24811"/>
      <w:bookmarkStart w:id="412" w:name="_Toc32707"/>
      <w:bookmarkStart w:id="413" w:name="_Toc26966"/>
      <w:r>
        <w:rPr>
          <w:rFonts w:hint="eastAsia" w:ascii="宋体" w:hAnsi="宋体" w:cs="宋体"/>
          <w:color w:val="auto"/>
          <w:szCs w:val="21"/>
          <w:highlight w:val="none"/>
        </w:rPr>
        <w:t>2.</w:t>
      </w:r>
      <w:r>
        <w:rPr>
          <w:rFonts w:hint="eastAsia" w:ascii="宋体" w:hAnsi="宋体" w:cs="宋体"/>
          <w:b/>
          <w:bCs/>
          <w:color w:val="auto"/>
          <w:szCs w:val="21"/>
          <w:highlight w:val="none"/>
        </w:rPr>
        <w:t>本项目的特定资格要求（如有）：需提供相应的证明材料。</w:t>
      </w:r>
      <w:bookmarkEnd w:id="410"/>
      <w:bookmarkEnd w:id="411"/>
      <w:bookmarkEnd w:id="412"/>
      <w:bookmarkEnd w:id="413"/>
    </w:p>
    <w:p>
      <w:pPr>
        <w:pStyle w:val="5"/>
        <w:numPr>
          <w:ilvl w:val="0"/>
          <w:numId w:val="0"/>
        </w:numPr>
        <w:spacing w:line="400" w:lineRule="exact"/>
        <w:ind w:left="210" w:right="210"/>
        <w:jc w:val="center"/>
        <w:rPr>
          <w:rFonts w:ascii="宋体" w:hAnsi="宋体" w:eastAsia="宋体" w:cs="宋体"/>
          <w:b/>
          <w:color w:val="auto"/>
          <w:szCs w:val="28"/>
          <w:highlight w:val="none"/>
        </w:rPr>
      </w:pPr>
      <w:bookmarkStart w:id="414" w:name="_Toc22180"/>
      <w:bookmarkStart w:id="415" w:name="_Toc8615"/>
      <w:bookmarkStart w:id="416" w:name="_Toc32281"/>
      <w:r>
        <w:rPr>
          <w:rFonts w:hint="eastAsia" w:ascii="宋体" w:hAnsi="宋体" w:eastAsia="宋体" w:cs="宋体"/>
          <w:b/>
          <w:color w:val="auto"/>
          <w:szCs w:val="28"/>
          <w:highlight w:val="none"/>
        </w:rPr>
        <w:t>九、</w:t>
      </w:r>
      <w:bookmarkStart w:id="417" w:name="_Toc523494085"/>
      <w:bookmarkStart w:id="418" w:name="_Toc525210051"/>
      <w:r>
        <w:rPr>
          <w:rFonts w:hint="eastAsia" w:ascii="宋体" w:hAnsi="宋体" w:eastAsia="宋体" w:cs="宋体"/>
          <w:b/>
          <w:color w:val="auto"/>
          <w:szCs w:val="28"/>
          <w:highlight w:val="none"/>
        </w:rPr>
        <w:t>中小企业声明函</w:t>
      </w:r>
      <w:bookmarkEnd w:id="417"/>
      <w:bookmarkEnd w:id="418"/>
      <w:r>
        <w:rPr>
          <w:rFonts w:hint="eastAsia" w:ascii="宋体" w:hAnsi="宋体" w:eastAsia="宋体" w:cs="宋体"/>
          <w:b/>
          <w:color w:val="auto"/>
          <w:szCs w:val="28"/>
          <w:highlight w:val="none"/>
        </w:rPr>
        <w:t>（货物）</w:t>
      </w:r>
      <w:bookmarkEnd w:id="414"/>
      <w:bookmarkEnd w:id="415"/>
      <w:bookmarkEnd w:id="416"/>
    </w:p>
    <w:p>
      <w:pPr>
        <w:pStyle w:val="2"/>
        <w:ind w:firstLine="0"/>
        <w:rPr>
          <w:rFonts w:ascii="宋体" w:hAnsi="宋体" w:eastAsia="宋体" w:cs="宋体"/>
          <w:color w:val="auto"/>
          <w:sz w:val="21"/>
          <w:szCs w:val="21"/>
          <w:highlight w:val="none"/>
        </w:rPr>
      </w:pPr>
    </w:p>
    <w:p>
      <w:pPr>
        <w:pStyle w:val="16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本公司（联合体）郑重声明，根据《政府采购促进中小企业发展管理办法》（财库[2020]46号）的规定，本公司（联合体）参加（单位名称）的（项目名称）采购活动，</w:t>
      </w:r>
      <w:r>
        <w:rPr>
          <w:rFonts w:hint="eastAsia" w:ascii="宋体" w:hAnsi="宋体" w:cs="宋体"/>
          <w:b/>
          <w:bCs/>
          <w:color w:val="auto"/>
          <w:szCs w:val="21"/>
          <w:highlight w:val="none"/>
        </w:rPr>
        <w:t>提供的货物全部由符合政策要求的中小企业制造。</w:t>
      </w:r>
      <w:r>
        <w:rPr>
          <w:rFonts w:hint="eastAsia" w:ascii="宋体" w:hAnsi="宋体" w:cs="宋体"/>
          <w:color w:val="auto"/>
          <w:szCs w:val="21"/>
          <w:highlight w:val="none"/>
        </w:rPr>
        <w:t>相关企业（含联合体中的中小企业、签订分包意向协议的中小企业）的具体情况如下：</w:t>
      </w:r>
    </w:p>
    <w:p>
      <w:pPr>
        <w:pStyle w:val="162"/>
        <w:numPr>
          <w:ilvl w:val="0"/>
          <w:numId w:val="7"/>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（标的名称），属于（采购文件中明确的所属行业）行业；制造商为（企业名称），从业人员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万元，属于（中型企业、小型企业、微型企业）；</w:t>
      </w:r>
    </w:p>
    <w:p>
      <w:pPr>
        <w:pStyle w:val="162"/>
        <w:numPr>
          <w:ilvl w:val="0"/>
          <w:numId w:val="7"/>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（标的名称），属于（采购文件中明确的所属行业）行业；制造商为（企业名称），从业人员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万元，属于（中型企业、小型企业、微型企业）；</w:t>
      </w:r>
    </w:p>
    <w:p>
      <w:pPr>
        <w:pStyle w:val="162"/>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w:t>
      </w:r>
    </w:p>
    <w:p>
      <w:pPr>
        <w:pStyle w:val="162"/>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　以上企业，不属于大企业的分支机构，不存在控股股东为大型企业的情形，也不存在与大型企业的负责人为同一人的情形。</w:t>
      </w:r>
    </w:p>
    <w:p>
      <w:pPr>
        <w:pStyle w:val="3"/>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本企业对上述声明内容的真实性负责。如有虚假，将依法承担相应责任。</w:t>
      </w:r>
    </w:p>
    <w:p>
      <w:pPr>
        <w:pStyle w:val="44"/>
        <w:spacing w:line="360" w:lineRule="auto"/>
        <w:ind w:firstLine="2940" w:firstLineChars="1400"/>
        <w:jc w:val="center"/>
        <w:rPr>
          <w:rFonts w:hAnsi="宋体"/>
          <w:color w:val="auto"/>
          <w:kern w:val="2"/>
          <w:sz w:val="21"/>
          <w:szCs w:val="21"/>
          <w:highlight w:val="none"/>
        </w:rPr>
      </w:pPr>
      <w:r>
        <w:rPr>
          <w:rFonts w:hint="eastAsia" w:hAnsi="宋体"/>
          <w:color w:val="auto"/>
          <w:kern w:val="2"/>
          <w:sz w:val="21"/>
          <w:szCs w:val="21"/>
          <w:highlight w:val="none"/>
        </w:rPr>
        <w:t xml:space="preserve">        单位名称（盖单位公章）：</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rPr>
        <w:t xml:space="preserve">       </w:t>
      </w:r>
    </w:p>
    <w:p>
      <w:pPr>
        <w:pStyle w:val="44"/>
        <w:spacing w:line="360" w:lineRule="auto"/>
        <w:ind w:firstLine="5460" w:firstLineChars="2600"/>
        <w:jc w:val="both"/>
        <w:rPr>
          <w:rFonts w:hAnsi="宋体"/>
          <w:color w:val="auto"/>
          <w:kern w:val="2"/>
          <w:sz w:val="21"/>
          <w:szCs w:val="21"/>
          <w:highlight w:val="none"/>
          <w:u w:val="single"/>
        </w:rPr>
      </w:pPr>
      <w:r>
        <w:rPr>
          <w:rFonts w:hint="eastAsia" w:hAnsi="宋体"/>
          <w:color w:val="auto"/>
          <w:kern w:val="2"/>
          <w:sz w:val="21"/>
          <w:szCs w:val="21"/>
          <w:highlight w:val="none"/>
        </w:rPr>
        <w:t>日期：</w:t>
      </w:r>
      <w:r>
        <w:rPr>
          <w:rFonts w:hint="eastAsia" w:hAnsi="宋体"/>
          <w:color w:val="auto"/>
          <w:kern w:val="2"/>
          <w:sz w:val="21"/>
          <w:szCs w:val="21"/>
          <w:highlight w:val="none"/>
          <w:u w:val="single"/>
        </w:rPr>
        <w:t xml:space="preserve">                 </w:t>
      </w:r>
    </w:p>
    <w:p>
      <w:pPr>
        <w:rPr>
          <w:rFonts w:ascii="宋体" w:hAnsi="宋体" w:cs="宋体"/>
          <w:color w:val="auto"/>
          <w:szCs w:val="21"/>
          <w:highlight w:val="none"/>
          <w:u w:val="single"/>
        </w:rPr>
      </w:pPr>
    </w:p>
    <w:p>
      <w:pPr>
        <w:pStyle w:val="44"/>
        <w:rPr>
          <w:rFonts w:hAnsi="宋体"/>
          <w:color w:val="auto"/>
          <w:kern w:val="2"/>
          <w:sz w:val="21"/>
          <w:szCs w:val="21"/>
          <w:highlight w:val="none"/>
        </w:rPr>
      </w:pPr>
      <w:r>
        <w:rPr>
          <w:rFonts w:hint="eastAsia" w:hAnsi="宋体"/>
          <w:color w:val="auto"/>
          <w:kern w:val="2"/>
          <w:sz w:val="21"/>
          <w:szCs w:val="21"/>
          <w:highlight w:val="none"/>
        </w:rPr>
        <w:t>1、从业人员、营业收入、资产总额填报上一年度数据，无上一年度数据的新成立企业可不填报。</w:t>
      </w:r>
    </w:p>
    <w:p>
      <w:pPr>
        <w:pStyle w:val="8"/>
        <w:spacing w:line="360" w:lineRule="auto"/>
        <w:ind w:firstLine="0"/>
        <w:rPr>
          <w:rFonts w:ascii="宋体" w:hAnsi="宋体" w:cs="宋体"/>
          <w:b/>
          <w:bCs/>
          <w:color w:val="auto"/>
          <w:szCs w:val="21"/>
          <w:highlight w:val="none"/>
        </w:rPr>
      </w:pPr>
      <w:r>
        <w:rPr>
          <w:rFonts w:hint="eastAsia" w:ascii="宋体" w:hAnsi="宋体" w:cs="宋体"/>
          <w:b/>
          <w:bCs/>
          <w:color w:val="auto"/>
          <w:szCs w:val="21"/>
          <w:highlight w:val="none"/>
        </w:rPr>
        <w:t>2、所投产品制造商属于中小微企业的填写，不属于的无需填写此项内容</w:t>
      </w:r>
    </w:p>
    <w:p>
      <w:pPr>
        <w:pStyle w:val="21"/>
        <w:widowControl w:val="0"/>
        <w:autoSpaceDE w:val="0"/>
        <w:autoSpaceDN w:val="0"/>
        <w:spacing w:before="100" w:after="100" w:line="400" w:lineRule="atLeast"/>
        <w:ind w:firstLine="177" w:firstLineChars="74"/>
        <w:outlineLvl w:val="5"/>
        <w:rPr>
          <w:rFonts w:ascii="宋体" w:hAnsi="宋体" w:cs="宋体"/>
          <w:color w:val="auto"/>
          <w:highlight w:val="none"/>
          <w:lang w:bidi="ar"/>
        </w:rPr>
      </w:pPr>
    </w:p>
    <w:p>
      <w:pPr>
        <w:spacing w:line="360" w:lineRule="auto"/>
        <w:jc w:val="center"/>
        <w:outlineLvl w:val="0"/>
        <w:rPr>
          <w:rFonts w:ascii="宋体" w:hAnsi="宋体" w:cs="宋体"/>
          <w:color w:val="auto"/>
          <w:kern w:val="0"/>
          <w:szCs w:val="21"/>
          <w:highlight w:val="none"/>
        </w:rPr>
      </w:pPr>
      <w:bookmarkStart w:id="419" w:name="_Toc13266"/>
      <w:bookmarkStart w:id="420" w:name="_Toc13344"/>
      <w:r>
        <w:rPr>
          <w:color w:val="auto"/>
          <w:highlight w:val="none"/>
        </w:rPr>
        <w:drawing>
          <wp:inline distT="0" distB="0" distL="114300" distR="114300">
            <wp:extent cx="5245100" cy="6876415"/>
            <wp:effectExtent l="0" t="0" r="12700" b="63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7"/>
                    <a:stretch>
                      <a:fillRect/>
                    </a:stretch>
                  </pic:blipFill>
                  <pic:spPr>
                    <a:xfrm>
                      <a:off x="0" y="0"/>
                      <a:ext cx="5245100" cy="6876415"/>
                    </a:xfrm>
                    <a:prstGeom prst="rect">
                      <a:avLst/>
                    </a:prstGeom>
                    <a:noFill/>
                    <a:ln>
                      <a:noFill/>
                    </a:ln>
                  </pic:spPr>
                </pic:pic>
              </a:graphicData>
            </a:graphic>
          </wp:inline>
        </w:drawing>
      </w:r>
      <w:r>
        <w:rPr>
          <w:color w:val="auto"/>
          <w:highlight w:val="none"/>
        </w:rPr>
        <w:drawing>
          <wp:inline distT="0" distB="0" distL="114300" distR="114300">
            <wp:extent cx="6200140" cy="8126095"/>
            <wp:effectExtent l="0" t="0" r="10160" b="825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8"/>
                    <a:stretch>
                      <a:fillRect/>
                    </a:stretch>
                  </pic:blipFill>
                  <pic:spPr>
                    <a:xfrm>
                      <a:off x="0" y="0"/>
                      <a:ext cx="6200140" cy="8126095"/>
                    </a:xfrm>
                    <a:prstGeom prst="rect">
                      <a:avLst/>
                    </a:prstGeom>
                    <a:noFill/>
                    <a:ln>
                      <a:noFill/>
                    </a:ln>
                  </pic:spPr>
                </pic:pic>
              </a:graphicData>
            </a:graphic>
          </wp:inline>
        </w:drawing>
      </w:r>
      <w:r>
        <w:rPr>
          <w:rFonts w:hint="eastAsia" w:ascii="宋体" w:hAnsi="宋体" w:cs="宋体"/>
          <w:color w:val="auto"/>
          <w:szCs w:val="21"/>
          <w:highlight w:val="none"/>
        </w:rPr>
        <w:br w:type="page"/>
      </w:r>
      <w:bookmarkStart w:id="421" w:name="_Toc525210052"/>
      <w:bookmarkStart w:id="422" w:name="_Toc24079"/>
      <w:r>
        <w:rPr>
          <w:rFonts w:hint="eastAsia" w:ascii="宋体" w:hAnsi="宋体" w:cs="宋体"/>
          <w:b/>
          <w:color w:val="auto"/>
          <w:sz w:val="28"/>
          <w:szCs w:val="28"/>
          <w:highlight w:val="none"/>
        </w:rPr>
        <w:t>十、残疾人福利性单位声明函</w:t>
      </w:r>
      <w:bookmarkEnd w:id="419"/>
      <w:bookmarkEnd w:id="420"/>
      <w:bookmarkEnd w:id="421"/>
      <w:bookmarkEnd w:id="422"/>
    </w:p>
    <w:p>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（属于残疾人福利企业的填写，不属于的无需填写此项内容）</w:t>
      </w:r>
    </w:p>
    <w:p>
      <w:pPr>
        <w:pStyle w:val="42"/>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本单位对上述声明的真实性负责。如有虚假，将承担相应的法律责任。</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供应商名称（单位电子签章）：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cs="宋体"/>
          <w:b/>
          <w:color w:val="auto"/>
          <w:sz w:val="28"/>
          <w:szCs w:val="28"/>
          <w:highlight w:val="none"/>
        </w:rPr>
      </w:pPr>
      <w:bookmarkStart w:id="423" w:name="_Toc27433"/>
      <w:bookmarkStart w:id="424" w:name="_Toc29992"/>
      <w:bookmarkStart w:id="425" w:name="_Toc27468"/>
      <w:r>
        <w:rPr>
          <w:rFonts w:hint="eastAsia" w:ascii="宋体" w:hAnsi="宋体" w:cs="宋体"/>
          <w:b/>
          <w:color w:val="auto"/>
          <w:sz w:val="28"/>
          <w:szCs w:val="28"/>
          <w:highlight w:val="none"/>
        </w:rPr>
        <w:br w:type="page"/>
      </w:r>
    </w:p>
    <w:p>
      <w:pPr>
        <w:pStyle w:val="4"/>
        <w:ind w:left="425"/>
        <w:rPr>
          <w:rFonts w:ascii="宋体" w:hAnsi="宋体" w:cs="宋体"/>
          <w:bCs w:val="0"/>
          <w:color w:val="auto"/>
          <w:sz w:val="28"/>
          <w:szCs w:val="28"/>
          <w:highlight w:val="none"/>
        </w:rPr>
      </w:pPr>
      <w:r>
        <w:rPr>
          <w:rFonts w:hint="eastAsia" w:ascii="宋体" w:hAnsi="宋体" w:cs="宋体"/>
          <w:bCs w:val="0"/>
          <w:color w:val="auto"/>
          <w:sz w:val="28"/>
          <w:szCs w:val="28"/>
          <w:highlight w:val="none"/>
        </w:rPr>
        <w:t>十一、监狱企业证明文件（如有）</w:t>
      </w:r>
      <w:bookmarkEnd w:id="423"/>
      <w:bookmarkEnd w:id="424"/>
      <w:bookmarkEnd w:id="42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注：在投标文件中附扫描件。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cs="宋体"/>
          <w:b/>
          <w:color w:val="auto"/>
          <w:sz w:val="28"/>
          <w:szCs w:val="28"/>
          <w:highlight w:val="none"/>
        </w:rPr>
      </w:pPr>
      <w:bookmarkStart w:id="426" w:name="_Toc26731"/>
      <w:r>
        <w:rPr>
          <w:rFonts w:hint="eastAsia" w:ascii="宋体" w:hAnsi="宋体" w:cs="宋体"/>
          <w:b/>
          <w:color w:val="auto"/>
          <w:sz w:val="28"/>
          <w:szCs w:val="28"/>
          <w:highlight w:val="none"/>
        </w:rPr>
        <w:br w:type="page"/>
      </w:r>
      <w:bookmarkStart w:id="427" w:name="_Toc9547"/>
      <w:bookmarkStart w:id="428" w:name="_Toc24083"/>
      <w:r>
        <w:rPr>
          <w:rFonts w:hint="eastAsia" w:ascii="宋体" w:hAnsi="宋体" w:cs="宋体"/>
          <w:b/>
          <w:color w:val="auto"/>
          <w:sz w:val="28"/>
          <w:szCs w:val="28"/>
          <w:highlight w:val="none"/>
        </w:rPr>
        <w:t>十二、反商业贿赂承诺书</w:t>
      </w:r>
      <w:bookmarkEnd w:id="426"/>
      <w:bookmarkEnd w:id="427"/>
      <w:bookmarkEnd w:id="428"/>
    </w:p>
    <w:p>
      <w:pPr>
        <w:pStyle w:val="2"/>
        <w:ind w:firstLine="210"/>
        <w:rPr>
          <w:rFonts w:ascii="宋体" w:hAnsi="宋体" w:eastAsia="宋体" w:cs="宋体"/>
          <w:color w:val="auto"/>
          <w:sz w:val="21"/>
          <w:szCs w:val="21"/>
          <w:highlight w:val="none"/>
        </w:rPr>
      </w:pPr>
    </w:p>
    <w:p>
      <w:pPr>
        <w:autoSpaceDE w:val="0"/>
        <w:autoSpaceDN w:val="0"/>
        <w:adjustRightInd w:val="0"/>
        <w:spacing w:line="360" w:lineRule="auto"/>
        <w:ind w:firstLine="630" w:firstLineChars="300"/>
        <w:jc w:val="left"/>
        <w:rPr>
          <w:rFonts w:ascii="宋体" w:hAnsi="宋体" w:cs="宋体"/>
          <w:color w:val="auto"/>
          <w:szCs w:val="21"/>
          <w:highlight w:val="none"/>
          <w:lang w:val="zh-CN"/>
        </w:rPr>
      </w:pPr>
      <w:r>
        <w:rPr>
          <w:rFonts w:hint="eastAsia" w:ascii="宋体" w:hAnsi="宋体" w:cs="宋体"/>
          <w:color w:val="auto"/>
          <w:szCs w:val="21"/>
          <w:highlight w:val="none"/>
          <w:lang w:val="zh-CN"/>
        </w:rPr>
        <w:t>我方承诺：</w:t>
      </w:r>
    </w:p>
    <w:p>
      <w:pPr>
        <w:autoSpaceDE w:val="0"/>
        <w:autoSpaceDN w:val="0"/>
        <w:adjustRightInd w:val="0"/>
        <w:spacing w:line="360" w:lineRule="auto"/>
        <w:ind w:firstLine="630" w:firstLineChars="300"/>
        <w:jc w:val="left"/>
        <w:rPr>
          <w:rFonts w:ascii="宋体" w:hAnsi="宋体" w:cs="宋体"/>
          <w:color w:val="auto"/>
          <w:szCs w:val="21"/>
          <w:highlight w:val="none"/>
          <w:lang w:val="zh-CN"/>
        </w:rPr>
      </w:pPr>
      <w:r>
        <w:rPr>
          <w:rFonts w:hint="eastAsia" w:ascii="宋体" w:hAnsi="宋体" w:cs="宋体"/>
          <w:color w:val="auto"/>
          <w:szCs w:val="21"/>
          <w:highlight w:val="none"/>
          <w:lang w:val="zh-CN"/>
        </w:rPr>
        <w:t>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（项目编号：  ）</w:t>
      </w:r>
      <w:r>
        <w:rPr>
          <w:rFonts w:hint="eastAsia" w:ascii="宋体" w:hAnsi="宋体" w:cs="宋体"/>
          <w:color w:val="auto"/>
          <w:szCs w:val="21"/>
          <w:highlight w:val="none"/>
          <w:lang w:val="zh-CN"/>
        </w:rPr>
        <w:t>投标活动中，我方保证做到：</w:t>
      </w:r>
    </w:p>
    <w:p>
      <w:pPr>
        <w:autoSpaceDE w:val="0"/>
        <w:autoSpaceDN w:val="0"/>
        <w:adjustRightInd w:val="0"/>
        <w:spacing w:line="360" w:lineRule="auto"/>
        <w:ind w:firstLine="630" w:firstLineChars="300"/>
        <w:jc w:val="left"/>
        <w:rPr>
          <w:rFonts w:ascii="宋体" w:hAnsi="宋体" w:cs="宋体"/>
          <w:color w:val="auto"/>
          <w:szCs w:val="21"/>
          <w:highlight w:val="none"/>
          <w:lang w:val="zh-CN"/>
        </w:rPr>
      </w:pPr>
      <w:r>
        <w:rPr>
          <w:rFonts w:hint="eastAsia" w:ascii="宋体" w:hAnsi="宋体" w:cs="宋体"/>
          <w:color w:val="auto"/>
          <w:szCs w:val="21"/>
          <w:highlight w:val="none"/>
          <w:lang w:val="zh-CN"/>
        </w:rPr>
        <w:t>一、公平竞争参加本次公开采购活动。</w:t>
      </w:r>
    </w:p>
    <w:p>
      <w:pPr>
        <w:autoSpaceDE w:val="0"/>
        <w:autoSpaceDN w:val="0"/>
        <w:adjustRightInd w:val="0"/>
        <w:spacing w:line="360" w:lineRule="auto"/>
        <w:ind w:firstLine="630" w:firstLineChars="300"/>
        <w:jc w:val="left"/>
        <w:rPr>
          <w:rFonts w:ascii="宋体" w:hAnsi="宋体" w:cs="宋体"/>
          <w:color w:val="auto"/>
          <w:szCs w:val="21"/>
          <w:highlight w:val="none"/>
          <w:lang w:val="zh-CN"/>
        </w:rPr>
      </w:pPr>
      <w:r>
        <w:rPr>
          <w:rFonts w:hint="eastAsia" w:ascii="宋体" w:hAnsi="宋体" w:cs="宋体"/>
          <w:color w:val="auto"/>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630" w:firstLineChars="300"/>
        <w:jc w:val="left"/>
        <w:rPr>
          <w:rFonts w:ascii="宋体" w:hAnsi="宋体" w:cs="宋体"/>
          <w:color w:val="auto"/>
          <w:szCs w:val="21"/>
          <w:highlight w:val="none"/>
          <w:lang w:val="zh-CN"/>
        </w:rPr>
      </w:pPr>
      <w:r>
        <w:rPr>
          <w:rFonts w:hint="eastAsia" w:ascii="宋体" w:hAnsi="宋体" w:cs="宋体"/>
          <w:color w:val="auto"/>
          <w:szCs w:val="21"/>
          <w:highlight w:val="none"/>
          <w:lang w:val="zh-CN"/>
        </w:rPr>
        <w:t>三、若出现上述行为，我方及参与投标的工作人员愿意接受按照国家法律法规等有关规定给予的处罚。</w:t>
      </w:r>
    </w:p>
    <w:p>
      <w:pPr>
        <w:spacing w:line="360" w:lineRule="auto"/>
        <w:ind w:left="645"/>
        <w:rPr>
          <w:rFonts w:ascii="宋体" w:hAnsi="宋体" w:cs="宋体"/>
          <w:color w:val="auto"/>
          <w:szCs w:val="21"/>
          <w:highlight w:val="none"/>
        </w:rPr>
      </w:pPr>
    </w:p>
    <w:p>
      <w:pPr>
        <w:spacing w:line="360" w:lineRule="auto"/>
        <w:ind w:left="645"/>
        <w:rPr>
          <w:rFonts w:ascii="宋体" w:hAnsi="宋体" w:cs="宋体"/>
          <w:color w:val="auto"/>
          <w:szCs w:val="21"/>
          <w:highlight w:val="none"/>
        </w:rPr>
      </w:pPr>
    </w:p>
    <w:p>
      <w:pPr>
        <w:spacing w:line="360" w:lineRule="auto"/>
        <w:ind w:left="645"/>
        <w:rPr>
          <w:rFonts w:ascii="宋体" w:hAnsi="宋体" w:cs="宋体"/>
          <w:color w:val="auto"/>
          <w:szCs w:val="21"/>
          <w:highlight w:val="none"/>
        </w:rPr>
      </w:pPr>
    </w:p>
    <w:p>
      <w:pPr>
        <w:spacing w:line="360" w:lineRule="auto"/>
        <w:ind w:left="645"/>
        <w:rPr>
          <w:rFonts w:ascii="宋体" w:hAnsi="宋体" w:cs="宋体"/>
          <w:color w:val="auto"/>
          <w:szCs w:val="21"/>
          <w:highlight w:val="none"/>
        </w:rPr>
      </w:pPr>
    </w:p>
    <w:p>
      <w:pPr>
        <w:spacing w:line="360" w:lineRule="auto"/>
        <w:ind w:left="645"/>
        <w:rPr>
          <w:rFonts w:ascii="宋体" w:hAnsi="宋体" w:cs="宋体"/>
          <w:color w:val="auto"/>
          <w:szCs w:val="21"/>
          <w:highlight w:val="none"/>
        </w:rPr>
      </w:pPr>
    </w:p>
    <w:p>
      <w:pPr>
        <w:spacing w:line="360" w:lineRule="auto"/>
        <w:ind w:left="645"/>
        <w:outlineLvl w:val="0"/>
        <w:rPr>
          <w:rFonts w:ascii="宋体" w:hAnsi="宋体" w:cs="宋体"/>
          <w:color w:val="auto"/>
          <w:szCs w:val="21"/>
          <w:highlight w:val="none"/>
        </w:rPr>
      </w:pPr>
      <w:bookmarkStart w:id="429" w:name="_Toc20561"/>
      <w:bookmarkStart w:id="430" w:name="_Toc31776"/>
      <w:bookmarkStart w:id="431" w:name="_Toc6532"/>
      <w:bookmarkStart w:id="432" w:name="_Toc15862"/>
      <w:bookmarkStart w:id="433" w:name="_Toc21305"/>
      <w:r>
        <w:rPr>
          <w:rFonts w:hint="eastAsia" w:ascii="宋体" w:hAnsi="宋体" w:cs="宋体"/>
          <w:color w:val="auto"/>
          <w:szCs w:val="21"/>
          <w:highlight w:val="none"/>
        </w:rPr>
        <w:t>供应商（单位电子签章）：</w:t>
      </w:r>
      <w:bookmarkEnd w:id="429"/>
      <w:bookmarkEnd w:id="430"/>
      <w:bookmarkEnd w:id="431"/>
      <w:bookmarkEnd w:id="432"/>
      <w:bookmarkEnd w:id="433"/>
      <w:r>
        <w:rPr>
          <w:rFonts w:hint="eastAsia" w:ascii="宋体" w:hAnsi="宋体" w:cs="宋体"/>
          <w:color w:val="auto"/>
          <w:szCs w:val="21"/>
          <w:highlight w:val="none"/>
        </w:rPr>
        <w:t>　</w:t>
      </w:r>
    </w:p>
    <w:p>
      <w:pPr>
        <w:spacing w:line="360" w:lineRule="auto"/>
        <w:ind w:left="645"/>
        <w:rPr>
          <w:rFonts w:ascii="宋体" w:hAnsi="宋体" w:cs="宋体"/>
          <w:color w:val="auto"/>
          <w:szCs w:val="21"/>
          <w:highlight w:val="none"/>
        </w:rPr>
      </w:pPr>
    </w:p>
    <w:p>
      <w:pPr>
        <w:spacing w:line="360" w:lineRule="auto"/>
        <w:ind w:left="645"/>
        <w:outlineLvl w:val="0"/>
        <w:rPr>
          <w:rFonts w:ascii="宋体" w:hAnsi="宋体" w:cs="宋体"/>
          <w:color w:val="auto"/>
          <w:szCs w:val="21"/>
          <w:highlight w:val="none"/>
        </w:rPr>
      </w:pPr>
      <w:bookmarkStart w:id="434" w:name="_Toc25678"/>
      <w:bookmarkStart w:id="435" w:name="_Toc9"/>
      <w:bookmarkStart w:id="436" w:name="_Toc12949"/>
      <w:bookmarkStart w:id="437" w:name="_Toc16151"/>
      <w:bookmarkStart w:id="438" w:name="_Toc5607"/>
      <w:r>
        <w:rPr>
          <w:rFonts w:hint="eastAsia" w:ascii="宋体" w:hAnsi="宋体" w:cs="宋体"/>
          <w:color w:val="auto"/>
          <w:szCs w:val="21"/>
          <w:highlight w:val="none"/>
        </w:rPr>
        <w:t>法定代表人或授权代表（电子签名或签名或盖章）：</w:t>
      </w:r>
      <w:bookmarkEnd w:id="434"/>
      <w:bookmarkEnd w:id="435"/>
      <w:bookmarkEnd w:id="436"/>
      <w:bookmarkEnd w:id="437"/>
      <w:bookmarkEnd w:id="438"/>
    </w:p>
    <w:p>
      <w:pPr>
        <w:spacing w:line="360" w:lineRule="auto"/>
        <w:ind w:left="645"/>
        <w:rPr>
          <w:rFonts w:ascii="宋体" w:hAnsi="宋体" w:cs="宋体"/>
          <w:color w:val="auto"/>
          <w:szCs w:val="21"/>
          <w:highlight w:val="none"/>
        </w:rPr>
      </w:pPr>
    </w:p>
    <w:p>
      <w:pPr>
        <w:spacing w:line="360" w:lineRule="auto"/>
        <w:ind w:left="645"/>
        <w:outlineLvl w:val="0"/>
        <w:rPr>
          <w:rFonts w:ascii="宋体" w:hAnsi="宋体" w:cs="宋体"/>
          <w:color w:val="auto"/>
          <w:szCs w:val="21"/>
          <w:highlight w:val="none"/>
        </w:rPr>
      </w:pPr>
      <w:bookmarkStart w:id="439" w:name="_Toc23777"/>
      <w:bookmarkStart w:id="440" w:name="_Toc26683"/>
      <w:bookmarkStart w:id="441" w:name="_Toc13058"/>
      <w:bookmarkStart w:id="442" w:name="_Toc427"/>
      <w:bookmarkStart w:id="443" w:name="_Toc4940"/>
      <w:r>
        <w:rPr>
          <w:rFonts w:hint="eastAsia" w:ascii="宋体" w:hAnsi="宋体" w:cs="宋体"/>
          <w:color w:val="auto"/>
          <w:szCs w:val="21"/>
          <w:highlight w:val="none"/>
        </w:rPr>
        <w:t>日期：    年　　月　　日</w:t>
      </w:r>
      <w:bookmarkEnd w:id="439"/>
      <w:bookmarkEnd w:id="440"/>
      <w:bookmarkEnd w:id="441"/>
      <w:bookmarkEnd w:id="442"/>
      <w:bookmarkEnd w:id="443"/>
    </w:p>
    <w:p>
      <w:pPr>
        <w:spacing w:line="360" w:lineRule="auto"/>
        <w:ind w:left="645"/>
        <w:rPr>
          <w:rFonts w:ascii="宋体" w:hAnsi="宋体" w:cs="宋体"/>
          <w:color w:val="auto"/>
          <w:szCs w:val="21"/>
          <w:highlight w:val="none"/>
        </w:rPr>
      </w:pPr>
    </w:p>
    <w:p>
      <w:pPr>
        <w:rPr>
          <w:color w:val="auto"/>
          <w:highlight w:val="none"/>
        </w:rPr>
      </w:pPr>
    </w:p>
    <w:p>
      <w:pPr>
        <w:rPr>
          <w:color w:val="auto"/>
          <w:highlight w:val="none"/>
        </w:rPr>
      </w:pPr>
      <w:bookmarkStart w:id="444" w:name="_Toc7027"/>
    </w:p>
    <w:p>
      <w:pPr>
        <w:rPr>
          <w:rFonts w:ascii="宋体" w:hAnsi="宋体" w:cs="宋体"/>
          <w:b/>
          <w:bCs/>
          <w:color w:val="auto"/>
          <w:sz w:val="28"/>
          <w:szCs w:val="28"/>
          <w:highlight w:val="none"/>
        </w:rPr>
      </w:pPr>
    </w:p>
    <w:p>
      <w:pPr>
        <w:pStyle w:val="2"/>
        <w:rPr>
          <w:color w:val="auto"/>
          <w:highlight w:val="none"/>
        </w:rPr>
      </w:pPr>
    </w:p>
    <w:p>
      <w:pPr>
        <w:rPr>
          <w:rFonts w:ascii="宋体" w:hAnsi="宋体" w:cs="宋体"/>
          <w:b/>
          <w:color w:val="auto"/>
          <w:sz w:val="28"/>
          <w:szCs w:val="28"/>
          <w:highlight w:val="none"/>
        </w:rPr>
      </w:pPr>
      <w:bookmarkStart w:id="445" w:name="_Toc4937"/>
      <w:bookmarkStart w:id="446" w:name="_Toc32097"/>
      <w:r>
        <w:rPr>
          <w:rFonts w:hint="eastAsia" w:ascii="宋体" w:hAnsi="宋体" w:cs="宋体"/>
          <w:b/>
          <w:color w:val="auto"/>
          <w:sz w:val="28"/>
          <w:szCs w:val="28"/>
          <w:highlight w:val="none"/>
        </w:rPr>
        <w:br w:type="page"/>
      </w:r>
    </w:p>
    <w:p>
      <w:pPr>
        <w:pStyle w:val="4"/>
        <w:ind w:left="425"/>
        <w:rPr>
          <w:rFonts w:ascii="宋体" w:hAnsi="宋体" w:cs="宋体"/>
          <w:bCs w:val="0"/>
          <w:color w:val="auto"/>
          <w:sz w:val="28"/>
          <w:szCs w:val="28"/>
          <w:highlight w:val="none"/>
        </w:rPr>
      </w:pPr>
      <w:r>
        <w:rPr>
          <w:rFonts w:hint="eastAsia" w:ascii="宋体" w:hAnsi="宋体" w:cs="宋体"/>
          <w:bCs w:val="0"/>
          <w:color w:val="auto"/>
          <w:sz w:val="28"/>
          <w:szCs w:val="28"/>
          <w:highlight w:val="none"/>
        </w:rPr>
        <w:t>十三、其他材料</w:t>
      </w:r>
      <w:bookmarkEnd w:id="444"/>
      <w:bookmarkEnd w:id="445"/>
      <w:bookmarkEnd w:id="446"/>
    </w:p>
    <w:p>
      <w:pPr>
        <w:spacing w:line="360" w:lineRule="auto"/>
        <w:jc w:val="center"/>
        <w:outlineLvl w:val="1"/>
        <w:rPr>
          <w:rFonts w:ascii="宋体" w:hAnsi="宋体" w:cs="宋体"/>
          <w:b/>
          <w:color w:val="auto"/>
          <w:szCs w:val="21"/>
          <w:highlight w:val="none"/>
        </w:rPr>
      </w:pPr>
      <w:bookmarkStart w:id="447" w:name="_Toc4618"/>
      <w:bookmarkStart w:id="448" w:name="_Toc6185"/>
      <w:bookmarkStart w:id="449" w:name="_Toc19702"/>
      <w:bookmarkStart w:id="450" w:name="_Toc22163"/>
      <w:r>
        <w:rPr>
          <w:rFonts w:hint="eastAsia" w:ascii="宋体" w:hAnsi="宋体" w:cs="宋体"/>
          <w:b/>
          <w:color w:val="auto"/>
          <w:szCs w:val="21"/>
          <w:highlight w:val="none"/>
        </w:rPr>
        <w:t>1、投标承诺函</w:t>
      </w:r>
      <w:bookmarkEnd w:id="447"/>
      <w:bookmarkEnd w:id="448"/>
      <w:bookmarkEnd w:id="449"/>
      <w:bookmarkEnd w:id="450"/>
    </w:p>
    <w:p>
      <w:pPr>
        <w:pStyle w:val="21"/>
        <w:shd w:val="clear" w:color="auto" w:fill="FFFFFF"/>
        <w:spacing w:beforeAutospacing="0" w:afterAutospacing="0" w:line="360" w:lineRule="auto"/>
        <w:jc w:val="both"/>
        <w:rPr>
          <w:rFonts w:ascii="宋体" w:hAnsi="宋体" w:cs="宋体"/>
          <w:color w:val="auto"/>
          <w:spacing w:val="8"/>
          <w:sz w:val="21"/>
          <w:szCs w:val="21"/>
          <w:highlight w:val="none"/>
        </w:rPr>
      </w:pPr>
      <w:r>
        <w:rPr>
          <w:rFonts w:hint="eastAsia" w:ascii="宋体" w:hAnsi="宋体" w:cs="宋体"/>
          <w:color w:val="auto"/>
          <w:sz w:val="21"/>
          <w:szCs w:val="21"/>
          <w:highlight w:val="none"/>
          <w:shd w:val="clear" w:color="auto" w:fill="FFFFFF"/>
        </w:rPr>
        <w:t>致</w:t>
      </w:r>
      <w:r>
        <w:rPr>
          <w:rFonts w:hint="eastAsia" w:ascii="宋体" w:hAnsi="宋体" w:cs="宋体"/>
          <w:color w:val="auto"/>
          <w:sz w:val="21"/>
          <w:szCs w:val="21"/>
          <w:highlight w:val="none"/>
          <w:u w:val="single"/>
          <w:shd w:val="clear" w:color="auto" w:fill="FFFFFF"/>
        </w:rPr>
        <w:t>（采购人及采购代理机构）</w:t>
      </w:r>
      <w:r>
        <w:rPr>
          <w:rFonts w:hint="eastAsia" w:ascii="宋体" w:hAnsi="宋体" w:cs="宋体"/>
          <w:color w:val="auto"/>
          <w:spacing w:val="8"/>
          <w:sz w:val="21"/>
          <w:szCs w:val="21"/>
          <w:highlight w:val="none"/>
          <w:shd w:val="clear" w:color="auto" w:fill="FFFFFF"/>
        </w:rPr>
        <w:t>：</w:t>
      </w:r>
    </w:p>
    <w:p>
      <w:pPr>
        <w:spacing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shd w:val="clear" w:color="auto" w:fill="FFFFFF"/>
        </w:rPr>
        <w:t>我</w:t>
      </w:r>
      <w:r>
        <w:rPr>
          <w:rFonts w:hint="eastAsia" w:ascii="宋体" w:hAnsi="宋体" w:cs="宋体"/>
          <w:color w:val="auto"/>
          <w:szCs w:val="21"/>
          <w:highlight w:val="none"/>
        </w:rPr>
        <w:t>公司作为本次采购项目的供应商，根据招标文件要求，现郑重承诺如下：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一、具备《中华人民共和国政府采购法》第二十二条第一款和本项目规定的条件：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（一）具有独立承担民事责任的能力；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（二）具有良好的商业信誉和健全的财务会计制度；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（三）具有履行合同所必需的设备和专业技术能力；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（四）有依法缴纳税收和社会保障资金的良好记录；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（六）法律、行政法规规定的其他条件；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（七）根据采购项目提出的特殊条件。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三、参加本次招标采购活动，不存在与单位负责人为同一人或者存在直接控股、管理关系的其他供应商参与同一合同项下的政府采购活动的行为。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四、参加本次招标采购活动，不存在为采购项目提供整体设计、规范编制或者项目管理、监理、检测等服务的行为。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五、参加本次招标采购活动，不存在和其他供应商在同一合同项下的采购项目中，同时委托同一个自然人、同一家庭的人员、同一单位的人员作为代理人的行为。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六、供应商参加本次政府采购活动要求在近三年内供应商和其法定代表人没有行贿犯罪行为。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七、参加本次招标采购活动，不存在联合体投标。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八、投标文件中提供的能够给予我公司带来优惠、好处的任何材料资料和技术、服务、商务等相应承诺情况都是真实的、有效的、合法的。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十、存在以下行为之一的愿意接受相关部门的处理：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（一）投标有效期内撤销投标文件的；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（二）在采购人确定成交人以前放弃中标候选资格的；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（三）由于成交人的原因未能按照招标文件的规定与采购人签订合同；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（四）在投标文件中提供虚假材料谋取中标；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（五）与采购人、其他供应商或者采购代理机构恶意串通的；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（六）投标有效期内，供应商在政府采购活动中有违法、违规、违纪行为。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由此产生的一切法律后果和责任由我公司承担。我公司声明放弃对此提出任何异议和追索的权利。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本公司对上述承诺的内容事项真实性负责。如经查实上述承诺的内容事项存在虚假，我公司愿意接受以提供虚假材料谋取中标追究法律责任。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w:t>
      </w:r>
      <w:r>
        <w:rPr>
          <w:rFonts w:hint="eastAsia" w:ascii="宋体" w:hAnsi="宋体" w:cs="宋体"/>
          <w:color w:val="auto"/>
          <w:szCs w:val="21"/>
          <w:highlight w:val="none"/>
        </w:rPr>
        <w:t>（单位电子签章）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w:t>
      </w:r>
      <w:r>
        <w:rPr>
          <w:rFonts w:hint="eastAsia" w:ascii="宋体" w:hAnsi="宋体" w:cs="宋体"/>
          <w:color w:val="auto"/>
          <w:szCs w:val="21"/>
          <w:highlight w:val="none"/>
        </w:rPr>
        <w:t>（签名或盖章）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w:t>
      </w: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rPr>
          <w:rFonts w:cs="宋体"/>
          <w:b/>
          <w:color w:val="auto"/>
          <w:sz w:val="21"/>
          <w:szCs w:val="21"/>
          <w:highlight w:val="none"/>
        </w:rPr>
      </w:pPr>
    </w:p>
    <w:p>
      <w:pPr>
        <w:pStyle w:val="21"/>
        <w:shd w:val="clear" w:color="auto" w:fill="FFFFFF"/>
        <w:spacing w:beforeAutospacing="0" w:afterAutospacing="0" w:line="405" w:lineRule="atLeast"/>
        <w:ind w:firstLine="495"/>
        <w:jc w:val="center"/>
        <w:outlineLvl w:val="1"/>
        <w:rPr>
          <w:rFonts w:cs="宋体"/>
          <w:b/>
          <w:color w:val="auto"/>
          <w:sz w:val="21"/>
          <w:szCs w:val="21"/>
          <w:highlight w:val="none"/>
        </w:rPr>
      </w:pPr>
      <w:bookmarkStart w:id="451" w:name="_Toc21966"/>
      <w:bookmarkStart w:id="452" w:name="_Toc168"/>
    </w:p>
    <w:p>
      <w:pPr>
        <w:pStyle w:val="21"/>
        <w:shd w:val="clear" w:color="auto" w:fill="FFFFFF"/>
        <w:spacing w:beforeAutospacing="0" w:afterAutospacing="0" w:line="405" w:lineRule="atLeast"/>
        <w:ind w:firstLine="495"/>
        <w:jc w:val="center"/>
        <w:outlineLvl w:val="1"/>
        <w:rPr>
          <w:rFonts w:cs="宋体"/>
          <w:b/>
          <w:color w:val="auto"/>
          <w:sz w:val="21"/>
          <w:szCs w:val="21"/>
          <w:highlight w:val="none"/>
        </w:rPr>
      </w:pPr>
    </w:p>
    <w:p>
      <w:pPr>
        <w:pStyle w:val="21"/>
        <w:shd w:val="clear" w:color="auto" w:fill="FFFFFF"/>
        <w:spacing w:beforeAutospacing="0" w:afterAutospacing="0" w:line="405" w:lineRule="atLeast"/>
        <w:ind w:firstLine="495"/>
        <w:jc w:val="center"/>
        <w:outlineLvl w:val="1"/>
        <w:rPr>
          <w:rFonts w:cs="宋体"/>
          <w:b/>
          <w:color w:val="auto"/>
          <w:sz w:val="21"/>
          <w:szCs w:val="21"/>
          <w:highlight w:val="none"/>
        </w:rPr>
      </w:pPr>
    </w:p>
    <w:p>
      <w:pPr>
        <w:rPr>
          <w:rFonts w:cs="宋体"/>
          <w:b/>
          <w:color w:val="auto"/>
          <w:szCs w:val="21"/>
          <w:highlight w:val="none"/>
        </w:rPr>
      </w:pPr>
      <w:bookmarkStart w:id="453" w:name="_Toc12614"/>
      <w:bookmarkStart w:id="454" w:name="_Toc21845"/>
      <w:r>
        <w:rPr>
          <w:rFonts w:hint="eastAsia" w:cs="宋体"/>
          <w:b/>
          <w:color w:val="auto"/>
          <w:szCs w:val="21"/>
          <w:highlight w:val="none"/>
        </w:rPr>
        <w:br w:type="page"/>
      </w:r>
    </w:p>
    <w:p>
      <w:pPr>
        <w:pStyle w:val="21"/>
        <w:shd w:val="clear" w:color="auto" w:fill="FFFFFF"/>
        <w:spacing w:beforeAutospacing="0" w:afterAutospacing="0" w:line="405" w:lineRule="atLeast"/>
        <w:ind w:firstLine="495"/>
        <w:jc w:val="center"/>
        <w:outlineLvl w:val="1"/>
        <w:rPr>
          <w:rFonts w:ascii="宋体" w:hAnsi="宋体" w:cs="宋体"/>
          <w:b/>
          <w:color w:val="auto"/>
          <w:sz w:val="21"/>
          <w:szCs w:val="21"/>
          <w:highlight w:val="none"/>
        </w:rPr>
      </w:pPr>
      <w:r>
        <w:rPr>
          <w:rFonts w:hint="eastAsia" w:cs="宋体"/>
          <w:b/>
          <w:color w:val="auto"/>
          <w:sz w:val="21"/>
          <w:szCs w:val="21"/>
          <w:highlight w:val="none"/>
        </w:rPr>
        <w:t>2</w:t>
      </w:r>
      <w:r>
        <w:rPr>
          <w:rFonts w:hint="eastAsia" w:ascii="宋体" w:hAnsi="宋体" w:cs="宋体"/>
          <w:b/>
          <w:color w:val="auto"/>
          <w:sz w:val="21"/>
          <w:szCs w:val="21"/>
          <w:highlight w:val="none"/>
        </w:rPr>
        <w:t>、采购代理服务费承诺函</w:t>
      </w:r>
      <w:bookmarkEnd w:id="451"/>
      <w:bookmarkEnd w:id="452"/>
      <w:bookmarkEnd w:id="453"/>
      <w:bookmarkEnd w:id="454"/>
    </w:p>
    <w:p>
      <w:pPr>
        <w:pStyle w:val="21"/>
        <w:shd w:val="clear" w:color="auto" w:fill="FFFFFF"/>
        <w:spacing w:beforeAutospacing="0" w:afterAutospacing="0"/>
        <w:jc w:val="both"/>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 </w:t>
      </w:r>
    </w:p>
    <w:p>
      <w:pPr>
        <w:pStyle w:val="21"/>
        <w:shd w:val="clear" w:color="auto" w:fill="FFFFFF"/>
        <w:spacing w:beforeAutospacing="0" w:afterAutospacing="0" w:line="360" w:lineRule="auto"/>
        <w:jc w:val="both"/>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致</w:t>
      </w:r>
      <w:r>
        <w:rPr>
          <w:rFonts w:hint="eastAsia" w:ascii="宋体" w:hAnsi="宋体" w:cs="宋体"/>
          <w:color w:val="auto"/>
          <w:spacing w:val="8"/>
          <w:sz w:val="21"/>
          <w:szCs w:val="21"/>
          <w:highlight w:val="none"/>
          <w:u w:val="single"/>
          <w:shd w:val="clear" w:color="auto" w:fill="FFFFFF"/>
        </w:rPr>
        <w:t>（采购人及采购代理机构） </w:t>
      </w:r>
      <w:r>
        <w:rPr>
          <w:rFonts w:hint="eastAsia" w:ascii="宋体" w:hAnsi="宋体" w:cs="宋体"/>
          <w:color w:val="auto"/>
          <w:spacing w:val="8"/>
          <w:sz w:val="21"/>
          <w:szCs w:val="21"/>
          <w:highlight w:val="none"/>
          <w:shd w:val="clear" w:color="auto" w:fill="FFFFFF"/>
        </w:rPr>
        <w:t>：</w:t>
      </w:r>
    </w:p>
    <w:p>
      <w:pPr>
        <w:pStyle w:val="21"/>
        <w:shd w:val="clear" w:color="auto" w:fill="FFFFFF"/>
        <w:spacing w:beforeAutospacing="0" w:afterAutospacing="0" w:line="360" w:lineRule="auto"/>
        <w:ind w:firstLine="480"/>
        <w:jc w:val="both"/>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我们在贵公司组织的（项目名称：</w:t>
      </w:r>
      <w:r>
        <w:rPr>
          <w:rFonts w:hint="eastAsia" w:ascii="宋体" w:hAnsi="宋体" w:cs="宋体"/>
          <w:color w:val="auto"/>
          <w:spacing w:val="8"/>
          <w:sz w:val="21"/>
          <w:szCs w:val="21"/>
          <w:highlight w:val="none"/>
          <w:u w:val="single"/>
          <w:shd w:val="clear" w:color="auto" w:fill="FFFFFF"/>
        </w:rPr>
        <w:t xml:space="preserve">     </w:t>
      </w:r>
      <w:r>
        <w:rPr>
          <w:rFonts w:hint="eastAsia" w:ascii="宋体" w:hAnsi="宋体" w:cs="宋体"/>
          <w:color w:val="auto"/>
          <w:spacing w:val="8"/>
          <w:sz w:val="21"/>
          <w:szCs w:val="21"/>
          <w:highlight w:val="none"/>
          <w:shd w:val="clear" w:color="auto" w:fill="FFFFFF"/>
        </w:rPr>
        <w:t>，采购编号：</w:t>
      </w:r>
      <w:r>
        <w:rPr>
          <w:rFonts w:hint="eastAsia" w:ascii="宋体" w:hAnsi="宋体" w:cs="宋体"/>
          <w:color w:val="auto"/>
          <w:spacing w:val="8"/>
          <w:sz w:val="21"/>
          <w:szCs w:val="21"/>
          <w:highlight w:val="none"/>
          <w:u w:val="single"/>
          <w:shd w:val="clear" w:color="auto" w:fill="FFFFFF"/>
        </w:rPr>
        <w:t xml:space="preserve">     </w:t>
      </w:r>
      <w:r>
        <w:rPr>
          <w:rFonts w:hint="eastAsia" w:ascii="宋体" w:hAnsi="宋体" w:cs="宋体"/>
          <w:color w:val="auto"/>
          <w:spacing w:val="8"/>
          <w:sz w:val="21"/>
          <w:szCs w:val="21"/>
          <w:highlight w:val="none"/>
          <w:shd w:val="clear" w:color="auto" w:fill="FFFFFF"/>
        </w:rPr>
        <w:t>）招标采购中若获中标（成交），我们保证在中标</w:t>
      </w:r>
      <w:r>
        <w:rPr>
          <w:rFonts w:hint="eastAsia" w:cs="宋体"/>
          <w:color w:val="auto"/>
          <w:spacing w:val="8"/>
          <w:sz w:val="21"/>
          <w:szCs w:val="21"/>
          <w:highlight w:val="none"/>
          <w:shd w:val="clear" w:color="auto" w:fill="FFFFFF"/>
        </w:rPr>
        <w:t>（</w:t>
      </w:r>
      <w:r>
        <w:rPr>
          <w:rFonts w:hint="eastAsia" w:ascii="宋体" w:hAnsi="宋体" w:cs="宋体"/>
          <w:color w:val="auto"/>
          <w:spacing w:val="8"/>
          <w:sz w:val="21"/>
          <w:szCs w:val="21"/>
          <w:highlight w:val="none"/>
          <w:shd w:val="clear" w:color="auto" w:fill="FFFFFF"/>
        </w:rPr>
        <w:t>成交）结果公告发布后5个工作日内，按招标文件的规定，以支票、银行转账、汇票或现金，向贵公司一次性支付</w:t>
      </w:r>
      <w:r>
        <w:rPr>
          <w:rFonts w:hint="eastAsia" w:cs="宋体"/>
          <w:color w:val="auto"/>
          <w:spacing w:val="8"/>
          <w:sz w:val="21"/>
          <w:szCs w:val="21"/>
          <w:highlight w:val="none"/>
          <w:shd w:val="clear" w:color="auto" w:fill="FFFFFF"/>
        </w:rPr>
        <w:t>采购代理</w:t>
      </w:r>
      <w:r>
        <w:rPr>
          <w:rFonts w:hint="eastAsia" w:ascii="宋体" w:hAnsi="宋体" w:cs="宋体"/>
          <w:color w:val="auto"/>
          <w:spacing w:val="8"/>
          <w:sz w:val="21"/>
          <w:szCs w:val="21"/>
          <w:highlight w:val="none"/>
          <w:shd w:val="clear" w:color="auto" w:fill="FFFFFF"/>
        </w:rPr>
        <w:t>服务费用。否则，由此产生的一切法律后果和责任由我公司承担。我公司声明放弃对此提出任何异议和追索的权利。</w:t>
      </w:r>
    </w:p>
    <w:p>
      <w:pPr>
        <w:pStyle w:val="21"/>
        <w:shd w:val="clear" w:color="auto" w:fill="FFFFFF"/>
        <w:spacing w:beforeAutospacing="0" w:afterAutospacing="0" w:line="360" w:lineRule="auto"/>
        <w:ind w:firstLine="452" w:firstLineChars="200"/>
        <w:jc w:val="both"/>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特此承诺。</w:t>
      </w:r>
    </w:p>
    <w:p>
      <w:pPr>
        <w:pStyle w:val="21"/>
        <w:shd w:val="clear" w:color="auto" w:fill="FFFFFF"/>
        <w:spacing w:beforeAutospacing="0" w:afterAutospacing="0" w:line="360" w:lineRule="auto"/>
        <w:jc w:val="both"/>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 </w:t>
      </w:r>
    </w:p>
    <w:p>
      <w:pPr>
        <w:pStyle w:val="21"/>
        <w:shd w:val="clear" w:color="auto" w:fill="FFFFFF"/>
        <w:spacing w:beforeAutospacing="0" w:afterAutospacing="0" w:line="360" w:lineRule="auto"/>
        <w:jc w:val="both"/>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 </w:t>
      </w:r>
    </w:p>
    <w:p>
      <w:pPr>
        <w:pStyle w:val="21"/>
        <w:shd w:val="clear" w:color="auto" w:fill="FFFFFF"/>
        <w:spacing w:beforeAutospacing="0" w:afterAutospacing="0" w:line="360" w:lineRule="auto"/>
        <w:ind w:firstLine="465"/>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供应商名称：</w:t>
      </w:r>
      <w:r>
        <w:rPr>
          <w:rFonts w:hint="eastAsia" w:ascii="宋体" w:hAnsi="宋体" w:cs="宋体"/>
          <w:color w:val="auto"/>
          <w:spacing w:val="8"/>
          <w:sz w:val="21"/>
          <w:szCs w:val="21"/>
          <w:highlight w:val="none"/>
          <w:u w:val="single"/>
          <w:shd w:val="clear" w:color="auto" w:fill="FFFFFF"/>
        </w:rPr>
        <w:t>          </w:t>
      </w:r>
      <w:r>
        <w:rPr>
          <w:rFonts w:hint="eastAsia" w:ascii="宋体" w:hAnsi="宋体" w:cs="宋体"/>
          <w:color w:val="auto"/>
          <w:spacing w:val="8"/>
          <w:sz w:val="21"/>
          <w:szCs w:val="21"/>
          <w:highlight w:val="none"/>
          <w:shd w:val="clear" w:color="auto" w:fill="FFFFFF"/>
        </w:rPr>
        <w:t>（单位电子签章）</w:t>
      </w:r>
    </w:p>
    <w:p>
      <w:pPr>
        <w:pStyle w:val="21"/>
        <w:shd w:val="clear" w:color="auto" w:fill="FFFFFF"/>
        <w:spacing w:beforeAutospacing="0" w:afterAutospacing="0" w:line="360" w:lineRule="auto"/>
        <w:ind w:firstLine="465"/>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法定代表人或授权代表：</w:t>
      </w:r>
      <w:r>
        <w:rPr>
          <w:rFonts w:hint="eastAsia" w:ascii="宋体" w:hAnsi="宋体" w:cs="宋体"/>
          <w:color w:val="auto"/>
          <w:spacing w:val="8"/>
          <w:sz w:val="21"/>
          <w:szCs w:val="21"/>
          <w:highlight w:val="none"/>
          <w:u w:val="single"/>
          <w:shd w:val="clear" w:color="auto" w:fill="FFFFFF"/>
        </w:rPr>
        <w:t>      </w:t>
      </w:r>
      <w:r>
        <w:rPr>
          <w:rFonts w:hint="eastAsia" w:ascii="宋体" w:hAnsi="宋体" w:cs="宋体"/>
          <w:color w:val="auto"/>
          <w:spacing w:val="8"/>
          <w:sz w:val="21"/>
          <w:szCs w:val="21"/>
          <w:highlight w:val="none"/>
          <w:shd w:val="clear" w:color="auto" w:fill="FFFFFF"/>
        </w:rPr>
        <w:t>（签名或盖章）</w:t>
      </w:r>
    </w:p>
    <w:p>
      <w:pPr>
        <w:pStyle w:val="21"/>
        <w:shd w:val="clear" w:color="auto" w:fill="FFFFFF"/>
        <w:spacing w:beforeAutospacing="0" w:afterAutospacing="0" w:line="360" w:lineRule="auto"/>
        <w:ind w:firstLine="480"/>
        <w:jc w:val="both"/>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日期：</w:t>
      </w:r>
      <w:r>
        <w:rPr>
          <w:rFonts w:hint="eastAsia" w:ascii="宋体" w:hAnsi="宋体" w:cs="宋体"/>
          <w:color w:val="auto"/>
          <w:spacing w:val="8"/>
          <w:sz w:val="21"/>
          <w:szCs w:val="21"/>
          <w:highlight w:val="none"/>
          <w:u w:val="single"/>
          <w:shd w:val="clear" w:color="auto" w:fill="FFFFFF"/>
        </w:rPr>
        <w:t>              </w:t>
      </w:r>
    </w:p>
    <w:p>
      <w:pPr>
        <w:pStyle w:val="21"/>
        <w:shd w:val="clear" w:color="auto" w:fill="FFFFFF"/>
        <w:spacing w:beforeAutospacing="0" w:afterAutospacing="0" w:line="360" w:lineRule="auto"/>
        <w:jc w:val="both"/>
        <w:rPr>
          <w:rFonts w:ascii="宋体" w:hAnsi="宋体" w:cs="宋体"/>
          <w:color w:val="auto"/>
          <w:spacing w:val="8"/>
          <w:sz w:val="21"/>
          <w:szCs w:val="21"/>
          <w:highlight w:val="none"/>
        </w:rPr>
      </w:pPr>
      <w:r>
        <w:rPr>
          <w:rFonts w:hint="eastAsia" w:ascii="宋体" w:hAnsi="宋体" w:cs="宋体"/>
          <w:color w:val="auto"/>
          <w:spacing w:val="8"/>
          <w:sz w:val="21"/>
          <w:szCs w:val="21"/>
          <w:highlight w:val="none"/>
          <w:shd w:val="clear" w:color="auto" w:fill="FFFFFF"/>
        </w:rPr>
        <w:t> </w:t>
      </w:r>
    </w:p>
    <w:p>
      <w:pP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jc w:val="center"/>
        <w:outlineLvl w:val="1"/>
        <w:rPr>
          <w:rFonts w:ascii="宋体" w:hAnsi="宋体" w:cs="宋体"/>
          <w:color w:val="auto"/>
          <w:szCs w:val="21"/>
          <w:highlight w:val="none"/>
        </w:rPr>
      </w:pPr>
      <w:r>
        <w:rPr>
          <w:rFonts w:hint="eastAsia" w:ascii="宋体" w:hAnsi="宋体" w:cs="宋体"/>
          <w:color w:val="auto"/>
          <w:szCs w:val="21"/>
          <w:highlight w:val="none"/>
        </w:rPr>
        <w:br w:type="page"/>
      </w:r>
      <w:bookmarkStart w:id="455" w:name="_Toc32367"/>
      <w:bookmarkStart w:id="456" w:name="_Toc21978"/>
      <w:bookmarkStart w:id="457" w:name="_Toc24757"/>
      <w:bookmarkStart w:id="458" w:name="_Toc167"/>
      <w:r>
        <w:rPr>
          <w:rFonts w:hint="eastAsia" w:ascii="宋体" w:hAnsi="宋体" w:cs="宋体"/>
          <w:b/>
          <w:color w:val="auto"/>
          <w:szCs w:val="21"/>
          <w:highlight w:val="none"/>
        </w:rPr>
        <w:t>3、供应商认为需要的其他资料</w:t>
      </w:r>
      <w:bookmarkEnd w:id="455"/>
      <w:bookmarkEnd w:id="456"/>
      <w:bookmarkEnd w:id="457"/>
      <w:bookmarkEnd w:id="458"/>
    </w:p>
    <w:p>
      <w:pPr>
        <w:jc w:val="center"/>
        <w:rPr>
          <w:rFonts w:ascii="宋体" w:hAnsi="宋体" w:cs="宋体"/>
          <w:b/>
          <w:bCs/>
          <w:color w:val="auto"/>
          <w:szCs w:val="21"/>
          <w:highlight w:val="none"/>
        </w:rPr>
      </w:pPr>
    </w:p>
    <w:p>
      <w:pPr>
        <w:jc w:val="center"/>
        <w:rPr>
          <w:rFonts w:ascii="宋体" w:hAnsi="宋体" w:cs="宋体"/>
          <w:b/>
          <w:bCs/>
          <w:color w:val="auto"/>
          <w:szCs w:val="21"/>
          <w:highlight w:val="none"/>
        </w:rPr>
      </w:pPr>
    </w:p>
    <w:p>
      <w:pPr>
        <w:pStyle w:val="2"/>
        <w:rPr>
          <w:rFonts w:ascii="宋体" w:hAnsi="宋体" w:eastAsia="宋体" w:cs="宋体"/>
          <w:b/>
          <w:bCs/>
          <w:color w:val="auto"/>
          <w:sz w:val="21"/>
          <w:szCs w:val="21"/>
          <w:highlight w:val="none"/>
        </w:rPr>
      </w:pPr>
    </w:p>
    <w:p>
      <w:pPr>
        <w:pStyle w:val="23"/>
        <w:ind w:firstLine="422"/>
        <w:rPr>
          <w:rFonts w:ascii="宋体" w:hAnsi="宋体" w:cs="宋体"/>
          <w:b/>
          <w:bCs/>
          <w:color w:val="auto"/>
          <w:sz w:val="21"/>
          <w:szCs w:val="21"/>
          <w:highlight w:val="none"/>
        </w:rPr>
      </w:pPr>
    </w:p>
    <w:p>
      <w:pPr>
        <w:rPr>
          <w:rFonts w:ascii="宋体" w:hAnsi="宋体" w:cs="宋体"/>
          <w:b/>
          <w:bCs/>
          <w:color w:val="auto"/>
          <w:szCs w:val="21"/>
          <w:highlight w:val="none"/>
        </w:rPr>
      </w:pPr>
    </w:p>
    <w:p>
      <w:pPr>
        <w:pStyle w:val="2"/>
        <w:rPr>
          <w:rFonts w:ascii="宋体" w:hAnsi="宋体" w:eastAsia="宋体" w:cs="宋体"/>
          <w:b/>
          <w:bCs/>
          <w:color w:val="auto"/>
          <w:sz w:val="21"/>
          <w:szCs w:val="21"/>
          <w:highlight w:val="none"/>
        </w:rPr>
      </w:pPr>
    </w:p>
    <w:p>
      <w:pPr>
        <w:pStyle w:val="23"/>
        <w:ind w:firstLine="422"/>
        <w:rPr>
          <w:rFonts w:ascii="宋体" w:hAnsi="宋体" w:cs="宋体"/>
          <w:b/>
          <w:bCs/>
          <w:color w:val="auto"/>
          <w:sz w:val="21"/>
          <w:szCs w:val="21"/>
          <w:highlight w:val="none"/>
        </w:rPr>
      </w:pPr>
    </w:p>
    <w:p>
      <w:pPr>
        <w:rPr>
          <w:rFonts w:ascii="宋体" w:hAnsi="宋体" w:cs="宋体"/>
          <w:b/>
          <w:bCs/>
          <w:color w:val="auto"/>
          <w:szCs w:val="21"/>
          <w:highlight w:val="none"/>
        </w:rPr>
      </w:pPr>
    </w:p>
    <w:p>
      <w:pPr>
        <w:pStyle w:val="2"/>
        <w:rPr>
          <w:rFonts w:ascii="宋体" w:hAnsi="宋体" w:eastAsia="宋体" w:cs="宋体"/>
          <w:b/>
          <w:bCs/>
          <w:color w:val="auto"/>
          <w:sz w:val="21"/>
          <w:szCs w:val="21"/>
          <w:highlight w:val="none"/>
        </w:rPr>
      </w:pPr>
    </w:p>
    <w:p>
      <w:pPr>
        <w:pStyle w:val="23"/>
        <w:ind w:firstLine="422"/>
        <w:rPr>
          <w:rFonts w:ascii="宋体" w:hAnsi="宋体" w:cs="宋体"/>
          <w:b/>
          <w:bCs/>
          <w:color w:val="auto"/>
          <w:sz w:val="21"/>
          <w:szCs w:val="21"/>
          <w:highlight w:val="none"/>
        </w:rPr>
      </w:pPr>
    </w:p>
    <w:p>
      <w:pPr>
        <w:rPr>
          <w:rFonts w:ascii="宋体" w:hAnsi="宋体" w:cs="宋体"/>
          <w:b/>
          <w:bCs/>
          <w:color w:val="auto"/>
          <w:szCs w:val="21"/>
          <w:highlight w:val="none"/>
        </w:rPr>
      </w:pPr>
    </w:p>
    <w:p>
      <w:pPr>
        <w:pStyle w:val="2"/>
        <w:rPr>
          <w:rFonts w:ascii="宋体" w:hAnsi="宋体" w:eastAsia="宋体" w:cs="宋体"/>
          <w:b/>
          <w:bCs/>
          <w:color w:val="auto"/>
          <w:sz w:val="21"/>
          <w:szCs w:val="21"/>
          <w:highlight w:val="none"/>
        </w:rPr>
      </w:pPr>
    </w:p>
    <w:p>
      <w:pPr>
        <w:pStyle w:val="23"/>
        <w:ind w:firstLine="422"/>
        <w:rPr>
          <w:rFonts w:ascii="宋体" w:hAnsi="宋体" w:cs="宋体"/>
          <w:b/>
          <w:bCs/>
          <w:color w:val="auto"/>
          <w:sz w:val="21"/>
          <w:szCs w:val="21"/>
          <w:highlight w:val="none"/>
        </w:rPr>
      </w:pPr>
    </w:p>
    <w:p>
      <w:pPr>
        <w:rPr>
          <w:rFonts w:ascii="宋体" w:hAnsi="宋体" w:cs="宋体"/>
          <w:b/>
          <w:bCs/>
          <w:color w:val="auto"/>
          <w:szCs w:val="21"/>
          <w:highlight w:val="none"/>
        </w:rPr>
      </w:pPr>
    </w:p>
    <w:p>
      <w:pPr>
        <w:pStyle w:val="2"/>
        <w:rPr>
          <w:rFonts w:ascii="宋体" w:hAnsi="宋体" w:eastAsia="宋体" w:cs="宋体"/>
          <w:b/>
          <w:bCs/>
          <w:color w:val="auto"/>
          <w:sz w:val="21"/>
          <w:szCs w:val="21"/>
          <w:highlight w:val="none"/>
        </w:rPr>
      </w:pPr>
    </w:p>
    <w:p>
      <w:pPr>
        <w:pStyle w:val="23"/>
        <w:ind w:firstLine="422"/>
        <w:rPr>
          <w:rFonts w:ascii="宋体" w:hAnsi="宋体" w:cs="宋体"/>
          <w:b/>
          <w:bCs/>
          <w:color w:val="auto"/>
          <w:sz w:val="21"/>
          <w:szCs w:val="21"/>
          <w:highlight w:val="none"/>
        </w:rPr>
      </w:pPr>
    </w:p>
    <w:p>
      <w:pPr>
        <w:rPr>
          <w:rFonts w:ascii="宋体" w:hAnsi="宋体" w:cs="宋体"/>
          <w:b/>
          <w:bCs/>
          <w:color w:val="auto"/>
          <w:szCs w:val="21"/>
          <w:highlight w:val="none"/>
        </w:rPr>
      </w:pPr>
    </w:p>
    <w:p>
      <w:pPr>
        <w:pStyle w:val="2"/>
        <w:rPr>
          <w:rFonts w:ascii="宋体" w:hAnsi="宋体" w:eastAsia="宋体" w:cs="宋体"/>
          <w:b/>
          <w:bCs/>
          <w:color w:val="auto"/>
          <w:sz w:val="21"/>
          <w:szCs w:val="21"/>
          <w:highlight w:val="none"/>
        </w:rPr>
      </w:pPr>
    </w:p>
    <w:p>
      <w:pPr>
        <w:pStyle w:val="23"/>
        <w:ind w:firstLine="422"/>
        <w:rPr>
          <w:rFonts w:ascii="宋体" w:hAnsi="宋体" w:cs="宋体"/>
          <w:b/>
          <w:bCs/>
          <w:color w:val="auto"/>
          <w:sz w:val="21"/>
          <w:szCs w:val="21"/>
          <w:highlight w:val="none"/>
        </w:rPr>
      </w:pPr>
    </w:p>
    <w:p>
      <w:pPr>
        <w:rPr>
          <w:rFonts w:ascii="宋体" w:hAnsi="宋体" w:cs="宋体"/>
          <w:b/>
          <w:bCs/>
          <w:color w:val="auto"/>
          <w:szCs w:val="21"/>
          <w:highlight w:val="none"/>
        </w:rPr>
      </w:pPr>
    </w:p>
    <w:p>
      <w:pPr>
        <w:pStyle w:val="2"/>
        <w:ind w:firstLine="0"/>
        <w:rPr>
          <w:rFonts w:ascii="宋体" w:hAnsi="宋体" w:eastAsia="宋体" w:cs="宋体"/>
          <w:b/>
          <w:bCs/>
          <w:color w:val="auto"/>
          <w:sz w:val="21"/>
          <w:szCs w:val="21"/>
          <w:highlight w:val="none"/>
        </w:rPr>
      </w:pPr>
    </w:p>
    <w:p>
      <w:pPr>
        <w:jc w:val="center"/>
        <w:outlineLvl w:val="0"/>
        <w:rPr>
          <w:rFonts w:ascii="宋体" w:hAnsi="宋体" w:cs="宋体"/>
          <w:b/>
          <w:color w:val="auto"/>
          <w:szCs w:val="21"/>
          <w:highlight w:val="none"/>
        </w:rPr>
      </w:pPr>
      <w:bookmarkStart w:id="459" w:name="_Toc28126"/>
    </w:p>
    <w:p>
      <w:pPr>
        <w:rPr>
          <w:rFonts w:ascii="宋体" w:hAnsi="宋体" w:cs="宋体"/>
          <w:b/>
          <w:color w:val="auto"/>
          <w:szCs w:val="21"/>
          <w:highlight w:val="none"/>
        </w:rPr>
      </w:pPr>
      <w:bookmarkStart w:id="460" w:name="_Toc29596"/>
      <w:bookmarkStart w:id="461" w:name="_Toc19587"/>
      <w:bookmarkStart w:id="462" w:name="_Toc17589"/>
      <w:r>
        <w:rPr>
          <w:rFonts w:hint="eastAsia" w:ascii="宋体" w:hAnsi="宋体" w:cs="宋体"/>
          <w:b/>
          <w:color w:val="auto"/>
          <w:szCs w:val="21"/>
          <w:highlight w:val="none"/>
        </w:rPr>
        <w:br w:type="page"/>
      </w:r>
    </w:p>
    <w:p>
      <w:pPr>
        <w:jc w:val="center"/>
        <w:outlineLvl w:val="0"/>
        <w:rPr>
          <w:rFonts w:ascii="宋体" w:hAnsi="宋体" w:cs="宋体"/>
          <w:b/>
          <w:bCs/>
          <w:color w:val="auto"/>
          <w:szCs w:val="21"/>
          <w:highlight w:val="none"/>
        </w:rPr>
      </w:pPr>
      <w:r>
        <w:rPr>
          <w:rFonts w:hint="eastAsia" w:ascii="宋体" w:hAnsi="宋体" w:cs="宋体"/>
          <w:b/>
          <w:color w:val="auto"/>
          <w:szCs w:val="21"/>
          <w:highlight w:val="none"/>
        </w:rPr>
        <w:t>河南省政府采购合同融资政策告知函</w:t>
      </w:r>
      <w:bookmarkEnd w:id="459"/>
      <w:bookmarkEnd w:id="460"/>
      <w:bookmarkEnd w:id="461"/>
      <w:bookmarkEnd w:id="462"/>
    </w:p>
    <w:p>
      <w:pPr>
        <w:rPr>
          <w:rFonts w:ascii="Calibri" w:hAnsi="Calibri" w:eastAsia="仿宋" w:cs="Calibri"/>
          <w:color w:val="auto"/>
          <w:szCs w:val="21"/>
          <w:highlight w:val="none"/>
        </w:rPr>
      </w:pPr>
    </w:p>
    <w:p>
      <w:pPr>
        <w:spacing w:line="480" w:lineRule="auto"/>
        <w:rPr>
          <w:rFonts w:ascii="宋体" w:hAnsi="宋体" w:cs="宋体"/>
          <w:color w:val="auto"/>
          <w:szCs w:val="21"/>
          <w:highlight w:val="none"/>
        </w:rPr>
      </w:pPr>
      <w:r>
        <w:rPr>
          <w:rFonts w:hint="eastAsia" w:ascii="宋体" w:hAnsi="宋体" w:cs="宋体"/>
          <w:color w:val="auto"/>
          <w:szCs w:val="21"/>
          <w:highlight w:val="none"/>
        </w:rPr>
        <w:t>各投标人：</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欢迎贵公司参与河南省政府采购活动！</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贷款渠道和提供贷款的金融机构，可在河南省政府采购网“河南省政府采购合同融资平台”查询联系。政策解读网址：http://www.hngp.gov.cn/henan/content?infoId=1601449567470800&amp;channelCode=H6016</w:t>
      </w:r>
    </w:p>
    <w:p>
      <w:pPr>
        <w:pStyle w:val="21"/>
        <w:shd w:val="clear" w:color="070000" w:fill="FFFFFF"/>
        <w:spacing w:beforeAutospacing="0" w:afterAutospacing="0" w:line="360" w:lineRule="auto"/>
        <w:jc w:val="both"/>
        <w:rPr>
          <w:rFonts w:ascii="宋体" w:hAnsi="宋体" w:cs="宋体"/>
          <w:color w:val="auto"/>
          <w:spacing w:val="8"/>
          <w:sz w:val="21"/>
          <w:szCs w:val="21"/>
          <w:highlight w:val="none"/>
          <w:shd w:val="clear" w:color="080000" w:fill="FFFFFF"/>
        </w:rPr>
      </w:pPr>
    </w:p>
    <w:p>
      <w:pPr>
        <w:pStyle w:val="21"/>
        <w:shd w:val="clear" w:color="070000" w:fill="FFFFFF"/>
        <w:spacing w:beforeAutospacing="0" w:afterAutospacing="0" w:line="360" w:lineRule="auto"/>
        <w:jc w:val="both"/>
        <w:rPr>
          <w:rFonts w:ascii="宋体" w:hAnsi="宋体" w:cs="宋体"/>
          <w:color w:val="auto"/>
          <w:spacing w:val="8"/>
          <w:sz w:val="21"/>
          <w:szCs w:val="21"/>
          <w:highlight w:val="none"/>
          <w:shd w:val="clear" w:color="080000" w:fill="FFFFFF"/>
        </w:rPr>
      </w:pPr>
    </w:p>
    <w:p>
      <w:pPr>
        <w:pStyle w:val="21"/>
        <w:shd w:val="clear" w:color="070000" w:fill="FFFFFF"/>
        <w:spacing w:beforeAutospacing="0" w:afterAutospacing="0" w:line="360" w:lineRule="auto"/>
        <w:rPr>
          <w:rFonts w:ascii="宋体" w:hAnsi="宋体" w:cs="宋体"/>
          <w:color w:val="auto"/>
          <w:spacing w:val="8"/>
          <w:sz w:val="21"/>
          <w:szCs w:val="21"/>
          <w:highlight w:val="none"/>
          <w:shd w:val="clear" w:color="080000" w:fill="FFFFFF"/>
        </w:rPr>
      </w:pPr>
      <w:r>
        <w:rPr>
          <w:rFonts w:hint="eastAsia" w:ascii="宋体" w:hAnsi="宋体" w:cs="宋体"/>
          <w:color w:val="auto"/>
          <w:spacing w:val="8"/>
          <w:sz w:val="21"/>
          <w:szCs w:val="21"/>
          <w:highlight w:val="none"/>
          <w:shd w:val="clear" w:color="080000" w:fill="FFFFFF"/>
        </w:rPr>
        <w:t>注：</w:t>
      </w:r>
      <w:r>
        <w:rPr>
          <w:rFonts w:hint="eastAsia" w:cs="宋体"/>
          <w:color w:val="auto"/>
          <w:spacing w:val="8"/>
          <w:sz w:val="21"/>
          <w:szCs w:val="21"/>
          <w:highlight w:val="none"/>
          <w:shd w:val="clear" w:color="080000" w:fill="FFFFFF"/>
        </w:rPr>
        <w:t>1.</w:t>
      </w:r>
      <w:r>
        <w:rPr>
          <w:rFonts w:hint="eastAsia" w:ascii="宋体" w:hAnsi="宋体" w:cs="宋体"/>
          <w:color w:val="auto"/>
          <w:spacing w:val="8"/>
          <w:sz w:val="21"/>
          <w:szCs w:val="21"/>
          <w:highlight w:val="none"/>
          <w:shd w:val="clear" w:color="080000" w:fill="FFFFFF"/>
        </w:rPr>
        <w:t>此项仅为告知，无须附到投标文件中。</w:t>
      </w:r>
    </w:p>
    <w:p>
      <w:pPr>
        <w:pStyle w:val="23"/>
        <w:numPr>
          <w:ilvl w:val="0"/>
          <w:numId w:val="8"/>
        </w:numPr>
        <w:ind w:left="0" w:leftChars="0" w:firstLine="422"/>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预进行合同融资的，在签订合同时，供应商的合同账号需为合同融资行指定的账户和账号。</w:t>
      </w:r>
    </w:p>
    <w:p>
      <w:pPr>
        <w:pStyle w:val="23"/>
        <w:ind w:firstLine="0" w:firstLineChars="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3.预进行合同融资的，请提醒采购人在合同备案时，将备案系统中供应商默认账号修改后合同融资行指定的账户和账号，然后再提交合同备案。</w:t>
      </w:r>
    </w:p>
    <w:p>
      <w:pPr>
        <w:pStyle w:val="2"/>
        <w:rPr>
          <w:color w:val="auto"/>
          <w:highlight w:val="none"/>
        </w:rPr>
      </w:pPr>
    </w:p>
    <w:p>
      <w:pPr>
        <w:rPr>
          <w:color w:val="auto"/>
          <w:highlight w:val="none"/>
        </w:rPr>
      </w:pPr>
    </w:p>
    <w:p>
      <w:pPr>
        <w:snapToGrid w:val="0"/>
        <w:rPr>
          <w:rStyle w:val="62"/>
          <w:rFonts w:ascii="仿宋" w:hAnsi="仿宋" w:eastAsia="仿宋"/>
          <w:color w:val="auto"/>
          <w:highlight w:val="none"/>
        </w:rPr>
      </w:pPr>
    </w:p>
    <w:sectPr>
      <w:headerReference r:id="rId14" w:type="default"/>
      <w:footerReference r:id="rId15" w:type="default"/>
      <w:pgSz w:w="11906" w:h="16838"/>
      <w:pgMar w:top="1418" w:right="1474" w:bottom="1418" w:left="1474"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Style w:val="62"/>
      </w:rPr>
    </w:pPr>
    <w:r>
      <w:rPr>
        <w:rStyle w:val="6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62"/>
                            </w:rPr>
                          </w:pPr>
                        </w:p>
                        <w:p>
                          <w:pPr>
                            <w:rPr>
                              <w:rStyle w:val="62"/>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3u45fSAAAABQEAAA8AAAAAAAAAAQAgAAAAIgAAAGRycy9kb3ducmV2LnhtbFBLAQIUABQA&#10;AAAIAIdO4kDVLaxCvQEAAH0DAAAOAAAAAAAAAAEAIAAAACEBAABkcnMvZTJvRG9jLnhtbFBLBQYA&#10;AAAABgAGAFkBAABQBQAAAAA=&#10;">
              <v:fill on="f" focussize="0,0"/>
              <v:stroke on="f" weight="1.25pt"/>
              <v:imagedata o:title=""/>
              <o:lock v:ext="edit" aspectratio="f"/>
              <v:textbox inset="0mm,0mm,0mm,0mm">
                <w:txbxContent>
                  <w:p>
                    <w:pPr>
                      <w:pStyle w:val="15"/>
                      <w:rPr>
                        <w:rStyle w:val="62"/>
                      </w:rPr>
                    </w:pPr>
                  </w:p>
                  <w:p>
                    <w:pPr>
                      <w:rPr>
                        <w:rStyle w:val="6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margin" w:hAnchor="text" w:xAlign="center" w:y="1"/>
      <w:rPr>
        <w:rStyle w:val="85"/>
      </w:rPr>
    </w:pPr>
  </w:p>
  <w:p>
    <w:pPr>
      <w:pStyle w:val="15"/>
      <w:ind w:right="360"/>
      <w:rPr>
        <w:rStyle w:val="6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62"/>
      </w:rPr>
    </w:pPr>
    <w:r>
      <w:rPr>
        <w:rStyle w:val="6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62"/>
                            </w:rPr>
                          </w:pPr>
                        </w:p>
                        <w:p>
                          <w:pPr>
                            <w:rPr>
                              <w:rStyle w:val="62"/>
                            </w:rPr>
                          </w:pPr>
                        </w:p>
                      </w:txbxContent>
                    </wps:txbx>
                    <wps:bodyPr lIns="0" tIns="0" rIns="0" bIns="0" upright="1"/>
                  </wps:wsp>
                </a:graphicData>
              </a:graphic>
            </wp:anchor>
          </w:drawing>
        </mc:Choice>
        <mc:Fallback>
          <w:pict>
            <v:shape id="文本框 1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AnAzE6/AQAAfgMAAA4AAAAAAAAAAQAgAAAAIQEAAGRycy9lMm9Eb2MueG1sUEsF&#10;BgAAAAAGAAYAWQEAAFIFAAAAAA==&#10;">
              <v:fill on="f" focussize="0,0"/>
              <v:stroke on="f" weight="1.25pt"/>
              <v:imagedata o:title=""/>
              <o:lock v:ext="edit" aspectratio="f"/>
              <v:textbox inset="0mm,0mm,0mm,0mm">
                <w:txbxContent>
                  <w:p>
                    <w:pPr>
                      <w:pStyle w:val="15"/>
                      <w:rPr>
                        <w:rStyle w:val="62"/>
                      </w:rPr>
                    </w:pPr>
                  </w:p>
                  <w:p>
                    <w:pPr>
                      <w:rPr>
                        <w:rStyle w:val="6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Style w:val="62"/>
      </w:rPr>
    </w:pPr>
    <w:r>
      <w:rPr>
        <w:rStyle w:val="6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62"/>
                            </w:rPr>
                          </w:pPr>
                        </w:p>
                        <w:p>
                          <w:pPr>
                            <w:rPr>
                              <w:rStyle w:val="62"/>
                            </w:rPr>
                          </w:pPr>
                        </w:p>
                      </w:txbxContent>
                    </wps:txbx>
                    <wps:bodyPr lIns="0" tIns="0" rIns="0" bIns="0" upright="1"/>
                  </wps:wsp>
                </a:graphicData>
              </a:graphic>
            </wp:anchor>
          </w:drawing>
        </mc:Choice>
        <mc:Fallback>
          <w:pict>
            <v:shape id="文本框 17"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MsuGUO/AQAAfgMAAA4AAAAAAAAAAQAgAAAAIQEAAGRycy9lMm9Eb2MueG1sUEsF&#10;BgAAAAAGAAYAWQEAAFIFAAAAAA==&#10;">
              <v:fill on="f" focussize="0,0"/>
              <v:stroke on="f" weight="1.25pt"/>
              <v:imagedata o:title=""/>
              <o:lock v:ext="edit" aspectratio="f"/>
              <v:textbox inset="0mm,0mm,0mm,0mm">
                <w:txbxContent>
                  <w:p>
                    <w:pPr>
                      <w:pStyle w:val="15"/>
                      <w:rPr>
                        <w:rStyle w:val="62"/>
                      </w:rPr>
                    </w:pPr>
                  </w:p>
                  <w:p>
                    <w:pPr>
                      <w:rPr>
                        <w:rStyle w:val="6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62"/>
      </w:rPr>
    </w:pPr>
    <w:r>
      <w:rPr>
        <w:rStyle w:val="6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62"/>
                            </w:rPr>
                          </w:pPr>
                        </w:p>
                        <w:p>
                          <w:pPr>
                            <w:rPr>
                              <w:rStyle w:val="62"/>
                            </w:rPr>
                          </w:pPr>
                        </w:p>
                      </w:txbxContent>
                    </wps:txbx>
                    <wps:bodyPr lIns="0" tIns="0" rIns="0" bIns="0" upright="1"/>
                  </wps:wsp>
                </a:graphicData>
              </a:graphic>
            </wp:anchor>
          </w:drawing>
        </mc:Choice>
        <mc:Fallback>
          <w:pict>
            <v:shape id="文本框 18"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39b3374BAAB+AwAADgAAAAAAAAABACAAAAAhAQAAZHJzL2Uyb0RvYy54bWxQSwUG&#10;AAAAAAYABgBZAQAAUQUAAAAA&#10;">
              <v:fill on="f" focussize="0,0"/>
              <v:stroke on="f" weight="1.25pt"/>
              <v:imagedata o:title=""/>
              <o:lock v:ext="edit" aspectratio="f"/>
              <v:textbox inset="0mm,0mm,0mm,0mm">
                <w:txbxContent>
                  <w:p>
                    <w:pPr>
                      <w:pStyle w:val="15"/>
                      <w:rPr>
                        <w:rStyle w:val="62"/>
                      </w:rPr>
                    </w:pPr>
                  </w:p>
                  <w:p>
                    <w:pPr>
                      <w:rPr>
                        <w:rStyle w:val="62"/>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Style w:val="6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141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62"/>
      </w:rPr>
    </w:pPr>
    <w:r>
      <w:rPr>
        <w:rStyle w:val="6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62"/>
                            </w:rPr>
                          </w:pPr>
                        </w:p>
                        <w:p>
                          <w:pPr>
                            <w:rPr>
                              <w:rStyle w:val="62"/>
                            </w:rPr>
                          </w:pPr>
                        </w:p>
                      </w:txbxContent>
                    </wps:txbx>
                    <wps:bodyPr lIns="0" tIns="0" rIns="0" bIns="0" upright="1"/>
                  </wps:wsp>
                </a:graphicData>
              </a:graphic>
            </wp:anchor>
          </w:drawing>
        </mc:Choice>
        <mc:Fallback>
          <w:pict>
            <v:shape id="文本框 22"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ObtwWe/AQAAfgMAAA4AAAAAAAAAAQAgAAAAIQEAAGRycy9lMm9Eb2MueG1sUEsF&#10;BgAAAAAGAAYAWQEAAFIFAAAAAA==&#10;">
              <v:fill on="f" focussize="0,0"/>
              <v:stroke on="f" weight="1.25pt"/>
              <v:imagedata o:title=""/>
              <o:lock v:ext="edit" aspectratio="f"/>
              <v:textbox inset="0mm,0mm,0mm,0mm">
                <w:txbxContent>
                  <w:p>
                    <w:pPr>
                      <w:pStyle w:val="15"/>
                      <w:rPr>
                        <w:rStyle w:val="62"/>
                      </w:rPr>
                    </w:pPr>
                  </w:p>
                  <w:p>
                    <w:pPr>
                      <w:rPr>
                        <w:rStyle w:val="6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Style w:val="62"/>
      </w:rPr>
    </w:pPr>
    <w:r>
      <w:rPr>
        <w:rStyle w:val="6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Style w:val="62"/>
      </w:rPr>
    </w:pPr>
    <w:r>
      <w:rPr>
        <w:rStyle w:val="6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Style w:val="62"/>
        <w:rFonts w:ascii="宋体" w:hAnsi="宋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right"/>
      <w:rPr>
        <w:rFonts w:ascii="宋体" w:hAnsi="宋体" w:cs="宋体"/>
        <w:i/>
        <w:iCs/>
        <w:color w:val="0000FF"/>
        <w:szCs w:val="18"/>
      </w:rPr>
    </w:pPr>
  </w:p>
  <w:p>
    <w:pPr>
      <w:pStyle w:val="17"/>
      <w:pBdr>
        <w:bottom w:val="none" w:color="auto" w:sz="0" w:space="1"/>
      </w:pBdr>
      <w:rPr>
        <w:i/>
        <w:iCs/>
        <w:color w:val="0000F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0000000C"/>
    <w:multiLevelType w:val="multilevel"/>
    <w:tmpl w:val="0000000C"/>
    <w:lvl w:ilvl="0" w:tentative="0">
      <w:start w:val="1"/>
      <w:numFmt w:val="chineseCountingThousand"/>
      <w:lvlText w:val="第%1部分"/>
      <w:lvlJc w:val="left"/>
      <w:pPr>
        <w:widowControl/>
        <w:tabs>
          <w:tab w:val="left" w:pos="1440"/>
        </w:tabs>
        <w:ind w:left="0" w:firstLine="0"/>
        <w:textAlignment w:val="baseline"/>
      </w:pPr>
    </w:lvl>
    <w:lvl w:ilvl="1" w:tentative="0">
      <w:start w:val="1"/>
      <w:numFmt w:val="decimal"/>
      <w:suff w:val="nothing"/>
      <w:lvlText w:val=""/>
      <w:lvlJc w:val="left"/>
      <w:pPr>
        <w:widowControl/>
        <w:ind w:left="0" w:firstLine="0"/>
        <w:textAlignment w:val="baseline"/>
      </w:pPr>
    </w:lvl>
    <w:lvl w:ilvl="2" w:tentative="0">
      <w:start w:val="1"/>
      <w:numFmt w:val="decimal"/>
      <w:pStyle w:val="55"/>
      <w:suff w:val="nothing"/>
      <w:lvlText w:val=""/>
      <w:lvlJc w:val="left"/>
      <w:pPr>
        <w:widowControl/>
        <w:ind w:left="0" w:firstLine="0"/>
        <w:textAlignment w:val="baseline"/>
      </w:pPr>
    </w:lvl>
    <w:lvl w:ilvl="3" w:tentative="0">
      <w:start w:val="1"/>
      <w:numFmt w:val="decimal"/>
      <w:pStyle w:val="56"/>
      <w:suff w:val="nothing"/>
      <w:lvlText w:val=""/>
      <w:lvlJc w:val="left"/>
      <w:pPr>
        <w:widowControl/>
        <w:ind w:left="0" w:firstLine="0"/>
        <w:textAlignment w:val="baseline"/>
      </w:pPr>
    </w:lvl>
    <w:lvl w:ilvl="4" w:tentative="0">
      <w:start w:val="1"/>
      <w:numFmt w:val="decimal"/>
      <w:pStyle w:val="57"/>
      <w:suff w:val="nothing"/>
      <w:lvlText w:val=""/>
      <w:lvlJc w:val="left"/>
      <w:pPr>
        <w:widowControl/>
        <w:ind w:left="0" w:firstLine="0"/>
        <w:textAlignment w:val="baseline"/>
      </w:pPr>
    </w:lvl>
    <w:lvl w:ilvl="5" w:tentative="0">
      <w:start w:val="1"/>
      <w:numFmt w:val="decimal"/>
      <w:pStyle w:val="58"/>
      <w:suff w:val="nothing"/>
      <w:lvlText w:val=""/>
      <w:lvlJc w:val="left"/>
      <w:pPr>
        <w:widowControl/>
        <w:ind w:left="0" w:firstLine="0"/>
        <w:textAlignment w:val="baseline"/>
      </w:pPr>
    </w:lvl>
    <w:lvl w:ilvl="6" w:tentative="0">
      <w:start w:val="1"/>
      <w:numFmt w:val="decimal"/>
      <w:pStyle w:val="59"/>
      <w:suff w:val="nothing"/>
      <w:lvlText w:val=""/>
      <w:lvlJc w:val="left"/>
      <w:pPr>
        <w:widowControl/>
        <w:ind w:left="0" w:firstLine="0"/>
        <w:textAlignment w:val="baseline"/>
      </w:pPr>
    </w:lvl>
    <w:lvl w:ilvl="7" w:tentative="0">
      <w:start w:val="1"/>
      <w:numFmt w:val="decimal"/>
      <w:pStyle w:val="60"/>
      <w:suff w:val="nothing"/>
      <w:lvlText w:val=""/>
      <w:lvlJc w:val="left"/>
      <w:pPr>
        <w:widowControl/>
        <w:ind w:left="0" w:firstLine="0"/>
        <w:textAlignment w:val="baseline"/>
      </w:pPr>
    </w:lvl>
    <w:lvl w:ilvl="8" w:tentative="0">
      <w:start w:val="1"/>
      <w:numFmt w:val="decimal"/>
      <w:pStyle w:val="61"/>
      <w:suff w:val="nothing"/>
      <w:lvlText w:val=""/>
      <w:lvlJc w:val="left"/>
      <w:pPr>
        <w:widowControl/>
        <w:ind w:left="0" w:firstLine="0"/>
        <w:textAlignment w:val="baseline"/>
      </w:pPr>
    </w:lvl>
  </w:abstractNum>
  <w:abstractNum w:abstractNumId="4">
    <w:nsid w:val="0000000E"/>
    <w:multiLevelType w:val="multilevel"/>
    <w:tmpl w:val="0000000E"/>
    <w:lvl w:ilvl="0" w:tentative="0">
      <w:start w:val="1"/>
      <w:numFmt w:val="decimal"/>
      <w:pStyle w:val="117"/>
      <w:lvlText w:val="%1."/>
      <w:lvlJc w:val="left"/>
      <w:pPr>
        <w:widowControl/>
        <w:tabs>
          <w:tab w:val="left" w:pos="709"/>
        </w:tabs>
        <w:ind w:left="709" w:hanging="709"/>
        <w:textAlignment w:val="baseline"/>
      </w:pPr>
    </w:lvl>
    <w:lvl w:ilvl="1" w:tentative="0">
      <w:start w:val="1"/>
      <w:numFmt w:val="decimal"/>
      <w:lvlText w:val="%1.%2"/>
      <w:lvlJc w:val="left"/>
      <w:pPr>
        <w:widowControl/>
        <w:tabs>
          <w:tab w:val="left" w:pos="709"/>
        </w:tabs>
        <w:ind w:left="709" w:hanging="709"/>
        <w:textAlignment w:val="baseline"/>
      </w:pPr>
    </w:lvl>
    <w:lvl w:ilvl="2" w:tentative="0">
      <w:start w:val="1"/>
      <w:numFmt w:val="decimal"/>
      <w:lvlText w:val="%1.%2.%3."/>
      <w:lvlJc w:val="left"/>
      <w:pPr>
        <w:widowControl/>
        <w:tabs>
          <w:tab w:val="left" w:pos="425"/>
        </w:tabs>
        <w:ind w:left="425" w:hanging="425"/>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5">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D"/>
    <w:multiLevelType w:val="multilevel"/>
    <w:tmpl w:val="0000001D"/>
    <w:lvl w:ilvl="0" w:tentative="0">
      <w:start w:val="1"/>
      <w:numFmt w:val="decimal"/>
      <w:lvlText w:val="%1"/>
      <w:lvlJc w:val="left"/>
      <w:pPr>
        <w:tabs>
          <w:tab w:val="left" w:pos="420"/>
        </w:tabs>
        <w:ind w:left="420" w:hanging="420"/>
      </w:pPr>
      <w:rPr>
        <w:sz w:val="28"/>
        <w:szCs w:val="28"/>
      </w:rPr>
    </w:lvl>
    <w:lvl w:ilvl="1" w:tentative="0">
      <w:start w:val="1"/>
      <w:numFmt w:val="lowerLetter"/>
      <w:pStyle w:val="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4A23804"/>
    <w:multiLevelType w:val="singleLevel"/>
    <w:tmpl w:val="54A23804"/>
    <w:lvl w:ilvl="0" w:tentative="0">
      <w:start w:val="1"/>
      <w:numFmt w:val="decimal"/>
      <w:suff w:val="space"/>
      <w:lvlText w:val="%1."/>
      <w:lvlJc w:val="left"/>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jliYjdhMjI1YTY4ODJmYWJmMTI4NTIyMTYwY2MifQ=="/>
  </w:docVars>
  <w:rsids>
    <w:rsidRoot w:val="003834FA"/>
    <w:rsid w:val="00041A07"/>
    <w:rsid w:val="001377D3"/>
    <w:rsid w:val="003834FA"/>
    <w:rsid w:val="006B680C"/>
    <w:rsid w:val="0078141C"/>
    <w:rsid w:val="00822E0E"/>
    <w:rsid w:val="008477FD"/>
    <w:rsid w:val="03D40E0E"/>
    <w:rsid w:val="040D0EEA"/>
    <w:rsid w:val="042223C8"/>
    <w:rsid w:val="043B65F9"/>
    <w:rsid w:val="05792877"/>
    <w:rsid w:val="06707908"/>
    <w:rsid w:val="076426A2"/>
    <w:rsid w:val="07975C1A"/>
    <w:rsid w:val="07C84405"/>
    <w:rsid w:val="08AF79C5"/>
    <w:rsid w:val="096654D6"/>
    <w:rsid w:val="0A98177F"/>
    <w:rsid w:val="0BFA4C25"/>
    <w:rsid w:val="0C323CC8"/>
    <w:rsid w:val="0DC161D1"/>
    <w:rsid w:val="0DCB52A1"/>
    <w:rsid w:val="10B975A9"/>
    <w:rsid w:val="10BD510F"/>
    <w:rsid w:val="117F43AC"/>
    <w:rsid w:val="128954F1"/>
    <w:rsid w:val="137F5C73"/>
    <w:rsid w:val="145F1A74"/>
    <w:rsid w:val="149D289F"/>
    <w:rsid w:val="14E242BD"/>
    <w:rsid w:val="16027C6E"/>
    <w:rsid w:val="17646291"/>
    <w:rsid w:val="17CE1268"/>
    <w:rsid w:val="17FD2745"/>
    <w:rsid w:val="181141F9"/>
    <w:rsid w:val="181A63B9"/>
    <w:rsid w:val="192E4F24"/>
    <w:rsid w:val="1B7B3F8F"/>
    <w:rsid w:val="1EBB2CCE"/>
    <w:rsid w:val="1EC13E23"/>
    <w:rsid w:val="1F0C509B"/>
    <w:rsid w:val="1F703EFB"/>
    <w:rsid w:val="201F36AA"/>
    <w:rsid w:val="20CC6F0F"/>
    <w:rsid w:val="2222588D"/>
    <w:rsid w:val="26433FB3"/>
    <w:rsid w:val="26F14712"/>
    <w:rsid w:val="276726DA"/>
    <w:rsid w:val="27705D73"/>
    <w:rsid w:val="29483CFC"/>
    <w:rsid w:val="29FD06AE"/>
    <w:rsid w:val="2A440A03"/>
    <w:rsid w:val="2A4779F5"/>
    <w:rsid w:val="2A4A1D47"/>
    <w:rsid w:val="2CBE2A7D"/>
    <w:rsid w:val="2E3D0880"/>
    <w:rsid w:val="2F980A97"/>
    <w:rsid w:val="2FC21962"/>
    <w:rsid w:val="30A167D6"/>
    <w:rsid w:val="31461DBD"/>
    <w:rsid w:val="32961925"/>
    <w:rsid w:val="336F1239"/>
    <w:rsid w:val="33D6744F"/>
    <w:rsid w:val="33E862E5"/>
    <w:rsid w:val="34CB0432"/>
    <w:rsid w:val="35F25219"/>
    <w:rsid w:val="363E0508"/>
    <w:rsid w:val="36E83F1F"/>
    <w:rsid w:val="38543BA5"/>
    <w:rsid w:val="38796BB9"/>
    <w:rsid w:val="39822409"/>
    <w:rsid w:val="3B9A7425"/>
    <w:rsid w:val="3BA6400B"/>
    <w:rsid w:val="3C0E185D"/>
    <w:rsid w:val="3CA22802"/>
    <w:rsid w:val="3CED3492"/>
    <w:rsid w:val="3D5E74CD"/>
    <w:rsid w:val="41771DFE"/>
    <w:rsid w:val="44156156"/>
    <w:rsid w:val="44236398"/>
    <w:rsid w:val="45330A00"/>
    <w:rsid w:val="489862BE"/>
    <w:rsid w:val="48CF0CC5"/>
    <w:rsid w:val="4B9E4A50"/>
    <w:rsid w:val="4CD27077"/>
    <w:rsid w:val="4F0F257F"/>
    <w:rsid w:val="4F2D0BCE"/>
    <w:rsid w:val="4FCE1CC3"/>
    <w:rsid w:val="4FFD6EA1"/>
    <w:rsid w:val="502E78F8"/>
    <w:rsid w:val="504975D8"/>
    <w:rsid w:val="50897FEA"/>
    <w:rsid w:val="50B05CAF"/>
    <w:rsid w:val="51683C2C"/>
    <w:rsid w:val="53F817ED"/>
    <w:rsid w:val="547A3DE8"/>
    <w:rsid w:val="552D6413"/>
    <w:rsid w:val="57764F86"/>
    <w:rsid w:val="57C02876"/>
    <w:rsid w:val="57DF7AA4"/>
    <w:rsid w:val="58446515"/>
    <w:rsid w:val="58D13C23"/>
    <w:rsid w:val="58FF547D"/>
    <w:rsid w:val="5946539B"/>
    <w:rsid w:val="5AFC7853"/>
    <w:rsid w:val="5C002755"/>
    <w:rsid w:val="5C1C6F8A"/>
    <w:rsid w:val="5C7F0CFE"/>
    <w:rsid w:val="5CCA0587"/>
    <w:rsid w:val="5E563CE0"/>
    <w:rsid w:val="5F441EC2"/>
    <w:rsid w:val="635E0BD9"/>
    <w:rsid w:val="63BA6ABF"/>
    <w:rsid w:val="64A27F06"/>
    <w:rsid w:val="650127E7"/>
    <w:rsid w:val="6503238B"/>
    <w:rsid w:val="66E56003"/>
    <w:rsid w:val="671E5323"/>
    <w:rsid w:val="677360D8"/>
    <w:rsid w:val="68DF69EB"/>
    <w:rsid w:val="6A064FCF"/>
    <w:rsid w:val="6A6C0858"/>
    <w:rsid w:val="6B1D5CE2"/>
    <w:rsid w:val="6DBE4325"/>
    <w:rsid w:val="6FB755DE"/>
    <w:rsid w:val="70813B68"/>
    <w:rsid w:val="709F4D0D"/>
    <w:rsid w:val="71210103"/>
    <w:rsid w:val="717D5F70"/>
    <w:rsid w:val="71C138ED"/>
    <w:rsid w:val="73A3475A"/>
    <w:rsid w:val="746F1200"/>
    <w:rsid w:val="74A15F1F"/>
    <w:rsid w:val="74B1420F"/>
    <w:rsid w:val="75BB6563"/>
    <w:rsid w:val="76423BD2"/>
    <w:rsid w:val="764A5541"/>
    <w:rsid w:val="76F44722"/>
    <w:rsid w:val="78362761"/>
    <w:rsid w:val="78EE6B97"/>
    <w:rsid w:val="79145035"/>
    <w:rsid w:val="79C533A6"/>
    <w:rsid w:val="7A264D14"/>
    <w:rsid w:val="7AAF05A8"/>
    <w:rsid w:val="7AD27FAE"/>
    <w:rsid w:val="7CF64B4E"/>
    <w:rsid w:val="7D0E2A9A"/>
    <w:rsid w:val="7D553689"/>
    <w:rsid w:val="7F43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autoRedefine/>
    <w:qFormat/>
    <w:uiPriority w:val="0"/>
    <w:pPr>
      <w:keepNext/>
      <w:jc w:val="center"/>
      <w:outlineLvl w:val="0"/>
    </w:pPr>
    <w:rPr>
      <w:b/>
      <w:bCs/>
      <w:color w:val="000000"/>
      <w:sz w:val="32"/>
    </w:rPr>
  </w:style>
  <w:style w:type="paragraph" w:styleId="5">
    <w:name w:val="heading 2"/>
    <w:basedOn w:val="1"/>
    <w:next w:val="1"/>
    <w:autoRedefine/>
    <w:unhideWhenUsed/>
    <w:qFormat/>
    <w:uiPriority w:val="0"/>
    <w:pPr>
      <w:keepNext/>
      <w:keepLines/>
      <w:numPr>
        <w:ilvl w:val="1"/>
        <w:numId w:val="1"/>
      </w:numPr>
      <w:adjustRightInd w:val="0"/>
      <w:spacing w:line="160" w:lineRule="atLeast"/>
      <w:outlineLvl w:val="1"/>
    </w:pPr>
    <w:rPr>
      <w:rFonts w:ascii="黑体" w:hAnsi="Arial" w:eastAsia="黑体"/>
      <w:sz w:val="28"/>
    </w:rPr>
  </w:style>
  <w:style w:type="paragraph" w:styleId="6">
    <w:name w:val="heading 3"/>
    <w:basedOn w:val="1"/>
    <w:next w:val="1"/>
    <w:autoRedefine/>
    <w:qFormat/>
    <w:uiPriority w:val="0"/>
    <w:pPr>
      <w:keepNext/>
      <w:keepLines/>
      <w:spacing w:line="460" w:lineRule="exact"/>
      <w:jc w:val="left"/>
      <w:outlineLvl w:val="2"/>
    </w:pPr>
    <w:rPr>
      <w:b/>
      <w:kern w:val="0"/>
      <w:sz w:val="24"/>
      <w:szCs w:val="20"/>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eastAsia="楷体_GB2312"/>
      <w:sz w:val="32"/>
    </w:rPr>
  </w:style>
  <w:style w:type="paragraph" w:styleId="3">
    <w:name w:val="Body Text"/>
    <w:basedOn w:val="1"/>
    <w:autoRedefine/>
    <w:qFormat/>
    <w:uiPriority w:val="0"/>
    <w:pPr>
      <w:spacing w:after="120"/>
    </w:pPr>
  </w:style>
  <w:style w:type="paragraph" w:styleId="7">
    <w:name w:val="table of authorities"/>
    <w:basedOn w:val="1"/>
    <w:next w:val="1"/>
    <w:autoRedefine/>
    <w:qFormat/>
    <w:uiPriority w:val="0"/>
    <w:pPr>
      <w:widowControl w:val="0"/>
      <w:ind w:left="420"/>
    </w:pPr>
    <w:rPr>
      <w:rFonts w:ascii="Calibri"/>
    </w:rPr>
  </w:style>
  <w:style w:type="paragraph" w:styleId="8">
    <w:name w:val="Normal Indent"/>
    <w:basedOn w:val="1"/>
    <w:next w:val="1"/>
    <w:autoRedefine/>
    <w:qFormat/>
    <w:uiPriority w:val="0"/>
    <w:pPr>
      <w:ind w:firstLine="420"/>
    </w:pPr>
  </w:style>
  <w:style w:type="paragraph" w:styleId="9">
    <w:name w:val="caption"/>
    <w:basedOn w:val="1"/>
    <w:next w:val="1"/>
    <w:autoRedefine/>
    <w:qFormat/>
    <w:uiPriority w:val="0"/>
    <w:pPr>
      <w:ind w:firstLine="6290" w:firstLineChars="2282"/>
    </w:pPr>
    <w:rPr>
      <w:rFonts w:cs="Times New Roman"/>
      <w:b/>
      <w:bCs/>
      <w:color w:val="000080"/>
      <w:sz w:val="28"/>
    </w:rPr>
  </w:style>
  <w:style w:type="paragraph" w:styleId="10">
    <w:name w:val="annotation text"/>
    <w:basedOn w:val="1"/>
    <w:autoRedefine/>
    <w:qFormat/>
    <w:uiPriority w:val="0"/>
    <w:pPr>
      <w:jc w:val="left"/>
    </w:pPr>
  </w:style>
  <w:style w:type="paragraph" w:styleId="11">
    <w:name w:val="Body Text Indent"/>
    <w:basedOn w:val="1"/>
    <w:next w:val="12"/>
    <w:autoRedefine/>
    <w:qFormat/>
    <w:uiPriority w:val="0"/>
    <w:pPr>
      <w:spacing w:line="312" w:lineRule="auto"/>
      <w:ind w:firstLine="735" w:firstLineChars="245"/>
    </w:pPr>
    <w:rPr>
      <w:rFonts w:cs="Times New Roman"/>
      <w:kern w:val="0"/>
      <w:sz w:val="30"/>
      <w:szCs w:val="20"/>
    </w:rPr>
  </w:style>
  <w:style w:type="paragraph" w:customStyle="1" w:styleId="12">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3">
    <w:name w:val="Date"/>
    <w:basedOn w:val="1"/>
    <w:next w:val="1"/>
    <w:autoRedefine/>
    <w:qFormat/>
    <w:uiPriority w:val="0"/>
    <w:pPr>
      <w:ind w:left="100" w:leftChars="2500"/>
    </w:pPr>
    <w:rPr>
      <w:sz w:val="24"/>
    </w:rPr>
  </w:style>
  <w:style w:type="paragraph" w:styleId="14">
    <w:name w:val="Balloon Text"/>
    <w:basedOn w:val="1"/>
    <w:link w:val="174"/>
    <w:uiPriority w:val="0"/>
    <w:rPr>
      <w:sz w:val="18"/>
      <w:szCs w:val="18"/>
    </w:rPr>
  </w:style>
  <w:style w:type="paragraph" w:styleId="15">
    <w:name w:val="footer"/>
    <w:basedOn w:val="1"/>
    <w:link w:val="76"/>
    <w:autoRedefine/>
    <w:qFormat/>
    <w:uiPriority w:val="0"/>
    <w:pPr>
      <w:tabs>
        <w:tab w:val="center" w:pos="4153"/>
        <w:tab w:val="right" w:pos="8306"/>
      </w:tabs>
      <w:spacing w:line="240" w:lineRule="atLeast"/>
      <w:jc w:val="left"/>
    </w:pPr>
    <w:rPr>
      <w:kern w:val="0"/>
      <w:sz w:val="18"/>
      <w:szCs w:val="20"/>
    </w:rPr>
  </w:style>
  <w:style w:type="paragraph" w:styleId="16">
    <w:name w:val="envelope return"/>
    <w:basedOn w:val="1"/>
    <w:autoRedefine/>
    <w:qFormat/>
    <w:uiPriority w:val="0"/>
    <w:pPr>
      <w:snapToGrid w:val="0"/>
    </w:pPr>
    <w:rPr>
      <w:rFonts w:ascii="Arial" w:hAnsi="Arial" w:cs="Times New Roman"/>
    </w:rPr>
  </w:style>
  <w:style w:type="paragraph" w:styleId="17">
    <w:name w:val="header"/>
    <w:basedOn w:val="1"/>
    <w:link w:val="71"/>
    <w:autoRedefine/>
    <w:qFormat/>
    <w:uiPriority w:val="0"/>
    <w:pPr>
      <w:pBdr>
        <w:bottom w:val="single" w:color="000000" w:sz="6" w:space="1"/>
      </w:pBdr>
      <w:tabs>
        <w:tab w:val="center" w:pos="4153"/>
        <w:tab w:val="right" w:pos="8306"/>
      </w:tabs>
      <w:spacing w:line="240" w:lineRule="atLeast"/>
      <w:jc w:val="center"/>
    </w:pPr>
    <w:rPr>
      <w:kern w:val="0"/>
      <w:sz w:val="18"/>
      <w:szCs w:val="20"/>
    </w:rPr>
  </w:style>
  <w:style w:type="paragraph" w:styleId="18">
    <w:name w:val="toc 1"/>
    <w:basedOn w:val="1"/>
    <w:next w:val="1"/>
    <w:autoRedefine/>
    <w:qFormat/>
    <w:uiPriority w:val="0"/>
    <w:pPr>
      <w:spacing w:before="120" w:after="120"/>
      <w:jc w:val="left"/>
    </w:pPr>
    <w:rPr>
      <w:rFonts w:cs="Times New Roman"/>
      <w:b/>
      <w:bCs/>
      <w:caps/>
      <w:sz w:val="20"/>
      <w:szCs w:val="20"/>
    </w:rPr>
  </w:style>
  <w:style w:type="paragraph" w:styleId="19">
    <w:name w:val="footnote text"/>
    <w:basedOn w:val="1"/>
    <w:autoRedefine/>
    <w:qFormat/>
    <w:uiPriority w:val="0"/>
    <w:pPr>
      <w:snapToGrid w:val="0"/>
      <w:jc w:val="left"/>
    </w:pPr>
    <w:rPr>
      <w:sz w:val="18"/>
      <w:szCs w:val="18"/>
    </w:rPr>
  </w:style>
  <w:style w:type="paragraph" w:styleId="20">
    <w:name w:val="Body Text 2"/>
    <w:basedOn w:val="1"/>
    <w:next w:val="1"/>
    <w:autoRedefine/>
    <w:qFormat/>
    <w:uiPriority w:val="0"/>
    <w:pPr>
      <w:spacing w:line="360" w:lineRule="auto"/>
    </w:pPr>
    <w:rPr>
      <w:sz w:val="24"/>
      <w:szCs w:val="20"/>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link w:val="98"/>
    <w:autoRedefine/>
    <w:qFormat/>
    <w:uiPriority w:val="0"/>
    <w:pPr>
      <w:spacing w:before="240" w:after="60" w:line="420" w:lineRule="atLeast"/>
      <w:jc w:val="center"/>
    </w:pPr>
    <w:rPr>
      <w:rFonts w:ascii="Arial" w:hAnsi="Arial"/>
      <w:b/>
      <w:kern w:val="0"/>
      <w:sz w:val="30"/>
      <w:szCs w:val="20"/>
    </w:rPr>
  </w:style>
  <w:style w:type="paragraph" w:styleId="23">
    <w:name w:val="Body Text First Indent 2"/>
    <w:basedOn w:val="11"/>
    <w:next w:val="1"/>
    <w:autoRedefine/>
    <w:qFormat/>
    <w:uiPriority w:val="0"/>
    <w:pPr>
      <w:spacing w:after="120" w:line="240" w:lineRule="auto"/>
      <w:ind w:left="420" w:leftChars="200"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style>
  <w:style w:type="character" w:styleId="28">
    <w:name w:val="FollowedHyperlink"/>
    <w:autoRedefine/>
    <w:qFormat/>
    <w:uiPriority w:val="99"/>
    <w:rPr>
      <w:color w:val="333333"/>
    </w:rPr>
  </w:style>
  <w:style w:type="character" w:styleId="29">
    <w:name w:val="Emphasis"/>
    <w:autoRedefine/>
    <w:qFormat/>
    <w:uiPriority w:val="0"/>
  </w:style>
  <w:style w:type="character" w:styleId="30">
    <w:name w:val="HTML Definition"/>
    <w:basedOn w:val="26"/>
    <w:autoRedefine/>
    <w:qFormat/>
    <w:uiPriority w:val="0"/>
  </w:style>
  <w:style w:type="character" w:styleId="31">
    <w:name w:val="HTML Typewriter"/>
    <w:basedOn w:val="26"/>
    <w:autoRedefine/>
    <w:qFormat/>
    <w:uiPriority w:val="0"/>
    <w:rPr>
      <w:rFonts w:hint="default"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99"/>
    <w:rPr>
      <w:color w:val="333333"/>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rPr>
  </w:style>
  <w:style w:type="paragraph" w:customStyle="1" w:styleId="39">
    <w:name w:val="style4"/>
    <w:basedOn w:val="40"/>
    <w:next w:val="4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正文_0"/>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2">
    <w:name w:val="无间隔1"/>
    <w:next w:val="4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TOC Heading1"/>
    <w:next w:val="1"/>
    <w:autoRedefine/>
    <w:qFormat/>
    <w:uiPriority w:val="0"/>
    <w:pPr>
      <w:wordWrap w:val="0"/>
    </w:pPr>
    <w:rPr>
      <w:rFonts w:ascii="Calibri" w:hAnsi="Calibri" w:eastAsia="宋体" w:cs="Times New Roman"/>
      <w:sz w:val="32"/>
      <w:szCs w:val="22"/>
      <w:lang w:val="en-US" w:eastAsia="zh-CN" w:bidi="ar-SA"/>
    </w:rPr>
  </w:style>
  <w:style w:type="paragraph" w:customStyle="1" w:styleId="4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正文1"/>
    <w:basedOn w:val="1"/>
    <w:next w:val="46"/>
    <w:autoRedefine/>
    <w:qFormat/>
    <w:uiPriority w:val="0"/>
    <w:pPr>
      <w:adjustRightInd w:val="0"/>
      <w:spacing w:line="360" w:lineRule="atLeast"/>
      <w:jc w:val="left"/>
    </w:pPr>
    <w:rPr>
      <w:rFonts w:ascii="宋体" w:cs="Times New Roman"/>
      <w:kern w:val="0"/>
      <w:sz w:val="24"/>
      <w:szCs w:val="20"/>
    </w:rPr>
  </w:style>
  <w:style w:type="paragraph" w:customStyle="1" w:styleId="46">
    <w:name w:val="正文文本1"/>
    <w:basedOn w:val="45"/>
    <w:next w:val="39"/>
    <w:autoRedefine/>
    <w:qFormat/>
    <w:uiPriority w:val="0"/>
    <w:pPr>
      <w:spacing w:after="120"/>
    </w:pPr>
    <w:rPr>
      <w:rFonts w:ascii="Times New Roman"/>
      <w:sz w:val="20"/>
    </w:rPr>
  </w:style>
  <w:style w:type="paragraph" w:customStyle="1" w:styleId="47">
    <w:name w:val="BodyText1I"/>
    <w:basedOn w:val="48"/>
    <w:next w:val="1"/>
    <w:autoRedefine/>
    <w:qFormat/>
    <w:uiPriority w:val="0"/>
    <w:pPr>
      <w:ind w:firstLine="420" w:firstLineChars="100"/>
    </w:pPr>
    <w:rPr>
      <w:sz w:val="21"/>
    </w:rPr>
  </w:style>
  <w:style w:type="paragraph" w:customStyle="1" w:styleId="48">
    <w:name w:val="BodyText"/>
    <w:basedOn w:val="1"/>
    <w:next w:val="49"/>
    <w:autoRedefine/>
    <w:qFormat/>
    <w:uiPriority w:val="0"/>
    <w:pPr>
      <w:spacing w:line="360" w:lineRule="auto"/>
    </w:pPr>
    <w:rPr>
      <w:sz w:val="24"/>
    </w:rPr>
  </w:style>
  <w:style w:type="paragraph" w:customStyle="1" w:styleId="49">
    <w:name w:val="UserStyle_25"/>
    <w:basedOn w:val="50"/>
    <w:next w:val="51"/>
    <w:autoRedefine/>
    <w:qFormat/>
    <w:uiPriority w:val="0"/>
    <w:pPr>
      <w:spacing w:before="100" w:beforeAutospacing="1" w:after="100" w:afterAutospacing="1"/>
      <w:jc w:val="left"/>
    </w:pPr>
    <w:rPr>
      <w:rFonts w:ascii="宋体" w:hAnsi="宋体"/>
      <w:kern w:val="0"/>
      <w:sz w:val="18"/>
      <w:szCs w:val="18"/>
    </w:rPr>
  </w:style>
  <w:style w:type="paragraph" w:customStyle="1" w:styleId="50">
    <w:name w:val="UserStyle_22"/>
    <w:next w:val="47"/>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51">
    <w:name w:val="UserStyle_29"/>
    <w:next w:val="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2">
    <w:name w:val="Heading1"/>
    <w:basedOn w:val="1"/>
    <w:next w:val="1"/>
    <w:link w:val="68"/>
    <w:autoRedefine/>
    <w:qFormat/>
    <w:uiPriority w:val="0"/>
    <w:pPr>
      <w:keepNext/>
      <w:keepLines/>
      <w:spacing w:before="340" w:after="330" w:line="400" w:lineRule="atLeast"/>
      <w:jc w:val="center"/>
    </w:pPr>
    <w:rPr>
      <w:rFonts w:ascii="黑体" w:hAnsi="黑体" w:eastAsia="黑体"/>
      <w:b/>
      <w:kern w:val="44"/>
      <w:sz w:val="30"/>
      <w:szCs w:val="20"/>
    </w:rPr>
  </w:style>
  <w:style w:type="paragraph" w:customStyle="1" w:styleId="53">
    <w:name w:val="Heading2"/>
    <w:basedOn w:val="1"/>
    <w:next w:val="54"/>
    <w:link w:val="95"/>
    <w:autoRedefine/>
    <w:qFormat/>
    <w:uiPriority w:val="0"/>
    <w:pPr>
      <w:keepNext/>
      <w:keepLines/>
      <w:spacing w:before="260" w:after="260" w:line="416" w:lineRule="atLeast"/>
    </w:pPr>
    <w:rPr>
      <w:rFonts w:ascii="Arial" w:hAnsi="Arial" w:eastAsia="黑体"/>
      <w:b/>
      <w:kern w:val="0"/>
      <w:sz w:val="28"/>
      <w:szCs w:val="20"/>
    </w:rPr>
  </w:style>
  <w:style w:type="paragraph" w:customStyle="1" w:styleId="54">
    <w:name w:val="NormalIndent"/>
    <w:basedOn w:val="1"/>
    <w:link w:val="77"/>
    <w:autoRedefine/>
    <w:qFormat/>
    <w:uiPriority w:val="0"/>
    <w:pPr>
      <w:ind w:firstLine="420" w:firstLineChars="200"/>
    </w:pPr>
    <w:rPr>
      <w:szCs w:val="20"/>
    </w:rPr>
  </w:style>
  <w:style w:type="paragraph" w:customStyle="1" w:styleId="55">
    <w:name w:val="Heading3"/>
    <w:basedOn w:val="1"/>
    <w:next w:val="1"/>
    <w:link w:val="79"/>
    <w:autoRedefine/>
    <w:qFormat/>
    <w:uiPriority w:val="0"/>
    <w:pPr>
      <w:keepNext/>
      <w:keepLines/>
      <w:numPr>
        <w:ilvl w:val="2"/>
        <w:numId w:val="2"/>
      </w:numPr>
      <w:spacing w:before="260" w:after="260" w:line="416" w:lineRule="atLeast"/>
    </w:pPr>
    <w:rPr>
      <w:b/>
      <w:kern w:val="0"/>
      <w:sz w:val="32"/>
      <w:szCs w:val="20"/>
    </w:rPr>
  </w:style>
  <w:style w:type="paragraph" w:customStyle="1" w:styleId="56">
    <w:name w:val="Heading4"/>
    <w:basedOn w:val="1"/>
    <w:next w:val="1"/>
    <w:link w:val="82"/>
    <w:autoRedefine/>
    <w:qFormat/>
    <w:uiPriority w:val="0"/>
    <w:pPr>
      <w:keepNext/>
      <w:keepLines/>
      <w:numPr>
        <w:ilvl w:val="3"/>
        <w:numId w:val="2"/>
      </w:numPr>
      <w:spacing w:before="280" w:after="290" w:line="376" w:lineRule="atLeast"/>
    </w:pPr>
    <w:rPr>
      <w:rFonts w:ascii="Arial" w:hAnsi="Arial" w:eastAsia="黑体"/>
      <w:b/>
      <w:kern w:val="0"/>
      <w:sz w:val="28"/>
      <w:szCs w:val="20"/>
    </w:rPr>
  </w:style>
  <w:style w:type="paragraph" w:customStyle="1" w:styleId="57">
    <w:name w:val="Heading5"/>
    <w:basedOn w:val="1"/>
    <w:next w:val="1"/>
    <w:autoRedefine/>
    <w:qFormat/>
    <w:uiPriority w:val="0"/>
    <w:pPr>
      <w:keepNext/>
      <w:keepLines/>
      <w:numPr>
        <w:ilvl w:val="4"/>
        <w:numId w:val="2"/>
      </w:numPr>
      <w:spacing w:before="280" w:after="290" w:line="376" w:lineRule="atLeast"/>
    </w:pPr>
    <w:rPr>
      <w:b/>
      <w:kern w:val="0"/>
      <w:sz w:val="28"/>
      <w:szCs w:val="20"/>
    </w:rPr>
  </w:style>
  <w:style w:type="paragraph" w:customStyle="1" w:styleId="58">
    <w:name w:val="Heading6"/>
    <w:basedOn w:val="1"/>
    <w:next w:val="1"/>
    <w:autoRedefine/>
    <w:qFormat/>
    <w:uiPriority w:val="0"/>
    <w:pPr>
      <w:keepNext/>
      <w:keepLines/>
      <w:numPr>
        <w:ilvl w:val="5"/>
        <w:numId w:val="2"/>
      </w:numPr>
      <w:spacing w:before="240" w:after="64" w:line="320" w:lineRule="atLeast"/>
    </w:pPr>
    <w:rPr>
      <w:rFonts w:ascii="Arial" w:hAnsi="Arial" w:eastAsia="黑体"/>
      <w:b/>
      <w:kern w:val="0"/>
      <w:sz w:val="24"/>
      <w:szCs w:val="20"/>
    </w:rPr>
  </w:style>
  <w:style w:type="paragraph" w:customStyle="1" w:styleId="59">
    <w:name w:val="Heading7"/>
    <w:basedOn w:val="1"/>
    <w:next w:val="1"/>
    <w:autoRedefine/>
    <w:qFormat/>
    <w:uiPriority w:val="0"/>
    <w:pPr>
      <w:keepNext/>
      <w:keepLines/>
      <w:numPr>
        <w:ilvl w:val="6"/>
        <w:numId w:val="2"/>
      </w:numPr>
      <w:spacing w:before="240" w:after="64" w:line="320" w:lineRule="atLeast"/>
    </w:pPr>
    <w:rPr>
      <w:b/>
      <w:kern w:val="0"/>
      <w:sz w:val="24"/>
      <w:szCs w:val="20"/>
    </w:rPr>
  </w:style>
  <w:style w:type="paragraph" w:customStyle="1" w:styleId="60">
    <w:name w:val="Heading8"/>
    <w:basedOn w:val="1"/>
    <w:next w:val="1"/>
    <w:autoRedefine/>
    <w:qFormat/>
    <w:uiPriority w:val="0"/>
    <w:pPr>
      <w:keepNext/>
      <w:keepLines/>
      <w:numPr>
        <w:ilvl w:val="7"/>
        <w:numId w:val="2"/>
      </w:numPr>
      <w:spacing w:before="240" w:after="64" w:line="320" w:lineRule="atLeast"/>
    </w:pPr>
    <w:rPr>
      <w:rFonts w:ascii="Arial" w:hAnsi="Arial" w:eastAsia="黑体"/>
      <w:kern w:val="0"/>
      <w:sz w:val="24"/>
      <w:szCs w:val="20"/>
    </w:rPr>
  </w:style>
  <w:style w:type="paragraph" w:customStyle="1" w:styleId="61">
    <w:name w:val="Heading9"/>
    <w:basedOn w:val="1"/>
    <w:next w:val="1"/>
    <w:autoRedefine/>
    <w:qFormat/>
    <w:uiPriority w:val="0"/>
    <w:pPr>
      <w:keepNext/>
      <w:keepLines/>
      <w:numPr>
        <w:ilvl w:val="8"/>
        <w:numId w:val="2"/>
      </w:numPr>
      <w:spacing w:before="240" w:after="64" w:line="320" w:lineRule="atLeast"/>
    </w:pPr>
    <w:rPr>
      <w:rFonts w:ascii="Arial" w:hAnsi="Arial" w:eastAsia="黑体"/>
      <w:kern w:val="0"/>
      <w:szCs w:val="20"/>
    </w:rPr>
  </w:style>
  <w:style w:type="character" w:customStyle="1" w:styleId="62">
    <w:name w:val="NormalCharacter"/>
    <w:autoRedefine/>
    <w:qFormat/>
    <w:uiPriority w:val="0"/>
  </w:style>
  <w:style w:type="table" w:customStyle="1" w:styleId="63">
    <w:name w:val="TableNormal"/>
    <w:autoRedefine/>
    <w:semiHidden/>
    <w:qFormat/>
    <w:uiPriority w:val="0"/>
    <w:tblPr>
      <w:tblCellMar>
        <w:top w:w="0" w:type="dxa"/>
        <w:left w:w="0" w:type="dxa"/>
        <w:bottom w:w="0" w:type="dxa"/>
        <w:right w:w="0" w:type="dxa"/>
      </w:tblCellMar>
    </w:tblPr>
  </w:style>
  <w:style w:type="character" w:customStyle="1" w:styleId="64">
    <w:name w:val="HtmlCode"/>
    <w:autoRedefine/>
    <w:qFormat/>
    <w:uiPriority w:val="0"/>
    <w:rPr>
      <w:rFonts w:ascii="monospace" w:hAnsi="monospace" w:eastAsia="monospace"/>
      <w:sz w:val="20"/>
    </w:rPr>
  </w:style>
  <w:style w:type="character" w:customStyle="1" w:styleId="65">
    <w:name w:val="UserStyle_0"/>
    <w:autoRedefine/>
    <w:qFormat/>
    <w:uiPriority w:val="0"/>
    <w:rPr>
      <w:kern w:val="2"/>
      <w:sz w:val="18"/>
      <w:szCs w:val="18"/>
    </w:rPr>
  </w:style>
  <w:style w:type="character" w:customStyle="1" w:styleId="66">
    <w:name w:val="HtmlKbd"/>
    <w:autoRedefine/>
    <w:qFormat/>
    <w:uiPriority w:val="0"/>
    <w:rPr>
      <w:rFonts w:ascii="monospace" w:hAnsi="monospace" w:eastAsia="monospace"/>
      <w:sz w:val="20"/>
    </w:rPr>
  </w:style>
  <w:style w:type="character" w:customStyle="1" w:styleId="67">
    <w:name w:val="UserStyle_1"/>
    <w:basedOn w:val="62"/>
    <w:autoRedefine/>
    <w:qFormat/>
    <w:uiPriority w:val="0"/>
  </w:style>
  <w:style w:type="character" w:customStyle="1" w:styleId="68">
    <w:name w:val="UserStyle_2"/>
    <w:link w:val="52"/>
    <w:autoRedefine/>
    <w:qFormat/>
    <w:uiPriority w:val="0"/>
    <w:rPr>
      <w:rFonts w:ascii="黑体" w:hAnsi="黑体" w:eastAsia="黑体"/>
      <w:b/>
      <w:kern w:val="44"/>
      <w:sz w:val="30"/>
      <w:lang w:val="en-US" w:eastAsia="zh-CN" w:bidi="ar-SA"/>
    </w:rPr>
  </w:style>
  <w:style w:type="character" w:customStyle="1" w:styleId="69">
    <w:name w:val="FootnoteReference"/>
    <w:autoRedefine/>
    <w:qFormat/>
    <w:uiPriority w:val="0"/>
    <w:rPr>
      <w:vertAlign w:val="superscript"/>
    </w:rPr>
  </w:style>
  <w:style w:type="character" w:customStyle="1" w:styleId="70">
    <w:name w:val="HtmlDfn"/>
    <w:autoRedefine/>
    <w:qFormat/>
    <w:uiPriority w:val="0"/>
  </w:style>
  <w:style w:type="character" w:customStyle="1" w:styleId="71">
    <w:name w:val="页眉 Char"/>
    <w:link w:val="17"/>
    <w:autoRedefine/>
    <w:qFormat/>
    <w:uiPriority w:val="0"/>
    <w:rPr>
      <w:sz w:val="18"/>
    </w:rPr>
  </w:style>
  <w:style w:type="character" w:customStyle="1" w:styleId="72">
    <w:name w:val="UserStyle_4"/>
    <w:autoRedefine/>
    <w:qFormat/>
    <w:uiPriority w:val="0"/>
    <w:rPr>
      <w:kern w:val="2"/>
      <w:sz w:val="18"/>
      <w:szCs w:val="18"/>
    </w:rPr>
  </w:style>
  <w:style w:type="character" w:customStyle="1" w:styleId="73">
    <w:name w:val="HtmlVar"/>
    <w:autoRedefine/>
    <w:qFormat/>
    <w:uiPriority w:val="0"/>
  </w:style>
  <w:style w:type="character" w:customStyle="1" w:styleId="74">
    <w:name w:val="UserStyle_5"/>
    <w:autoRedefine/>
    <w:qFormat/>
    <w:uiPriority w:val="0"/>
  </w:style>
  <w:style w:type="character" w:customStyle="1" w:styleId="75">
    <w:name w:val="UserStyle_6"/>
    <w:basedOn w:val="62"/>
    <w:autoRedefine/>
    <w:qFormat/>
    <w:uiPriority w:val="0"/>
  </w:style>
  <w:style w:type="character" w:customStyle="1" w:styleId="76">
    <w:name w:val="页脚 Char"/>
    <w:link w:val="15"/>
    <w:autoRedefine/>
    <w:qFormat/>
    <w:uiPriority w:val="0"/>
    <w:rPr>
      <w:sz w:val="18"/>
    </w:rPr>
  </w:style>
  <w:style w:type="character" w:customStyle="1" w:styleId="77">
    <w:name w:val="UserStyle_8"/>
    <w:link w:val="54"/>
    <w:autoRedefine/>
    <w:qFormat/>
    <w:locked/>
    <w:uiPriority w:val="0"/>
    <w:rPr>
      <w:rFonts w:eastAsia="宋体"/>
      <w:kern w:val="2"/>
      <w:sz w:val="21"/>
      <w:lang w:val="en-US" w:eastAsia="zh-CN" w:bidi="ar-SA"/>
    </w:rPr>
  </w:style>
  <w:style w:type="character" w:customStyle="1" w:styleId="78">
    <w:name w:val="UserStyle_9"/>
    <w:autoRedefine/>
    <w:qFormat/>
    <w:uiPriority w:val="0"/>
    <w:rPr>
      <w:rFonts w:eastAsia="仿宋_GB2312"/>
      <w:color w:val="000000"/>
      <w:sz w:val="28"/>
    </w:rPr>
  </w:style>
  <w:style w:type="character" w:customStyle="1" w:styleId="79">
    <w:name w:val="UserStyle_10"/>
    <w:link w:val="55"/>
    <w:autoRedefine/>
    <w:qFormat/>
    <w:uiPriority w:val="0"/>
    <w:rPr>
      <w:rFonts w:eastAsia="宋体"/>
      <w:b/>
      <w:sz w:val="32"/>
      <w:lang w:val="en-US" w:eastAsia="zh-CN" w:bidi="ar-SA"/>
    </w:rPr>
  </w:style>
  <w:style w:type="character" w:customStyle="1" w:styleId="80">
    <w:name w:val="htmlSamp"/>
    <w:autoRedefine/>
    <w:qFormat/>
    <w:uiPriority w:val="0"/>
    <w:rPr>
      <w:rFonts w:ascii="monospace" w:hAnsi="monospace" w:eastAsia="monospace"/>
    </w:rPr>
  </w:style>
  <w:style w:type="character" w:customStyle="1" w:styleId="81">
    <w:name w:val="HtmlCite"/>
    <w:autoRedefine/>
    <w:qFormat/>
    <w:uiPriority w:val="0"/>
  </w:style>
  <w:style w:type="character" w:customStyle="1" w:styleId="82">
    <w:name w:val="UserStyle_11"/>
    <w:link w:val="56"/>
    <w:autoRedefine/>
    <w:qFormat/>
    <w:uiPriority w:val="0"/>
    <w:rPr>
      <w:rFonts w:ascii="Arial" w:hAnsi="Arial" w:eastAsia="黑体"/>
      <w:b/>
      <w:sz w:val="28"/>
      <w:lang w:val="en-US" w:eastAsia="zh-CN" w:bidi="ar-SA"/>
    </w:rPr>
  </w:style>
  <w:style w:type="character" w:customStyle="1" w:styleId="83">
    <w:name w:val="HtmlAcronym"/>
    <w:basedOn w:val="62"/>
    <w:autoRedefine/>
    <w:qFormat/>
    <w:uiPriority w:val="0"/>
  </w:style>
  <w:style w:type="character" w:customStyle="1" w:styleId="84">
    <w:name w:val="HtmlTt"/>
    <w:autoRedefine/>
    <w:qFormat/>
    <w:uiPriority w:val="0"/>
    <w:rPr>
      <w:rFonts w:ascii="monospace" w:hAnsi="monospace" w:eastAsia="monospace"/>
      <w:sz w:val="20"/>
    </w:rPr>
  </w:style>
  <w:style w:type="character" w:customStyle="1" w:styleId="85">
    <w:name w:val="PageNumber"/>
    <w:basedOn w:val="62"/>
    <w:autoRedefine/>
    <w:qFormat/>
    <w:uiPriority w:val="0"/>
  </w:style>
  <w:style w:type="character" w:customStyle="1" w:styleId="86">
    <w:name w:val="UserStyle_12"/>
    <w:basedOn w:val="62"/>
    <w:autoRedefine/>
    <w:qFormat/>
    <w:uiPriority w:val="0"/>
  </w:style>
  <w:style w:type="character" w:customStyle="1" w:styleId="87">
    <w:name w:val="AnnotationReference"/>
    <w:autoRedefine/>
    <w:qFormat/>
    <w:uiPriority w:val="0"/>
    <w:rPr>
      <w:sz w:val="21"/>
    </w:rPr>
  </w:style>
  <w:style w:type="character" w:customStyle="1" w:styleId="88">
    <w:name w:val="UserStyle_13"/>
    <w:link w:val="89"/>
    <w:autoRedefine/>
    <w:qFormat/>
    <w:uiPriority w:val="0"/>
    <w:rPr>
      <w:rFonts w:eastAsia="宋体"/>
      <w:kern w:val="2"/>
      <w:sz w:val="24"/>
      <w:szCs w:val="24"/>
      <w:lang w:val="en-US" w:eastAsia="zh-CN" w:bidi="ar-SA"/>
    </w:rPr>
  </w:style>
  <w:style w:type="paragraph" w:customStyle="1" w:styleId="89">
    <w:name w:val="BodyTextIndent"/>
    <w:basedOn w:val="1"/>
    <w:next w:val="90"/>
    <w:link w:val="88"/>
    <w:autoRedefine/>
    <w:qFormat/>
    <w:uiPriority w:val="0"/>
    <w:pPr>
      <w:spacing w:line="360" w:lineRule="auto"/>
      <w:ind w:left="540" w:leftChars="257" w:firstLine="360" w:firstLineChars="150"/>
    </w:pPr>
    <w:rPr>
      <w:sz w:val="24"/>
    </w:rPr>
  </w:style>
  <w:style w:type="paragraph" w:customStyle="1" w:styleId="90">
    <w:name w:val="EnvelopeReturn"/>
    <w:basedOn w:val="1"/>
    <w:autoRedefine/>
    <w:qFormat/>
    <w:uiPriority w:val="0"/>
    <w:pPr>
      <w:snapToGrid w:val="0"/>
    </w:pPr>
    <w:rPr>
      <w:rFonts w:ascii="Arial" w:hAnsi="Arial"/>
    </w:rPr>
  </w:style>
  <w:style w:type="character" w:customStyle="1" w:styleId="91">
    <w:name w:val="UserStyle_14"/>
    <w:basedOn w:val="62"/>
    <w:autoRedefine/>
    <w:qFormat/>
    <w:uiPriority w:val="0"/>
  </w:style>
  <w:style w:type="character" w:customStyle="1" w:styleId="92">
    <w:name w:val="UserStyle_15"/>
    <w:autoRedefine/>
    <w:qFormat/>
    <w:uiPriority w:val="0"/>
    <w:rPr>
      <w:rFonts w:ascii="Cambria" w:hAnsi="Cambria" w:eastAsia="仿宋_GB2312" w:cs="Times New Roman"/>
      <w:b/>
      <w:bCs/>
      <w:sz w:val="36"/>
      <w:szCs w:val="32"/>
      <w:lang w:bidi="ar-SA"/>
    </w:rPr>
  </w:style>
  <w:style w:type="character" w:customStyle="1" w:styleId="93">
    <w:name w:val="UserStyle_16"/>
    <w:autoRedefine/>
    <w:qFormat/>
    <w:uiPriority w:val="0"/>
    <w:rPr>
      <w:rFonts w:ascii="Arial" w:hAnsi="Arial" w:cs="Arial"/>
      <w:b/>
      <w:bCs/>
      <w:sz w:val="32"/>
      <w:szCs w:val="32"/>
    </w:rPr>
  </w:style>
  <w:style w:type="character" w:customStyle="1" w:styleId="94">
    <w:name w:val="UserStyle_17"/>
    <w:autoRedefine/>
    <w:qFormat/>
    <w:uiPriority w:val="0"/>
    <w:rPr>
      <w:kern w:val="2"/>
      <w:sz w:val="21"/>
      <w:szCs w:val="24"/>
      <w:lang w:val="en-US" w:eastAsia="zh-CN" w:bidi="ar-SA"/>
    </w:rPr>
  </w:style>
  <w:style w:type="character" w:customStyle="1" w:styleId="95">
    <w:name w:val="UserStyle_18"/>
    <w:link w:val="53"/>
    <w:autoRedefine/>
    <w:qFormat/>
    <w:uiPriority w:val="0"/>
    <w:rPr>
      <w:rFonts w:ascii="Arial" w:hAnsi="Arial" w:eastAsia="黑体"/>
      <w:b/>
      <w:sz w:val="28"/>
      <w:lang w:val="en-US" w:eastAsia="zh-CN" w:bidi="ar-SA"/>
    </w:rPr>
  </w:style>
  <w:style w:type="character" w:customStyle="1" w:styleId="96">
    <w:name w:val="UserStyle_19"/>
    <w:link w:val="97"/>
    <w:autoRedefine/>
    <w:qFormat/>
    <w:locked/>
    <w:uiPriority w:val="0"/>
    <w:rPr>
      <w:rFonts w:eastAsia="宋体"/>
      <w:kern w:val="2"/>
      <w:sz w:val="21"/>
      <w:szCs w:val="24"/>
      <w:lang w:val="en-US" w:eastAsia="zh-CN" w:bidi="ar-SA"/>
    </w:rPr>
  </w:style>
  <w:style w:type="paragraph" w:customStyle="1" w:styleId="97">
    <w:name w:val="AnnotationText"/>
    <w:basedOn w:val="1"/>
    <w:link w:val="96"/>
    <w:autoRedefine/>
    <w:qFormat/>
    <w:uiPriority w:val="0"/>
    <w:pPr>
      <w:jc w:val="left"/>
    </w:pPr>
  </w:style>
  <w:style w:type="character" w:customStyle="1" w:styleId="98">
    <w:name w:val="标题 Char"/>
    <w:link w:val="22"/>
    <w:autoRedefine/>
    <w:qFormat/>
    <w:uiPriority w:val="0"/>
    <w:rPr>
      <w:rFonts w:ascii="Arial" w:hAnsi="Arial"/>
      <w:b/>
      <w:sz w:val="30"/>
      <w:lang w:bidi="ar-SA"/>
    </w:rPr>
  </w:style>
  <w:style w:type="paragraph" w:customStyle="1" w:styleId="99">
    <w:name w:val="UserStyle_21"/>
    <w:basedOn w:val="50"/>
    <w:autoRedefine/>
    <w:qFormat/>
    <w:uiPriority w:val="0"/>
    <w:pPr>
      <w:spacing w:before="100" w:beforeAutospacing="1" w:after="100" w:afterAutospacing="1"/>
      <w:jc w:val="left"/>
    </w:pPr>
    <w:rPr>
      <w:rFonts w:ascii="宋体" w:hAnsi="宋体"/>
      <w:kern w:val="0"/>
      <w:sz w:val="24"/>
    </w:rPr>
  </w:style>
  <w:style w:type="paragraph" w:customStyle="1" w:styleId="100">
    <w:name w:val="UserStyle_23"/>
    <w:basedOn w:val="1"/>
    <w:autoRedefine/>
    <w:qFormat/>
    <w:uiPriority w:val="0"/>
    <w:pPr>
      <w:ind w:firstLine="420" w:firstLineChars="200"/>
    </w:pPr>
    <w:rPr>
      <w:szCs w:val="20"/>
    </w:rPr>
  </w:style>
  <w:style w:type="paragraph" w:customStyle="1" w:styleId="101">
    <w:name w:val="UserStyle_24"/>
    <w:autoRedefine/>
    <w:qFormat/>
    <w:uiPriority w:val="0"/>
    <w:pPr>
      <w:ind w:left="200" w:leftChars="200"/>
      <w:textAlignment w:val="baseline"/>
    </w:pPr>
    <w:rPr>
      <w:rFonts w:ascii="Times New Roman" w:hAnsi="Times New Roman" w:eastAsia="宋体" w:cstheme="minorBidi"/>
      <w:lang w:val="en-US" w:eastAsia="zh-CN" w:bidi="ar-SA"/>
    </w:rPr>
  </w:style>
  <w:style w:type="paragraph" w:customStyle="1" w:styleId="102">
    <w:name w:val="TOC5"/>
    <w:basedOn w:val="1"/>
    <w:next w:val="1"/>
    <w:autoRedefine/>
    <w:qFormat/>
    <w:uiPriority w:val="0"/>
    <w:pPr>
      <w:ind w:left="840"/>
      <w:jc w:val="left"/>
    </w:pPr>
    <w:rPr>
      <w:sz w:val="18"/>
      <w:szCs w:val="18"/>
    </w:rPr>
  </w:style>
  <w:style w:type="paragraph" w:customStyle="1" w:styleId="103">
    <w:name w:val="UserStyle_26"/>
    <w:basedOn w:val="56"/>
    <w:autoRedefine/>
    <w:qFormat/>
    <w:uiPriority w:val="0"/>
    <w:pPr>
      <w:numPr>
        <w:ilvl w:val="0"/>
        <w:numId w:val="0"/>
      </w:numPr>
      <w:spacing w:before="40" w:after="40" w:line="377" w:lineRule="auto"/>
      <w:textAlignment w:val="auto"/>
    </w:pPr>
    <w:rPr>
      <w:kern w:val="2"/>
      <w:sz w:val="24"/>
    </w:rPr>
  </w:style>
  <w:style w:type="paragraph" w:customStyle="1" w:styleId="104">
    <w:name w:val="UserStyle_27"/>
    <w:basedOn w:val="55"/>
    <w:autoRedefine/>
    <w:qFormat/>
    <w:uiPriority w:val="0"/>
    <w:pPr>
      <w:numPr>
        <w:ilvl w:val="0"/>
        <w:numId w:val="0"/>
      </w:numPr>
      <w:tabs>
        <w:tab w:val="left" w:pos="2940"/>
      </w:tabs>
      <w:spacing w:before="0" w:after="0" w:line="400" w:lineRule="exact"/>
      <w:textAlignment w:val="auto"/>
    </w:pPr>
    <w:rPr>
      <w:rFonts w:eastAsia="黑体"/>
      <w:b w:val="0"/>
      <w:kern w:val="2"/>
      <w:sz w:val="24"/>
    </w:rPr>
  </w:style>
  <w:style w:type="paragraph" w:customStyle="1" w:styleId="105">
    <w:name w:val="TOC9"/>
    <w:basedOn w:val="1"/>
    <w:next w:val="1"/>
    <w:autoRedefine/>
    <w:qFormat/>
    <w:uiPriority w:val="0"/>
    <w:pPr>
      <w:ind w:left="1680"/>
      <w:jc w:val="left"/>
    </w:pPr>
    <w:rPr>
      <w:sz w:val="18"/>
      <w:szCs w:val="18"/>
    </w:rPr>
  </w:style>
  <w:style w:type="paragraph" w:customStyle="1" w:styleId="106">
    <w:name w:val="TOC7"/>
    <w:basedOn w:val="1"/>
    <w:next w:val="1"/>
    <w:autoRedefine/>
    <w:qFormat/>
    <w:uiPriority w:val="0"/>
    <w:pPr>
      <w:ind w:left="1260"/>
      <w:jc w:val="left"/>
    </w:pPr>
    <w:rPr>
      <w:sz w:val="18"/>
      <w:szCs w:val="18"/>
    </w:rPr>
  </w:style>
  <w:style w:type="paragraph" w:customStyle="1" w:styleId="107">
    <w:name w:val="FormTop"/>
    <w:basedOn w:val="1"/>
    <w:next w:val="1"/>
    <w:autoRedefine/>
    <w:qFormat/>
    <w:uiPriority w:val="0"/>
    <w:pPr>
      <w:pBdr>
        <w:bottom w:val="single" w:color="000000" w:sz="6" w:space="1"/>
      </w:pBdr>
      <w:jc w:val="center"/>
    </w:pPr>
    <w:rPr>
      <w:rFonts w:ascii="Arial"/>
      <w:vanish/>
      <w:sz w:val="16"/>
    </w:rPr>
  </w:style>
  <w:style w:type="paragraph" w:customStyle="1" w:styleId="108">
    <w:name w:val="BodyText2"/>
    <w:basedOn w:val="1"/>
    <w:autoRedefine/>
    <w:qFormat/>
    <w:uiPriority w:val="0"/>
    <w:pPr>
      <w:spacing w:after="120" w:line="480" w:lineRule="auto"/>
    </w:pPr>
    <w:rPr>
      <w:kern w:val="0"/>
      <w:sz w:val="20"/>
      <w:szCs w:val="20"/>
    </w:rPr>
  </w:style>
  <w:style w:type="paragraph" w:customStyle="1" w:styleId="109">
    <w:name w:val="TOC6"/>
    <w:basedOn w:val="1"/>
    <w:next w:val="1"/>
    <w:autoRedefine/>
    <w:qFormat/>
    <w:uiPriority w:val="0"/>
    <w:pPr>
      <w:ind w:left="1050"/>
      <w:jc w:val="left"/>
    </w:pPr>
    <w:rPr>
      <w:sz w:val="18"/>
      <w:szCs w:val="18"/>
    </w:rPr>
  </w:style>
  <w:style w:type="paragraph" w:customStyle="1" w:styleId="110">
    <w:name w:val="UserStyle_28"/>
    <w:basedOn w:val="1"/>
    <w:autoRedefine/>
    <w:qFormat/>
    <w:uiPriority w:val="0"/>
    <w:pPr>
      <w:snapToGrid w:val="0"/>
      <w:spacing w:before="93" w:after="93" w:line="300" w:lineRule="auto"/>
      <w:ind w:firstLine="200" w:firstLineChars="200"/>
    </w:pPr>
    <w:rPr>
      <w:szCs w:val="20"/>
    </w:rPr>
  </w:style>
  <w:style w:type="paragraph" w:customStyle="1" w:styleId="111">
    <w:name w:val="Acetate"/>
    <w:basedOn w:val="1"/>
    <w:autoRedefine/>
    <w:qFormat/>
    <w:uiPriority w:val="0"/>
    <w:rPr>
      <w:sz w:val="18"/>
      <w:szCs w:val="18"/>
    </w:rPr>
  </w:style>
  <w:style w:type="paragraph" w:customStyle="1" w:styleId="112">
    <w:name w:val="UserStyle_30"/>
    <w:basedOn w:val="1"/>
    <w:autoRedefine/>
    <w:qFormat/>
    <w:uiPriority w:val="0"/>
    <w:pPr>
      <w:spacing w:line="420" w:lineRule="atLeast"/>
      <w:jc w:val="left"/>
    </w:pPr>
    <w:rPr>
      <w:kern w:val="0"/>
      <w:szCs w:val="20"/>
    </w:rPr>
  </w:style>
  <w:style w:type="paragraph" w:customStyle="1" w:styleId="113">
    <w:name w:val="TOC8"/>
    <w:basedOn w:val="1"/>
    <w:next w:val="1"/>
    <w:autoRedefine/>
    <w:qFormat/>
    <w:uiPriority w:val="0"/>
    <w:pPr>
      <w:ind w:left="1470"/>
      <w:jc w:val="left"/>
    </w:pPr>
    <w:rPr>
      <w:sz w:val="18"/>
      <w:szCs w:val="18"/>
    </w:rPr>
  </w:style>
  <w:style w:type="paragraph" w:customStyle="1" w:styleId="114">
    <w:name w:val="UserStyle_31"/>
    <w:autoRedefine/>
    <w:qFormat/>
    <w:uiPriority w:val="0"/>
    <w:pPr>
      <w:spacing w:line="560" w:lineRule="atLeast"/>
      <w:ind w:firstLine="200" w:firstLineChars="200"/>
      <w:jc w:val="both"/>
      <w:textAlignment w:val="baseline"/>
    </w:pPr>
    <w:rPr>
      <w:rFonts w:ascii="Times New Roman" w:hAnsi="Times New Roman" w:eastAsia="仿宋_GB2312" w:cstheme="minorBidi"/>
      <w:sz w:val="32"/>
      <w:lang w:val="en-US" w:eastAsia="zh-CN" w:bidi="ar-SA"/>
    </w:rPr>
  </w:style>
  <w:style w:type="paragraph" w:customStyle="1" w:styleId="115">
    <w:name w:val="BodyTextIndent3"/>
    <w:basedOn w:val="1"/>
    <w:autoRedefine/>
    <w:qFormat/>
    <w:uiPriority w:val="0"/>
    <w:pPr>
      <w:spacing w:line="400" w:lineRule="atLeast"/>
      <w:ind w:left="360" w:firstLine="410" w:firstLineChars="171"/>
    </w:pPr>
    <w:rPr>
      <w:sz w:val="24"/>
    </w:rPr>
  </w:style>
  <w:style w:type="paragraph" w:customStyle="1" w:styleId="116">
    <w:name w:val="List2"/>
    <w:basedOn w:val="1"/>
    <w:autoRedefine/>
    <w:qFormat/>
    <w:uiPriority w:val="0"/>
    <w:pPr>
      <w:ind w:left="100" w:leftChars="200" w:hanging="200" w:hangingChars="200"/>
    </w:pPr>
    <w:rPr>
      <w:szCs w:val="20"/>
    </w:rPr>
  </w:style>
  <w:style w:type="paragraph" w:customStyle="1" w:styleId="117">
    <w:name w:val="UserStyle_32"/>
    <w:basedOn w:val="1"/>
    <w:autoRedefine/>
    <w:qFormat/>
    <w:uiPriority w:val="0"/>
    <w:pPr>
      <w:numPr>
        <w:ilvl w:val="0"/>
        <w:numId w:val="3"/>
      </w:numPr>
    </w:pPr>
    <w:rPr>
      <w:rFonts w:ascii="宋体" w:hAnsi="宋体"/>
      <w:kern w:val="0"/>
      <w:szCs w:val="21"/>
    </w:rPr>
  </w:style>
  <w:style w:type="paragraph" w:customStyle="1" w:styleId="118">
    <w:name w:val="UserStyle_33"/>
    <w:basedOn w:val="50"/>
    <w:autoRedefine/>
    <w:qFormat/>
    <w:uiPriority w:val="0"/>
    <w:pPr>
      <w:spacing w:after="120"/>
    </w:pPr>
    <w:rPr>
      <w:kern w:val="0"/>
      <w:sz w:val="20"/>
    </w:rPr>
  </w:style>
  <w:style w:type="paragraph" w:customStyle="1" w:styleId="119">
    <w:name w:val="UserStyle_34"/>
    <w:basedOn w:val="1"/>
    <w:autoRedefine/>
    <w:qFormat/>
    <w:uiPriority w:val="0"/>
    <w:rPr>
      <w:kern w:val="0"/>
      <w:szCs w:val="21"/>
    </w:rPr>
  </w:style>
  <w:style w:type="paragraph" w:customStyle="1" w:styleId="120">
    <w:name w:val="UserStyle_35"/>
    <w:autoRedefine/>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21">
    <w:name w:val="UserStyle_36"/>
    <w:basedOn w:val="1"/>
    <w:next w:val="1"/>
    <w:autoRedefine/>
    <w:qFormat/>
    <w:uiPriority w:val="0"/>
    <w:rPr>
      <w:sz w:val="28"/>
      <w:szCs w:val="20"/>
    </w:rPr>
  </w:style>
  <w:style w:type="paragraph" w:customStyle="1" w:styleId="122">
    <w:name w:val="PlainText"/>
    <w:basedOn w:val="1"/>
    <w:autoRedefine/>
    <w:qFormat/>
    <w:uiPriority w:val="0"/>
    <w:rPr>
      <w:rFonts w:ascii="宋体" w:hAnsi="Courier New"/>
      <w:szCs w:val="21"/>
    </w:rPr>
  </w:style>
  <w:style w:type="paragraph" w:customStyle="1" w:styleId="123">
    <w:name w:val="UserStyle_37"/>
    <w:basedOn w:val="52"/>
    <w:next w:val="1"/>
    <w:autoRedefine/>
    <w:qFormat/>
    <w:uiPriority w:val="0"/>
    <w:pPr>
      <w:spacing w:before="480" w:line="276" w:lineRule="auto"/>
    </w:pPr>
    <w:rPr>
      <w:rFonts w:ascii="仿宋" w:hAnsi="仿宋" w:eastAsia="仿宋"/>
      <w:color w:val="000000"/>
      <w:kern w:val="0"/>
      <w:szCs w:val="32"/>
    </w:rPr>
  </w:style>
  <w:style w:type="paragraph" w:customStyle="1" w:styleId="124">
    <w:name w:val="TOC1"/>
    <w:basedOn w:val="1"/>
    <w:next w:val="1"/>
    <w:autoRedefine/>
    <w:qFormat/>
    <w:uiPriority w:val="0"/>
    <w:pPr>
      <w:spacing w:before="120" w:after="120"/>
      <w:jc w:val="left"/>
    </w:pPr>
    <w:rPr>
      <w:rFonts w:cs="Times New Roman"/>
      <w:b/>
      <w:bCs/>
      <w:caps/>
      <w:sz w:val="20"/>
      <w:szCs w:val="20"/>
    </w:rPr>
  </w:style>
  <w:style w:type="paragraph" w:customStyle="1" w:styleId="125">
    <w:name w:val="UserStyle_38"/>
    <w:autoRedefine/>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26">
    <w:name w:val="BodyText1I2"/>
    <w:basedOn w:val="89"/>
    <w:next w:val="1"/>
    <w:autoRedefine/>
    <w:qFormat/>
    <w:uiPriority w:val="0"/>
    <w:pPr>
      <w:spacing w:after="120" w:line="240" w:lineRule="auto"/>
      <w:ind w:left="420" w:leftChars="200" w:firstLine="420" w:firstLineChars="200"/>
    </w:pPr>
  </w:style>
  <w:style w:type="paragraph" w:customStyle="1" w:styleId="127">
    <w:name w:val="UserStyle_39"/>
    <w:basedOn w:val="1"/>
    <w:next w:val="1"/>
    <w:autoRedefine/>
    <w:qFormat/>
    <w:uiPriority w:val="0"/>
    <w:pPr>
      <w:spacing w:line="360" w:lineRule="auto"/>
    </w:pPr>
    <w:rPr>
      <w:sz w:val="24"/>
    </w:rPr>
  </w:style>
  <w:style w:type="paragraph" w:customStyle="1" w:styleId="128">
    <w:name w:val="HtmlNormal"/>
    <w:basedOn w:val="1"/>
    <w:autoRedefine/>
    <w:qFormat/>
    <w:uiPriority w:val="0"/>
    <w:pPr>
      <w:spacing w:before="100" w:beforeAutospacing="1" w:after="100" w:afterAutospacing="1"/>
      <w:jc w:val="left"/>
    </w:pPr>
    <w:rPr>
      <w:rFonts w:ascii="宋体" w:hAnsi="宋体"/>
      <w:kern w:val="0"/>
      <w:sz w:val="24"/>
      <w:szCs w:val="20"/>
    </w:rPr>
  </w:style>
  <w:style w:type="paragraph" w:customStyle="1" w:styleId="129">
    <w:name w:val="TOC2"/>
    <w:basedOn w:val="1"/>
    <w:next w:val="1"/>
    <w:autoRedefine/>
    <w:qFormat/>
    <w:uiPriority w:val="0"/>
    <w:pPr>
      <w:ind w:left="210"/>
      <w:jc w:val="left"/>
    </w:pPr>
    <w:rPr>
      <w:smallCaps/>
      <w:sz w:val="20"/>
      <w:szCs w:val="20"/>
    </w:rPr>
  </w:style>
  <w:style w:type="paragraph" w:customStyle="1" w:styleId="130">
    <w:name w:val="BodyTextIndent2"/>
    <w:basedOn w:val="1"/>
    <w:autoRedefine/>
    <w:qFormat/>
    <w:uiPriority w:val="0"/>
    <w:pPr>
      <w:ind w:left="840"/>
    </w:pPr>
    <w:rPr>
      <w:sz w:val="24"/>
    </w:rPr>
  </w:style>
  <w:style w:type="paragraph" w:customStyle="1" w:styleId="131">
    <w:name w:val="FormBottom"/>
    <w:basedOn w:val="1"/>
    <w:next w:val="1"/>
    <w:autoRedefine/>
    <w:qFormat/>
    <w:uiPriority w:val="0"/>
    <w:pPr>
      <w:pBdr>
        <w:top w:val="single" w:color="000000" w:sz="6" w:space="1"/>
      </w:pBdr>
      <w:jc w:val="center"/>
    </w:pPr>
    <w:rPr>
      <w:rFonts w:ascii="Arial"/>
      <w:vanish/>
      <w:sz w:val="16"/>
    </w:rPr>
  </w:style>
  <w:style w:type="paragraph" w:customStyle="1" w:styleId="132">
    <w:name w:val="TOC4"/>
    <w:basedOn w:val="1"/>
    <w:next w:val="1"/>
    <w:autoRedefine/>
    <w:qFormat/>
    <w:uiPriority w:val="0"/>
    <w:pPr>
      <w:ind w:left="630"/>
      <w:jc w:val="left"/>
    </w:pPr>
    <w:rPr>
      <w:sz w:val="18"/>
      <w:szCs w:val="18"/>
    </w:rPr>
  </w:style>
  <w:style w:type="paragraph" w:customStyle="1" w:styleId="133">
    <w:name w:val="UserStyle_40"/>
    <w:basedOn w:val="1"/>
    <w:autoRedefine/>
    <w:qFormat/>
    <w:uiPriority w:val="0"/>
    <w:pPr>
      <w:spacing w:line="360" w:lineRule="auto"/>
    </w:pPr>
    <w:rPr>
      <w:kern w:val="0"/>
      <w:sz w:val="24"/>
      <w:szCs w:val="20"/>
    </w:rPr>
  </w:style>
  <w:style w:type="paragraph" w:customStyle="1" w:styleId="134">
    <w:name w:val="UserStyle_41"/>
    <w:basedOn w:val="1"/>
    <w:autoRedefine/>
    <w:qFormat/>
    <w:uiPriority w:val="0"/>
    <w:rPr>
      <w:rFonts w:ascii="宋体" w:hAnsi="宋体"/>
    </w:rPr>
  </w:style>
  <w:style w:type="paragraph" w:customStyle="1" w:styleId="135">
    <w:name w:val="FootnoteText"/>
    <w:basedOn w:val="1"/>
    <w:autoRedefine/>
    <w:qFormat/>
    <w:uiPriority w:val="0"/>
    <w:pPr>
      <w:snapToGrid w:val="0"/>
      <w:jc w:val="left"/>
    </w:pPr>
    <w:rPr>
      <w:sz w:val="18"/>
      <w:szCs w:val="20"/>
    </w:rPr>
  </w:style>
  <w:style w:type="paragraph" w:customStyle="1" w:styleId="136">
    <w:name w:val="AnnotationSubject"/>
    <w:basedOn w:val="97"/>
    <w:next w:val="97"/>
    <w:autoRedefine/>
    <w:qFormat/>
    <w:uiPriority w:val="0"/>
    <w:rPr>
      <w:b/>
      <w:szCs w:val="20"/>
    </w:rPr>
  </w:style>
  <w:style w:type="paragraph" w:customStyle="1" w:styleId="1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pPr>
    <w:rPr>
      <w:rFonts w:ascii="Cambria" w:hAnsi="Cambria"/>
      <w:sz w:val="24"/>
    </w:rPr>
  </w:style>
  <w:style w:type="paragraph" w:customStyle="1" w:styleId="138">
    <w:name w:val="UserStyle_42"/>
    <w:basedOn w:val="1"/>
    <w:autoRedefine/>
    <w:qFormat/>
    <w:uiPriority w:val="0"/>
    <w:pPr>
      <w:spacing w:line="400" w:lineRule="exact"/>
    </w:pPr>
    <w:rPr>
      <w:sz w:val="24"/>
    </w:rPr>
  </w:style>
  <w:style w:type="paragraph" w:customStyle="1" w:styleId="139">
    <w:name w:val="TOC3"/>
    <w:basedOn w:val="1"/>
    <w:next w:val="1"/>
    <w:autoRedefine/>
    <w:qFormat/>
    <w:uiPriority w:val="0"/>
    <w:pPr>
      <w:ind w:left="420"/>
      <w:jc w:val="left"/>
    </w:pPr>
    <w:rPr>
      <w:i/>
      <w:iCs/>
      <w:sz w:val="20"/>
      <w:szCs w:val="20"/>
    </w:rPr>
  </w:style>
  <w:style w:type="paragraph" w:customStyle="1" w:styleId="140">
    <w:name w:val="UserStyle_43"/>
    <w:basedOn w:val="52"/>
    <w:autoRedefine/>
    <w:qFormat/>
    <w:uiPriority w:val="0"/>
    <w:pPr>
      <w:snapToGrid w:val="0"/>
      <w:spacing w:before="240" w:after="240" w:line="348" w:lineRule="auto"/>
      <w:jc w:val="both"/>
      <w:textAlignment w:val="auto"/>
    </w:pPr>
    <w:rPr>
      <w:rFonts w:ascii="Times New Roman" w:eastAsia="宋体" w:cs="Times New Roman"/>
      <w:bCs/>
      <w:sz w:val="44"/>
      <w:szCs w:val="44"/>
    </w:rPr>
  </w:style>
  <w:style w:type="paragraph" w:customStyle="1" w:styleId="141">
    <w:name w:val="NavPane"/>
    <w:basedOn w:val="1"/>
    <w:autoRedefine/>
    <w:qFormat/>
    <w:uiPriority w:val="0"/>
    <w:pPr>
      <w:shd w:val="clear" w:color="auto" w:fill="000080"/>
    </w:pPr>
  </w:style>
  <w:style w:type="paragraph" w:customStyle="1" w:styleId="142">
    <w:name w:val="UserStyle_44"/>
    <w:basedOn w:val="1"/>
    <w:next w:val="1"/>
    <w:autoRedefine/>
    <w:qFormat/>
    <w:uiPriority w:val="0"/>
    <w:pPr>
      <w:ind w:firstLine="482"/>
    </w:pPr>
    <w:rPr>
      <w:rFonts w:ascii="微软雅黑" w:hAnsi="微软雅黑" w:eastAsia="微软雅黑"/>
    </w:rPr>
  </w:style>
  <w:style w:type="paragraph" w:customStyle="1" w:styleId="143">
    <w:name w:val="UserStyle_45"/>
    <w:basedOn w:val="1"/>
    <w:autoRedefine/>
    <w:qFormat/>
    <w:uiPriority w:val="0"/>
    <w:pPr>
      <w:keepNext/>
      <w:spacing w:before="60" w:after="60" w:line="300" w:lineRule="auto"/>
      <w:jc w:val="center"/>
      <w:textAlignment w:val="center"/>
    </w:pPr>
    <w:rPr>
      <w:spacing w:val="20"/>
      <w:kern w:val="0"/>
      <w:sz w:val="24"/>
      <w:szCs w:val="20"/>
    </w:rPr>
  </w:style>
  <w:style w:type="paragraph" w:customStyle="1" w:styleId="144">
    <w:name w:val="UserStyle_46"/>
    <w:basedOn w:val="1"/>
    <w:autoRedefine/>
    <w:qFormat/>
    <w:uiPriority w:val="0"/>
    <w:rPr>
      <w:rFonts w:ascii="宋体" w:hAnsi="宋体"/>
    </w:rPr>
  </w:style>
  <w:style w:type="paragraph" w:customStyle="1" w:styleId="145">
    <w:name w:val="UserStyle_47"/>
    <w:basedOn w:val="1"/>
    <w:autoRedefine/>
    <w:qFormat/>
    <w:uiPriority w:val="0"/>
    <w:pPr>
      <w:shd w:val="clear" w:color="auto" w:fill="FFFFFF"/>
      <w:spacing w:after="200" w:line="391" w:lineRule="auto"/>
      <w:jc w:val="distribute"/>
    </w:pPr>
    <w:rPr>
      <w:rFonts w:ascii="MingLiU" w:hAnsi="MingLiU" w:eastAsia="MingLiU"/>
      <w:sz w:val="20"/>
      <w:szCs w:val="20"/>
    </w:rPr>
  </w:style>
  <w:style w:type="paragraph" w:customStyle="1" w:styleId="146">
    <w:name w:val="UserStyle_48"/>
    <w:autoRedefine/>
    <w:qFormat/>
    <w:uiPriority w:val="0"/>
    <w:pPr>
      <w:textAlignment w:val="baseline"/>
    </w:pPr>
    <w:rPr>
      <w:rFonts w:ascii="Times New Roman" w:hAnsi="Times New Roman" w:eastAsia="宋体" w:cstheme="minorBidi"/>
      <w:lang w:val="en-US" w:eastAsia="zh-CN" w:bidi="ar-SA"/>
    </w:rPr>
  </w:style>
  <w:style w:type="paragraph" w:customStyle="1" w:styleId="147">
    <w:name w:val="UserStyle_49"/>
    <w:autoRedefine/>
    <w:qFormat/>
    <w:uiPriority w:val="0"/>
    <w:pPr>
      <w:ind w:left="400" w:leftChars="400"/>
      <w:textAlignment w:val="baseline"/>
    </w:pPr>
    <w:rPr>
      <w:rFonts w:ascii="Times New Roman" w:hAnsi="Times New Roman" w:eastAsia="宋体" w:cstheme="minorBidi"/>
      <w:lang w:val="en-US" w:eastAsia="zh-CN" w:bidi="ar-SA"/>
    </w:rPr>
  </w:style>
  <w:style w:type="paragraph" w:customStyle="1" w:styleId="148">
    <w:name w:val="UserStyle_50"/>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9">
    <w:name w:val="UserStyle_51"/>
    <w:basedOn w:val="1"/>
    <w:autoRedefine/>
    <w:qFormat/>
    <w:uiPriority w:val="0"/>
    <w:pPr>
      <w:ind w:firstLine="420" w:firstLineChars="200"/>
    </w:pPr>
    <w:rPr>
      <w:szCs w:val="21"/>
    </w:rPr>
  </w:style>
  <w:style w:type="paragraph" w:customStyle="1" w:styleId="150">
    <w:name w:val="UserStyle_52"/>
    <w:basedOn w:val="1"/>
    <w:autoRedefine/>
    <w:qFormat/>
    <w:uiPriority w:val="0"/>
    <w:rPr>
      <w:rFonts w:ascii="Tahoma" w:hAnsi="Tahoma"/>
      <w:sz w:val="24"/>
      <w:szCs w:val="20"/>
    </w:rPr>
  </w:style>
  <w:style w:type="paragraph" w:customStyle="1" w:styleId="151">
    <w:name w:val="UserStyle_53"/>
    <w:basedOn w:val="1"/>
    <w:autoRedefine/>
    <w:qFormat/>
    <w:uiPriority w:val="0"/>
    <w:pPr>
      <w:spacing w:line="180" w:lineRule="auto"/>
      <w:ind w:firstLine="200" w:firstLineChars="200"/>
    </w:pPr>
    <w:rPr>
      <w:sz w:val="24"/>
      <w:szCs w:val="20"/>
    </w:rPr>
  </w:style>
  <w:style w:type="table" w:customStyle="1" w:styleId="152">
    <w:name w:val="TableGrid"/>
    <w:basedOn w:val="63"/>
    <w:autoRedefine/>
    <w:qFormat/>
    <w:uiPriority w:val="0"/>
    <w:tblPr>
      <w:tblCellMar>
        <w:top w:w="0" w:type="dxa"/>
        <w:left w:w="0" w:type="dxa"/>
        <w:bottom w:w="0" w:type="dxa"/>
        <w:right w:w="0" w:type="dxa"/>
      </w:tblCellMar>
    </w:tblPr>
  </w:style>
  <w:style w:type="paragraph" w:customStyle="1" w:styleId="153">
    <w:name w:val="无间隔2"/>
    <w:basedOn w:val="1"/>
    <w:autoRedefine/>
    <w:qFormat/>
    <w:uiPriority w:val="0"/>
    <w:pPr>
      <w:spacing w:line="400" w:lineRule="exact"/>
    </w:pPr>
    <w:rPr>
      <w:sz w:val="24"/>
    </w:rPr>
  </w:style>
  <w:style w:type="paragraph" w:customStyle="1" w:styleId="154">
    <w:name w:val="招标正文"/>
    <w:basedOn w:val="1"/>
    <w:autoRedefine/>
    <w:qFormat/>
    <w:uiPriority w:val="0"/>
    <w:pPr>
      <w:spacing w:line="360" w:lineRule="auto"/>
      <w:ind w:firstLine="480" w:firstLineChars="200"/>
    </w:pPr>
    <w:rPr>
      <w:rFonts w:ascii="宋体" w:hAnsi="宋体"/>
      <w:kern w:val="0"/>
      <w:sz w:val="24"/>
    </w:rPr>
  </w:style>
  <w:style w:type="paragraph" w:customStyle="1" w:styleId="155">
    <w:name w:val="样式 标题 3 + (中文) 黑体 小四 非加粗 段前: 7.8 磅 段后: 0 磅 行距: 固定值 20 磅"/>
    <w:basedOn w:val="6"/>
    <w:autoRedefine/>
    <w:qFormat/>
    <w:uiPriority w:val="0"/>
    <w:pPr>
      <w:spacing w:line="400" w:lineRule="exact"/>
      <w:jc w:val="both"/>
    </w:pPr>
    <w:rPr>
      <w:rFonts w:eastAsia="黑体" w:cs="宋体"/>
      <w:b w:val="0"/>
    </w:rPr>
  </w:style>
  <w:style w:type="paragraph" w:customStyle="1" w:styleId="156">
    <w:name w:val="样式 标题 2 + Times New Roman 四号 非加粗 段前: 5 磅 段后: 0 磅 行距: 固定值 20..."/>
    <w:basedOn w:val="5"/>
    <w:autoRedefine/>
    <w:qFormat/>
    <w:uiPriority w:val="0"/>
    <w:pPr>
      <w:spacing w:before="100" w:line="400" w:lineRule="exact"/>
      <w:ind w:left="425" w:hanging="425"/>
    </w:pPr>
    <w:rPr>
      <w:rFonts w:ascii="Times New Roman" w:hAnsi="Times New Roman" w:cs="宋体"/>
      <w:szCs w:val="20"/>
    </w:rPr>
  </w:style>
  <w:style w:type="table" w:customStyle="1" w:styleId="157">
    <w:name w:val="Table Normal"/>
    <w:autoRedefine/>
    <w:semiHidden/>
    <w:unhideWhenUsed/>
    <w:qFormat/>
    <w:uiPriority w:val="0"/>
    <w:tblPr>
      <w:tblCellMar>
        <w:top w:w="0" w:type="dxa"/>
        <w:left w:w="0" w:type="dxa"/>
        <w:bottom w:w="0" w:type="dxa"/>
        <w:right w:w="0" w:type="dxa"/>
      </w:tblCellMar>
    </w:tblPr>
  </w:style>
  <w:style w:type="paragraph" w:styleId="158">
    <w:name w:val="List Paragraph"/>
    <w:basedOn w:val="1"/>
    <w:autoRedefine/>
    <w:qFormat/>
    <w:uiPriority w:val="0"/>
    <w:pPr>
      <w:ind w:firstLine="420" w:firstLineChars="200"/>
    </w:pPr>
  </w:style>
  <w:style w:type="paragraph" w:customStyle="1" w:styleId="159">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0">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Table Paragraph"/>
    <w:basedOn w:val="1"/>
    <w:autoRedefine/>
    <w:qFormat/>
    <w:uiPriority w:val="0"/>
    <w:pPr>
      <w:widowControl w:val="0"/>
      <w:autoSpaceDE w:val="0"/>
      <w:autoSpaceDN w:val="0"/>
      <w:jc w:val="left"/>
    </w:pPr>
    <w:rPr>
      <w:rFonts w:hint="eastAsia" w:ascii="宋体" w:hAnsi="宋体" w:cs="Times New Roman"/>
      <w:kern w:val="0"/>
      <w:sz w:val="22"/>
      <w:szCs w:val="22"/>
    </w:rPr>
  </w:style>
  <w:style w:type="paragraph" w:customStyle="1" w:styleId="162">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3">
    <w:name w:val="mini-outputtext1"/>
    <w:basedOn w:val="26"/>
    <w:autoRedefine/>
    <w:qFormat/>
    <w:uiPriority w:val="0"/>
  </w:style>
  <w:style w:type="character" w:customStyle="1" w:styleId="164">
    <w:name w:val="font71"/>
    <w:basedOn w:val="26"/>
    <w:autoRedefine/>
    <w:qFormat/>
    <w:uiPriority w:val="0"/>
    <w:rPr>
      <w:rFonts w:hint="eastAsia" w:ascii="黑体" w:hAnsi="宋体" w:eastAsia="黑体" w:cs="黑体"/>
      <w:color w:val="000000"/>
      <w:sz w:val="20"/>
      <w:szCs w:val="20"/>
      <w:u w:val="none"/>
    </w:rPr>
  </w:style>
  <w:style w:type="character" w:customStyle="1" w:styleId="165">
    <w:name w:val="font91"/>
    <w:basedOn w:val="26"/>
    <w:autoRedefine/>
    <w:qFormat/>
    <w:uiPriority w:val="0"/>
    <w:rPr>
      <w:rFonts w:ascii="Arial Unicode MS" w:hAnsi="Arial Unicode MS" w:eastAsia="Arial Unicode MS" w:cs="Arial Unicode MS"/>
      <w:color w:val="000000"/>
      <w:sz w:val="20"/>
      <w:szCs w:val="20"/>
      <w:u w:val="none"/>
    </w:rPr>
  </w:style>
  <w:style w:type="character" w:customStyle="1" w:styleId="166">
    <w:name w:val="font101"/>
    <w:basedOn w:val="26"/>
    <w:autoRedefine/>
    <w:qFormat/>
    <w:uiPriority w:val="0"/>
    <w:rPr>
      <w:rFonts w:ascii="Malgun Gothic" w:hAnsi="Malgun Gothic" w:eastAsia="Malgun Gothic" w:cs="Malgun Gothic"/>
      <w:color w:val="000000"/>
      <w:sz w:val="20"/>
      <w:szCs w:val="20"/>
      <w:u w:val="none"/>
    </w:rPr>
  </w:style>
  <w:style w:type="character" w:customStyle="1" w:styleId="167">
    <w:name w:val="font112"/>
    <w:basedOn w:val="26"/>
    <w:autoRedefine/>
    <w:qFormat/>
    <w:uiPriority w:val="0"/>
    <w:rPr>
      <w:rFonts w:hint="eastAsia" w:ascii="黑体" w:hAnsi="宋体" w:eastAsia="黑体" w:cs="黑体"/>
      <w:color w:val="000000"/>
      <w:sz w:val="20"/>
      <w:szCs w:val="20"/>
      <w:u w:val="none"/>
    </w:rPr>
  </w:style>
  <w:style w:type="character" w:customStyle="1" w:styleId="168">
    <w:name w:val="font121"/>
    <w:basedOn w:val="26"/>
    <w:autoRedefine/>
    <w:qFormat/>
    <w:uiPriority w:val="0"/>
    <w:rPr>
      <w:rFonts w:ascii="Calibri" w:hAnsi="Calibri" w:cs="Calibri"/>
      <w:color w:val="000000"/>
      <w:sz w:val="20"/>
      <w:szCs w:val="20"/>
      <w:u w:val="none"/>
    </w:rPr>
  </w:style>
  <w:style w:type="character" w:customStyle="1" w:styleId="169">
    <w:name w:val="hover28"/>
    <w:basedOn w:val="26"/>
    <w:uiPriority w:val="0"/>
  </w:style>
  <w:style w:type="character" w:customStyle="1" w:styleId="170">
    <w:name w:val="hover29"/>
    <w:basedOn w:val="26"/>
    <w:uiPriority w:val="0"/>
    <w:rPr>
      <w:color w:val="315EFB"/>
    </w:rPr>
  </w:style>
  <w:style w:type="character" w:customStyle="1" w:styleId="171">
    <w:name w:val="hover30"/>
    <w:basedOn w:val="26"/>
    <w:uiPriority w:val="0"/>
    <w:rPr>
      <w:color w:val="315EFB"/>
    </w:rPr>
  </w:style>
  <w:style w:type="character" w:customStyle="1" w:styleId="172">
    <w:name w:val="hover31"/>
    <w:basedOn w:val="26"/>
    <w:uiPriority w:val="0"/>
    <w:rPr>
      <w:color w:val="315EFB"/>
      <w:shd w:val="clear" w:color="auto" w:fill="F0F3FD"/>
    </w:rPr>
  </w:style>
  <w:style w:type="character" w:customStyle="1" w:styleId="173">
    <w:name w:val="c-icon28"/>
    <w:basedOn w:val="26"/>
    <w:autoRedefine/>
    <w:qFormat/>
    <w:uiPriority w:val="0"/>
  </w:style>
  <w:style w:type="character" w:customStyle="1" w:styleId="174">
    <w:name w:val="批注框文本 Char"/>
    <w:basedOn w:val="26"/>
    <w:link w:val="14"/>
    <w:uiPriority w:val="0"/>
    <w:rPr>
      <w:rFonts w:cstheme="minorBidi"/>
      <w:kern w:val="2"/>
      <w:sz w:val="18"/>
      <w:szCs w:val="18"/>
    </w:rPr>
  </w:style>
  <w:style w:type="paragraph" w:customStyle="1" w:styleId="175">
    <w:name w:val="font5"/>
    <w:basedOn w:val="1"/>
    <w:uiPriority w:val="0"/>
    <w:pPr>
      <w:spacing w:before="100" w:beforeAutospacing="1" w:after="100" w:afterAutospacing="1"/>
      <w:jc w:val="left"/>
      <w:textAlignment w:val="auto"/>
    </w:pPr>
    <w:rPr>
      <w:rFonts w:ascii="Arial Unicode MS" w:hAnsi="Arial Unicode MS" w:eastAsia="Arial Unicode MS" w:cs="Arial Unicode MS"/>
      <w:kern w:val="0"/>
      <w:sz w:val="20"/>
      <w:szCs w:val="20"/>
    </w:rPr>
  </w:style>
  <w:style w:type="paragraph" w:customStyle="1" w:styleId="176">
    <w:name w:val="font6"/>
    <w:basedOn w:val="1"/>
    <w:autoRedefine/>
    <w:qFormat/>
    <w:uiPriority w:val="0"/>
    <w:pPr>
      <w:spacing w:before="100" w:beforeAutospacing="1" w:after="100" w:afterAutospacing="1"/>
      <w:jc w:val="left"/>
      <w:textAlignment w:val="auto"/>
    </w:pPr>
    <w:rPr>
      <w:rFonts w:ascii="Calibri" w:hAnsi="Calibri" w:cs="Calibri"/>
      <w:kern w:val="0"/>
      <w:sz w:val="20"/>
      <w:szCs w:val="20"/>
    </w:rPr>
  </w:style>
  <w:style w:type="paragraph" w:customStyle="1" w:styleId="177">
    <w:name w:val="font7"/>
    <w:basedOn w:val="1"/>
    <w:autoRedefine/>
    <w:qFormat/>
    <w:uiPriority w:val="0"/>
    <w:pPr>
      <w:spacing w:before="100" w:beforeAutospacing="1" w:after="100" w:afterAutospacing="1"/>
      <w:jc w:val="left"/>
      <w:textAlignment w:val="auto"/>
    </w:pPr>
    <w:rPr>
      <w:rFonts w:ascii="黑体" w:hAnsi="黑体" w:eastAsia="黑体" w:cs="宋体"/>
      <w:kern w:val="0"/>
      <w:sz w:val="20"/>
      <w:szCs w:val="20"/>
    </w:rPr>
  </w:style>
  <w:style w:type="paragraph" w:customStyle="1" w:styleId="178">
    <w:name w:val="font8"/>
    <w:basedOn w:val="1"/>
    <w:autoRedefine/>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179">
    <w:name w:val="xl81"/>
    <w:basedOn w:val="1"/>
    <w:autoRedefine/>
    <w:qFormat/>
    <w:uiPriority w:val="0"/>
    <w:pPr>
      <w:spacing w:before="100" w:beforeAutospacing="1" w:after="100" w:afterAutospacing="1"/>
      <w:jc w:val="left"/>
      <w:textAlignment w:val="auto"/>
    </w:pPr>
    <w:rPr>
      <w:rFonts w:ascii="黑体" w:hAnsi="黑体" w:eastAsia="黑体" w:cs="宋体"/>
      <w:kern w:val="0"/>
      <w:sz w:val="24"/>
    </w:rPr>
  </w:style>
  <w:style w:type="paragraph" w:customStyle="1" w:styleId="180">
    <w:name w:val="xl82"/>
    <w:basedOn w:val="1"/>
    <w:autoRedefine/>
    <w:qFormat/>
    <w:uiPriority w:val="0"/>
    <w:pPr>
      <w:spacing w:before="100" w:beforeAutospacing="1" w:after="100" w:afterAutospacing="1"/>
      <w:jc w:val="left"/>
      <w:textAlignment w:val="auto"/>
    </w:pPr>
    <w:rPr>
      <w:rFonts w:ascii="黑体" w:hAnsi="黑体" w:eastAsia="黑体" w:cs="宋体"/>
      <w:kern w:val="0"/>
      <w:sz w:val="20"/>
      <w:szCs w:val="20"/>
    </w:rPr>
  </w:style>
  <w:style w:type="paragraph" w:customStyle="1" w:styleId="181">
    <w:name w:val="xl83"/>
    <w:basedOn w:val="1"/>
    <w:autoRedefine/>
    <w:qFormat/>
    <w:uiPriority w:val="0"/>
    <w:pPr>
      <w:shd w:val="clear" w:color="000000" w:fill="FFFF00"/>
      <w:spacing w:before="100" w:beforeAutospacing="1" w:after="100" w:afterAutospacing="1"/>
      <w:jc w:val="left"/>
      <w:textAlignment w:val="auto"/>
    </w:pPr>
    <w:rPr>
      <w:rFonts w:ascii="黑体" w:hAnsi="黑体" w:eastAsia="黑体" w:cs="宋体"/>
      <w:kern w:val="0"/>
      <w:sz w:val="24"/>
    </w:rPr>
  </w:style>
  <w:style w:type="paragraph" w:customStyle="1" w:styleId="182">
    <w:name w:val="xl84"/>
    <w:basedOn w:val="1"/>
    <w:autoRedefine/>
    <w:qFormat/>
    <w:uiPriority w:val="0"/>
    <w:pPr>
      <w:spacing w:before="100" w:beforeAutospacing="1" w:after="100" w:afterAutospacing="1"/>
      <w:jc w:val="left"/>
      <w:textAlignment w:val="auto"/>
    </w:pPr>
    <w:rPr>
      <w:rFonts w:ascii="黑体" w:hAnsi="黑体" w:eastAsia="黑体" w:cs="宋体"/>
      <w:color w:val="FF0000"/>
      <w:kern w:val="0"/>
      <w:sz w:val="24"/>
    </w:rPr>
  </w:style>
  <w:style w:type="paragraph" w:customStyle="1" w:styleId="183">
    <w:name w:val="xl85"/>
    <w:basedOn w:val="1"/>
    <w:autoRedefine/>
    <w:qFormat/>
    <w:uiPriority w:val="0"/>
    <w:pPr>
      <w:spacing w:before="100" w:beforeAutospacing="1" w:after="100" w:afterAutospacing="1"/>
      <w:jc w:val="center"/>
      <w:textAlignment w:val="auto"/>
    </w:pPr>
    <w:rPr>
      <w:rFonts w:ascii="黑体" w:hAnsi="黑体" w:eastAsia="黑体" w:cs="宋体"/>
      <w:kern w:val="0"/>
      <w:sz w:val="24"/>
    </w:rPr>
  </w:style>
  <w:style w:type="paragraph" w:customStyle="1" w:styleId="184">
    <w:name w:val="xl86"/>
    <w:basedOn w:val="1"/>
    <w:autoRedefine/>
    <w:qFormat/>
    <w:uiPriority w:val="0"/>
    <w:pPr>
      <w:spacing w:before="100" w:beforeAutospacing="1" w:after="100" w:afterAutospacing="1"/>
      <w:jc w:val="center"/>
      <w:textAlignment w:val="auto"/>
    </w:pPr>
    <w:rPr>
      <w:rFonts w:ascii="黑体" w:hAnsi="黑体" w:eastAsia="黑体" w:cs="宋体"/>
      <w:kern w:val="0"/>
      <w:sz w:val="24"/>
    </w:rPr>
  </w:style>
  <w:style w:type="paragraph" w:customStyle="1" w:styleId="185">
    <w:name w:val="xl87"/>
    <w:basedOn w:val="1"/>
    <w:autoRedefine/>
    <w:qFormat/>
    <w:uiPriority w:val="0"/>
    <w:pPr>
      <w:spacing w:before="100" w:beforeAutospacing="1" w:after="100" w:afterAutospacing="1"/>
      <w:jc w:val="left"/>
      <w:textAlignment w:val="auto"/>
    </w:pPr>
    <w:rPr>
      <w:rFonts w:ascii="黑体" w:hAnsi="黑体" w:eastAsia="黑体" w:cs="宋体"/>
      <w:kern w:val="0"/>
      <w:sz w:val="24"/>
    </w:rPr>
  </w:style>
  <w:style w:type="paragraph" w:customStyle="1" w:styleId="186">
    <w:name w:val="xl88"/>
    <w:basedOn w:val="1"/>
    <w:autoRedefine/>
    <w:qFormat/>
    <w:uiPriority w:val="0"/>
    <w:pPr>
      <w:spacing w:before="100" w:beforeAutospacing="1" w:after="100" w:afterAutospacing="1"/>
      <w:jc w:val="left"/>
      <w:textAlignment w:val="auto"/>
    </w:pPr>
    <w:rPr>
      <w:rFonts w:ascii="黑体" w:hAnsi="黑体" w:eastAsia="黑体" w:cs="宋体"/>
      <w:kern w:val="0"/>
      <w:sz w:val="24"/>
    </w:rPr>
  </w:style>
  <w:style w:type="paragraph" w:customStyle="1" w:styleId="187">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b/>
      <w:bCs/>
      <w:kern w:val="0"/>
      <w:sz w:val="24"/>
    </w:rPr>
  </w:style>
  <w:style w:type="paragraph" w:customStyle="1" w:styleId="188">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189">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190">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黑体" w:hAnsi="黑体" w:eastAsia="黑体" w:cs="宋体"/>
      <w:kern w:val="0"/>
      <w:sz w:val="20"/>
      <w:szCs w:val="20"/>
    </w:rPr>
  </w:style>
  <w:style w:type="paragraph" w:customStyle="1" w:styleId="191">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192">
    <w:name w:val="xl9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黑体" w:hAnsi="黑体" w:eastAsia="黑体" w:cs="宋体"/>
      <w:kern w:val="0"/>
      <w:sz w:val="20"/>
      <w:szCs w:val="20"/>
    </w:rPr>
  </w:style>
  <w:style w:type="paragraph" w:customStyle="1" w:styleId="193">
    <w:name w:val="xl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194">
    <w:name w:val="xl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黑体" w:hAnsi="黑体" w:eastAsia="黑体" w:cs="宋体"/>
      <w:kern w:val="0"/>
      <w:sz w:val="20"/>
      <w:szCs w:val="20"/>
    </w:rPr>
  </w:style>
  <w:style w:type="paragraph" w:customStyle="1" w:styleId="195">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196">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197">
    <w:name w:val="xl9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黑体" w:hAnsi="黑体" w:eastAsia="黑体" w:cs="宋体"/>
      <w:kern w:val="0"/>
      <w:sz w:val="20"/>
      <w:szCs w:val="20"/>
    </w:rPr>
  </w:style>
  <w:style w:type="paragraph" w:customStyle="1" w:styleId="198">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199">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黑体" w:hAnsi="黑体" w:eastAsia="黑体" w:cs="宋体"/>
      <w:kern w:val="0"/>
      <w:sz w:val="20"/>
      <w:szCs w:val="20"/>
    </w:rPr>
  </w:style>
  <w:style w:type="paragraph" w:customStyle="1" w:styleId="200">
    <w:name w:val="xl10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auto"/>
    </w:pPr>
    <w:rPr>
      <w:rFonts w:ascii="黑体" w:hAnsi="黑体" w:eastAsia="黑体" w:cs="宋体"/>
      <w:kern w:val="0"/>
      <w:sz w:val="20"/>
      <w:szCs w:val="20"/>
    </w:rPr>
  </w:style>
  <w:style w:type="paragraph" w:customStyle="1" w:styleId="201">
    <w:name w:val="xl10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auto"/>
    </w:pPr>
    <w:rPr>
      <w:rFonts w:ascii="黑体" w:hAnsi="黑体" w:eastAsia="黑体" w:cs="宋体"/>
      <w:kern w:val="0"/>
      <w:sz w:val="20"/>
      <w:szCs w:val="20"/>
    </w:rPr>
  </w:style>
  <w:style w:type="paragraph" w:customStyle="1" w:styleId="202">
    <w:name w:val="xl10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auto"/>
    </w:pPr>
    <w:rPr>
      <w:rFonts w:ascii="黑体" w:hAnsi="黑体" w:eastAsia="黑体" w:cs="宋体"/>
      <w:kern w:val="0"/>
      <w:sz w:val="20"/>
      <w:szCs w:val="20"/>
    </w:rPr>
  </w:style>
  <w:style w:type="paragraph" w:customStyle="1" w:styleId="203">
    <w:name w:val="xl10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auto"/>
    </w:pPr>
    <w:rPr>
      <w:rFonts w:ascii="黑体" w:hAnsi="黑体" w:eastAsia="黑体" w:cs="宋体"/>
      <w:kern w:val="0"/>
      <w:sz w:val="20"/>
      <w:szCs w:val="20"/>
    </w:rPr>
  </w:style>
  <w:style w:type="paragraph" w:customStyle="1" w:styleId="204">
    <w:name w:val="xl106"/>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auto"/>
    </w:pPr>
    <w:rPr>
      <w:rFonts w:ascii="黑体" w:hAnsi="黑体" w:eastAsia="黑体" w:cs="宋体"/>
      <w:kern w:val="0"/>
      <w:sz w:val="20"/>
      <w:szCs w:val="20"/>
    </w:rPr>
  </w:style>
  <w:style w:type="paragraph" w:customStyle="1" w:styleId="205">
    <w:name w:val="xl10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auto"/>
    </w:pPr>
    <w:rPr>
      <w:rFonts w:ascii="黑体" w:hAnsi="黑体" w:eastAsia="黑体" w:cs="宋体"/>
      <w:kern w:val="0"/>
      <w:sz w:val="20"/>
      <w:szCs w:val="20"/>
    </w:rPr>
  </w:style>
  <w:style w:type="paragraph" w:customStyle="1" w:styleId="206">
    <w:name w:val="xl108"/>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auto"/>
    </w:pPr>
    <w:rPr>
      <w:rFonts w:ascii="黑体" w:hAnsi="黑体" w:eastAsia="黑体" w:cs="宋体"/>
      <w:kern w:val="0"/>
      <w:sz w:val="20"/>
      <w:szCs w:val="20"/>
    </w:rPr>
  </w:style>
  <w:style w:type="paragraph" w:customStyle="1" w:styleId="207">
    <w:name w:val="xl109"/>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auto"/>
    </w:pPr>
    <w:rPr>
      <w:rFonts w:ascii="黑体" w:hAnsi="黑体" w:eastAsia="黑体" w:cs="宋体"/>
      <w:kern w:val="0"/>
      <w:sz w:val="20"/>
      <w:szCs w:val="20"/>
    </w:rPr>
  </w:style>
  <w:style w:type="paragraph" w:customStyle="1" w:styleId="208">
    <w:name w:val="xl110"/>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left"/>
      <w:textAlignment w:val="auto"/>
    </w:pPr>
    <w:rPr>
      <w:rFonts w:ascii="黑体" w:hAnsi="黑体" w:eastAsia="黑体" w:cs="宋体"/>
      <w:kern w:val="0"/>
      <w:sz w:val="20"/>
      <w:szCs w:val="20"/>
    </w:rPr>
  </w:style>
  <w:style w:type="paragraph" w:customStyle="1" w:styleId="209">
    <w:name w:val="xl111"/>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auto"/>
    </w:pPr>
    <w:rPr>
      <w:rFonts w:ascii="黑体" w:hAnsi="黑体" w:eastAsia="黑体" w:cs="宋体"/>
      <w:kern w:val="0"/>
      <w:sz w:val="20"/>
      <w:szCs w:val="20"/>
    </w:rPr>
  </w:style>
  <w:style w:type="paragraph" w:customStyle="1" w:styleId="210">
    <w:name w:val="xl112"/>
    <w:basedOn w:val="1"/>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211">
    <w:name w:val="xl113"/>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212">
    <w:name w:val="xl114"/>
    <w:basedOn w:val="1"/>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213">
    <w:name w:val="xl115"/>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auto"/>
    </w:pPr>
    <w:rPr>
      <w:rFonts w:ascii="黑体" w:hAnsi="黑体" w:eastAsia="黑体" w:cs="宋体"/>
      <w:kern w:val="0"/>
      <w:sz w:val="20"/>
      <w:szCs w:val="20"/>
    </w:rPr>
  </w:style>
  <w:style w:type="paragraph" w:customStyle="1" w:styleId="214">
    <w:name w:val="xl116"/>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auto"/>
    </w:pPr>
    <w:rPr>
      <w:rFonts w:ascii="黑体" w:hAnsi="黑体" w:eastAsia="黑体" w:cs="宋体"/>
      <w:kern w:val="0"/>
      <w:sz w:val="20"/>
      <w:szCs w:val="20"/>
    </w:rPr>
  </w:style>
  <w:style w:type="paragraph" w:customStyle="1" w:styleId="215">
    <w:name w:val="xl11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auto"/>
    </w:pPr>
    <w:rPr>
      <w:rFonts w:ascii="黑体" w:hAnsi="黑体" w:eastAsia="黑体" w:cs="宋体"/>
      <w:kern w:val="0"/>
      <w:sz w:val="20"/>
      <w:szCs w:val="20"/>
    </w:rPr>
  </w:style>
  <w:style w:type="paragraph" w:customStyle="1" w:styleId="216">
    <w:name w:val="xl118"/>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left"/>
      <w:textAlignment w:val="auto"/>
    </w:pPr>
    <w:rPr>
      <w:rFonts w:ascii="黑体" w:hAnsi="黑体" w:eastAsia="黑体" w:cs="宋体"/>
      <w:kern w:val="0"/>
      <w:sz w:val="20"/>
      <w:szCs w:val="20"/>
    </w:rPr>
  </w:style>
  <w:style w:type="paragraph" w:customStyle="1" w:styleId="217">
    <w:name w:val="xl119"/>
    <w:basedOn w:val="1"/>
    <w:autoRedefine/>
    <w:qFormat/>
    <w:uiPriority w:val="0"/>
    <w:pPr>
      <w:pBdr>
        <w:top w:val="single" w:color="auto" w:sz="4" w:space="0"/>
        <w:bottom w:val="single" w:color="auto" w:sz="4" w:space="0"/>
      </w:pBdr>
      <w:shd w:val="clear" w:color="000000" w:fill="FFFFFF"/>
      <w:spacing w:before="100" w:beforeAutospacing="1" w:after="100" w:afterAutospacing="1"/>
      <w:jc w:val="left"/>
      <w:textAlignment w:val="auto"/>
    </w:pPr>
    <w:rPr>
      <w:rFonts w:ascii="黑体" w:hAnsi="黑体" w:eastAsia="黑体" w:cs="宋体"/>
      <w:kern w:val="0"/>
      <w:sz w:val="20"/>
      <w:szCs w:val="20"/>
    </w:rPr>
  </w:style>
  <w:style w:type="paragraph" w:customStyle="1" w:styleId="218">
    <w:name w:val="xl120"/>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auto"/>
    </w:pPr>
    <w:rPr>
      <w:rFonts w:ascii="黑体" w:hAnsi="黑体" w:eastAsia="黑体" w:cs="宋体"/>
      <w:b/>
      <w:bCs/>
      <w:kern w:val="0"/>
      <w:sz w:val="20"/>
      <w:szCs w:val="20"/>
    </w:rPr>
  </w:style>
  <w:style w:type="paragraph" w:customStyle="1" w:styleId="219">
    <w:name w:val="xl121"/>
    <w:basedOn w:val="1"/>
    <w:uiPriority w:val="0"/>
    <w:pPr>
      <w:pBdr>
        <w:top w:val="single" w:color="auto" w:sz="4" w:space="0"/>
        <w:bottom w:val="single" w:color="auto" w:sz="4" w:space="0"/>
      </w:pBdr>
      <w:shd w:val="clear" w:color="000000" w:fill="FFFFFF"/>
      <w:spacing w:before="100" w:beforeAutospacing="1" w:after="100" w:afterAutospacing="1"/>
      <w:jc w:val="center"/>
      <w:textAlignment w:val="auto"/>
    </w:pPr>
    <w:rPr>
      <w:rFonts w:ascii="黑体" w:hAnsi="黑体" w:eastAsia="黑体" w:cs="宋体"/>
      <w:b/>
      <w:bCs/>
      <w:kern w:val="0"/>
      <w:sz w:val="20"/>
      <w:szCs w:val="20"/>
    </w:rPr>
  </w:style>
  <w:style w:type="paragraph" w:customStyle="1" w:styleId="220">
    <w:name w:val="xl122"/>
    <w:basedOn w:val="1"/>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黑体" w:hAnsi="黑体" w:eastAsia="黑体" w:cs="宋体"/>
      <w:kern w:val="0"/>
      <w:sz w:val="20"/>
      <w:szCs w:val="20"/>
    </w:rPr>
  </w:style>
  <w:style w:type="paragraph" w:customStyle="1" w:styleId="221">
    <w:name w:val="xl123"/>
    <w:basedOn w:val="1"/>
    <w:uiPriority w:val="0"/>
    <w:pPr>
      <w:pBdr>
        <w:top w:val="single" w:color="auto" w:sz="4" w:space="0"/>
        <w:bottom w:val="single" w:color="auto" w:sz="4" w:space="0"/>
      </w:pBdr>
      <w:spacing w:before="100" w:beforeAutospacing="1" w:after="100" w:afterAutospacing="1"/>
      <w:jc w:val="left"/>
      <w:textAlignment w:val="auto"/>
    </w:pPr>
    <w:rPr>
      <w:rFonts w:ascii="黑体" w:hAnsi="黑体" w:eastAsia="黑体" w:cs="宋体"/>
      <w:kern w:val="0"/>
      <w:sz w:val="20"/>
      <w:szCs w:val="20"/>
    </w:rPr>
  </w:style>
  <w:style w:type="paragraph" w:customStyle="1" w:styleId="222">
    <w:name w:val="xl124"/>
    <w:basedOn w:val="1"/>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黑体" w:hAnsi="黑体" w:eastAsia="黑体" w:cs="宋体"/>
      <w:b/>
      <w:bCs/>
      <w:kern w:val="0"/>
      <w:sz w:val="20"/>
      <w:szCs w:val="20"/>
    </w:rPr>
  </w:style>
  <w:style w:type="paragraph" w:customStyle="1" w:styleId="223">
    <w:name w:val="xl125"/>
    <w:basedOn w:val="1"/>
    <w:uiPriority w:val="0"/>
    <w:pPr>
      <w:pBdr>
        <w:top w:val="single" w:color="auto" w:sz="4" w:space="0"/>
        <w:bottom w:val="single" w:color="auto" w:sz="4" w:space="0"/>
      </w:pBdr>
      <w:spacing w:before="100" w:beforeAutospacing="1" w:after="100" w:afterAutospacing="1"/>
      <w:jc w:val="center"/>
      <w:textAlignment w:val="auto"/>
    </w:pPr>
    <w:rPr>
      <w:rFonts w:ascii="黑体" w:hAnsi="黑体" w:eastAsia="黑体" w:cs="宋体"/>
      <w:b/>
      <w:bCs/>
      <w:kern w:val="0"/>
      <w:sz w:val="20"/>
      <w:szCs w:val="20"/>
    </w:rPr>
  </w:style>
  <w:style w:type="paragraph" w:customStyle="1" w:styleId="224">
    <w:name w:val="xl12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auto"/>
    </w:pPr>
    <w:rPr>
      <w:rFonts w:ascii="黑体" w:hAnsi="黑体" w:eastAsia="黑体" w:cs="宋体"/>
      <w:b/>
      <w:bCs/>
      <w:kern w:val="0"/>
      <w:sz w:val="28"/>
      <w:szCs w:val="28"/>
    </w:rPr>
  </w:style>
  <w:style w:type="paragraph" w:customStyle="1" w:styleId="225">
    <w:name w:val="xl127"/>
    <w:basedOn w:val="1"/>
    <w:uiPriority w:val="0"/>
    <w:pPr>
      <w:pBdr>
        <w:top w:val="single" w:color="auto" w:sz="4" w:space="0"/>
        <w:left w:val="single" w:color="auto" w:sz="4" w:space="0"/>
        <w:right w:val="single" w:color="auto" w:sz="4" w:space="0"/>
      </w:pBdr>
      <w:spacing w:before="100" w:beforeAutospacing="1" w:after="100" w:afterAutospacing="1"/>
      <w:jc w:val="left"/>
      <w:textAlignment w:val="auto"/>
    </w:pPr>
    <w:rPr>
      <w:rFonts w:ascii="黑体" w:hAnsi="黑体" w:eastAsia="黑体" w:cs="宋体"/>
      <w:kern w:val="0"/>
      <w:sz w:val="20"/>
      <w:szCs w:val="20"/>
    </w:rPr>
  </w:style>
  <w:style w:type="paragraph" w:customStyle="1" w:styleId="226">
    <w:name w:val="xl128"/>
    <w:basedOn w:val="1"/>
    <w:uiPriority w:val="0"/>
    <w:pPr>
      <w:pBdr>
        <w:left w:val="single" w:color="auto" w:sz="4" w:space="0"/>
        <w:bottom w:val="single" w:color="auto" w:sz="4" w:space="0"/>
        <w:right w:val="single" w:color="auto" w:sz="4" w:space="0"/>
      </w:pBdr>
      <w:spacing w:before="100" w:beforeAutospacing="1" w:after="100" w:afterAutospacing="1"/>
      <w:jc w:val="left"/>
      <w:textAlignment w:val="auto"/>
    </w:pPr>
    <w:rPr>
      <w:rFonts w:ascii="黑体" w:hAnsi="黑体" w:eastAsia="黑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153</Pages>
  <Words>13385</Words>
  <Characters>76299</Characters>
  <Lines>635</Lines>
  <Paragraphs>179</Paragraphs>
  <TotalTime>12</TotalTime>
  <ScaleCrop>false</ScaleCrop>
  <LinksUpToDate>false</LinksUpToDate>
  <CharactersWithSpaces>89505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2021-09-20T09:28:00Z</dcterms:created>
  <dc:creator>Administrator</dc:creator>
  <cp:lastModifiedBy>丶</cp:lastModifiedBy>
  <cp:lastPrinted>2024-03-13T07:14:00Z</cp:lastPrinted>
  <dcterms:modified xsi:type="dcterms:W3CDTF">2024-03-18T07:32:01Z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39B9AD8F2BE1403687F5AB534E3AF6D6</vt:lpwstr>
  </property>
</Properties>
</file>