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140" w:line="223" w:lineRule="auto"/>
        <w:jc w:val="right"/>
        <w:rPr>
          <w:rFonts w:hint="default" w:ascii="宋体" w:hAnsi="宋体" w:eastAsia="宋体" w:cs="宋体"/>
          <w:sz w:val="43"/>
          <w:szCs w:val="43"/>
          <w:lang w:val="en-US" w:eastAsia="zh-CN"/>
        </w:rPr>
      </w:pPr>
      <w:r>
        <w:rPr>
          <w:rFonts w:hint="eastAsia" w:ascii="宋体" w:hAnsi="宋体" w:eastAsia="宋体" w:cs="宋体"/>
          <w:sz w:val="43"/>
          <w:szCs w:val="43"/>
          <w:lang w:val="en-US" w:eastAsia="zh-CN"/>
        </w:rPr>
        <w:t xml:space="preserve">   </w:t>
      </w:r>
    </w:p>
    <w:p>
      <w:pPr>
        <w:pStyle w:val="2"/>
        <w:spacing w:line="247" w:lineRule="auto"/>
        <w:jc w:val="center"/>
        <w:outlineLvl w:val="9"/>
        <w:rPr>
          <w:rFonts w:hint="eastAsia" w:asciiTheme="majorEastAsia" w:hAnsiTheme="majorEastAsia" w:eastAsiaTheme="majorEastAsia" w:cstheme="majorEastAsia"/>
          <w:b/>
          <w:bCs/>
          <w:sz w:val="52"/>
          <w:szCs w:val="52"/>
          <w:lang w:eastAsia="zh-CN"/>
        </w:rPr>
      </w:pPr>
      <w:r>
        <w:rPr>
          <w:rFonts w:hint="eastAsia" w:asciiTheme="majorEastAsia" w:hAnsiTheme="majorEastAsia" w:eastAsiaTheme="majorEastAsia" w:cstheme="majorEastAsia"/>
          <w:b/>
          <w:bCs/>
          <w:sz w:val="44"/>
          <w:szCs w:val="44"/>
          <w:lang w:eastAsia="zh-CN"/>
        </w:rPr>
        <w:t>2023年潢川县农村安全饮水检测能力提升项目</w:t>
      </w:r>
    </w:p>
    <w:p>
      <w:pPr>
        <w:pStyle w:val="2"/>
        <w:spacing w:line="248" w:lineRule="auto"/>
      </w:pPr>
    </w:p>
    <w:p>
      <w:pPr>
        <w:pStyle w:val="2"/>
        <w:spacing w:line="248" w:lineRule="auto"/>
      </w:pPr>
    </w:p>
    <w:p>
      <w:pPr>
        <w:spacing w:before="231" w:line="222" w:lineRule="auto"/>
        <w:ind w:firstLine="1604" w:firstLineChars="200"/>
        <w:jc w:val="left"/>
        <w:outlineLvl w:val="9"/>
        <w:rPr>
          <w:rFonts w:ascii="宋体" w:hAnsi="宋体" w:eastAsia="宋体" w:cs="宋体"/>
          <w:sz w:val="72"/>
          <w:szCs w:val="72"/>
        </w:rPr>
      </w:pPr>
      <w:bookmarkStart w:id="0" w:name="_Toc22502"/>
      <w:bookmarkStart w:id="1" w:name="_Toc23545"/>
      <w:bookmarkStart w:id="2" w:name="_Toc9438"/>
      <w:r>
        <w:rPr>
          <w:rFonts w:ascii="宋体" w:hAnsi="宋体" w:eastAsia="宋体" w:cs="宋体"/>
          <w:spacing w:val="41"/>
          <w:sz w:val="72"/>
          <w:szCs w:val="72"/>
          <w14:textOutline w14:w="13075" w14:cap="sq" w14:cmpd="sng">
            <w14:solidFill>
              <w14:srgbClr w14:val="000000"/>
            </w14:solidFill>
            <w14:prstDash w14:val="solid"/>
            <w14:bevel/>
          </w14:textOutline>
        </w:rPr>
        <w:t>竞争性磋商文件</w:t>
      </w:r>
      <w:bookmarkEnd w:id="0"/>
      <w:bookmarkEnd w:id="1"/>
      <w:bookmarkEnd w:id="2"/>
    </w:p>
    <w:p>
      <w:pPr>
        <w:pStyle w:val="2"/>
        <w:spacing w:line="330" w:lineRule="auto"/>
      </w:pPr>
    </w:p>
    <w:p>
      <w:pPr>
        <w:pStyle w:val="2"/>
        <w:spacing w:line="330" w:lineRule="auto"/>
      </w:pPr>
    </w:p>
    <w:p>
      <w:pPr>
        <w:spacing w:before="101" w:line="224" w:lineRule="auto"/>
        <w:ind w:left="1921"/>
        <w:rPr>
          <w:rFonts w:hint="default" w:ascii="宋体" w:hAnsi="宋体" w:eastAsia="宋体" w:cs="宋体"/>
          <w:sz w:val="30"/>
          <w:szCs w:val="30"/>
          <w:lang w:val="en-US"/>
        </w:rPr>
      </w:pPr>
      <w:r>
        <w:rPr>
          <w:rFonts w:ascii="宋体" w:hAnsi="宋体" w:eastAsia="宋体" w:cs="宋体"/>
          <w:spacing w:val="8"/>
          <w:sz w:val="30"/>
          <w:szCs w:val="30"/>
          <w14:textOutline w14:w="5793" w14:cap="sq" w14:cmpd="sng">
            <w14:solidFill>
              <w14:srgbClr w14:val="000000"/>
            </w14:solidFill>
            <w14:prstDash w14:val="solid"/>
            <w14:bevel/>
          </w14:textOutline>
        </w:rPr>
        <w:t>项目编号：</w:t>
      </w:r>
      <w:r>
        <w:rPr>
          <w:rFonts w:hint="eastAsia" w:ascii="宋体" w:hAnsi="宋体" w:eastAsia="宋体" w:cs="宋体"/>
          <w:spacing w:val="8"/>
          <w:sz w:val="30"/>
          <w:szCs w:val="30"/>
          <w:lang w:eastAsia="zh-CN"/>
          <w14:textOutline w14:w="5793" w14:cap="sq" w14:cmpd="sng">
            <w14:solidFill>
              <w14:srgbClr w14:val="000000"/>
            </w14:solidFill>
            <w14:prstDash w14:val="solid"/>
            <w14:bevel/>
          </w14:textOutline>
        </w:rPr>
        <w:t>潢财竞磋采购-202</w:t>
      </w:r>
      <w:r>
        <w:rPr>
          <w:rFonts w:hint="eastAsia" w:ascii="宋体" w:hAnsi="宋体" w:eastAsia="宋体" w:cs="宋体"/>
          <w:spacing w:val="8"/>
          <w:sz w:val="30"/>
          <w:szCs w:val="30"/>
          <w:lang w:val="en-US" w:eastAsia="zh-CN"/>
          <w14:textOutline w14:w="5793" w14:cap="sq" w14:cmpd="sng">
            <w14:solidFill>
              <w14:srgbClr w14:val="000000"/>
            </w14:solidFill>
            <w14:prstDash w14:val="solid"/>
            <w14:bevel/>
          </w14:textOutline>
        </w:rPr>
        <w:t>4</w:t>
      </w:r>
      <w:r>
        <w:rPr>
          <w:rFonts w:hint="eastAsia" w:ascii="宋体" w:hAnsi="宋体" w:eastAsia="宋体" w:cs="宋体"/>
          <w:spacing w:val="8"/>
          <w:sz w:val="30"/>
          <w:szCs w:val="30"/>
          <w:lang w:eastAsia="zh-CN"/>
          <w14:textOutline w14:w="5793" w14:cap="sq" w14:cmpd="sng">
            <w14:solidFill>
              <w14:srgbClr w14:val="000000"/>
            </w14:solidFill>
            <w14:prstDash w14:val="solid"/>
            <w14:bevel/>
          </w14:textOutline>
        </w:rPr>
        <w:t>-</w:t>
      </w:r>
      <w:r>
        <w:rPr>
          <w:rFonts w:hint="eastAsia" w:ascii="宋体" w:hAnsi="宋体" w:eastAsia="宋体" w:cs="宋体"/>
          <w:spacing w:val="8"/>
          <w:sz w:val="30"/>
          <w:szCs w:val="30"/>
          <w:lang w:val="en-US" w:eastAsia="zh-CN"/>
          <w14:textOutline w14:w="5793" w14:cap="sq" w14:cmpd="sng">
            <w14:solidFill>
              <w14:srgbClr w14:val="000000"/>
            </w14:solidFill>
            <w14:prstDash w14:val="solid"/>
            <w14:bevel/>
          </w14:textOutline>
        </w:rPr>
        <w:t>7</w:t>
      </w: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jc w:val="center"/>
      </w:pPr>
      <w:r>
        <w:rPr>
          <w:rFonts w:hint="eastAsia" w:ascii="黑体" w:hAnsi="黑体" w:eastAsia="黑体" w:cs="黑体"/>
          <w:b/>
          <w:bCs w:val="0"/>
          <w:spacing w:val="0"/>
          <w:lang w:eastAsia="zh-CN"/>
        </w:rPr>
        <w:drawing>
          <wp:inline distT="0" distB="0" distL="114300" distR="114300">
            <wp:extent cx="2228850" cy="2394585"/>
            <wp:effectExtent l="0" t="0" r="0" b="5715"/>
            <wp:docPr id="1" name="图片 1" descr="6fd2a97c0f8fd0b727f3ba69e1b3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fd2a97c0f8fd0b727f3ba69e1b3922"/>
                    <pic:cNvPicPr>
                      <a:picLocks noChangeAspect="1"/>
                    </pic:cNvPicPr>
                  </pic:nvPicPr>
                  <pic:blipFill>
                    <a:blip r:embed="rId32"/>
                    <a:stretch>
                      <a:fillRect/>
                    </a:stretch>
                  </pic:blipFill>
                  <pic:spPr>
                    <a:xfrm>
                      <a:off x="0" y="0"/>
                      <a:ext cx="2228850" cy="2394585"/>
                    </a:xfrm>
                    <a:prstGeom prst="rect">
                      <a:avLst/>
                    </a:prstGeom>
                    <a:noFill/>
                    <a:ln>
                      <a:noFill/>
                    </a:ln>
                  </pic:spPr>
                </pic:pic>
              </a:graphicData>
            </a:graphic>
          </wp:inline>
        </w:drawing>
      </w:r>
    </w:p>
    <w:p>
      <w:pPr>
        <w:pStyle w:val="2"/>
        <w:spacing w:line="243" w:lineRule="auto"/>
      </w:pPr>
    </w:p>
    <w:p>
      <w:pPr>
        <w:pStyle w:val="2"/>
        <w:spacing w:line="243" w:lineRule="auto"/>
      </w:pPr>
    </w:p>
    <w:p>
      <w:pPr>
        <w:pStyle w:val="2"/>
        <w:spacing w:line="243" w:lineRule="auto"/>
      </w:pPr>
    </w:p>
    <w:p>
      <w:pPr>
        <w:spacing w:before="101" w:line="224" w:lineRule="auto"/>
        <w:ind w:firstLine="1884" w:firstLineChars="600"/>
        <w:jc w:val="both"/>
        <w:rPr>
          <w:rFonts w:ascii="宋体" w:hAnsi="宋体" w:eastAsia="宋体" w:cs="宋体"/>
          <w:spacing w:val="-1"/>
          <w:sz w:val="31"/>
          <w:szCs w:val="31"/>
          <w14:textOutline w14:w="5793" w14:cap="sq" w14:cmpd="sng">
            <w14:solidFill>
              <w14:srgbClr w14:val="000000"/>
            </w14:solidFill>
            <w14:prstDash w14:val="solid"/>
            <w14:bevel/>
          </w14:textOutline>
        </w:rPr>
      </w:pPr>
      <w:r>
        <w:rPr>
          <w:rFonts w:ascii="宋体" w:hAnsi="宋体" w:eastAsia="宋体" w:cs="宋体"/>
          <w:spacing w:val="2"/>
          <w:sz w:val="31"/>
          <w:szCs w:val="31"/>
          <w14:textOutline w14:w="5793" w14:cap="sq" w14:cmpd="sng">
            <w14:solidFill>
              <w14:srgbClr w14:val="000000"/>
            </w14:solidFill>
            <w14:prstDash w14:val="solid"/>
            <w14:bevel/>
          </w14:textOutline>
        </w:rPr>
        <w:t>采购人：</w:t>
      </w:r>
      <w:r>
        <w:rPr>
          <w:rFonts w:hint="eastAsia" w:ascii="宋体" w:hAnsi="宋体" w:eastAsia="宋体" w:cs="宋体"/>
          <w:spacing w:val="2"/>
          <w:sz w:val="31"/>
          <w:szCs w:val="31"/>
          <w:lang w:val="en-US" w:eastAsia="zh-CN"/>
          <w14:textOutline w14:w="5793" w14:cap="sq" w14:cmpd="sng">
            <w14:solidFill>
              <w14:srgbClr w14:val="000000"/>
            </w14:solidFill>
            <w14:prstDash w14:val="solid"/>
            <w14:bevel/>
          </w14:textOutline>
        </w:rPr>
        <w:t>潢川县疾病预防控制中心</w:t>
      </w:r>
    </w:p>
    <w:p>
      <w:pPr>
        <w:spacing w:before="101" w:line="224" w:lineRule="auto"/>
        <w:ind w:firstLine="1540" w:firstLineChars="500"/>
        <w:jc w:val="both"/>
        <w:rPr>
          <w:rFonts w:ascii="宋体" w:hAnsi="宋体" w:eastAsia="宋体" w:cs="宋体"/>
          <w:spacing w:val="-1"/>
          <w:sz w:val="31"/>
          <w:szCs w:val="31"/>
          <w14:textOutline w14:w="5793" w14:cap="sq" w14:cmpd="sng">
            <w14:solidFill>
              <w14:srgbClr w14:val="000000"/>
            </w14:solidFill>
            <w14:prstDash w14:val="solid"/>
            <w14:bevel/>
          </w14:textOutline>
        </w:rPr>
      </w:pPr>
    </w:p>
    <w:p>
      <w:pPr>
        <w:spacing w:before="101" w:line="224" w:lineRule="auto"/>
        <w:ind w:firstLine="1848" w:firstLineChars="600"/>
        <w:jc w:val="both"/>
      </w:pPr>
      <w:r>
        <w:rPr>
          <w:rFonts w:ascii="宋体" w:hAnsi="宋体" w:eastAsia="宋体" w:cs="宋体"/>
          <w:spacing w:val="-1"/>
          <w:sz w:val="31"/>
          <w:szCs w:val="31"/>
          <w14:textOutline w14:w="5793" w14:cap="sq" w14:cmpd="sng">
            <w14:solidFill>
              <w14:srgbClr w14:val="000000"/>
            </w14:solidFill>
            <w14:prstDash w14:val="solid"/>
            <w14:bevel/>
          </w14:textOutline>
        </w:rPr>
        <w:t>采购代理机构：</w:t>
      </w:r>
      <w:r>
        <w:rPr>
          <w:rFonts w:hint="eastAsia" w:ascii="宋体" w:hAnsi="宋体" w:eastAsia="宋体" w:cs="宋体"/>
          <w:spacing w:val="-1"/>
          <w:sz w:val="31"/>
          <w:szCs w:val="31"/>
          <w:lang w:val="en-US" w:eastAsia="zh-CN"/>
          <w14:textOutline w14:w="5793" w14:cap="sq" w14:cmpd="sng">
            <w14:solidFill>
              <w14:srgbClr w14:val="000000"/>
            </w14:solidFill>
            <w14:prstDash w14:val="solid"/>
            <w14:bevel/>
          </w14:textOutline>
        </w:rPr>
        <w:t>信阳硕华工程项目管理有限公司</w:t>
      </w:r>
    </w:p>
    <w:p>
      <w:pPr>
        <w:spacing w:before="101" w:line="225" w:lineRule="auto"/>
        <w:ind w:firstLine="1480" w:firstLineChars="500"/>
        <w:jc w:val="both"/>
        <w:rPr>
          <w:rFonts w:hint="eastAsia" w:ascii="宋体" w:hAnsi="宋体" w:eastAsia="宋体" w:cs="宋体"/>
          <w:spacing w:val="-7"/>
          <w:sz w:val="31"/>
          <w:szCs w:val="31"/>
          <w:lang w:val="en-US" w:eastAsia="zh-CN"/>
          <w14:textOutline w14:w="5793" w14:cap="sq" w14:cmpd="sng">
            <w14:solidFill>
              <w14:srgbClr w14:val="000000"/>
            </w14:solidFill>
            <w14:prstDash w14:val="solid"/>
            <w14:bevel/>
          </w14:textOutline>
        </w:rPr>
      </w:pPr>
      <w:r>
        <w:rPr>
          <w:rFonts w:hint="eastAsia" w:ascii="宋体" w:hAnsi="宋体" w:eastAsia="宋体" w:cs="宋体"/>
          <w:spacing w:val="-7"/>
          <w:sz w:val="31"/>
          <w:szCs w:val="31"/>
          <w:lang w:val="en-US" w:eastAsia="zh-CN"/>
          <w14:textOutline w14:w="5793" w14:cap="sq" w14:cmpd="sng">
            <w14:solidFill>
              <w14:srgbClr w14:val="000000"/>
            </w14:solidFill>
            <w14:prstDash w14:val="solid"/>
            <w14:bevel/>
          </w14:textOutline>
        </w:rPr>
        <w:t xml:space="preserve"> </w:t>
      </w:r>
    </w:p>
    <w:p>
      <w:pPr>
        <w:spacing w:before="101" w:line="225" w:lineRule="auto"/>
        <w:ind w:firstLine="1776" w:firstLineChars="600"/>
        <w:jc w:val="both"/>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日</w:t>
      </w:r>
      <w:r>
        <w:rPr>
          <w:rFonts w:ascii="宋体" w:hAnsi="宋体" w:eastAsia="宋体" w:cs="宋体"/>
          <w:spacing w:val="-7"/>
          <w:sz w:val="31"/>
          <w:szCs w:val="31"/>
        </w:rPr>
        <w:t xml:space="preserve">  </w:t>
      </w:r>
      <w:r>
        <w:rPr>
          <w:rFonts w:ascii="宋体" w:hAnsi="宋体" w:eastAsia="宋体" w:cs="宋体"/>
          <w:spacing w:val="-7"/>
          <w:sz w:val="31"/>
          <w:szCs w:val="31"/>
          <w14:textOutline w14:w="5793" w14:cap="sq" w14:cmpd="sng">
            <w14:solidFill>
              <w14:srgbClr w14:val="000000"/>
            </w14:solidFill>
            <w14:prstDash w14:val="solid"/>
            <w14:bevel/>
          </w14:textOutline>
        </w:rPr>
        <w:t>期：二〇二</w:t>
      </w:r>
      <w:r>
        <w:rPr>
          <w:rFonts w:hint="eastAsia" w:ascii="宋体" w:hAnsi="宋体" w:eastAsia="宋体" w:cs="宋体"/>
          <w:spacing w:val="-7"/>
          <w:sz w:val="31"/>
          <w:szCs w:val="31"/>
          <w:lang w:val="en-US" w:eastAsia="zh-CN"/>
          <w14:textOutline w14:w="5793" w14:cap="sq" w14:cmpd="sng">
            <w14:solidFill>
              <w14:srgbClr w14:val="000000"/>
            </w14:solidFill>
            <w14:prstDash w14:val="solid"/>
            <w14:bevel/>
          </w14:textOutline>
        </w:rPr>
        <w:t>四</w:t>
      </w:r>
      <w:r>
        <w:rPr>
          <w:rFonts w:ascii="宋体" w:hAnsi="宋体" w:eastAsia="宋体" w:cs="宋体"/>
          <w:spacing w:val="-7"/>
          <w:sz w:val="31"/>
          <w:szCs w:val="31"/>
          <w14:textOutline w14:w="5793" w14:cap="sq" w14:cmpd="sng">
            <w14:solidFill>
              <w14:srgbClr w14:val="000000"/>
            </w14:solidFill>
            <w14:prstDash w14:val="solid"/>
            <w14:bevel/>
          </w14:textOutline>
        </w:rPr>
        <w:t>年</w:t>
      </w:r>
      <w:r>
        <w:rPr>
          <w:rFonts w:hint="eastAsia" w:ascii="宋体" w:hAnsi="宋体" w:eastAsia="宋体" w:cs="宋体"/>
          <w:spacing w:val="-7"/>
          <w:sz w:val="31"/>
          <w:szCs w:val="31"/>
          <w:lang w:val="en-US" w:eastAsia="zh-CN"/>
          <w14:textOutline w14:w="5793" w14:cap="sq" w14:cmpd="sng">
            <w14:solidFill>
              <w14:srgbClr w14:val="000000"/>
            </w14:solidFill>
            <w14:prstDash w14:val="solid"/>
            <w14:bevel/>
          </w14:textOutline>
        </w:rPr>
        <w:t>四</w:t>
      </w:r>
      <w:r>
        <w:rPr>
          <w:rFonts w:ascii="宋体" w:hAnsi="宋体" w:eastAsia="宋体" w:cs="宋体"/>
          <w:spacing w:val="-7"/>
          <w:sz w:val="31"/>
          <w:szCs w:val="31"/>
          <w14:textOutline w14:w="5793" w14:cap="sq" w14:cmpd="sng">
            <w14:solidFill>
              <w14:srgbClr w14:val="000000"/>
            </w14:solidFill>
            <w14:prstDash w14:val="solid"/>
            <w14:bevel/>
          </w14:textOutline>
        </w:rPr>
        <w:t>月</w:t>
      </w:r>
    </w:p>
    <w:p>
      <w:pPr>
        <w:spacing w:line="225" w:lineRule="auto"/>
        <w:jc w:val="center"/>
        <w:rPr>
          <w:rFonts w:ascii="宋体" w:hAnsi="宋体" w:eastAsia="宋体" w:cs="宋体"/>
          <w:sz w:val="31"/>
          <w:szCs w:val="31"/>
        </w:rPr>
      </w:pPr>
    </w:p>
    <w:p>
      <w:pPr>
        <w:bidi w:val="0"/>
        <w:rPr>
          <w:rFonts w:ascii="Arial" w:hAnsi="Arial" w:eastAsia="Arial" w:cs="Arial"/>
          <w:snapToGrid w:val="0"/>
          <w:color w:val="000000"/>
          <w:kern w:val="0"/>
          <w:sz w:val="21"/>
          <w:szCs w:val="21"/>
          <w:lang w:val="en-US" w:eastAsia="en-US" w:bidi="ar-SA"/>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tabs>
          <w:tab w:val="left" w:pos="3718"/>
        </w:tabs>
        <w:bidi w:val="0"/>
        <w:jc w:val="left"/>
        <w:rPr>
          <w:rFonts w:hint="eastAsia" w:eastAsia="宋体"/>
          <w:lang w:val="en-US" w:eastAsia="zh-CN"/>
        </w:rPr>
      </w:pPr>
    </w:p>
    <w:p>
      <w:pPr>
        <w:bidi w:val="0"/>
        <w:rPr>
          <w:rFonts w:hint="eastAsia" w:ascii="Arial" w:hAnsi="Arial" w:eastAsia="Arial" w:cs="Arial"/>
          <w:snapToGrid w:val="0"/>
          <w:color w:val="000000"/>
          <w:kern w:val="0"/>
          <w:sz w:val="21"/>
          <w:szCs w:val="21"/>
          <w:lang w:val="en-US" w:eastAsia="zh-CN" w:bidi="ar-SA"/>
        </w:rPr>
      </w:pPr>
    </w:p>
    <w:p>
      <w:pPr>
        <w:tabs>
          <w:tab w:val="left" w:pos="3793"/>
        </w:tabs>
        <w:bidi w:val="0"/>
        <w:jc w:val="left"/>
        <w:rPr>
          <w:rFonts w:hint="eastAsia"/>
          <w:lang w:val="en-US" w:eastAsia="zh-CN"/>
        </w:rPr>
        <w:sectPr>
          <w:pgSz w:w="11911" w:h="16839"/>
          <w:pgMar w:top="1431" w:right="1663" w:bottom="0" w:left="1638" w:header="0" w:footer="0" w:gutter="0"/>
          <w:pgNumType w:fmt="decimal" w:start="1"/>
          <w:cols w:space="720" w:num="1"/>
        </w:sectPr>
      </w:pPr>
    </w:p>
    <w:sdt>
      <w:sdtPr>
        <w:rPr>
          <w:rFonts w:ascii="仿宋" w:hAnsi="仿宋" w:eastAsia="仿宋" w:cs="仿宋"/>
          <w:sz w:val="35"/>
          <w:szCs w:val="35"/>
        </w:rPr>
        <w:id w:val="6"/>
        <w:docPartObj>
          <w:docPartGallery w:val="Table of Contents"/>
          <w:docPartUnique/>
        </w:docPartObj>
      </w:sdtPr>
      <w:sdtEndPr>
        <w:rPr>
          <w:rFonts w:hint="default" w:ascii="仿宋" w:hAnsi="仿宋" w:eastAsia="仿宋" w:cs="仿宋"/>
          <w:sz w:val="31"/>
          <w:szCs w:val="31"/>
          <w:lang w:val="en-US"/>
        </w:rPr>
      </w:sdtEndPr>
      <w:sdtContent>
        <w:p>
          <w:pPr>
            <w:pStyle w:val="2"/>
            <w:spacing w:before="118" w:line="228" w:lineRule="auto"/>
            <w:ind w:left="4096"/>
            <w:rPr>
              <w:sz w:val="35"/>
              <w:szCs w:val="35"/>
            </w:rPr>
          </w:pPr>
          <w:r>
            <w:rPr>
              <w:spacing w:val="-39"/>
              <w:sz w:val="35"/>
              <w:szCs w:val="35"/>
              <w14:textOutline w14:w="6537" w14:cap="sq" w14:cmpd="sng">
                <w14:solidFill>
                  <w14:srgbClr w14:val="000000"/>
                </w14:solidFill>
                <w14:prstDash w14:val="solid"/>
                <w14:bevel/>
              </w14:textOutline>
            </w:rPr>
            <w:t>目</w:t>
          </w:r>
          <w:r>
            <w:rPr>
              <w:spacing w:val="18"/>
              <w:sz w:val="35"/>
              <w:szCs w:val="35"/>
            </w:rPr>
            <w:t xml:space="preserve">   </w:t>
          </w:r>
          <w:r>
            <w:rPr>
              <w:spacing w:val="-39"/>
              <w:sz w:val="35"/>
              <w:szCs w:val="35"/>
              <w14:textOutline w14:w="6537" w14:cap="sq" w14:cmpd="sng">
                <w14:solidFill>
                  <w14:srgbClr w14:val="000000"/>
                </w14:solidFill>
                <w14:prstDash w14:val="solid"/>
                <w14:bevel/>
              </w14:textOutline>
            </w:rPr>
            <w:t>录</w:t>
          </w:r>
        </w:p>
        <w:p>
          <w:pPr>
            <w:spacing w:line="288" w:lineRule="auto"/>
            <w:rPr>
              <w:rFonts w:ascii="Arial"/>
              <w:sz w:val="21"/>
            </w:rPr>
          </w:pPr>
        </w:p>
        <w:p>
          <w:pPr>
            <w:spacing w:line="289" w:lineRule="auto"/>
            <w:rPr>
              <w:rFonts w:ascii="Arial" w:eastAsia="仿宋"/>
              <w:sz w:val="28"/>
            </w:rPr>
          </w:pPr>
        </w:p>
        <w:p>
          <w:pPr>
            <w:pStyle w:val="2"/>
            <w:tabs>
              <w:tab w:val="right" w:leader="dot" w:pos="9319"/>
            </w:tabs>
            <w:spacing w:before="100" w:line="226" w:lineRule="auto"/>
            <w:rPr>
              <w:rFonts w:hint="eastAsia" w:eastAsia="仿宋"/>
              <w:sz w:val="28"/>
              <w:lang w:eastAsia="zh-CN"/>
            </w:rPr>
          </w:pPr>
          <w:r>
            <w:rPr>
              <w:rFonts w:eastAsia="仿宋"/>
              <w:spacing w:val="3"/>
              <w:sz w:val="28"/>
            </w:rPr>
            <w:t>第一章</w:t>
          </w:r>
          <w:r>
            <w:rPr>
              <w:rFonts w:eastAsia="仿宋"/>
              <w:spacing w:val="21"/>
              <w:sz w:val="28"/>
            </w:rPr>
            <w:t xml:space="preserve">  </w:t>
          </w:r>
          <w:r>
            <w:rPr>
              <w:rFonts w:eastAsia="仿宋"/>
              <w:spacing w:val="3"/>
              <w:sz w:val="28"/>
            </w:rPr>
            <w:t>竞争性磋商公告</w:t>
          </w:r>
          <w:r>
            <w:rPr>
              <w:rFonts w:eastAsia="仿宋"/>
              <w:spacing w:val="-132"/>
              <w:sz w:val="28"/>
            </w:rPr>
            <w:t xml:space="preserve"> </w:t>
          </w:r>
          <w:r>
            <w:rPr>
              <w:rFonts w:eastAsia="仿宋"/>
              <w:sz w:val="28"/>
            </w:rPr>
            <w:tab/>
          </w:r>
          <w:r>
            <w:rPr>
              <w:rFonts w:eastAsia="仿宋"/>
              <w:spacing w:val="-71"/>
              <w:sz w:val="28"/>
            </w:rPr>
            <w:t xml:space="preserve"> </w:t>
          </w:r>
          <w:r>
            <w:rPr>
              <w:rFonts w:hint="eastAsia" w:eastAsia="仿宋"/>
              <w:sz w:val="28"/>
              <w:lang w:val="en-US" w:eastAsia="zh-CN"/>
            </w:rPr>
            <w:t>1</w:t>
          </w:r>
        </w:p>
        <w:p>
          <w:pPr>
            <w:pStyle w:val="2"/>
            <w:tabs>
              <w:tab w:val="right" w:leader="dot" w:pos="9319"/>
            </w:tabs>
            <w:spacing w:before="244" w:line="228" w:lineRule="auto"/>
            <w:rPr>
              <w:rFonts w:hint="eastAsia" w:eastAsia="仿宋"/>
              <w:sz w:val="28"/>
              <w:lang w:eastAsia="zh-CN"/>
            </w:rPr>
          </w:pPr>
          <w:r>
            <w:rPr>
              <w:rFonts w:eastAsia="仿宋"/>
              <w:spacing w:val="6"/>
              <w:sz w:val="28"/>
            </w:rPr>
            <w:t>第二章  磋商供应商须知</w:t>
          </w:r>
          <w:r>
            <w:rPr>
              <w:rFonts w:eastAsia="仿宋"/>
              <w:spacing w:val="-132"/>
              <w:sz w:val="28"/>
            </w:rPr>
            <w:t xml:space="preserve"> </w:t>
          </w:r>
          <w:r>
            <w:rPr>
              <w:rFonts w:eastAsia="仿宋"/>
              <w:sz w:val="28"/>
            </w:rPr>
            <w:tab/>
          </w:r>
          <w:r>
            <w:rPr>
              <w:rFonts w:hint="eastAsia" w:eastAsia="仿宋"/>
              <w:spacing w:val="-70"/>
              <w:sz w:val="28"/>
              <w:lang w:val="en-US" w:eastAsia="zh-CN"/>
            </w:rPr>
            <w:t>4</w:t>
          </w:r>
        </w:p>
        <w:p>
          <w:pPr>
            <w:pStyle w:val="2"/>
            <w:tabs>
              <w:tab w:val="right" w:leader="dot" w:pos="9319"/>
            </w:tabs>
            <w:spacing w:before="241" w:line="228" w:lineRule="auto"/>
            <w:rPr>
              <w:rFonts w:hint="default" w:eastAsia="仿宋"/>
              <w:sz w:val="28"/>
              <w:lang w:val="en-US" w:eastAsia="zh-CN"/>
            </w:rPr>
          </w:pPr>
          <w:r>
            <w:rPr>
              <w:rFonts w:eastAsia="仿宋"/>
              <w:spacing w:val="1"/>
              <w:sz w:val="28"/>
            </w:rPr>
            <w:t>第三章</w:t>
          </w:r>
          <w:r>
            <w:rPr>
              <w:rFonts w:eastAsia="仿宋"/>
              <w:spacing w:val="17"/>
              <w:sz w:val="28"/>
            </w:rPr>
            <w:t xml:space="preserve">  </w:t>
          </w:r>
          <w:r>
            <w:rPr>
              <w:rFonts w:hint="eastAsia" w:eastAsia="仿宋"/>
              <w:spacing w:val="6"/>
              <w:sz w:val="28"/>
            </w:rPr>
            <w:t>评审办法（综合评分法）</w:t>
          </w:r>
          <w:r>
            <w:rPr>
              <w:rFonts w:eastAsia="仿宋"/>
              <w:spacing w:val="6"/>
              <w:sz w:val="28"/>
            </w:rPr>
            <w:t xml:space="preserve"> </w:t>
          </w:r>
          <w:r>
            <w:rPr>
              <w:rFonts w:eastAsia="仿宋"/>
              <w:sz w:val="28"/>
            </w:rPr>
            <w:tab/>
          </w:r>
          <w:r>
            <w:rPr>
              <w:rFonts w:eastAsia="仿宋"/>
              <w:spacing w:val="-64"/>
              <w:sz w:val="28"/>
            </w:rPr>
            <w:t xml:space="preserve"> </w:t>
          </w:r>
          <w:r>
            <w:rPr>
              <w:rFonts w:hint="eastAsia" w:eastAsia="仿宋"/>
              <w:sz w:val="28"/>
              <w:lang w:val="en-US" w:eastAsia="zh-CN"/>
            </w:rPr>
            <w:t>18</w:t>
          </w:r>
        </w:p>
        <w:p>
          <w:pPr>
            <w:pStyle w:val="2"/>
            <w:tabs>
              <w:tab w:val="right" w:leader="dot" w:pos="9319"/>
            </w:tabs>
            <w:spacing w:before="242" w:line="228" w:lineRule="auto"/>
            <w:rPr>
              <w:rFonts w:hint="default" w:eastAsia="仿宋"/>
              <w:sz w:val="28"/>
              <w:lang w:val="en-US" w:eastAsia="zh-CN"/>
            </w:rPr>
          </w:pPr>
          <w:r>
            <w:rPr>
              <w:rFonts w:eastAsia="仿宋"/>
              <w:sz w:val="28"/>
            </w:rPr>
            <w:t>第四章</w:t>
          </w:r>
          <w:r>
            <w:rPr>
              <w:rFonts w:eastAsia="仿宋"/>
              <w:spacing w:val="21"/>
              <w:sz w:val="28"/>
            </w:rPr>
            <w:t xml:space="preserve">  </w:t>
          </w:r>
          <w:r>
            <w:rPr>
              <w:rFonts w:eastAsia="仿宋"/>
              <w:spacing w:val="1"/>
              <w:sz w:val="28"/>
            </w:rPr>
            <w:t>采购需求</w:t>
          </w:r>
          <w:r>
            <w:rPr>
              <w:rFonts w:hint="eastAsia" w:eastAsia="仿宋"/>
              <w:spacing w:val="1"/>
              <w:sz w:val="28"/>
              <w:lang w:val="en-US" w:eastAsia="zh-CN"/>
            </w:rPr>
            <w:t>及要求</w:t>
          </w:r>
          <w:r>
            <w:rPr>
              <w:rFonts w:eastAsia="仿宋"/>
              <w:spacing w:val="-132"/>
              <w:sz w:val="28"/>
            </w:rPr>
            <w:t xml:space="preserve"> </w:t>
          </w:r>
          <w:r>
            <w:rPr>
              <w:rFonts w:eastAsia="仿宋"/>
              <w:sz w:val="28"/>
            </w:rPr>
            <w:tab/>
          </w:r>
          <w:r>
            <w:rPr>
              <w:rFonts w:eastAsia="仿宋"/>
              <w:spacing w:val="-64"/>
              <w:sz w:val="28"/>
            </w:rPr>
            <w:t xml:space="preserve"> </w:t>
          </w:r>
          <w:r>
            <w:rPr>
              <w:rFonts w:hint="eastAsia" w:eastAsia="仿宋"/>
              <w:sz w:val="28"/>
              <w:lang w:val="en-US" w:eastAsia="zh-CN"/>
            </w:rPr>
            <w:t>24</w:t>
          </w:r>
        </w:p>
        <w:p>
          <w:pPr>
            <w:pStyle w:val="2"/>
            <w:tabs>
              <w:tab w:val="right" w:leader="dot" w:pos="9319"/>
            </w:tabs>
            <w:spacing w:before="241" w:line="228" w:lineRule="auto"/>
            <w:rPr>
              <w:rFonts w:hint="default" w:eastAsia="仿宋"/>
              <w:sz w:val="28"/>
              <w:lang w:val="en-US" w:eastAsia="zh-CN"/>
            </w:rPr>
          </w:pPr>
          <w:r>
            <w:rPr>
              <w:rFonts w:eastAsia="仿宋"/>
              <w:spacing w:val="1"/>
              <w:sz w:val="28"/>
            </w:rPr>
            <w:t>第五章</w:t>
          </w:r>
          <w:r>
            <w:rPr>
              <w:rFonts w:eastAsia="仿宋"/>
              <w:spacing w:val="17"/>
              <w:sz w:val="28"/>
            </w:rPr>
            <w:t xml:space="preserve">  </w:t>
          </w:r>
          <w:r>
            <w:rPr>
              <w:rFonts w:hint="eastAsia" w:eastAsia="仿宋"/>
              <w:spacing w:val="1"/>
              <w:sz w:val="28"/>
              <w:lang w:val="en-US" w:eastAsia="zh-CN"/>
            </w:rPr>
            <w:t>合同条款及格式</w:t>
          </w:r>
          <w:r>
            <w:rPr>
              <w:rFonts w:eastAsia="仿宋"/>
              <w:spacing w:val="-131"/>
              <w:sz w:val="28"/>
            </w:rPr>
            <w:t xml:space="preserve"> </w:t>
          </w:r>
          <w:r>
            <w:rPr>
              <w:rFonts w:eastAsia="仿宋"/>
              <w:sz w:val="28"/>
            </w:rPr>
            <w:tab/>
          </w:r>
          <w:r>
            <w:rPr>
              <w:rFonts w:eastAsia="仿宋"/>
              <w:spacing w:val="-62"/>
              <w:sz w:val="28"/>
            </w:rPr>
            <w:t xml:space="preserve"> </w:t>
          </w:r>
          <w:r>
            <w:rPr>
              <w:rFonts w:hint="eastAsia" w:eastAsia="仿宋"/>
              <w:sz w:val="28"/>
              <w:lang w:val="en-US" w:eastAsia="zh-CN"/>
            </w:rPr>
            <w:t>30</w:t>
          </w:r>
        </w:p>
        <w:p>
          <w:pPr>
            <w:pStyle w:val="2"/>
            <w:tabs>
              <w:tab w:val="right" w:leader="dot" w:pos="9319"/>
            </w:tabs>
            <w:spacing w:before="241" w:line="228" w:lineRule="auto"/>
            <w:rPr>
              <w:rFonts w:hint="default"/>
              <w:lang w:val="en-US"/>
            </w:rPr>
            <w:sectPr>
              <w:footerReference r:id="rId5" w:type="default"/>
              <w:pgSz w:w="11906" w:h="16839"/>
              <w:pgMar w:top="1431" w:right="1133" w:bottom="1010" w:left="1453" w:header="0" w:footer="847" w:gutter="0"/>
              <w:pgNumType w:fmt="decimal" w:start="1"/>
              <w:cols w:space="720" w:num="1"/>
            </w:sectPr>
          </w:pPr>
          <w:r>
            <w:rPr>
              <w:rFonts w:eastAsia="仿宋"/>
              <w:spacing w:val="6"/>
              <w:sz w:val="28"/>
            </w:rPr>
            <w:t>第六章  磋商响应文件格式</w:t>
          </w:r>
          <w:r>
            <w:rPr>
              <w:rFonts w:eastAsia="仿宋"/>
              <w:spacing w:val="-127"/>
              <w:sz w:val="28"/>
            </w:rPr>
            <w:t xml:space="preserve"> </w:t>
          </w:r>
          <w:r>
            <w:rPr>
              <w:rFonts w:eastAsia="仿宋"/>
              <w:sz w:val="28"/>
            </w:rPr>
            <w:tab/>
          </w:r>
          <w:r>
            <w:rPr>
              <w:rFonts w:eastAsia="仿宋"/>
              <w:spacing w:val="-79"/>
              <w:sz w:val="28"/>
            </w:rPr>
            <w:t xml:space="preserve"> </w:t>
          </w:r>
          <w:r>
            <w:rPr>
              <w:rFonts w:hint="eastAsia" w:eastAsia="仿宋"/>
              <w:sz w:val="28"/>
              <w:lang w:val="en-US" w:eastAsia="zh-CN"/>
            </w:rPr>
            <w:t>38</w:t>
          </w:r>
        </w:p>
      </w:sdtContent>
    </w:sdt>
    <w:p>
      <w:pPr>
        <w:tabs>
          <w:tab w:val="left" w:pos="2668"/>
        </w:tabs>
        <w:spacing w:before="64" w:line="223" w:lineRule="auto"/>
        <w:jc w:val="left"/>
        <w:outlineLvl w:val="9"/>
        <w:rPr>
          <w:rFonts w:hint="eastAsia" w:asciiTheme="minorEastAsia" w:hAnsiTheme="minorEastAsia" w:eastAsiaTheme="minorEastAsia" w:cstheme="minorEastAsia"/>
          <w:spacing w:val="8"/>
          <w:sz w:val="36"/>
          <w:szCs w:val="36"/>
          <w14:textOutline w14:w="5793" w14:cap="sq" w14:cmpd="sng">
            <w14:solidFill>
              <w14:srgbClr w14:val="000000"/>
            </w14:solidFill>
            <w14:prstDash w14:val="solid"/>
            <w14:bevel/>
          </w14:textOutline>
        </w:rPr>
      </w:pPr>
      <w:bookmarkStart w:id="3" w:name="_Toc4802"/>
    </w:p>
    <w:p>
      <w:pPr>
        <w:tabs>
          <w:tab w:val="left" w:pos="2668"/>
        </w:tabs>
        <w:spacing w:before="64" w:line="223" w:lineRule="auto"/>
        <w:ind w:firstLine="2632" w:firstLineChars="700"/>
        <w:jc w:val="left"/>
        <w:outlineLvl w:val="0"/>
        <w:rPr>
          <w:rFonts w:hint="eastAsia" w:asciiTheme="minorEastAsia" w:hAnsiTheme="minorEastAsia" w:eastAsiaTheme="minorEastAsia" w:cstheme="minorEastAsia"/>
          <w:sz w:val="36"/>
          <w:szCs w:val="36"/>
        </w:rPr>
      </w:pPr>
      <w:bookmarkStart w:id="4" w:name="_Toc9119"/>
      <w:bookmarkStart w:id="5" w:name="_Toc13230"/>
      <w:r>
        <w:rPr>
          <w:rFonts w:hint="eastAsia" w:asciiTheme="minorEastAsia" w:hAnsiTheme="minorEastAsia" w:eastAsiaTheme="minorEastAsia" w:cstheme="minorEastAsia"/>
          <w:spacing w:val="8"/>
          <w:sz w:val="36"/>
          <w:szCs w:val="36"/>
          <w14:textOutline w14:w="5793" w14:cap="sq" w14:cmpd="sng">
            <w14:solidFill>
              <w14:srgbClr w14:val="000000"/>
            </w14:solidFill>
            <w14:prstDash w14:val="solid"/>
            <w14:bevel/>
          </w14:textOutline>
        </w:rPr>
        <w:t>第一章</w:t>
      </w:r>
      <w:r>
        <w:rPr>
          <w:rFonts w:hint="eastAsia" w:asciiTheme="minorEastAsia" w:hAnsiTheme="minorEastAsia" w:eastAsiaTheme="minorEastAsia" w:cstheme="minorEastAsia"/>
          <w:spacing w:val="8"/>
          <w:sz w:val="36"/>
          <w:szCs w:val="36"/>
        </w:rPr>
        <w:t xml:space="preserve">  </w:t>
      </w:r>
      <w:r>
        <w:rPr>
          <w:rFonts w:hint="eastAsia" w:asciiTheme="minorEastAsia" w:hAnsiTheme="minorEastAsia" w:eastAsiaTheme="minorEastAsia" w:cstheme="minorEastAsia"/>
          <w:spacing w:val="8"/>
          <w:sz w:val="36"/>
          <w:szCs w:val="36"/>
          <w14:textOutline w14:w="5793" w14:cap="sq" w14:cmpd="sng">
            <w14:solidFill>
              <w14:srgbClr w14:val="000000"/>
            </w14:solidFill>
            <w14:prstDash w14:val="solid"/>
            <w14:bevel/>
          </w14:textOutline>
        </w:rPr>
        <w:t>竞争性磋商公告</w:t>
      </w:r>
      <w:bookmarkEnd w:id="3"/>
      <w:bookmarkEnd w:id="4"/>
      <w:bookmarkEnd w:id="5"/>
    </w:p>
    <w:p>
      <w:pPr>
        <w:keepNext w:val="0"/>
        <w:keepLines w:val="0"/>
        <w:pageBreakBefore w:val="0"/>
        <w:widowControl/>
        <w:kinsoku w:val="0"/>
        <w:wordWrap/>
        <w:overflowPunct/>
        <w:topLinePunct w:val="0"/>
        <w:autoSpaceDE w:val="0"/>
        <w:autoSpaceDN w:val="0"/>
        <w:bidi w:val="0"/>
        <w:adjustRightInd w:val="0"/>
        <w:snapToGrid w:val="0"/>
        <w:spacing w:line="400" w:lineRule="exact"/>
        <w:ind w:left="527"/>
        <w:jc w:val="center"/>
        <w:textAlignment w:val="baseline"/>
        <w:rPr>
          <w:rFonts w:hint="eastAsia" w:asciiTheme="minorEastAsia" w:hAnsiTheme="minorEastAsia" w:eastAsiaTheme="minorEastAsia" w:cstheme="minorEastAsia"/>
          <w:spacing w:val="10"/>
          <w:sz w:val="28"/>
          <w:szCs w:val="28"/>
          <w:lang w:eastAsia="zh-CN"/>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pacing w:val="10"/>
          <w:sz w:val="28"/>
          <w:szCs w:val="28"/>
          <w:lang w:eastAsia="zh-CN"/>
          <w14:textOutline w14:w="5793" w14:cap="sq" w14:cmpd="sng">
            <w14:solidFill>
              <w14:srgbClr w14:val="000000"/>
            </w14:solidFill>
            <w14:prstDash w14:val="solid"/>
            <w14:bevel/>
          </w14:textOutline>
        </w:rPr>
        <w:t>2023年潢川县农村安全饮水检测能力提升项目</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527"/>
        <w:jc w:val="center"/>
        <w:textAlignment w:val="baseline"/>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10"/>
          <w:sz w:val="28"/>
          <w:szCs w:val="28"/>
          <w14:textOutline w14:w="5793" w14:cap="sq" w14:cmpd="sng">
            <w14:solidFill>
              <w14:srgbClr w14:val="000000"/>
            </w14:solidFill>
            <w14:prstDash w14:val="solid"/>
            <w14:bevel/>
          </w14:textOutline>
        </w:rPr>
        <w:t>竞争性磋商公告</w:t>
      </w:r>
    </w:p>
    <w:p>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11" w:firstLine="788" w:firstLineChars="326"/>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eastAsia="zh-CN"/>
        </w:rPr>
        <w:t>2023年潢川县农村安全饮水检测能力提升项目</w:t>
      </w:r>
      <w:r>
        <w:rPr>
          <w:rFonts w:hint="eastAsia" w:ascii="仿宋" w:hAnsi="仿宋" w:eastAsia="仿宋" w:cs="仿宋"/>
          <w:spacing w:val="1"/>
          <w:sz w:val="24"/>
          <w:szCs w:val="24"/>
        </w:rPr>
        <w:t>的潜在</w:t>
      </w:r>
      <w:r>
        <w:rPr>
          <w:rFonts w:hint="eastAsia" w:ascii="仿宋" w:hAnsi="仿宋" w:eastAsia="仿宋" w:cs="仿宋"/>
          <w:spacing w:val="1"/>
          <w:sz w:val="24"/>
          <w:szCs w:val="24"/>
          <w:lang w:val="en-US" w:eastAsia="zh-CN"/>
        </w:rPr>
        <w:t>供应商</w:t>
      </w:r>
      <w:r>
        <w:rPr>
          <w:rFonts w:hint="eastAsia" w:ascii="仿宋" w:hAnsi="仿宋" w:eastAsia="仿宋" w:cs="仿宋"/>
          <w:spacing w:val="1"/>
          <w:sz w:val="24"/>
          <w:szCs w:val="24"/>
        </w:rPr>
        <w:t>应在新郑市公共资源电子交易平台内获取采购文件，并于</w:t>
      </w:r>
      <w:r>
        <w:rPr>
          <w:rFonts w:hint="eastAsia" w:ascii="仿宋" w:hAnsi="仿宋" w:eastAsia="仿宋" w:cs="仿宋"/>
          <w:color w:val="000000" w:themeColor="text1"/>
          <w:spacing w:val="1"/>
          <w:sz w:val="24"/>
          <w:szCs w:val="24"/>
          <w14:textFill>
            <w14:solidFill>
              <w14:schemeClr w14:val="tx1"/>
            </w14:solidFill>
          </w14:textFill>
        </w:rPr>
        <w:t>202</w:t>
      </w:r>
      <w:r>
        <w:rPr>
          <w:rFonts w:hint="eastAsia" w:ascii="仿宋" w:hAnsi="仿宋" w:eastAsia="仿宋" w:cs="仿宋"/>
          <w:color w:val="000000" w:themeColor="text1"/>
          <w:spacing w:val="1"/>
          <w:sz w:val="24"/>
          <w:szCs w:val="24"/>
          <w:lang w:val="en-US" w:eastAsia="zh-CN"/>
          <w14:textFill>
            <w14:solidFill>
              <w14:schemeClr w14:val="tx1"/>
            </w14:solidFill>
          </w14:textFill>
        </w:rPr>
        <w:t>4</w:t>
      </w:r>
      <w:r>
        <w:rPr>
          <w:rFonts w:hint="eastAsia" w:ascii="仿宋" w:hAnsi="仿宋" w:eastAsia="仿宋" w:cs="仿宋"/>
          <w:color w:val="000000" w:themeColor="text1"/>
          <w:spacing w:val="1"/>
          <w:sz w:val="24"/>
          <w:szCs w:val="24"/>
          <w14:textFill>
            <w14:solidFill>
              <w14:schemeClr w14:val="tx1"/>
            </w14:solidFill>
          </w14:textFill>
        </w:rPr>
        <w:t>年</w:t>
      </w:r>
      <w:r>
        <w:rPr>
          <w:rFonts w:hint="eastAsia" w:ascii="仿宋" w:hAnsi="仿宋" w:eastAsia="仿宋" w:cs="仿宋"/>
          <w:color w:val="000000" w:themeColor="text1"/>
          <w:spacing w:val="1"/>
          <w:sz w:val="24"/>
          <w:szCs w:val="24"/>
          <w:lang w:val="en-US" w:eastAsia="zh-CN"/>
          <w14:textFill>
            <w14:solidFill>
              <w14:schemeClr w14:val="tx1"/>
            </w14:solidFill>
          </w14:textFill>
        </w:rPr>
        <w:t>5</w:t>
      </w:r>
      <w:r>
        <w:rPr>
          <w:rFonts w:hint="eastAsia" w:ascii="仿宋" w:hAnsi="仿宋" w:eastAsia="仿宋" w:cs="仿宋"/>
          <w:color w:val="000000" w:themeColor="text1"/>
          <w:spacing w:val="1"/>
          <w:sz w:val="24"/>
          <w:szCs w:val="24"/>
          <w14:textFill>
            <w14:solidFill>
              <w14:schemeClr w14:val="tx1"/>
            </w14:solidFill>
          </w14:textFill>
        </w:rPr>
        <w:t>月</w:t>
      </w:r>
      <w:r>
        <w:rPr>
          <w:rFonts w:hint="eastAsia" w:ascii="仿宋" w:hAnsi="仿宋" w:eastAsia="仿宋" w:cs="仿宋"/>
          <w:color w:val="000000" w:themeColor="text1"/>
          <w:spacing w:val="1"/>
          <w:sz w:val="24"/>
          <w:szCs w:val="24"/>
          <w:lang w:val="en-US" w:eastAsia="zh-CN"/>
          <w14:textFill>
            <w14:solidFill>
              <w14:schemeClr w14:val="tx1"/>
            </w14:solidFill>
          </w14:textFill>
        </w:rPr>
        <w:t>7</w:t>
      </w:r>
      <w:r>
        <w:rPr>
          <w:rFonts w:hint="eastAsia" w:ascii="仿宋" w:hAnsi="仿宋" w:eastAsia="仿宋" w:cs="仿宋"/>
          <w:color w:val="000000" w:themeColor="text1"/>
          <w:spacing w:val="1"/>
          <w:sz w:val="24"/>
          <w:szCs w:val="24"/>
          <w14:textFill>
            <w14:solidFill>
              <w14:schemeClr w14:val="tx1"/>
            </w14:solidFill>
          </w14:textFill>
        </w:rPr>
        <w:t>日09时30分（</w:t>
      </w:r>
      <w:r>
        <w:rPr>
          <w:rFonts w:hint="eastAsia" w:ascii="仿宋" w:hAnsi="仿宋" w:eastAsia="仿宋" w:cs="仿宋"/>
          <w:spacing w:val="1"/>
          <w:sz w:val="24"/>
          <w:szCs w:val="24"/>
        </w:rPr>
        <w:t>北京时间）前递交响应文件。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b/>
          <w:bCs/>
          <w:color w:val="000000" w:themeColor="text1"/>
          <w:spacing w:val="1"/>
          <w:sz w:val="24"/>
          <w:szCs w:val="24"/>
          <w14:textFill>
            <w14:solidFill>
              <w14:schemeClr w14:val="tx1"/>
            </w14:solidFill>
          </w14:textFill>
        </w:rPr>
      </w:pPr>
      <w:r>
        <w:rPr>
          <w:rFonts w:hint="eastAsia" w:ascii="仿宋" w:hAnsi="仿宋" w:eastAsia="仿宋" w:cs="仿宋"/>
          <w:b/>
          <w:bCs/>
          <w:color w:val="000000" w:themeColor="text1"/>
          <w:spacing w:val="1"/>
          <w:sz w:val="24"/>
          <w:szCs w:val="24"/>
          <w14:textFill>
            <w14:solidFill>
              <w14:schemeClr w14:val="tx1"/>
            </w14:solidFill>
          </w14:textFill>
        </w:rPr>
        <w:t>一、项目基本情况</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rPr>
        <w:t>1、项目编号：</w:t>
      </w:r>
      <w:r>
        <w:rPr>
          <w:rFonts w:hint="eastAsia" w:ascii="仿宋" w:hAnsi="仿宋" w:eastAsia="仿宋" w:cs="仿宋"/>
          <w:spacing w:val="1"/>
          <w:sz w:val="24"/>
          <w:szCs w:val="24"/>
          <w:lang w:val="en-US" w:eastAsia="zh-CN"/>
        </w:rPr>
        <w:t>潢</w:t>
      </w:r>
      <w:r>
        <w:rPr>
          <w:rFonts w:hint="eastAsia" w:ascii="仿宋" w:hAnsi="仿宋" w:eastAsia="仿宋" w:cs="仿宋"/>
          <w:spacing w:val="1"/>
          <w:sz w:val="24"/>
          <w:szCs w:val="24"/>
        </w:rPr>
        <w:t>财磋商采购-202</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7</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2、项目名称：</w:t>
      </w:r>
      <w:r>
        <w:rPr>
          <w:rFonts w:hint="eastAsia" w:ascii="仿宋" w:hAnsi="仿宋" w:eastAsia="仿宋" w:cs="仿宋"/>
          <w:spacing w:val="1"/>
          <w:sz w:val="24"/>
          <w:szCs w:val="24"/>
          <w:lang w:eastAsia="zh-CN"/>
        </w:rPr>
        <w:t>2023年潢川县农村安全饮水检测能力提升项目</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3、采购方式：竞争性磋商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4、预算金额：</w:t>
      </w:r>
      <w:r>
        <w:rPr>
          <w:rFonts w:hint="eastAsia" w:ascii="仿宋" w:hAnsi="仿宋" w:eastAsia="仿宋" w:cs="仿宋"/>
          <w:spacing w:val="1"/>
          <w:sz w:val="24"/>
          <w:szCs w:val="24"/>
          <w:lang w:val="en-US" w:eastAsia="zh-CN"/>
        </w:rPr>
        <w:t>1070000</w:t>
      </w:r>
      <w:r>
        <w:rPr>
          <w:rFonts w:hint="eastAsia" w:ascii="仿宋" w:hAnsi="仿宋" w:eastAsia="仿宋" w:cs="仿宋"/>
          <w:spacing w:val="1"/>
          <w:sz w:val="24"/>
          <w:szCs w:val="24"/>
        </w:rPr>
        <w:t xml:space="preserve"> 元</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最高限价：</w:t>
      </w:r>
      <w:r>
        <w:rPr>
          <w:rFonts w:hint="eastAsia" w:ascii="仿宋" w:hAnsi="仿宋" w:eastAsia="仿宋" w:cs="仿宋"/>
          <w:spacing w:val="1"/>
          <w:sz w:val="24"/>
          <w:szCs w:val="24"/>
          <w:lang w:val="en-US" w:eastAsia="zh-CN"/>
        </w:rPr>
        <w:t>1070000</w:t>
      </w:r>
      <w:r>
        <w:rPr>
          <w:rFonts w:hint="eastAsia" w:ascii="仿宋" w:hAnsi="仿宋" w:eastAsia="仿宋" w:cs="仿宋"/>
          <w:spacing w:val="1"/>
          <w:sz w:val="24"/>
          <w:szCs w:val="24"/>
        </w:rPr>
        <w:t xml:space="preserve"> 元</w:t>
      </w:r>
    </w:p>
    <w:tbl>
      <w:tblPr>
        <w:tblStyle w:val="20"/>
        <w:tblW w:w="8815" w:type="dxa"/>
        <w:tblInd w:w="1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601"/>
        <w:gridCol w:w="2854"/>
        <w:gridCol w:w="1740"/>
        <w:gridCol w:w="18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810"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序号</w:t>
            </w:r>
          </w:p>
        </w:tc>
        <w:tc>
          <w:tcPr>
            <w:tcW w:w="1601"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包号</w:t>
            </w:r>
          </w:p>
        </w:tc>
        <w:tc>
          <w:tcPr>
            <w:tcW w:w="2854"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包名称</w:t>
            </w:r>
          </w:p>
        </w:tc>
        <w:tc>
          <w:tcPr>
            <w:tcW w:w="1740"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包预算（元）</w:t>
            </w:r>
          </w:p>
        </w:tc>
        <w:tc>
          <w:tcPr>
            <w:tcW w:w="1810"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包最高限（元）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810"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w:t>
            </w:r>
          </w:p>
        </w:tc>
        <w:tc>
          <w:tcPr>
            <w:tcW w:w="1601"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default" w:ascii="仿宋" w:hAnsi="仿宋" w:eastAsia="仿宋" w:cs="仿宋"/>
                <w:spacing w:val="1"/>
                <w:sz w:val="24"/>
                <w:szCs w:val="24"/>
                <w:lang w:val="en-US"/>
              </w:rPr>
            </w:pPr>
            <w:r>
              <w:rPr>
                <w:rFonts w:hint="eastAsia" w:ascii="仿宋" w:hAnsi="仿宋" w:eastAsia="仿宋" w:cs="仿宋"/>
                <w:spacing w:val="1"/>
                <w:sz w:val="24"/>
                <w:szCs w:val="24"/>
                <w:lang w:eastAsia="zh-CN"/>
              </w:rPr>
              <w:t>潢财竞磋采购-202</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7</w:t>
            </w:r>
          </w:p>
        </w:tc>
        <w:tc>
          <w:tcPr>
            <w:tcW w:w="2854"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239" w:leftChars="114" w:firstLine="0" w:firstLineChars="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eastAsia="zh-CN"/>
              </w:rPr>
              <w:t>2023年潢川县农村安全饮水检测能力提升项目</w:t>
            </w:r>
          </w:p>
        </w:tc>
        <w:tc>
          <w:tcPr>
            <w:tcW w:w="1740"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1070000</w:t>
            </w:r>
          </w:p>
        </w:tc>
        <w:tc>
          <w:tcPr>
            <w:tcW w:w="1810"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1070000</w:t>
            </w:r>
          </w:p>
        </w:tc>
      </w:tr>
    </w:tbl>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5、采购需求（包括但不限于标的的名称、数量、简要技术需求或服务要求等）</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rPr>
        <w:t>5.1 项目地点：</w:t>
      </w:r>
      <w:r>
        <w:rPr>
          <w:rFonts w:hint="eastAsia" w:ascii="仿宋" w:hAnsi="仿宋" w:eastAsia="仿宋" w:cs="仿宋"/>
          <w:spacing w:val="1"/>
          <w:sz w:val="24"/>
          <w:szCs w:val="24"/>
          <w:lang w:val="en-US" w:eastAsia="zh-CN"/>
        </w:rPr>
        <w:t>潢川县疾病预防控制中心内</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5.2 采购内容：竞争性磋商文件第四章项目要求所包含的全部内容</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spacing w:val="1"/>
          <w:sz w:val="24"/>
          <w:szCs w:val="24"/>
        </w:rPr>
        <w:t>5.</w:t>
      </w:r>
      <w:r>
        <w:rPr>
          <w:rFonts w:hint="eastAsia" w:ascii="仿宋" w:hAnsi="仿宋" w:eastAsia="仿宋" w:cs="仿宋"/>
          <w:color w:val="000000" w:themeColor="text1"/>
          <w:spacing w:val="1"/>
          <w:sz w:val="24"/>
          <w:szCs w:val="24"/>
          <w14:textFill>
            <w14:solidFill>
              <w14:schemeClr w14:val="tx1"/>
            </w14:solidFill>
          </w14:textFill>
        </w:rPr>
        <w:t>3 供货期（含安装调试）：30日历天</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5.4 质量保证期：</w:t>
      </w:r>
      <w:r>
        <w:rPr>
          <w:rFonts w:hint="eastAsia" w:ascii="仿宋" w:hAnsi="仿宋" w:eastAsia="仿宋" w:cs="仿宋"/>
          <w:color w:val="000000" w:themeColor="text1"/>
          <w:spacing w:val="1"/>
          <w:sz w:val="24"/>
          <w:szCs w:val="24"/>
          <w:lang w:val="en-US" w:eastAsia="zh-CN"/>
          <w14:textFill>
            <w14:solidFill>
              <w14:schemeClr w14:val="tx1"/>
            </w14:solidFill>
          </w14:textFill>
        </w:rPr>
        <w:t>1</w:t>
      </w:r>
      <w:r>
        <w:rPr>
          <w:rFonts w:hint="eastAsia" w:ascii="仿宋" w:hAnsi="仿宋" w:eastAsia="仿宋" w:cs="仿宋"/>
          <w:color w:val="000000" w:themeColor="text1"/>
          <w:spacing w:val="1"/>
          <w:sz w:val="24"/>
          <w:szCs w:val="24"/>
          <w14:textFill>
            <w14:solidFill>
              <w14:schemeClr w14:val="tx1"/>
            </w14:solidFill>
          </w14:textFill>
        </w:rPr>
        <w:t>年（自验收合格之日起）</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5.5 质量要求：符合现行标准、规范、规定等，满足采购人需求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5.6 评审方式：全流程电子化评标方式</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5.7 项目属性：</w:t>
      </w:r>
      <w:r>
        <w:rPr>
          <w:rFonts w:hint="eastAsia" w:ascii="仿宋" w:hAnsi="仿宋" w:eastAsia="仿宋" w:cs="仿宋"/>
          <w:spacing w:val="1"/>
          <w:sz w:val="24"/>
          <w:szCs w:val="24"/>
          <w:lang w:val="en-US" w:eastAsia="zh-CN"/>
        </w:rPr>
        <w:t>服务</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6、合同履行期限：30日历天</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 xml:space="preserve">7、本项目是否接受联合体投标：否 </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 xml:space="preserve">8、是否接受进口：否 </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9、是否专门面小中小企业：否</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b/>
          <w:bCs/>
          <w:spacing w:val="1"/>
          <w:sz w:val="24"/>
          <w:szCs w:val="24"/>
          <w:lang w:val="en-US" w:eastAsia="zh-CN"/>
        </w:rPr>
      </w:pPr>
      <w:r>
        <w:rPr>
          <w:rFonts w:hint="eastAsia" w:ascii="仿宋" w:hAnsi="仿宋" w:eastAsia="仿宋" w:cs="仿宋"/>
          <w:b/>
          <w:bCs/>
          <w:spacing w:val="1"/>
          <w:sz w:val="24"/>
          <w:szCs w:val="24"/>
        </w:rPr>
        <w:t>二、申请人的资格要</w:t>
      </w:r>
      <w:r>
        <w:rPr>
          <w:rFonts w:hint="eastAsia" w:ascii="仿宋" w:hAnsi="仿宋" w:eastAsia="仿宋" w:cs="仿宋"/>
          <w:b/>
          <w:bCs/>
          <w:spacing w:val="1"/>
          <w:sz w:val="24"/>
          <w:szCs w:val="24"/>
          <w:lang w:val="en-US" w:eastAsia="zh-CN"/>
        </w:rPr>
        <w:t>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1</w:t>
      </w:r>
      <w:r>
        <w:rPr>
          <w:rFonts w:hint="eastAsia" w:ascii="仿宋" w:hAnsi="仿宋" w:eastAsia="仿宋" w:cs="仿宋"/>
          <w:spacing w:val="1"/>
          <w:sz w:val="24"/>
          <w:szCs w:val="24"/>
        </w:rPr>
        <w:t>、供应商须符合《中华人民共和国政府采购法》第二十二条规定。</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2、落实政府采购政策满足的资格要求：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11" w:firstLine="788" w:firstLineChars="326"/>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本项目执行促进中小企业发展、支持监狱企业发展、促进残疾人就业、强制采购节 能产品、优先采购环境标志产品、优先采购国货、节约能源、保护环境、扶持不发达地区和少数民族地区等最新政府采购政策。</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3、</w:t>
      </w:r>
      <w:r>
        <w:rPr>
          <w:rFonts w:hint="eastAsia" w:ascii="仿宋" w:hAnsi="仿宋" w:eastAsia="仿宋" w:cs="仿宋"/>
          <w:spacing w:val="1"/>
          <w:sz w:val="24"/>
          <w:szCs w:val="24"/>
        </w:rPr>
        <w:t>本项目的特定资格要求：</w:t>
      </w:r>
    </w:p>
    <w:p>
      <w:pPr>
        <w:keepNext w:val="0"/>
        <w:keepLines w:val="0"/>
        <w:pageBreakBefore w:val="0"/>
        <w:kinsoku/>
        <w:wordWrap/>
        <w:overflowPunct/>
        <w:topLinePunct w:val="0"/>
        <w:autoSpaceDE/>
        <w:autoSpaceDN/>
        <w:bidi w:val="0"/>
        <w:adjustRightInd w:val="0"/>
        <w:snapToGrid w:val="0"/>
        <w:spacing w:line="380" w:lineRule="exact"/>
        <w:ind w:firstLine="484" w:firstLineChars="200"/>
        <w:textAlignment w:val="auto"/>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3.1投标供应商必须提供三证合一的营业执照；</w:t>
      </w:r>
    </w:p>
    <w:p>
      <w:pPr>
        <w:keepNext w:val="0"/>
        <w:keepLines w:val="0"/>
        <w:pageBreakBefore w:val="0"/>
        <w:kinsoku/>
        <w:wordWrap/>
        <w:overflowPunct/>
        <w:topLinePunct w:val="0"/>
        <w:autoSpaceDE/>
        <w:autoSpaceDN/>
        <w:bidi w:val="0"/>
        <w:adjustRightInd w:val="0"/>
        <w:snapToGrid w:val="0"/>
        <w:spacing w:line="380" w:lineRule="exact"/>
        <w:ind w:firstLine="484" w:firstLineChars="200"/>
        <w:textAlignment w:val="auto"/>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3.2具有良好的商业信誉和健全的财务会计制度（提供2022年或2023年度经审计的财务审计报告，若企业成立年份不足，则需提供开户行出具的资信证明）；</w:t>
      </w:r>
    </w:p>
    <w:p>
      <w:pPr>
        <w:keepNext w:val="0"/>
        <w:keepLines w:val="0"/>
        <w:pageBreakBefore w:val="0"/>
        <w:widowControl/>
        <w:kinsoku/>
        <w:wordWrap/>
        <w:overflowPunct/>
        <w:topLinePunct w:val="0"/>
        <w:autoSpaceDE/>
        <w:autoSpaceDN/>
        <w:bidi w:val="0"/>
        <w:adjustRightInd/>
        <w:spacing w:beforeAutospacing="0" w:afterAutospacing="0" w:line="380" w:lineRule="exact"/>
        <w:ind w:left="0" w:leftChars="0" w:right="0" w:rightChars="0" w:firstLine="484" w:firstLineChars="200"/>
        <w:jc w:val="left"/>
        <w:textAlignment w:val="auto"/>
        <w:outlineLvl w:val="9"/>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 xml:space="preserve">3.3.具有履行合同所必需的设备和专业技术能力（提供书面承诺书）； </w:t>
      </w:r>
    </w:p>
    <w:p>
      <w:pPr>
        <w:keepNext w:val="0"/>
        <w:keepLines w:val="0"/>
        <w:pageBreakBefore w:val="0"/>
        <w:widowControl/>
        <w:kinsoku/>
        <w:wordWrap/>
        <w:overflowPunct/>
        <w:topLinePunct w:val="0"/>
        <w:autoSpaceDE/>
        <w:autoSpaceDN/>
        <w:bidi w:val="0"/>
        <w:adjustRightInd/>
        <w:spacing w:beforeAutospacing="0" w:afterAutospacing="0" w:line="380" w:lineRule="exact"/>
        <w:ind w:left="0" w:leftChars="0" w:right="0" w:rightChars="0" w:firstLine="484" w:firstLineChars="200"/>
        <w:jc w:val="left"/>
        <w:textAlignment w:val="auto"/>
        <w:outlineLvl w:val="9"/>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3.4.有依法缴纳税收和社会保障资金的良好记录（提供2023年以来任意一个月依法缴纳税收和社会保障资金的证明材料，依法免税或不需要缴纳社会保障资金的供应商，应提供相应证明文件）；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w:t>
      </w:r>
      <w:r>
        <w:rPr>
          <w:rFonts w:hint="eastAsia" w:ascii="仿宋" w:hAnsi="仿宋" w:eastAsia="仿宋" w:cs="仿宋"/>
          <w:spacing w:val="1"/>
          <w:sz w:val="24"/>
          <w:szCs w:val="24"/>
          <w:lang w:val="en-US" w:eastAsia="zh-CN"/>
        </w:rPr>
        <w:t xml:space="preserve">5 </w:t>
      </w:r>
      <w:r>
        <w:rPr>
          <w:rFonts w:hint="eastAsia" w:ascii="仿宋" w:hAnsi="仿宋" w:eastAsia="仿宋" w:cs="仿宋"/>
          <w:spacing w:val="1"/>
          <w:sz w:val="24"/>
          <w:szCs w:val="24"/>
        </w:rPr>
        <w:t>根据《政府采购质疑和投诉办法》第三十七条规定，被财政部门列入不良行为记录名单的供应商，禁止其1至3年内参加政府采购活动。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《政府采购质疑和投诉办法》第三十七条规定：</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投诉人在全国范围12个月内三次以上投诉查无实据的，由财政部门列入不良为记录名单。</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投诉人有下列行为之一的，属于虚假、恶意投诉，由财政部门列入不良行为记名单，禁止其1至3年内参加政府采购活动：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（一）捏造事实；</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（二）提供虚假材料；</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（三）以非法手段取得证明材料。证据来源的合法性存在明显疑问，投诉无</w:t>
      </w:r>
      <w:r>
        <w:rPr>
          <w:rFonts w:hint="eastAsia" w:ascii="仿宋" w:hAnsi="仿宋" w:eastAsia="仿宋" w:cs="仿宋"/>
          <w:spacing w:val="1"/>
          <w:sz w:val="24"/>
          <w:szCs w:val="24"/>
          <w:lang w:val="en-US" w:eastAsia="zh-CN"/>
        </w:rPr>
        <w:t>证</w:t>
      </w:r>
      <w:r>
        <w:rPr>
          <w:rFonts w:hint="eastAsia" w:ascii="仿宋" w:hAnsi="仿宋" w:eastAsia="仿宋" w:cs="仿宋"/>
          <w:spacing w:val="1"/>
          <w:sz w:val="24"/>
          <w:szCs w:val="24"/>
        </w:rPr>
        <w:t>明其取得方式合法的，视为以非法手段取得证明材料。</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w:t>
      </w:r>
      <w:r>
        <w:rPr>
          <w:rFonts w:hint="eastAsia" w:ascii="仿宋" w:hAnsi="仿宋" w:eastAsia="仿宋" w:cs="仿宋"/>
          <w:spacing w:val="1"/>
          <w:sz w:val="24"/>
          <w:szCs w:val="24"/>
          <w:lang w:val="en-US" w:eastAsia="zh-CN"/>
        </w:rPr>
        <w:t>6</w:t>
      </w:r>
      <w:r>
        <w:rPr>
          <w:rFonts w:hint="eastAsia" w:ascii="仿宋" w:hAnsi="仿宋" w:eastAsia="仿宋" w:cs="仿宋"/>
          <w:spacing w:val="1"/>
          <w:sz w:val="24"/>
          <w:szCs w:val="24"/>
        </w:rPr>
        <w:t xml:space="preserve"> 根据《关于在政府采购活动中查询及使用信用记录有关问题的通知》（财库 [2016]125 号）规定，未被列入“中国执行信息公开网”的“失信被执行人”、“信用中国”的“重大税收违法失信主体”和“中国政府采购网”的“政府采购严重违法失信行为记录名单 ”中的任何一个名单内。信用记录查询渠道：“中国执行信息公开网”（zxgk.court.gov.cn）、“信用中国 ” (www.creditchina.gov.cn)和“中国政府采购网” (www.ccgp.gov.cn)；信用信息查询的截止时间点：自</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公告发布之日起至投标截止时间后 2 小时；信用证据留存的体式：由供应商将查询结果截图附在响应文件中；在本磋商文件规定的查询时间之后，网站信息发生的任何变更均不再作为评审依据，供应商自行提供的与网站信息不一致的证明材料亦不作为评审依据。</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 xml:space="preserve">3.7 </w:t>
      </w:r>
      <w:r>
        <w:rPr>
          <w:rFonts w:hint="eastAsia" w:ascii="仿宋" w:hAnsi="仿宋" w:eastAsia="仿宋" w:cs="仿宋"/>
          <w:spacing w:val="1"/>
          <w:sz w:val="24"/>
          <w:szCs w:val="24"/>
        </w:rPr>
        <w:t>单位负责人为同一人或者存在直接控股、管理关系的不同供应商，不得参加同一合同项下的采购活动。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w:t>
      </w:r>
      <w:r>
        <w:rPr>
          <w:rFonts w:hint="eastAsia" w:ascii="仿宋" w:hAnsi="仿宋" w:eastAsia="仿宋" w:cs="仿宋"/>
          <w:spacing w:val="1"/>
          <w:sz w:val="24"/>
          <w:szCs w:val="24"/>
          <w:lang w:val="en-US" w:eastAsia="zh-CN"/>
        </w:rPr>
        <w:t>8</w:t>
      </w:r>
      <w:r>
        <w:rPr>
          <w:rFonts w:hint="eastAsia" w:ascii="仿宋" w:hAnsi="仿宋" w:eastAsia="仿宋" w:cs="仿宋"/>
          <w:spacing w:val="1"/>
          <w:sz w:val="24"/>
          <w:szCs w:val="24"/>
        </w:rPr>
        <w:t xml:space="preserve"> 本项目采用资格后审方法，具体资格审查资料详见竞争性磋商文件。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三、获取竞争性磋商文件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color w:val="FF0000"/>
          <w:spacing w:val="1"/>
          <w:sz w:val="24"/>
          <w:szCs w:val="24"/>
        </w:rPr>
      </w:pPr>
      <w:r>
        <w:rPr>
          <w:rFonts w:hint="eastAsia" w:ascii="仿宋" w:hAnsi="仿宋" w:eastAsia="仿宋" w:cs="仿宋"/>
          <w:spacing w:val="1"/>
          <w:sz w:val="24"/>
          <w:szCs w:val="24"/>
        </w:rPr>
        <w:t>1、</w:t>
      </w:r>
      <w:r>
        <w:rPr>
          <w:rFonts w:hint="eastAsia" w:ascii="仿宋" w:hAnsi="仿宋" w:eastAsia="仿宋" w:cs="仿宋"/>
          <w:color w:val="FF0000"/>
          <w:spacing w:val="1"/>
          <w:sz w:val="24"/>
          <w:szCs w:val="24"/>
        </w:rPr>
        <w:t>时间：</w:t>
      </w:r>
      <w:r>
        <w:rPr>
          <w:rFonts w:hint="eastAsia" w:ascii="仿宋" w:hAnsi="仿宋" w:eastAsia="仿宋" w:cs="仿宋"/>
          <w:color w:val="FF0000"/>
          <w:spacing w:val="1"/>
          <w:sz w:val="24"/>
          <w:szCs w:val="24"/>
          <w:lang w:val="en-US" w:eastAsia="zh-CN"/>
        </w:rPr>
        <w:t>2024年4月18日00时00分至2023年4月24日23时59分（北京时间）。</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2、地点：在新郑市公共资源电子交易平台内下载。</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3、方式：</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投标企业须注册成为新郑市公共资源交易会员并取得数字证书（详见新郑市公共资源交易中心网站-通知公告-《新郑市公共资源交易中心关于市场主体信息库注册的通知》、《关于数字证书(CA)互认功能上线试运行的通知》）。</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（2）登陆新郑市公共资源电子交易平台下载。</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（3）获取竞争性磋商文件后，登录新郑市公共资源交易中心网站 -下载专区--《投标人操作手册》下载最新版本的投标文件制作工具安装包，并使用安装后的最新版本响应文件制作工具制作电子响应文件。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4、售价：0 元。</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四、响应文件提交</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1、截止时间：</w:t>
      </w:r>
      <w:r>
        <w:rPr>
          <w:rFonts w:hint="eastAsia" w:ascii="仿宋" w:hAnsi="仿宋" w:eastAsia="仿宋" w:cs="仿宋"/>
          <w:color w:val="FF0000"/>
          <w:spacing w:val="1"/>
          <w:sz w:val="24"/>
          <w:szCs w:val="24"/>
        </w:rPr>
        <w:t>202</w:t>
      </w:r>
      <w:r>
        <w:rPr>
          <w:rFonts w:hint="eastAsia" w:ascii="仿宋" w:hAnsi="仿宋" w:eastAsia="仿宋" w:cs="仿宋"/>
          <w:color w:val="FF0000"/>
          <w:spacing w:val="1"/>
          <w:sz w:val="24"/>
          <w:szCs w:val="24"/>
          <w:lang w:val="en-US" w:eastAsia="zh-CN"/>
        </w:rPr>
        <w:t>4</w:t>
      </w:r>
      <w:r>
        <w:rPr>
          <w:rFonts w:hint="eastAsia" w:ascii="仿宋" w:hAnsi="仿宋" w:eastAsia="仿宋" w:cs="仿宋"/>
          <w:color w:val="FF0000"/>
          <w:spacing w:val="1"/>
          <w:sz w:val="24"/>
          <w:szCs w:val="24"/>
        </w:rPr>
        <w:t>年</w:t>
      </w:r>
      <w:r>
        <w:rPr>
          <w:rFonts w:hint="eastAsia" w:ascii="仿宋" w:hAnsi="仿宋" w:eastAsia="仿宋" w:cs="仿宋"/>
          <w:color w:val="FF0000"/>
          <w:spacing w:val="1"/>
          <w:sz w:val="24"/>
          <w:szCs w:val="24"/>
          <w:lang w:val="en-US" w:eastAsia="zh-CN"/>
        </w:rPr>
        <w:t>5</w:t>
      </w:r>
      <w:r>
        <w:rPr>
          <w:rFonts w:hint="eastAsia" w:ascii="仿宋" w:hAnsi="仿宋" w:eastAsia="仿宋" w:cs="仿宋"/>
          <w:color w:val="FF0000"/>
          <w:spacing w:val="1"/>
          <w:sz w:val="24"/>
          <w:szCs w:val="24"/>
        </w:rPr>
        <w:t>月</w:t>
      </w:r>
      <w:r>
        <w:rPr>
          <w:rFonts w:hint="eastAsia" w:ascii="仿宋" w:hAnsi="仿宋" w:eastAsia="仿宋" w:cs="仿宋"/>
          <w:color w:val="FF0000"/>
          <w:spacing w:val="1"/>
          <w:sz w:val="24"/>
          <w:szCs w:val="24"/>
          <w:lang w:val="en-US" w:eastAsia="zh-CN"/>
        </w:rPr>
        <w:t>7</w:t>
      </w:r>
      <w:r>
        <w:rPr>
          <w:rFonts w:hint="eastAsia" w:ascii="仿宋" w:hAnsi="仿宋" w:eastAsia="仿宋" w:cs="仿宋"/>
          <w:color w:val="FF0000"/>
          <w:spacing w:val="1"/>
          <w:sz w:val="24"/>
          <w:szCs w:val="24"/>
        </w:rPr>
        <w:t>日09时30分（北京时间）。</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2、地点：在新郑市公共资源电子交易平台中加密上传电子响应文件。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pacing w:val="1"/>
          <w:sz w:val="24"/>
          <w:szCs w:val="24"/>
        </w:rPr>
      </w:pPr>
      <w:r>
        <w:rPr>
          <w:rFonts w:hint="eastAsia" w:ascii="仿宋" w:hAnsi="仿宋" w:eastAsia="仿宋" w:cs="仿宋"/>
          <w:b/>
          <w:bCs/>
          <w:color w:val="000000" w:themeColor="text1"/>
          <w:spacing w:val="1"/>
          <w:sz w:val="24"/>
          <w:szCs w:val="24"/>
          <w14:textFill>
            <w14:solidFill>
              <w14:schemeClr w14:val="tx1"/>
            </w14:solidFill>
          </w14:textFill>
        </w:rPr>
        <w:t>五、响应文件开启</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color w:val="FF0000"/>
          <w:spacing w:val="1"/>
          <w:sz w:val="24"/>
          <w:szCs w:val="24"/>
        </w:rPr>
      </w:pPr>
      <w:r>
        <w:rPr>
          <w:rFonts w:hint="eastAsia" w:ascii="仿宋" w:hAnsi="仿宋" w:eastAsia="仿宋" w:cs="仿宋"/>
          <w:spacing w:val="1"/>
          <w:sz w:val="24"/>
          <w:szCs w:val="24"/>
        </w:rPr>
        <w:t>1、时</w:t>
      </w:r>
      <w:r>
        <w:rPr>
          <w:rFonts w:hint="eastAsia" w:ascii="仿宋" w:hAnsi="仿宋" w:eastAsia="仿宋" w:cs="仿宋"/>
          <w:color w:val="000000" w:themeColor="text1"/>
          <w:spacing w:val="1"/>
          <w:sz w:val="24"/>
          <w:szCs w:val="24"/>
          <w14:textFill>
            <w14:solidFill>
              <w14:schemeClr w14:val="tx1"/>
            </w14:solidFill>
          </w14:textFill>
        </w:rPr>
        <w:t>间：</w:t>
      </w:r>
      <w:r>
        <w:rPr>
          <w:rFonts w:hint="eastAsia" w:ascii="仿宋" w:hAnsi="仿宋" w:eastAsia="仿宋" w:cs="仿宋"/>
          <w:color w:val="FF0000"/>
          <w:spacing w:val="1"/>
          <w:sz w:val="24"/>
          <w:szCs w:val="24"/>
        </w:rPr>
        <w:t>202</w:t>
      </w:r>
      <w:r>
        <w:rPr>
          <w:rFonts w:hint="eastAsia" w:ascii="仿宋" w:hAnsi="仿宋" w:eastAsia="仿宋" w:cs="仿宋"/>
          <w:color w:val="FF0000"/>
          <w:spacing w:val="1"/>
          <w:sz w:val="24"/>
          <w:szCs w:val="24"/>
          <w:lang w:val="en-US" w:eastAsia="zh-CN"/>
        </w:rPr>
        <w:t>5</w:t>
      </w:r>
      <w:r>
        <w:rPr>
          <w:rFonts w:hint="eastAsia" w:ascii="仿宋" w:hAnsi="仿宋" w:eastAsia="仿宋" w:cs="仿宋"/>
          <w:color w:val="FF0000"/>
          <w:spacing w:val="1"/>
          <w:sz w:val="24"/>
          <w:szCs w:val="24"/>
        </w:rPr>
        <w:t>年</w:t>
      </w:r>
      <w:r>
        <w:rPr>
          <w:rFonts w:hint="eastAsia" w:ascii="仿宋" w:hAnsi="仿宋" w:eastAsia="仿宋" w:cs="仿宋"/>
          <w:color w:val="FF0000"/>
          <w:spacing w:val="1"/>
          <w:sz w:val="24"/>
          <w:szCs w:val="24"/>
          <w:lang w:val="en-US" w:eastAsia="zh-CN"/>
        </w:rPr>
        <w:t>5</w:t>
      </w:r>
      <w:r>
        <w:rPr>
          <w:rFonts w:hint="eastAsia" w:ascii="仿宋" w:hAnsi="仿宋" w:eastAsia="仿宋" w:cs="仿宋"/>
          <w:color w:val="FF0000"/>
          <w:spacing w:val="1"/>
          <w:sz w:val="24"/>
          <w:szCs w:val="24"/>
        </w:rPr>
        <w:t>月</w:t>
      </w:r>
      <w:r>
        <w:rPr>
          <w:rFonts w:hint="eastAsia" w:ascii="仿宋" w:hAnsi="仿宋" w:eastAsia="仿宋" w:cs="仿宋"/>
          <w:color w:val="FF0000"/>
          <w:spacing w:val="1"/>
          <w:sz w:val="24"/>
          <w:szCs w:val="24"/>
          <w:lang w:val="en-US" w:eastAsia="zh-CN"/>
        </w:rPr>
        <w:t>7</w:t>
      </w:r>
      <w:r>
        <w:rPr>
          <w:rFonts w:hint="eastAsia" w:ascii="仿宋" w:hAnsi="仿宋" w:eastAsia="仿宋" w:cs="仿宋"/>
          <w:color w:val="FF0000"/>
          <w:spacing w:val="1"/>
          <w:sz w:val="24"/>
          <w:szCs w:val="24"/>
        </w:rPr>
        <w:t>日09时30分（北京时间）。</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2、地点：新郑市不见面开标大厅。通过 PC 登录新郑市公共资源交易中心网站，进入不见面开标大厅(详见新郑市公共资源交易中心网站--办事指南--服务指南《新郑市公共资源交易中心不见面开标操作说明》)。</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b/>
          <w:bCs/>
          <w:color w:val="000000" w:themeColor="text1"/>
          <w:spacing w:val="1"/>
          <w:sz w:val="24"/>
          <w:szCs w:val="24"/>
          <w14:textFill>
            <w14:solidFill>
              <w14:schemeClr w14:val="tx1"/>
            </w14:solidFill>
          </w14:textFill>
        </w:rPr>
        <w:t>六、发布公告的媒介及公告期限</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本次</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公告在《河南省政府采购网》、《新郑市公共资源交易中心网》上发布。</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公告期限为三个工作日。</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七、其他补充事宜：</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拟参与本项目的各潜在投标人，在项目投标截止时间前请及时更新市场主体信息库的相关信息（如营业执照、资质证书、财务状况报告等），应确保各类证书在有效期内，否则可能影响正常投标，由此造成的后果自行承担</w:t>
      </w:r>
      <w:r>
        <w:rPr>
          <w:rFonts w:hint="eastAsia" w:ascii="仿宋" w:hAnsi="仿宋" w:eastAsia="仿宋" w:cs="仿宋"/>
          <w:spacing w:val="1"/>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八、凡对本次采购提出询问，请按照以下方式联系</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1、采购人信息</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名  称：</w:t>
      </w:r>
      <w:r>
        <w:rPr>
          <w:rFonts w:hint="eastAsia" w:ascii="仿宋" w:hAnsi="仿宋" w:eastAsia="仿宋" w:cs="仿宋"/>
          <w:spacing w:val="1"/>
          <w:sz w:val="24"/>
          <w:szCs w:val="24"/>
          <w:lang w:eastAsia="zh-CN"/>
        </w:rPr>
        <w:t>潢川县疾病预防控制中心</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地  址：</w:t>
      </w:r>
      <w:r>
        <w:rPr>
          <w:rFonts w:hint="eastAsia" w:ascii="仿宋" w:hAnsi="仿宋" w:eastAsia="仿宋" w:cs="仿宋"/>
          <w:spacing w:val="1"/>
          <w:sz w:val="24"/>
          <w:szCs w:val="24"/>
          <w:lang w:eastAsia="zh-CN"/>
        </w:rPr>
        <w:t>河南省信阳市潢川县</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联系人：</w:t>
      </w:r>
      <w:r>
        <w:rPr>
          <w:rFonts w:hint="eastAsia" w:ascii="仿宋" w:hAnsi="仿宋" w:eastAsia="仿宋" w:cs="仿宋"/>
          <w:spacing w:val="1"/>
          <w:sz w:val="24"/>
          <w:szCs w:val="24"/>
          <w:lang w:val="en-US" w:eastAsia="zh-CN"/>
        </w:rPr>
        <w:t>刘</w:t>
      </w:r>
      <w:r>
        <w:rPr>
          <w:rFonts w:hint="eastAsia" w:ascii="仿宋" w:hAnsi="仿宋" w:eastAsia="仿宋" w:cs="仿宋"/>
          <w:spacing w:val="1"/>
          <w:sz w:val="24"/>
          <w:szCs w:val="24"/>
        </w:rPr>
        <w:t xml:space="preserve">先生       </w:t>
      </w:r>
    </w:p>
    <w:p>
      <w:pPr>
        <w:pStyle w:val="1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right="0" w:firstLine="484" w:firstLineChars="200"/>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联系方式：</w:t>
      </w:r>
      <w:r>
        <w:rPr>
          <w:rFonts w:hint="eastAsia" w:ascii="仿宋" w:hAnsi="仿宋" w:eastAsia="仿宋" w:cs="仿宋"/>
          <w:snapToGrid w:val="0"/>
          <w:color w:val="000000"/>
          <w:spacing w:val="1"/>
          <w:kern w:val="0"/>
          <w:sz w:val="24"/>
          <w:szCs w:val="24"/>
          <w:lang w:val="en-US" w:eastAsia="zh-CN" w:bidi="ar-SA"/>
        </w:rPr>
        <w:t>13523998882</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2、采购代理机构信息</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名  称：</w:t>
      </w:r>
      <w:r>
        <w:rPr>
          <w:rFonts w:hint="eastAsia" w:ascii="仿宋" w:hAnsi="仿宋" w:eastAsia="仿宋" w:cs="仿宋"/>
          <w:spacing w:val="1"/>
          <w:sz w:val="24"/>
          <w:szCs w:val="24"/>
          <w:lang w:eastAsia="zh-CN"/>
        </w:rPr>
        <w:t>信阳硕华工程项目管理有限公司</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地址：</w:t>
      </w:r>
      <w:r>
        <w:rPr>
          <w:rFonts w:hint="eastAsia" w:ascii="仿宋" w:hAnsi="仿宋" w:eastAsia="仿宋" w:cs="仿宋"/>
          <w:spacing w:val="1"/>
          <w:sz w:val="24"/>
          <w:szCs w:val="24"/>
          <w:lang w:val="en-US" w:eastAsia="zh-CN"/>
        </w:rPr>
        <w:t>潢川县环城路银钻首府2号楼101号（小区大门东侧）</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联系人：</w:t>
      </w:r>
      <w:r>
        <w:rPr>
          <w:rFonts w:hint="eastAsia" w:ascii="仿宋" w:hAnsi="仿宋" w:eastAsia="仿宋" w:cs="仿宋"/>
          <w:spacing w:val="1"/>
          <w:sz w:val="24"/>
          <w:szCs w:val="24"/>
          <w:lang w:val="en-US" w:eastAsia="zh-CN"/>
        </w:rPr>
        <w:t>吴先生</w:t>
      </w:r>
      <w:r>
        <w:rPr>
          <w:rFonts w:hint="eastAsia" w:ascii="仿宋" w:hAnsi="仿宋" w:eastAsia="仿宋" w:cs="仿宋"/>
          <w:spacing w:val="1"/>
          <w:sz w:val="24"/>
          <w:szCs w:val="24"/>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rPr>
        <w:t>联系方式：</w:t>
      </w:r>
      <w:r>
        <w:rPr>
          <w:rFonts w:hint="eastAsia" w:ascii="仿宋" w:hAnsi="仿宋" w:eastAsia="仿宋" w:cs="仿宋"/>
          <w:spacing w:val="1"/>
          <w:sz w:val="24"/>
          <w:szCs w:val="24"/>
          <w:lang w:val="en-US" w:eastAsia="zh-CN"/>
        </w:rPr>
        <w:t xml:space="preserve">0376-3193398  </w:t>
      </w:r>
      <w:r>
        <w:rPr>
          <w:rFonts w:hint="eastAsia" w:ascii="仿宋" w:hAnsi="仿宋" w:eastAsia="仿宋" w:cs="仿宋"/>
          <w:color w:val="auto"/>
          <w:sz w:val="21"/>
          <w:highlight w:val="none"/>
          <w:lang w:val="en-US" w:eastAsia="zh-CN"/>
        </w:rPr>
        <w:t xml:space="preserve"> </w:t>
      </w:r>
      <w:r>
        <w:rPr>
          <w:rFonts w:hint="eastAsia" w:ascii="仿宋" w:hAnsi="仿宋" w:eastAsia="仿宋" w:cs="仿宋"/>
          <w:spacing w:val="1"/>
          <w:sz w:val="24"/>
          <w:szCs w:val="24"/>
          <w:lang w:val="en-US" w:eastAsia="zh-CN"/>
        </w:rPr>
        <w:t>18503860353</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w:t>
      </w:r>
      <w:r>
        <w:rPr>
          <w:rFonts w:hint="eastAsia" w:ascii="仿宋" w:hAnsi="仿宋" w:eastAsia="仿宋" w:cs="仿宋"/>
          <w:spacing w:val="1"/>
          <w:sz w:val="24"/>
          <w:szCs w:val="24"/>
          <w:lang w:val="en-US" w:eastAsia="zh-CN"/>
        </w:rPr>
        <w:t xml:space="preserve">监督部门信息： </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监督单位名称：潢川县政府采购管理办公室 </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联 系 方 式：0376-5528602</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outlineLvl w:val="9"/>
        <w:rPr>
          <w:rFonts w:hint="eastAsia" w:ascii="仿宋" w:hAnsi="仿宋" w:eastAsia="仿宋" w:cs="仿宋"/>
          <w:b/>
          <w:bCs/>
          <w:spacing w:val="1"/>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outlineLvl w:val="0"/>
        <w:rPr>
          <w:rFonts w:hint="eastAsia" w:ascii="仿宋" w:hAnsi="仿宋" w:eastAsia="仿宋" w:cs="仿宋"/>
          <w:b/>
          <w:bCs/>
          <w:spacing w:val="1"/>
          <w:sz w:val="28"/>
          <w:szCs w:val="28"/>
        </w:rPr>
      </w:pPr>
      <w:bookmarkStart w:id="6" w:name="_Toc21828"/>
      <w:bookmarkStart w:id="7" w:name="_Toc18845"/>
      <w:bookmarkStart w:id="8" w:name="_Toc4822"/>
      <w:r>
        <w:rPr>
          <w:rFonts w:hint="eastAsia" w:ascii="仿宋" w:hAnsi="仿宋" w:eastAsia="仿宋" w:cs="仿宋"/>
          <w:b/>
          <w:bCs/>
          <w:spacing w:val="1"/>
          <w:sz w:val="28"/>
          <w:szCs w:val="28"/>
        </w:rPr>
        <w:t>第二章  供应商须知</w:t>
      </w:r>
      <w:bookmarkEnd w:id="6"/>
      <w:bookmarkEnd w:id="7"/>
      <w:bookmarkEnd w:id="8"/>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b/>
          <w:bCs/>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一、供应商须知前附表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p>
    <w:tbl>
      <w:tblPr>
        <w:tblStyle w:val="20"/>
        <w:tblW w:w="101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8"/>
        <w:gridCol w:w="2279"/>
        <w:gridCol w:w="6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条款号</w:t>
            </w:r>
          </w:p>
        </w:tc>
        <w:tc>
          <w:tcPr>
            <w:tcW w:w="2279"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条 款 名 称</w:t>
            </w:r>
          </w:p>
        </w:tc>
        <w:tc>
          <w:tcPr>
            <w:tcW w:w="6703"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编 列 内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6"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1.1.</w:t>
            </w:r>
            <w:r>
              <w:rPr>
                <w:rFonts w:hint="eastAsia" w:ascii="仿宋" w:hAnsi="仿宋" w:eastAsia="仿宋" w:cs="仿宋"/>
                <w:spacing w:val="1"/>
                <w:sz w:val="24"/>
                <w:szCs w:val="24"/>
                <w:lang w:val="en-US" w:eastAsia="zh-CN"/>
              </w:rPr>
              <w:t>1</w:t>
            </w:r>
          </w:p>
        </w:tc>
        <w:tc>
          <w:tcPr>
            <w:tcW w:w="2279"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采购人</w:t>
            </w:r>
          </w:p>
        </w:tc>
        <w:tc>
          <w:tcPr>
            <w:tcW w:w="6703"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采购人：</w:t>
            </w:r>
            <w:r>
              <w:rPr>
                <w:rFonts w:hint="eastAsia" w:ascii="仿宋" w:hAnsi="仿宋" w:eastAsia="仿宋" w:cs="仿宋"/>
                <w:spacing w:val="1"/>
                <w:sz w:val="24"/>
                <w:szCs w:val="24"/>
                <w:lang w:eastAsia="zh-CN"/>
              </w:rPr>
              <w:t>潢川县疾病预防控制中心</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联系人：</w:t>
            </w:r>
            <w:r>
              <w:rPr>
                <w:rFonts w:hint="eastAsia" w:ascii="仿宋" w:hAnsi="仿宋" w:eastAsia="仿宋" w:cs="仿宋"/>
                <w:spacing w:val="1"/>
                <w:sz w:val="24"/>
                <w:szCs w:val="24"/>
                <w:lang w:val="en-US" w:eastAsia="zh-CN"/>
              </w:rPr>
              <w:t>刘</w:t>
            </w:r>
            <w:r>
              <w:rPr>
                <w:rFonts w:hint="eastAsia" w:ascii="仿宋" w:hAnsi="仿宋" w:eastAsia="仿宋" w:cs="仿宋"/>
                <w:spacing w:val="1"/>
                <w:sz w:val="24"/>
                <w:szCs w:val="24"/>
              </w:rPr>
              <w:t>先生      联系方式：</w:t>
            </w:r>
            <w:r>
              <w:rPr>
                <w:rFonts w:hint="eastAsia" w:ascii="仿宋" w:hAnsi="仿宋" w:eastAsia="仿宋" w:cs="仿宋"/>
                <w:snapToGrid w:val="0"/>
                <w:color w:val="000000"/>
                <w:spacing w:val="1"/>
                <w:kern w:val="0"/>
                <w:sz w:val="24"/>
                <w:szCs w:val="24"/>
                <w:lang w:val="en-US" w:eastAsia="zh-CN" w:bidi="ar-SA"/>
              </w:rPr>
              <w:t>13523998882</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地  址：</w:t>
            </w:r>
            <w:r>
              <w:rPr>
                <w:rFonts w:hint="eastAsia" w:ascii="仿宋" w:hAnsi="仿宋" w:eastAsia="仿宋" w:cs="仿宋"/>
                <w:spacing w:val="1"/>
                <w:sz w:val="24"/>
                <w:szCs w:val="24"/>
                <w:lang w:eastAsia="zh-CN"/>
              </w:rPr>
              <w:t>河南省信阳市潢川县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1.1.</w:t>
            </w:r>
            <w:r>
              <w:rPr>
                <w:rFonts w:hint="eastAsia" w:ascii="仿宋" w:hAnsi="仿宋" w:eastAsia="仿宋" w:cs="仿宋"/>
                <w:spacing w:val="1"/>
                <w:sz w:val="24"/>
                <w:szCs w:val="24"/>
                <w:lang w:val="en-US" w:eastAsia="zh-CN"/>
              </w:rPr>
              <w:t>2</w:t>
            </w:r>
          </w:p>
        </w:tc>
        <w:tc>
          <w:tcPr>
            <w:tcW w:w="2279"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采购代理机构</w:t>
            </w:r>
          </w:p>
        </w:tc>
        <w:tc>
          <w:tcPr>
            <w:tcW w:w="6703"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采购代理机构:</w:t>
            </w:r>
            <w:r>
              <w:rPr>
                <w:rFonts w:hint="eastAsia" w:ascii="仿宋" w:hAnsi="仿宋" w:eastAsia="仿宋" w:cs="仿宋"/>
                <w:spacing w:val="1"/>
                <w:sz w:val="24"/>
                <w:szCs w:val="24"/>
                <w:lang w:eastAsia="zh-CN"/>
              </w:rPr>
              <w:t>信阳硕华工程项目管理有限公司</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地址：</w:t>
            </w:r>
            <w:r>
              <w:rPr>
                <w:rFonts w:hint="eastAsia" w:ascii="仿宋" w:hAnsi="仿宋" w:eastAsia="仿宋" w:cs="仿宋"/>
                <w:spacing w:val="1"/>
                <w:sz w:val="24"/>
                <w:szCs w:val="24"/>
                <w:lang w:val="en-US" w:eastAsia="zh-CN"/>
              </w:rPr>
              <w:t>潢川县环城路银钻首府2号楼101号（小区大门东侧）</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联系人：</w:t>
            </w:r>
            <w:r>
              <w:rPr>
                <w:rFonts w:hint="eastAsia" w:ascii="仿宋" w:hAnsi="仿宋" w:eastAsia="仿宋" w:cs="仿宋"/>
                <w:spacing w:val="1"/>
                <w:sz w:val="24"/>
                <w:szCs w:val="24"/>
                <w:lang w:val="en-US" w:eastAsia="zh-CN"/>
              </w:rPr>
              <w:t>吴先生</w:t>
            </w:r>
            <w:r>
              <w:rPr>
                <w:rFonts w:hint="eastAsia" w:ascii="仿宋" w:hAnsi="仿宋" w:eastAsia="仿宋" w:cs="仿宋"/>
                <w:spacing w:val="1"/>
                <w:sz w:val="24"/>
                <w:szCs w:val="24"/>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联系方式：</w:t>
            </w:r>
            <w:r>
              <w:rPr>
                <w:rFonts w:hint="eastAsia" w:ascii="仿宋" w:hAnsi="仿宋" w:eastAsia="仿宋" w:cs="仿宋"/>
                <w:spacing w:val="1"/>
                <w:sz w:val="24"/>
                <w:szCs w:val="24"/>
                <w:lang w:val="en-US" w:eastAsia="zh-CN"/>
              </w:rPr>
              <w:t>0376-3193398 18503860353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1.1.</w:t>
            </w:r>
            <w:r>
              <w:rPr>
                <w:rFonts w:hint="eastAsia" w:ascii="仿宋" w:hAnsi="仿宋" w:eastAsia="仿宋" w:cs="仿宋"/>
                <w:spacing w:val="1"/>
                <w:sz w:val="24"/>
                <w:szCs w:val="24"/>
                <w:lang w:val="en-US" w:eastAsia="zh-CN"/>
              </w:rPr>
              <w:t>3</w:t>
            </w:r>
          </w:p>
        </w:tc>
        <w:tc>
          <w:tcPr>
            <w:tcW w:w="2279"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项目名称</w:t>
            </w:r>
          </w:p>
        </w:tc>
        <w:tc>
          <w:tcPr>
            <w:tcW w:w="6703"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2023年潢川县农村安全饮水检测能力提升项目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1.1.</w:t>
            </w:r>
            <w:r>
              <w:rPr>
                <w:rFonts w:hint="eastAsia" w:ascii="仿宋" w:hAnsi="仿宋" w:eastAsia="仿宋" w:cs="仿宋"/>
                <w:spacing w:val="1"/>
                <w:sz w:val="24"/>
                <w:szCs w:val="24"/>
                <w:lang w:val="en-US" w:eastAsia="zh-CN"/>
              </w:rPr>
              <w:t>4</w:t>
            </w:r>
          </w:p>
        </w:tc>
        <w:tc>
          <w:tcPr>
            <w:tcW w:w="2279"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项目地点</w:t>
            </w:r>
          </w:p>
        </w:tc>
        <w:tc>
          <w:tcPr>
            <w:tcW w:w="6703"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default" w:ascii="仿宋" w:hAnsi="仿宋" w:eastAsia="仿宋" w:cs="仿宋"/>
                <w:spacing w:val="1"/>
                <w:sz w:val="24"/>
                <w:szCs w:val="24"/>
                <w:lang w:val="en-US"/>
              </w:rPr>
            </w:pPr>
            <w:r>
              <w:rPr>
                <w:rFonts w:hint="eastAsia" w:ascii="仿宋" w:hAnsi="仿宋" w:eastAsia="仿宋" w:cs="仿宋"/>
                <w:spacing w:val="1"/>
                <w:sz w:val="24"/>
                <w:szCs w:val="24"/>
                <w:lang w:eastAsia="zh-CN"/>
              </w:rPr>
              <w:t>潢川县疾病预防控制中心</w:t>
            </w:r>
            <w:r>
              <w:rPr>
                <w:rFonts w:hint="eastAsia" w:ascii="仿宋" w:hAnsi="仿宋" w:eastAsia="仿宋" w:cs="仿宋"/>
                <w:spacing w:val="1"/>
                <w:sz w:val="24"/>
                <w:szCs w:val="24"/>
                <w:lang w:val="en-US" w:eastAsia="zh-CN"/>
              </w:rPr>
              <w:t>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1.</w:t>
            </w: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1</w:t>
            </w:r>
          </w:p>
        </w:tc>
        <w:tc>
          <w:tcPr>
            <w:tcW w:w="2279"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资金来源</w:t>
            </w:r>
          </w:p>
        </w:tc>
        <w:tc>
          <w:tcPr>
            <w:tcW w:w="6703"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1.</w:t>
            </w: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2</w:t>
            </w:r>
          </w:p>
        </w:tc>
        <w:tc>
          <w:tcPr>
            <w:tcW w:w="2279"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出资比例</w:t>
            </w:r>
          </w:p>
        </w:tc>
        <w:tc>
          <w:tcPr>
            <w:tcW w:w="6703"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1.2.3</w:t>
            </w:r>
          </w:p>
        </w:tc>
        <w:tc>
          <w:tcPr>
            <w:tcW w:w="2279"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资金落实情况</w:t>
            </w:r>
          </w:p>
        </w:tc>
        <w:tc>
          <w:tcPr>
            <w:tcW w:w="6703"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1.3.1</w:t>
            </w:r>
          </w:p>
        </w:tc>
        <w:tc>
          <w:tcPr>
            <w:tcW w:w="2279"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791" w:firstLineChars="327"/>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采购内容</w:t>
            </w:r>
          </w:p>
        </w:tc>
        <w:tc>
          <w:tcPr>
            <w:tcW w:w="6703"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竞争性磋商文件第四章项目要求所包含的全部内容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1.3.2</w:t>
            </w:r>
          </w:p>
        </w:tc>
        <w:tc>
          <w:tcPr>
            <w:tcW w:w="2279"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726" w:firstLineChars="3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供货期</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（含安装调试）</w:t>
            </w:r>
          </w:p>
        </w:tc>
        <w:tc>
          <w:tcPr>
            <w:tcW w:w="6703"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30日历天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1.3.3</w:t>
            </w:r>
          </w:p>
        </w:tc>
        <w:tc>
          <w:tcPr>
            <w:tcW w:w="2279"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质量要求</w:t>
            </w:r>
          </w:p>
        </w:tc>
        <w:tc>
          <w:tcPr>
            <w:tcW w:w="6703"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符合现行标准、规范、规定等，满足采购人需求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1.3.4</w:t>
            </w:r>
          </w:p>
        </w:tc>
        <w:tc>
          <w:tcPr>
            <w:tcW w:w="2279"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质量保证期</w:t>
            </w:r>
          </w:p>
        </w:tc>
        <w:tc>
          <w:tcPr>
            <w:tcW w:w="6703"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1</w:t>
            </w:r>
            <w:r>
              <w:rPr>
                <w:rFonts w:hint="eastAsia" w:ascii="仿宋" w:hAnsi="仿宋" w:eastAsia="仿宋" w:cs="仿宋"/>
                <w:spacing w:val="1"/>
                <w:sz w:val="24"/>
                <w:szCs w:val="24"/>
              </w:rPr>
              <w:t>年（自验收合格之日起）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1.4.1</w:t>
            </w:r>
          </w:p>
        </w:tc>
        <w:tc>
          <w:tcPr>
            <w:tcW w:w="2279"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供应商资质要求</w:t>
            </w:r>
          </w:p>
        </w:tc>
        <w:tc>
          <w:tcPr>
            <w:tcW w:w="6703"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详见竞争性磋商公告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1.4.2</w:t>
            </w:r>
          </w:p>
        </w:tc>
        <w:tc>
          <w:tcPr>
            <w:tcW w:w="2279"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是否接受联合体投标</w:t>
            </w:r>
          </w:p>
        </w:tc>
        <w:tc>
          <w:tcPr>
            <w:tcW w:w="6703"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1.9</w:t>
            </w:r>
          </w:p>
        </w:tc>
        <w:tc>
          <w:tcPr>
            <w:tcW w:w="2279"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踏勘现场</w:t>
            </w:r>
          </w:p>
        </w:tc>
        <w:tc>
          <w:tcPr>
            <w:tcW w:w="6703"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1.10.1</w:t>
            </w:r>
          </w:p>
        </w:tc>
        <w:tc>
          <w:tcPr>
            <w:tcW w:w="2279"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投标预备会</w:t>
            </w:r>
          </w:p>
        </w:tc>
        <w:tc>
          <w:tcPr>
            <w:tcW w:w="6703"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1.10.2</w:t>
            </w:r>
          </w:p>
        </w:tc>
        <w:tc>
          <w:tcPr>
            <w:tcW w:w="2279"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供应商提出问题的截止时间</w:t>
            </w:r>
          </w:p>
        </w:tc>
        <w:tc>
          <w:tcPr>
            <w:tcW w:w="6703"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投标截止时间 5 天前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1.10.3</w:t>
            </w:r>
          </w:p>
        </w:tc>
        <w:tc>
          <w:tcPr>
            <w:tcW w:w="2279"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采购人书面澄清的时间</w:t>
            </w:r>
          </w:p>
        </w:tc>
        <w:tc>
          <w:tcPr>
            <w:tcW w:w="6703"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投标截止时间 5 天前</w:t>
            </w:r>
          </w:p>
        </w:tc>
      </w:tr>
    </w:tbl>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p>
    <w:p>
      <w:pPr>
        <w:bidi w:val="0"/>
        <w:rPr>
          <w:rFonts w:hint="eastAsia"/>
        </w:rPr>
      </w:pPr>
    </w:p>
    <w:tbl>
      <w:tblPr>
        <w:tblStyle w:val="20"/>
        <w:tblW w:w="101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8"/>
        <w:gridCol w:w="1822"/>
        <w:gridCol w:w="71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1.11</w:t>
            </w:r>
          </w:p>
        </w:tc>
        <w:tc>
          <w:tcPr>
            <w:tcW w:w="1822"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分包</w:t>
            </w:r>
          </w:p>
        </w:tc>
        <w:tc>
          <w:tcPr>
            <w:tcW w:w="7160"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right"/>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2.2.1</w:t>
            </w:r>
          </w:p>
        </w:tc>
        <w:tc>
          <w:tcPr>
            <w:tcW w:w="1822"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构成竞争性磋商文件的其他材料</w:t>
            </w:r>
          </w:p>
        </w:tc>
        <w:tc>
          <w:tcPr>
            <w:tcW w:w="7160"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采购人发出的书面答疑或补充文件（如有）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right"/>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2.2.2</w:t>
            </w:r>
          </w:p>
        </w:tc>
        <w:tc>
          <w:tcPr>
            <w:tcW w:w="1822"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供应商要求澄清竞争性磋商文件的截止时间</w:t>
            </w:r>
          </w:p>
        </w:tc>
        <w:tc>
          <w:tcPr>
            <w:tcW w:w="7160"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投标截止时间 5 天前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3.2</w:t>
            </w:r>
          </w:p>
        </w:tc>
        <w:tc>
          <w:tcPr>
            <w:tcW w:w="1822"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投标有效期</w:t>
            </w:r>
          </w:p>
        </w:tc>
        <w:tc>
          <w:tcPr>
            <w:tcW w:w="7160"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6</w:t>
            </w:r>
            <w:r>
              <w:rPr>
                <w:rFonts w:hint="eastAsia" w:ascii="仿宋" w:hAnsi="仿宋" w:eastAsia="仿宋" w:cs="仿宋"/>
                <w:spacing w:val="1"/>
                <w:sz w:val="24"/>
                <w:szCs w:val="24"/>
              </w:rPr>
              <w:t>0日历天（投标截止时间起）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right"/>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3.5</w:t>
            </w:r>
          </w:p>
        </w:tc>
        <w:tc>
          <w:tcPr>
            <w:tcW w:w="1822"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是否允许递交备选投标方案</w:t>
            </w:r>
          </w:p>
        </w:tc>
        <w:tc>
          <w:tcPr>
            <w:tcW w:w="7160"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6"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right"/>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right"/>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right"/>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right"/>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right"/>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3.6.3</w:t>
            </w:r>
          </w:p>
        </w:tc>
        <w:tc>
          <w:tcPr>
            <w:tcW w:w="1822"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响应文件的编制要求</w:t>
            </w:r>
          </w:p>
        </w:tc>
        <w:tc>
          <w:tcPr>
            <w:tcW w:w="7160"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响应文件的制作应满足以下规定：</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1、响应文件由供应商使用“新郑市公共资源交易中心”网站【下载专区】的“投标文件制作工具”制作生成。</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2、供应商在编制响应文件时应建立分级目录，并按照标签提示导入相关内容。</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3、响应文件中证明资料的“复印件”均为“原件的扫描件”。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4、第六章“响应文件格式”中要求盖章和（或）签字的地方，供</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应商均应按照要求盖章和（或）签字。</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5、响应文件制作完成后，供应商应使用 CA 数字证书对响应文件进行文件加密，形成加密的响应文件。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6、响应文件制作的具体方法详见“投标文件制作手册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4.2.2</w:t>
            </w:r>
          </w:p>
        </w:tc>
        <w:tc>
          <w:tcPr>
            <w:tcW w:w="1822"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响应文件的递交</w:t>
            </w:r>
          </w:p>
        </w:tc>
        <w:tc>
          <w:tcPr>
            <w:tcW w:w="7160"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详见公告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right"/>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right"/>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right"/>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right"/>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right"/>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5.1</w:t>
            </w:r>
          </w:p>
        </w:tc>
        <w:tc>
          <w:tcPr>
            <w:tcW w:w="1822"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1"/>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1"/>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1"/>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1"/>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1"/>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竞磋</w:t>
            </w:r>
            <w:r>
              <w:rPr>
                <w:rFonts w:hint="eastAsia" w:ascii="仿宋" w:hAnsi="仿宋" w:eastAsia="仿宋" w:cs="仿宋"/>
                <w:spacing w:val="1"/>
                <w:sz w:val="24"/>
                <w:szCs w:val="24"/>
              </w:rPr>
              <w:t>时间和地点</w:t>
            </w:r>
          </w:p>
        </w:tc>
        <w:tc>
          <w:tcPr>
            <w:tcW w:w="7160" w:type="dxa"/>
            <w:vAlign w:val="top"/>
          </w:tcPr>
          <w:p>
            <w:pPr>
              <w:pStyle w:val="22"/>
              <w:spacing w:before="34" w:line="231" w:lineRule="auto"/>
              <w:ind w:left="16"/>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开标时间：同投标截止时间</w:t>
            </w:r>
          </w:p>
          <w:p>
            <w:pPr>
              <w:pStyle w:val="22"/>
              <w:spacing w:before="21" w:line="246" w:lineRule="auto"/>
              <w:ind w:left="15" w:right="4"/>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开标地点：新郑市不见面开标大厅。通过 PC 登录新郑市公共资源 交易中心网站，进入不见面开标大厅(详见新郑市公共资源交易中 心网站--办事指南--服务指南《新郑市公共资源交易中心不见面开 标操作说明》)。</w:t>
            </w:r>
          </w:p>
          <w:p>
            <w:pPr>
              <w:pStyle w:val="22"/>
              <w:spacing w:before="22" w:line="245" w:lineRule="auto"/>
              <w:ind w:left="17" w:right="3"/>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备注：(1)供应商应当在招标（采购）文件确定的投标截止时间前, 登录远程开标大厅,在线准时参加开标活动并进行文件解密、答疑</w:t>
            </w:r>
            <w:r>
              <w:rPr>
                <w:rFonts w:hint="eastAsia" w:ascii="仿宋" w:hAnsi="仿宋" w:eastAsia="仿宋" w:cs="仿宋"/>
                <w:snapToGrid w:val="0"/>
                <w:color w:val="000000"/>
                <w:spacing w:val="1"/>
                <w:kern w:val="0"/>
                <w:sz w:val="24"/>
                <w:szCs w:val="24"/>
                <w:lang w:val="en-US" w:eastAsia="zh-CN" w:bidi="ar-SA"/>
              </w:rPr>
              <w:t>、</w:t>
            </w:r>
            <w:r>
              <w:rPr>
                <w:rFonts w:hint="eastAsia" w:ascii="仿宋" w:hAnsi="仿宋" w:eastAsia="仿宋" w:cs="仿宋"/>
                <w:snapToGrid w:val="0"/>
                <w:color w:val="000000"/>
                <w:spacing w:val="1"/>
                <w:kern w:val="0"/>
                <w:sz w:val="24"/>
                <w:szCs w:val="24"/>
                <w:lang w:val="en-US" w:eastAsia="en-US" w:bidi="ar-SA"/>
              </w:rPr>
              <w:t>澄清等。</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pacing w:val="1"/>
                <w:sz w:val="24"/>
                <w:szCs w:val="24"/>
              </w:rPr>
            </w:pPr>
            <w:r>
              <w:rPr>
                <w:rFonts w:hint="eastAsia" w:ascii="仿宋" w:hAnsi="仿宋" w:eastAsia="仿宋" w:cs="仿宋"/>
                <w:snapToGrid w:val="0"/>
                <w:color w:val="000000"/>
                <w:spacing w:val="1"/>
                <w:kern w:val="0"/>
                <w:sz w:val="24"/>
                <w:szCs w:val="24"/>
                <w:lang w:val="en-US" w:eastAsia="en-US" w:bidi="ar-SA"/>
              </w:rPr>
              <w:t>（2）请相关人员认真学习新郑市公共资源交易中心网站“办事指南 ”专区的《 新郑市公共资源交易平台不见面开标系统操作手册》。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5.2</w:t>
            </w:r>
          </w:p>
        </w:tc>
        <w:tc>
          <w:tcPr>
            <w:tcW w:w="1822"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竞争性磋商</w:t>
            </w:r>
            <w:r>
              <w:rPr>
                <w:rFonts w:hint="eastAsia" w:ascii="仿宋" w:hAnsi="仿宋" w:eastAsia="仿宋" w:cs="仿宋"/>
                <w:spacing w:val="1"/>
                <w:sz w:val="24"/>
                <w:szCs w:val="24"/>
              </w:rPr>
              <w:t>程序</w:t>
            </w:r>
          </w:p>
        </w:tc>
        <w:tc>
          <w:tcPr>
            <w:tcW w:w="7160"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见竞争性磋商文件</w:t>
            </w:r>
            <w:r>
              <w:rPr>
                <w:rFonts w:hint="eastAsia" w:ascii="仿宋" w:hAnsi="仿宋" w:eastAsia="仿宋" w:cs="仿宋"/>
                <w:spacing w:val="1"/>
                <w:sz w:val="24"/>
                <w:szCs w:val="24"/>
                <w:lang w:val="en-US" w:eastAsia="zh-CN"/>
              </w:rPr>
              <w:t>磋商</w:t>
            </w:r>
            <w:r>
              <w:rPr>
                <w:rFonts w:hint="eastAsia" w:ascii="仿宋" w:hAnsi="仿宋" w:eastAsia="仿宋" w:cs="仿宋"/>
                <w:spacing w:val="1"/>
                <w:sz w:val="24"/>
                <w:szCs w:val="24"/>
              </w:rPr>
              <w:t>程序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right"/>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6.1</w:t>
            </w:r>
          </w:p>
        </w:tc>
        <w:tc>
          <w:tcPr>
            <w:tcW w:w="1822"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竞争性磋商小组 的组建</w:t>
            </w:r>
          </w:p>
        </w:tc>
        <w:tc>
          <w:tcPr>
            <w:tcW w:w="7160"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1、磋商小组构成：</w:t>
            </w:r>
            <w:r>
              <w:rPr>
                <w:rFonts w:hint="eastAsia" w:ascii="仿宋" w:hAnsi="仿宋" w:eastAsia="仿宋" w:cs="仿宋"/>
                <w:spacing w:val="1"/>
                <w:sz w:val="24"/>
                <w:szCs w:val="24"/>
                <w:u w:val="single"/>
              </w:rPr>
              <w:t>3</w:t>
            </w:r>
            <w:r>
              <w:rPr>
                <w:rFonts w:hint="eastAsia" w:ascii="仿宋" w:hAnsi="仿宋" w:eastAsia="仿宋" w:cs="仿宋"/>
                <w:spacing w:val="1"/>
                <w:sz w:val="24"/>
                <w:szCs w:val="24"/>
              </w:rPr>
              <w:t>人</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（其中采购人代表</w:t>
            </w:r>
            <w:r>
              <w:rPr>
                <w:rFonts w:hint="eastAsia" w:ascii="仿宋" w:hAnsi="仿宋" w:eastAsia="仿宋" w:cs="仿宋"/>
                <w:spacing w:val="1"/>
                <w:sz w:val="24"/>
                <w:szCs w:val="24"/>
                <w:u w:val="single"/>
              </w:rPr>
              <w:t>1</w:t>
            </w:r>
            <w:r>
              <w:rPr>
                <w:rFonts w:hint="eastAsia" w:ascii="仿宋" w:hAnsi="仿宋" w:eastAsia="仿宋" w:cs="仿宋"/>
                <w:spacing w:val="1"/>
                <w:sz w:val="24"/>
                <w:szCs w:val="24"/>
                <w:u w:val="single"/>
                <w:lang w:val="en-US" w:eastAsia="zh-CN"/>
              </w:rPr>
              <w:t xml:space="preserve"> </w:t>
            </w:r>
            <w:r>
              <w:rPr>
                <w:rFonts w:hint="eastAsia" w:ascii="仿宋" w:hAnsi="仿宋" w:eastAsia="仿宋" w:cs="仿宋"/>
                <w:spacing w:val="1"/>
                <w:sz w:val="24"/>
                <w:szCs w:val="24"/>
              </w:rPr>
              <w:t>人，技术类专家</w:t>
            </w:r>
            <w:r>
              <w:rPr>
                <w:rFonts w:hint="eastAsia" w:ascii="仿宋" w:hAnsi="仿宋" w:eastAsia="仿宋" w:cs="仿宋"/>
                <w:spacing w:val="1"/>
                <w:sz w:val="24"/>
                <w:szCs w:val="24"/>
                <w:u w:val="single"/>
              </w:rPr>
              <w:t>1</w:t>
            </w:r>
            <w:r>
              <w:rPr>
                <w:rFonts w:hint="eastAsia" w:ascii="仿宋" w:hAnsi="仿宋" w:eastAsia="仿宋" w:cs="仿宋"/>
                <w:spacing w:val="1"/>
                <w:sz w:val="24"/>
                <w:szCs w:val="24"/>
              </w:rPr>
              <w:t>人</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726" w:firstLineChars="3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经济类专家</w:t>
            </w:r>
            <w:r>
              <w:rPr>
                <w:rFonts w:hint="eastAsia" w:ascii="仿宋" w:hAnsi="仿宋" w:eastAsia="仿宋" w:cs="仿宋"/>
                <w:spacing w:val="1"/>
                <w:sz w:val="24"/>
                <w:szCs w:val="24"/>
                <w:u w:val="single"/>
              </w:rPr>
              <w:t xml:space="preserve"> 1</w:t>
            </w:r>
            <w:r>
              <w:rPr>
                <w:rFonts w:hint="eastAsia" w:ascii="仿宋" w:hAnsi="仿宋" w:eastAsia="仿宋" w:cs="仿宋"/>
                <w:spacing w:val="1"/>
                <w:sz w:val="24"/>
                <w:szCs w:val="24"/>
                <w:u w:val="single"/>
                <w:lang w:val="en-US" w:eastAsia="zh-CN"/>
              </w:rPr>
              <w:t xml:space="preserve"> </w:t>
            </w:r>
            <w:r>
              <w:rPr>
                <w:rFonts w:hint="eastAsia" w:ascii="仿宋" w:hAnsi="仿宋" w:eastAsia="仿宋" w:cs="仿宋"/>
                <w:spacing w:val="1"/>
                <w:sz w:val="24"/>
                <w:szCs w:val="24"/>
              </w:rPr>
              <w:t>人）。</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2、磋商专家的确定：</w:t>
            </w:r>
            <w:r>
              <w:rPr>
                <w:rFonts w:hint="eastAsia" w:ascii="仿宋" w:hAnsi="仿宋" w:eastAsia="仿宋" w:cs="仿宋"/>
                <w:spacing w:val="1"/>
                <w:sz w:val="24"/>
                <w:szCs w:val="24"/>
                <w:lang w:val="en-US" w:eastAsia="zh-CN"/>
              </w:rPr>
              <w:t>专家从符合条件的专家库中随机抽取。</w:t>
            </w:r>
          </w:p>
        </w:tc>
      </w:tr>
    </w:tbl>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p>
    <w:tbl>
      <w:tblPr>
        <w:tblStyle w:val="20"/>
        <w:tblW w:w="101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8"/>
        <w:gridCol w:w="1822"/>
        <w:gridCol w:w="71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1128"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7.1</w:t>
            </w:r>
          </w:p>
        </w:tc>
        <w:tc>
          <w:tcPr>
            <w:tcW w:w="1822"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是否授权竞争性磋商小组确定中标人</w:t>
            </w:r>
          </w:p>
        </w:tc>
        <w:tc>
          <w:tcPr>
            <w:tcW w:w="7160"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否，推荐中标候选人数：</w:t>
            </w:r>
            <w:r>
              <w:rPr>
                <w:rFonts w:hint="eastAsia" w:ascii="仿宋" w:hAnsi="仿宋" w:eastAsia="仿宋" w:cs="仿宋"/>
                <w:spacing w:val="1"/>
                <w:sz w:val="24"/>
                <w:szCs w:val="24"/>
                <w:lang w:val="en-US" w:eastAsia="zh-CN"/>
              </w:rPr>
              <w:t>1-</w:t>
            </w:r>
            <w:r>
              <w:rPr>
                <w:rFonts w:hint="eastAsia" w:ascii="仿宋" w:hAnsi="仿宋" w:eastAsia="仿宋" w:cs="仿宋"/>
                <w:spacing w:val="1"/>
                <w:sz w:val="24"/>
                <w:szCs w:val="24"/>
              </w:rPr>
              <w:t>3 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2950" w:type="dxa"/>
            <w:gridSpan w:val="2"/>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控制价</w:t>
            </w:r>
          </w:p>
        </w:tc>
        <w:tc>
          <w:tcPr>
            <w:tcW w:w="7160"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控制价：</w:t>
            </w:r>
            <w:r>
              <w:rPr>
                <w:rFonts w:hint="eastAsia" w:ascii="仿宋" w:hAnsi="仿宋" w:eastAsia="仿宋" w:cs="仿宋"/>
                <w:b/>
                <w:bCs/>
                <w:color w:val="000000" w:themeColor="text1"/>
                <w:spacing w:val="1"/>
                <w:sz w:val="24"/>
                <w:szCs w:val="24"/>
                <w:lang w:val="en-US" w:eastAsia="zh-CN"/>
                <w14:textFill>
                  <w14:solidFill>
                    <w14:schemeClr w14:val="tx1"/>
                  </w14:solidFill>
                </w14:textFill>
              </w:rPr>
              <w:t>1070000</w:t>
            </w:r>
            <w:r>
              <w:rPr>
                <w:rFonts w:hint="eastAsia" w:ascii="仿宋" w:hAnsi="仿宋" w:eastAsia="仿宋" w:cs="仿宋"/>
                <w:b/>
                <w:bCs/>
                <w:color w:val="000000" w:themeColor="text1"/>
                <w:spacing w:val="1"/>
                <w:sz w:val="24"/>
                <w:szCs w:val="24"/>
                <w14:textFill>
                  <w14:solidFill>
                    <w14:schemeClr w14:val="tx1"/>
                  </w14:solidFill>
                </w14:textFill>
              </w:rPr>
              <w:t xml:space="preserve"> 元</w:t>
            </w:r>
            <w:r>
              <w:rPr>
                <w:rFonts w:hint="eastAsia" w:ascii="仿宋" w:hAnsi="仿宋" w:eastAsia="仿宋" w:cs="仿宋"/>
                <w:spacing w:val="1"/>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供应商投标总报价高于</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控制价的按废标处理。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950" w:type="dxa"/>
            <w:gridSpan w:val="2"/>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968" w:firstLineChars="400"/>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726" w:firstLineChars="3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监督单位</w:t>
            </w:r>
          </w:p>
        </w:tc>
        <w:tc>
          <w:tcPr>
            <w:tcW w:w="7160"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监督单位：</w:t>
            </w:r>
            <w:r>
              <w:rPr>
                <w:rFonts w:hint="eastAsia" w:ascii="仿宋" w:hAnsi="仿宋" w:eastAsia="仿宋" w:cs="仿宋"/>
                <w:spacing w:val="1"/>
                <w:sz w:val="24"/>
                <w:szCs w:val="24"/>
                <w:lang w:val="en-US" w:eastAsia="zh-CN"/>
              </w:rPr>
              <w:t>潢川县政府采购管理办公室</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联系电话：</w:t>
            </w:r>
            <w:r>
              <w:rPr>
                <w:rFonts w:hint="eastAsia" w:ascii="仿宋" w:hAnsi="仿宋" w:eastAsia="仿宋" w:cs="仿宋"/>
                <w:spacing w:val="1"/>
                <w:sz w:val="24"/>
                <w:szCs w:val="24"/>
                <w:lang w:val="en-US" w:eastAsia="zh-CN"/>
              </w:rPr>
              <w:t>0376-5528602</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地址：</w:t>
            </w:r>
            <w:r>
              <w:rPr>
                <w:rFonts w:hint="eastAsia" w:ascii="仿宋" w:hAnsi="仿宋" w:eastAsia="仿宋" w:cs="仿宋"/>
                <w:spacing w:val="1"/>
                <w:sz w:val="24"/>
                <w:szCs w:val="24"/>
                <w:lang w:val="en-US" w:eastAsia="zh-CN"/>
              </w:rPr>
              <w:t>信阳市潢川县跃进东路26号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950" w:type="dxa"/>
            <w:gridSpan w:val="2"/>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需要补充的其他内容</w:t>
            </w:r>
          </w:p>
        </w:tc>
        <w:tc>
          <w:tcPr>
            <w:tcW w:w="7160"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textAlignment w:val="baseline"/>
              <w:rPr>
                <w:rFonts w:hint="default" w:ascii="仿宋" w:hAnsi="仿宋" w:eastAsia="仿宋" w:cs="仿宋"/>
                <w:spacing w:val="1"/>
                <w:sz w:val="24"/>
                <w:szCs w:val="24"/>
                <w:lang w:val="en-US" w:eastAsia="zh-CN"/>
              </w:rPr>
            </w:pPr>
            <w:r>
              <w:rPr>
                <w:rFonts w:hint="eastAsia" w:ascii="仿宋" w:hAnsi="仿宋" w:eastAsia="仿宋" w:cs="仿宋"/>
                <w:spacing w:val="1"/>
                <w:sz w:val="24"/>
                <w:szCs w:val="24"/>
              </w:rPr>
              <w:t>1、</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代理费计取标准参照《河南省</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代理服务收费指导意见》的通知（豫招协[2023]002 号）</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按照成交金额的1.7%计算。</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2、需落实的政府采购政策：本项目落实节约能源、保护环境、扶持不发达地区和少数民族地区、促进中小微企业发展等政府采购政策依照《政府采购促进中小企业发展管理办法》的规定，对符合要求的有效投标人</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按照比例给予相应的价格扣除</w:t>
            </w:r>
            <w:r>
              <w:rPr>
                <w:rFonts w:hint="eastAsia" w:ascii="仿宋" w:hAnsi="仿宋" w:eastAsia="仿宋" w:cs="仿宋"/>
                <w:spacing w:val="1"/>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3、竞争性磋商文件前后不一致的以《供应商须知前附表》为准，解释顺序按页码顺序。</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4、付款方式：支付节点和比例详询采购人，以合同签订为准。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rPr>
              <w:t>、磋商文件中要求的内容与最新国家、地方法律法规规定有矛盾的</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以最新国家、地方法律法规规定为准。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6</w:t>
            </w:r>
            <w:r>
              <w:rPr>
                <w:rFonts w:hint="eastAsia" w:ascii="仿宋" w:hAnsi="仿宋" w:eastAsia="仿宋" w:cs="仿宋"/>
                <w:spacing w:val="1"/>
                <w:sz w:val="24"/>
                <w:szCs w:val="24"/>
              </w:rPr>
              <w:t>、本竞争性磋商文件的最终解释权归采购人。</w:t>
            </w:r>
          </w:p>
        </w:tc>
      </w:tr>
    </w:tbl>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textAlignment w:val="baseline"/>
        <w:rPr>
          <w:rFonts w:hint="eastAsia" w:ascii="仿宋" w:hAnsi="仿宋" w:eastAsia="仿宋" w:cs="仿宋"/>
          <w:spacing w:val="1"/>
          <w:sz w:val="24"/>
          <w:szCs w:val="24"/>
        </w:rPr>
        <w:sectPr>
          <w:footerReference r:id="rId6" w:type="default"/>
          <w:pgSz w:w="11911" w:h="16839"/>
          <w:pgMar w:top="1416" w:right="898" w:bottom="1014" w:left="897" w:header="0" w:footer="850" w:gutter="0"/>
          <w:pgNumType w:fmt="decimal" w:start="1"/>
          <w:cols w:space="720" w:num="1"/>
        </w:sect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rPr>
          <w:rFonts w:hint="eastAsia" w:ascii="仿宋" w:hAnsi="仿宋" w:eastAsia="仿宋" w:cs="仿宋"/>
          <w:b/>
          <w:bCs/>
          <w:spacing w:val="1"/>
          <w:sz w:val="28"/>
          <w:szCs w:val="28"/>
        </w:rPr>
      </w:pPr>
      <w:r>
        <w:rPr>
          <w:rFonts w:hint="eastAsia" w:ascii="仿宋" w:hAnsi="仿宋" w:eastAsia="仿宋" w:cs="仿宋"/>
          <w:b/>
          <w:bCs/>
          <w:spacing w:val="1"/>
          <w:sz w:val="28"/>
          <w:szCs w:val="28"/>
        </w:rPr>
        <w:t>二、供应商须知</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1．总则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1.1 项目概况</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1.1.1 根据《中华人民共和国政府采购法》、《中华人民共和国政府采购法实施条例》、《政府采购竞争性磋商采购方式管理暂行办法》等有关法律、法规和规章的规定，本</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项目己具备</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条件，现对本项目进行</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1.1.2 采购人：见供应商须知前附表。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1.1.3 采购代理机构：见供应商须知前附表。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1.1.4 采购项目名称：见供应商须知前附表。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1.1.5 采购项目地点：见供应商须知前附表。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1.2 资金来源和落实情况</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1.2.1 资金来源：见供应商须知前附表。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1.2.2 出资比例：见供应商须知前附表。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1.2.3 资金落实情况：见供应商须知前附表。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1.3 采购内容、供货期、质量保证期和质量要求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1.3.1 采购内容：见供应商须知前附表。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1.3.2 质量保证期：见供应商须知前附表。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1.3.3 供货（含安装调试）期：见供应商须知前附表。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1.3.4 质量要求：见投标人须知前附表。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1.4 供应商资格要求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1.4.1 供应商应具备承担本项目采购的资质条件：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(l）资质条件：详见竞争性磋商公告。</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1.4.2 本次</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不接受联合体投标。</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1.4.3 供应商不得存在下列情形之一：</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(l）与采购人存在利害关系且可能影响</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公正性；</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(2）与本</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项目的其他供应商为同一个单位负责人；</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(3）与本</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项目的其他供应商存在控股关系；</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(4）为本</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项目的</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代理机构；</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(5）与本</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项目的监理人或代建人或</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代理机构同为一个法定代表人</w:t>
      </w:r>
      <w:r>
        <w:rPr>
          <w:rFonts w:hint="eastAsia" w:ascii="仿宋" w:hAnsi="仿宋" w:eastAsia="仿宋" w:cs="仿宋"/>
          <w:spacing w:val="1"/>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(6）与本</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项目的监理人或代建人或</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代理机构存在控股或参股关系</w:t>
      </w:r>
      <w:r>
        <w:rPr>
          <w:rFonts w:hint="eastAsia" w:ascii="仿宋" w:hAnsi="仿宋" w:eastAsia="仿宋" w:cs="仿宋"/>
          <w:spacing w:val="1"/>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(7）被依法暂停或者取消投标资格；</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(8）被责令停产停业、暂扣或者吊销许可证、暂扣或者吊销执照；</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(9）进入清算程序，或被宣告破产，或其他丧失履约能力的情形；</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728" w:leftChars="116" w:hanging="484" w:hanging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(10）在最近三年内发生重大产品质量问题（以相关行业主管部门的行政处罚决定或司法机关出具的有关法律文书为准）；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(11）被工商行政管理机关在全国企业信用信息公示系统中列入严重违法失信企业名单</w:t>
      </w:r>
      <w:r>
        <w:rPr>
          <w:rFonts w:hint="eastAsia" w:ascii="仿宋" w:hAnsi="仿宋" w:eastAsia="仿宋" w:cs="仿宋"/>
          <w:spacing w:val="1"/>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726" w:hanging="726" w:hangingChars="3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(12）被最高人民法院在“信用中国 ”网站（www.creditchina.gov.cn)或各级信用信息共享平台中列入失信被执行人名单；</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（13）法律法规或供应商须知前附表规定的其他情形。</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1.5 费用承担</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供应商准备和参加投标活动发生的费用自理。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1.6 保密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487" w:leftChars="232" w:firstLine="62" w:firstLineChars="26"/>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参与</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投标活动的各方应对竞争性磋商文件和响应文件中的商业和技术等秘密保密，违者应对由此造成的后果承担法律责任。</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1.7 语言文字</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487" w:leftChars="232" w:firstLine="62" w:firstLineChars="26"/>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除专用术语外，与竞争性磋商投标有关的语言均使用中文。必要时专用术语应附有中文注释。</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1.8 计量单位</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所有计量均采用中华人民共和国法定计量单位。</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1.9 踏勘现场</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不组织。</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b/>
          <w:bCs/>
          <w:spacing w:val="1"/>
          <w:sz w:val="24"/>
          <w:szCs w:val="24"/>
        </w:rPr>
        <w:t>1.10 投标预备会</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1.10.1 不召开投标预备会。</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479" w:leftChars="228" w:firstLine="0" w:firstLineChars="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1.10.2 供应商应在供应商须知前附表规定的时间，以书面形式将提出的问题送达采购人，以便采购人在会议期间澄清。</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479" w:leftChars="228" w:firstLine="0" w:firstLineChars="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1.10.3 投标预备会后，采购人在供应商须知前附表规定的时间内，通过“新郑市公共资源交易中心 ”系统发出对供应商所提问题的澄清。该澄清内容为竞争性磋商文件的组成部分。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1.11 分包</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本项目不允许分包。</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1.12 偏离</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487" w:leftChars="232" w:firstLine="62" w:firstLineChars="26"/>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供应商须知前附表允许响应文件偏离竞争性磋商文件某些要求的，偏离应当符合竞争性磋商文件规定的偏离范围和幅度。</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2．竞争性磋商文件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2.1 竞争性磋商文件的组成</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 竞争性磋商公告</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 供应商须知</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default" w:ascii="仿宋" w:hAnsi="仿宋" w:eastAsia="仿宋" w:cs="仿宋"/>
          <w:spacing w:val="1"/>
          <w:sz w:val="24"/>
          <w:szCs w:val="24"/>
          <w:lang w:val="en-US" w:eastAsia="zh-CN"/>
        </w:rPr>
      </w:pPr>
      <w:r>
        <w:rPr>
          <w:rFonts w:hint="eastAsia" w:ascii="仿宋" w:hAnsi="仿宋" w:eastAsia="仿宋" w:cs="仿宋"/>
          <w:spacing w:val="1"/>
          <w:sz w:val="24"/>
          <w:szCs w:val="24"/>
        </w:rPr>
        <w:t xml:space="preserve">(3) </w:t>
      </w:r>
      <w:r>
        <w:rPr>
          <w:rFonts w:hint="eastAsia" w:ascii="仿宋" w:hAnsi="仿宋" w:eastAsia="仿宋" w:cs="仿宋"/>
          <w:spacing w:val="1"/>
          <w:sz w:val="24"/>
          <w:szCs w:val="24"/>
          <w:lang w:val="en-US" w:eastAsia="zh-CN"/>
        </w:rPr>
        <w:t>评标办法（综合评标法）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default" w:ascii="仿宋" w:hAnsi="仿宋" w:eastAsia="仿宋" w:cs="仿宋"/>
          <w:spacing w:val="1"/>
          <w:sz w:val="24"/>
          <w:szCs w:val="24"/>
          <w:lang w:val="en-US" w:eastAsia="zh-CN"/>
        </w:rPr>
      </w:pPr>
      <w:r>
        <w:rPr>
          <w:rFonts w:hint="eastAsia" w:ascii="仿宋" w:hAnsi="仿宋" w:eastAsia="仿宋" w:cs="仿宋"/>
          <w:spacing w:val="1"/>
          <w:sz w:val="24"/>
          <w:szCs w:val="24"/>
        </w:rPr>
        <w:t xml:space="preserve">(4) </w:t>
      </w:r>
      <w:r>
        <w:rPr>
          <w:rFonts w:hint="eastAsia" w:ascii="仿宋" w:hAnsi="仿宋" w:eastAsia="仿宋" w:cs="仿宋"/>
          <w:spacing w:val="1"/>
          <w:sz w:val="24"/>
          <w:szCs w:val="24"/>
          <w:lang w:val="en-US" w:eastAsia="zh-CN"/>
        </w:rPr>
        <w:t>采购需求与要求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 合同条款及格式</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(6) 响应文件格式</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487" w:leftChars="232" w:firstLine="62" w:firstLineChars="26"/>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根据本章第 2.2 款和第 2.3 款对竞争性磋商文件所作的澄清、修改，构成竞争性磋商文件的组成部分。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2.2 竞争性磋商文件的澄清</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2.2.1 供应商应仔细阅读和检查竞争性磋商文件的全部内容。如发现缺页或附件不全</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应及时向采购人提出，以便补齐。如有疑问，应在供应商须知前附表规定的时间前以书面形式（包括信函、电报、传真等可以有形地表现所载内容的形式，下同），要求采购人对竞争性磋商文件予以澄清。</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2.2.2 竞争性磋商文件的澄清将在供应商须知前附表规定的投标截止时间3天前通过“新郑市公共资源交易中心”系统发出。如果澄清发出的时间距投标截止时间不足3天</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相应延长投标截止时间。</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lang w:val="en-US" w:eastAsia="zh-CN"/>
        </w:rPr>
      </w:pPr>
      <w:r>
        <w:rPr>
          <w:rFonts w:hint="eastAsia" w:ascii="仿宋" w:hAnsi="仿宋" w:eastAsia="仿宋" w:cs="仿宋"/>
          <w:spacing w:val="1"/>
          <w:sz w:val="24"/>
          <w:szCs w:val="24"/>
        </w:rPr>
        <w:t>2.2.3 竞争性磋商文件澄清发出的同时，“新郑市公共资源交易中心”会员系统会提示供应商查看，供应商应注意及时浏览网上发出的澄清，因供应商自身原因未及时获知澄清内容而导致的任何后果将由供应商自行承担。</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2.2.4 除非采购人认为确有必要答复，否则，采购人有权拒绝回复供应商在供应商须知前附表规定的时间后的任何澄清要求。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2.3 竞争性磋商文件的修改</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2.3.1 在投标截止时间5天前，采购人可以修改竞争性磋商文件，并通过公告形式发布修改变更。如果修改竞争性磋商文件的时间距投标截止时间不足5天，相应延长投标截止时间。</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242" w:firstLineChars="1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2.3.2 竞争性磋商文件修改发出的同时，“新郑市公共资源交易中心 ”会员系统会提示供应商查看，供应商应注意及时浏览网上发布的修改变更，因供应商自身原因未及时获知修改内容而导致的任何后果将由供应商自行承担。</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3．响应文件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3.1 响应文件的组成</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响应文件应包括下列内容：</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default" w:ascii="仿宋" w:hAnsi="仿宋" w:eastAsia="仿宋" w:cs="仿宋"/>
          <w:color w:val="000000" w:themeColor="text1"/>
          <w:spacing w:val="1"/>
          <w:sz w:val="24"/>
          <w:szCs w:val="24"/>
          <w:lang w:val="en-US" w:eastAsia="zh-CN"/>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w:t>
      </w:r>
      <w:r>
        <w:rPr>
          <w:rFonts w:hint="eastAsia" w:ascii="仿宋" w:hAnsi="仿宋" w:eastAsia="仿宋" w:cs="仿宋"/>
          <w:color w:val="000000" w:themeColor="text1"/>
          <w:spacing w:val="1"/>
          <w:sz w:val="24"/>
          <w:szCs w:val="24"/>
          <w:lang w:val="en-US" w:eastAsia="zh-CN"/>
          <w14:textFill>
            <w14:solidFill>
              <w14:schemeClr w14:val="tx1"/>
            </w14:solidFill>
          </w14:textFill>
        </w:rPr>
        <w:t>响应</w:t>
      </w:r>
      <w:r>
        <w:rPr>
          <w:rFonts w:hint="eastAsia" w:ascii="仿宋" w:hAnsi="仿宋" w:eastAsia="仿宋" w:cs="仿宋"/>
          <w:color w:val="000000" w:themeColor="text1"/>
          <w:spacing w:val="1"/>
          <w:sz w:val="24"/>
          <w:szCs w:val="24"/>
          <w14:textFill>
            <w14:solidFill>
              <w14:schemeClr w14:val="tx1"/>
            </w14:solidFill>
          </w14:textFill>
        </w:rPr>
        <w:t>函</w:t>
      </w:r>
      <w:r>
        <w:rPr>
          <w:rFonts w:hint="eastAsia" w:ascii="仿宋" w:hAnsi="仿宋" w:eastAsia="仿宋" w:cs="仿宋"/>
          <w:color w:val="000000" w:themeColor="text1"/>
          <w:spacing w:val="1"/>
          <w:sz w:val="24"/>
          <w:szCs w:val="24"/>
          <w:lang w:val="en-US" w:eastAsia="zh-CN"/>
          <w14:textFill>
            <w14:solidFill>
              <w14:schemeClr w14:val="tx1"/>
            </w14:solidFill>
          </w14:textFill>
        </w:rPr>
        <w:t>及响应函附录</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（2）法定代表人身份证明</w:t>
      </w:r>
      <w:r>
        <w:rPr>
          <w:rFonts w:hint="eastAsia" w:ascii="仿宋" w:hAnsi="仿宋" w:eastAsia="仿宋" w:cs="仿宋"/>
          <w:color w:val="000000" w:themeColor="text1"/>
          <w:spacing w:val="1"/>
          <w:sz w:val="24"/>
          <w:szCs w:val="24"/>
          <w:lang w:val="en-US" w:eastAsia="zh-CN"/>
          <w14:textFill>
            <w14:solidFill>
              <w14:schemeClr w14:val="tx1"/>
            </w14:solidFill>
          </w14:textFill>
        </w:rPr>
        <w:t>及</w:t>
      </w:r>
      <w:r>
        <w:rPr>
          <w:rFonts w:hint="eastAsia" w:ascii="仿宋" w:hAnsi="仿宋" w:eastAsia="仿宋" w:cs="仿宋"/>
          <w:color w:val="000000" w:themeColor="text1"/>
          <w:spacing w:val="1"/>
          <w:sz w:val="24"/>
          <w:szCs w:val="24"/>
          <w14:textFill>
            <w14:solidFill>
              <w14:schemeClr w14:val="tx1"/>
            </w14:solidFill>
          </w14:textFill>
        </w:rPr>
        <w:t xml:space="preserve">授权委托书  </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（3）资格审查资料</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（4）开标一览表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（5）分项报价明细表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（6）技术性能参数的详细描述</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（7）技术规格和商务偏差表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（8）廉洁投标承诺书</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（9）</w:t>
      </w:r>
      <w:r>
        <w:rPr>
          <w:rFonts w:hint="eastAsia" w:ascii="仿宋" w:hAnsi="仿宋" w:eastAsia="仿宋" w:cs="仿宋"/>
          <w:color w:val="000000" w:themeColor="text1"/>
          <w:spacing w:val="1"/>
          <w:sz w:val="24"/>
          <w:szCs w:val="24"/>
          <w:lang w:val="en-US" w:eastAsia="zh-CN"/>
          <w14:textFill>
            <w14:solidFill>
              <w14:schemeClr w14:val="tx1"/>
            </w14:solidFill>
          </w14:textFill>
        </w:rPr>
        <w:t>售后</w:t>
      </w:r>
      <w:r>
        <w:rPr>
          <w:rFonts w:hint="eastAsia" w:ascii="仿宋" w:hAnsi="仿宋" w:eastAsia="仿宋" w:cs="仿宋"/>
          <w:color w:val="000000" w:themeColor="text1"/>
          <w:spacing w:val="1"/>
          <w:sz w:val="24"/>
          <w:szCs w:val="24"/>
          <w14:textFill>
            <w14:solidFill>
              <w14:schemeClr w14:val="tx1"/>
            </w14:solidFill>
          </w14:textFill>
        </w:rPr>
        <w:t>服务承诺书</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（10）中小企业声明函(如有)</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（11）残疾人福利性单位声明函(如有)</w:t>
      </w:r>
      <w:r>
        <w:rPr>
          <w:rFonts w:hint="eastAsia" w:ascii="仿宋" w:hAnsi="仿宋" w:eastAsia="仿宋" w:cs="仿宋"/>
          <w:color w:val="000000" w:themeColor="text1"/>
          <w:spacing w:val="1"/>
          <w:sz w:val="24"/>
          <w:szCs w:val="24"/>
          <w:lang w:eastAsia="zh-CN"/>
          <w14:textFill>
            <w14:solidFill>
              <w14:schemeClr w14:val="tx1"/>
            </w14:solidFill>
          </w14:textFill>
        </w:rPr>
        <w:t>（非专门面向中小企业适用）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（12）监狱企业证明文件(如有)</w:t>
      </w:r>
      <w:r>
        <w:rPr>
          <w:rFonts w:hint="eastAsia" w:ascii="仿宋" w:hAnsi="仿宋" w:eastAsia="仿宋" w:cs="仿宋"/>
          <w:color w:val="000000" w:themeColor="text1"/>
          <w:spacing w:val="1"/>
          <w:sz w:val="24"/>
          <w:szCs w:val="24"/>
          <w:lang w:eastAsia="zh-CN"/>
          <w14:textFill>
            <w14:solidFill>
              <w14:schemeClr w14:val="tx1"/>
            </w14:solidFill>
          </w14:textFill>
        </w:rPr>
        <w:t>（非专门面向中小企业适用）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（13）商务评分项验证资料</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（14）技术评分项验证资料</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（15）磋商文件中规定的其他资料</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 xml:space="preserve">3.2 </w:t>
      </w:r>
      <w:r>
        <w:rPr>
          <w:rFonts w:hint="eastAsia" w:ascii="仿宋" w:hAnsi="仿宋" w:eastAsia="仿宋" w:cs="仿宋"/>
          <w:b/>
          <w:bCs/>
          <w:spacing w:val="1"/>
          <w:sz w:val="24"/>
          <w:szCs w:val="24"/>
          <w:lang w:val="en-US" w:eastAsia="zh-CN"/>
        </w:rPr>
        <w:t>磋商</w:t>
      </w:r>
      <w:r>
        <w:rPr>
          <w:rFonts w:hint="eastAsia" w:ascii="仿宋" w:hAnsi="仿宋" w:eastAsia="仿宋" w:cs="仿宋"/>
          <w:b/>
          <w:bCs/>
          <w:spacing w:val="1"/>
          <w:sz w:val="24"/>
          <w:szCs w:val="24"/>
        </w:rPr>
        <w:t>报价</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3.2.1 供应商应按照磋商文件提供的报价表格式填写提供各项货物及服务的单价、分项总价和总报价。如果单价、分项总价和总报价之间有差异，评标以单价为准。供应商必须无条件接受以其所报单价为基准的价格调整，否则其响应文件将被拒绝。</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3.2.2 磋商总报价应是采购人指定地点交货的包括交货前发生的各种税费、运费及保险费、运杂费</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以及伴随的其它服务费总报价。总报价分解为：货物和附属装置、备品备件和专用工具、卖方技术服务（安装</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调试、运行）报价、采购人派员参加技术联络和工厂监造</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检验、技术培 训费用、运保费、各类税费及验收检测费</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各项报价应准确填入报价表相应栏内。</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3.2.3 磋商报价应完全包括磋商文件规定的货物和服务范围，不得任意分割或合并所规定的分项。</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3.2.4 供应商对每种货物只允许有一个报价，采购人和采购代理机构不接受有任何选择的报价。</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3.2.5 本项目采取二轮报价，第二轮报价为最后报价。</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3.2.6 竞争性磋商最后报价，也将予以远程报价。供应商登录远程开标项目，在评审过程中收到远程报价通知时，即可远程在线报价，最后报价时间为30分钟因逾期或超时报价，将默认初次报价为最后报价。</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3.2.7 本项目的报价应按照磋商文件、补充通知、答疑纪要、现场情况、承包范围， 并充分 考虑供货及服务期间各类市场风险和国家政策性调整等风险系数，由各供应商根据自身情况，在合理范围内，自主考虑、优惠报价</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但不得低于企业成本。</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jc w:val="left"/>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3.2.8 投标总报价是评标的重要依据，但不是唯一依据，最低报价不是中标的决定因素</w:t>
      </w:r>
      <w:r>
        <w:rPr>
          <w:rFonts w:hint="eastAsia" w:ascii="仿宋" w:hAnsi="仿宋" w:eastAsia="仿宋" w:cs="仿宋"/>
          <w:spacing w:val="1"/>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3.2.9 全部报价均应以人民币为计量币种，并以人民币进行结算。</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3.3 磋商有效期</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3.3.1 投标有效期：见供应商须知前附表。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3.3.2 在投标有效期内，供应商撤销响应文件的，应承担竞争性磋商文件和法律规定的责任。</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3.3.3 出现特殊情况需要延长投标有效期的，采购人通过发布变更公告通知延长投 标有效期。供应商同意延长的，但不得要求或被允许修改或撤销其响应文件；供应商拒</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绝延长的，其投标失效。</w:t>
      </w:r>
    </w:p>
    <w:p>
      <w:pPr>
        <w:tabs>
          <w:tab w:val="left" w:pos="227"/>
        </w:tabs>
        <w:bidi w:val="0"/>
        <w:jc w:val="left"/>
        <w:rPr>
          <w:rFonts w:hint="eastAsia" w:ascii="仿宋" w:hAnsi="仿宋" w:eastAsia="仿宋" w:cs="仿宋"/>
          <w:b/>
          <w:bCs/>
          <w:spacing w:val="1"/>
          <w:sz w:val="24"/>
          <w:szCs w:val="24"/>
        </w:rPr>
      </w:pPr>
      <w:r>
        <w:rPr>
          <w:rFonts w:hint="eastAsia" w:ascii="仿宋" w:hAnsi="仿宋" w:eastAsia="仿宋" w:cs="仿宋"/>
          <w:b/>
          <w:bCs/>
          <w:spacing w:val="1"/>
          <w:sz w:val="24"/>
          <w:szCs w:val="24"/>
        </w:rPr>
        <w:t>3.4 投标保证金</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本项目不需缴纳投标保证金。</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3.5 备选投标方案</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除供应商须知前附表另有规定外，供应商不得递交备选投标方案。允许供应商递交 备选投标方案的，只有成交供应商所递交的备选投标方案方可予以考虑。竞争性磋商小 组认为成交供应商的备选投标方案优于其按照竞争性磋商文件要求编制的响应方案的，采购人可以接受该备选响应方案。</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3.6 响应文件的编制</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3.6.1 响应文件应按第六章“响应文件格式 ”进行编写，如有必要，可以增加附页， 作为响应文件的组成部分。其中，投标函附录在满足竞争性磋商文件实质性要求的基础上，可以提出比竞争性磋商文件要求更有利于采购人的承诺。</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3.6.2 响应文件应当对竞争性磋商文件有关供货期、质量要求、投标有效期、采购内容等实质性内容做出响应。</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3.6.3 响应文件的制作应满足以下规定：</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（1）响应文件由供应商使用“新郑市公共资源交易中心 ”网站【下载专区】的“响应文件制作工具”制作生成。</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（2）供应商在编制响应文件时应建立分级目录，并按照标签提示导入相关内容。</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（3）响应文件中证明资料的“复印件”均为“原件的扫描件 ”。</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（4）第六章“响应文件格式”中要求盖章和（或）签字的地方，供应商均应按照</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要求盖章和（或）签字。</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（5）响应文件制作完成后，供应商应使用 CA 数字证书对响应文件进行文件加密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形成加密的响应文件。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（6）响应文件制作的具体方法详见“ 电子投标文件制作手册 ”。</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3.6.4 因供应商自身原因而导致响应文件无法导入“新郑市公共资源交易中心 ”电子开标、评标系统，该投标视为无效投标，供应商自行承担由此导致的全部责任。</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3.6.5 供应商应按照竞争性磋商文件的要求，规范、明确、准时的提交响应文件。 如果没有按照竞争性磋商文件的要求提交全部资料并保证所提供全部资料的真实性，或</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没有对竞争性磋商文件做出实质性响应，其风险应由供应商自行承担。</w:t>
      </w:r>
    </w:p>
    <w:p>
      <w:pPr>
        <w:tabs>
          <w:tab w:val="left" w:pos="317"/>
        </w:tabs>
        <w:bidi w:val="0"/>
        <w:jc w:val="left"/>
        <w:rPr>
          <w:rFonts w:hint="eastAsia" w:ascii="仿宋" w:hAnsi="仿宋" w:eastAsia="仿宋" w:cs="仿宋"/>
          <w:b/>
          <w:bCs/>
          <w:spacing w:val="1"/>
          <w:sz w:val="24"/>
          <w:szCs w:val="24"/>
        </w:rPr>
      </w:pPr>
      <w:r>
        <w:rPr>
          <w:rFonts w:hint="eastAsia" w:ascii="仿宋" w:hAnsi="仿宋" w:eastAsia="仿宋" w:cs="仿宋"/>
          <w:b/>
          <w:bCs/>
          <w:spacing w:val="1"/>
          <w:sz w:val="24"/>
          <w:szCs w:val="24"/>
        </w:rPr>
        <w:t>4．投标</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4.1 响应文件的加密与上传截止时间</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4.1.1 加密电子响应文件应按照本章第 3.6.3 项要求制作并加密，未按要求加密的响应文件，采购人（“新郑市公共资源交易中心</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系统）将拒绝接收。</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4.1.2 电子响应文件上传的截止时间：见供应商须知前附表。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4.2 响应文件的递交</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4.2.1 本项目采用全流程电子招投标方式，供应商只须递交电子响应文件，无须递</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交纸质版响应文件。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4.2.2 供应商应在规定的投标截止时间前，通过互联网使用 CA 数字证书登录“新 郑市公共资源交易中心 ”系统，将加密的响应文件上传并保存上传成功后系统自动生成的电子签收凭证，递交时间即为电子签收凭证时间。供应商应充分考虑上传文件时的不可预见因素，未在投标截止时间前完成上传的，视为逾期送达，采购人（“新郑市公共资源交易中心 ”系统）将拒绝接收。</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4.2.3 由于不可抗拒的原因，采购代理机构对响应文件的遗失和损坏不负任何责任</w:t>
      </w:r>
      <w:r>
        <w:rPr>
          <w:rFonts w:hint="eastAsia" w:ascii="仿宋" w:hAnsi="仿宋" w:eastAsia="仿宋" w:cs="仿宋"/>
          <w:spacing w:val="1"/>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4.3 响应文件的修改与撤回</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4.3.1 在供应商须知前附表规定的投标截止时间前，供应商可以修改或撤回已递交  的响应文件。供应商对加密的响应文件进行撤回的，应在“新郑市公共资源交易中心 ” 系统直接进行撤回操作；供应商对加密的响应文件进行修改的，应在投标截止时间前完</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成上传。</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4.3.2 供应商修改响应文件的，应使用“投标文件制作工具 ”制作成完整的响应文 件，并按照本章第 3 条、第 4 条规定进行编制、加密和递交。对采用网上递交的加密的响应文件，以投标截止时间前最后完成上传的文件为准。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4.3.3 供应商在投标截止时间后不得修改或撤回其投标。</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lang w:eastAsia="zh-CN"/>
        </w:rPr>
      </w:pPr>
      <w:r>
        <w:rPr>
          <w:rFonts w:hint="eastAsia" w:ascii="仿宋" w:hAnsi="仿宋" w:eastAsia="仿宋" w:cs="仿宋"/>
          <w:b/>
          <w:bCs/>
          <w:spacing w:val="1"/>
          <w:sz w:val="24"/>
          <w:szCs w:val="24"/>
        </w:rPr>
        <w:t>5．</w:t>
      </w:r>
      <w:r>
        <w:rPr>
          <w:rFonts w:hint="eastAsia" w:ascii="仿宋" w:hAnsi="仿宋" w:eastAsia="仿宋" w:cs="仿宋"/>
          <w:b/>
          <w:bCs/>
          <w:spacing w:val="1"/>
          <w:sz w:val="24"/>
          <w:szCs w:val="24"/>
          <w:lang w:val="en-US" w:eastAsia="zh-CN"/>
        </w:rPr>
        <w:t>磋商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b/>
          <w:bCs/>
          <w:spacing w:val="1"/>
          <w:sz w:val="24"/>
          <w:szCs w:val="24"/>
        </w:rPr>
        <w:t xml:space="preserve">5.1 </w:t>
      </w:r>
      <w:r>
        <w:rPr>
          <w:rFonts w:hint="eastAsia" w:ascii="仿宋" w:hAnsi="仿宋" w:eastAsia="仿宋" w:cs="仿宋"/>
          <w:b/>
          <w:bCs/>
          <w:spacing w:val="1"/>
          <w:sz w:val="24"/>
          <w:szCs w:val="24"/>
          <w:lang w:val="en-US" w:eastAsia="zh-CN"/>
        </w:rPr>
        <w:t>磋商</w:t>
      </w:r>
      <w:r>
        <w:rPr>
          <w:rFonts w:hint="eastAsia" w:ascii="仿宋" w:hAnsi="仿宋" w:eastAsia="仿宋" w:cs="仿宋"/>
          <w:b/>
          <w:bCs/>
          <w:spacing w:val="1"/>
          <w:sz w:val="24"/>
          <w:szCs w:val="24"/>
        </w:rPr>
        <w:t>时间和地点</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5.1.1 采购人在</w:t>
      </w:r>
      <w:r>
        <w:rPr>
          <w:rFonts w:hint="eastAsia" w:ascii="仿宋" w:hAnsi="仿宋" w:eastAsia="仿宋" w:cs="仿宋"/>
          <w:spacing w:val="1"/>
          <w:sz w:val="24"/>
          <w:szCs w:val="24"/>
          <w:lang w:val="en-US" w:eastAsia="zh-CN"/>
        </w:rPr>
        <w:t>磋商</w:t>
      </w:r>
      <w:r>
        <w:rPr>
          <w:rFonts w:hint="eastAsia" w:ascii="仿宋" w:hAnsi="仿宋" w:eastAsia="仿宋" w:cs="仿宋"/>
          <w:spacing w:val="1"/>
          <w:sz w:val="24"/>
          <w:szCs w:val="24"/>
        </w:rPr>
        <w:t>截止时间（开标时间）和供应商须知前附表规定的地点</w:t>
      </w:r>
      <w:r>
        <w:rPr>
          <w:rFonts w:hint="eastAsia" w:ascii="仿宋" w:hAnsi="仿宋" w:eastAsia="仿宋" w:cs="仿宋"/>
          <w:spacing w:val="1"/>
          <w:sz w:val="24"/>
          <w:szCs w:val="24"/>
          <w:lang w:val="en-US" w:eastAsia="zh-CN"/>
        </w:rPr>
        <w:t>磋商</w:t>
      </w:r>
      <w:r>
        <w:rPr>
          <w:rFonts w:hint="eastAsia" w:ascii="仿宋" w:hAnsi="仿宋" w:eastAsia="仿宋" w:cs="仿宋"/>
          <w:spacing w:val="1"/>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所有供应商的法定代表人或其委托代理人应准时参加。</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5.1.2 供应商如未在竞争性磋商文件规定的竞争性磋商活动开始时间前成功上传或误传加密的响应文件，而导致的解密失败,视为放弃竞争性磋商活动。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5.1.3 根据《新郑市公共资源交易中心关于在疫情防控期间推行不见面开标服务的 通知》不需要投标人（供应商）到达现场提交原件资料。投标人（供应商）必须在响应</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文件递交截止时间前登录远程开标大厅并签到。</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 xml:space="preserve">5.2 </w:t>
      </w:r>
      <w:r>
        <w:rPr>
          <w:rFonts w:hint="eastAsia" w:ascii="仿宋" w:hAnsi="仿宋" w:eastAsia="仿宋" w:cs="仿宋"/>
          <w:b/>
          <w:bCs/>
          <w:spacing w:val="1"/>
          <w:sz w:val="24"/>
          <w:szCs w:val="24"/>
          <w:lang w:val="en-US" w:eastAsia="zh-CN"/>
        </w:rPr>
        <w:t>磋商</w:t>
      </w:r>
      <w:r>
        <w:rPr>
          <w:rFonts w:hint="eastAsia" w:ascii="仿宋" w:hAnsi="仿宋" w:eastAsia="仿宋" w:cs="仿宋"/>
          <w:b/>
          <w:bCs/>
          <w:spacing w:val="1"/>
          <w:sz w:val="24"/>
          <w:szCs w:val="24"/>
        </w:rPr>
        <w:t>程序</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主持人按下列程序进行开标：</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(1）宣布不见面电子开标会议开始；</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(2）公布在投标截止时间前递交响应文件的供应商名称；</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(3）电子响应文件解密；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(4）在监督部门的监督下，工作人员按供应商电子响应文件上传顺序唱标；</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w:t>
      </w:r>
      <w:r>
        <w:rPr>
          <w:rFonts w:hint="eastAsia" w:ascii="仿宋" w:hAnsi="仿宋" w:eastAsia="仿宋" w:cs="仿宋"/>
          <w:spacing w:val="1"/>
          <w:sz w:val="24"/>
          <w:szCs w:val="24"/>
          <w:lang w:val="en-US" w:eastAsia="zh-CN"/>
        </w:rPr>
        <w:t>磋商</w:t>
      </w:r>
      <w:r>
        <w:rPr>
          <w:rFonts w:hint="eastAsia" w:ascii="仿宋" w:hAnsi="仿宋" w:eastAsia="仿宋" w:cs="仿宋"/>
          <w:spacing w:val="1"/>
          <w:sz w:val="24"/>
          <w:szCs w:val="24"/>
        </w:rPr>
        <w:t>会议结束，进入评标阶段。</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 xml:space="preserve">5.3 </w:t>
      </w:r>
      <w:r>
        <w:rPr>
          <w:rFonts w:hint="eastAsia" w:ascii="仿宋" w:hAnsi="仿宋" w:eastAsia="仿宋" w:cs="仿宋"/>
          <w:b/>
          <w:bCs/>
          <w:spacing w:val="1"/>
          <w:sz w:val="24"/>
          <w:szCs w:val="24"/>
          <w:lang w:val="en-US" w:eastAsia="zh-CN"/>
        </w:rPr>
        <w:t>磋商</w:t>
      </w:r>
      <w:r>
        <w:rPr>
          <w:rFonts w:hint="eastAsia" w:ascii="仿宋" w:hAnsi="仿宋" w:eastAsia="仿宋" w:cs="仿宋"/>
          <w:b/>
          <w:bCs/>
          <w:spacing w:val="1"/>
          <w:sz w:val="24"/>
          <w:szCs w:val="24"/>
        </w:rPr>
        <w:t>会议时，需遵循以下要求进行：</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5.3.1 电子评标时，因电子交易系统异常无法解密电子响应文件的，应及时上报系</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统技术人员解决。</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5.3.2 因供应商原因电子响应文件解密失败的，其响应将被拒绝。</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5.3.3 供应商不足三家的，不得开标。</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 xml:space="preserve">5.3.4 </w:t>
      </w:r>
      <w:r>
        <w:rPr>
          <w:rFonts w:hint="eastAsia" w:ascii="仿宋" w:hAnsi="仿宋" w:eastAsia="仿宋" w:cs="仿宋"/>
          <w:spacing w:val="1"/>
          <w:sz w:val="24"/>
          <w:szCs w:val="24"/>
          <w:lang w:val="en-US" w:eastAsia="zh-CN"/>
        </w:rPr>
        <w:t>磋商</w:t>
      </w:r>
      <w:r>
        <w:rPr>
          <w:rFonts w:hint="eastAsia" w:ascii="仿宋" w:hAnsi="仿宋" w:eastAsia="仿宋" w:cs="仿宋"/>
          <w:spacing w:val="1"/>
          <w:sz w:val="24"/>
          <w:szCs w:val="24"/>
        </w:rPr>
        <w:t>过程应当由采购人或者采购代理机构负责记录，由参加</w:t>
      </w:r>
      <w:r>
        <w:rPr>
          <w:rFonts w:hint="eastAsia" w:ascii="仿宋" w:hAnsi="仿宋" w:eastAsia="仿宋" w:cs="仿宋"/>
          <w:spacing w:val="1"/>
          <w:sz w:val="24"/>
          <w:szCs w:val="24"/>
          <w:lang w:val="en-US" w:eastAsia="zh-CN"/>
        </w:rPr>
        <w:t>磋商</w:t>
      </w:r>
      <w:r>
        <w:rPr>
          <w:rFonts w:hint="eastAsia" w:ascii="仿宋" w:hAnsi="仿宋" w:eastAsia="仿宋" w:cs="仿宋"/>
          <w:spacing w:val="1"/>
          <w:sz w:val="24"/>
          <w:szCs w:val="24"/>
        </w:rPr>
        <w:t>的相关工作</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人员签字确认后随竞争性磋商文件一并存档。</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5.3.5 供应商代表对开标过程和开标记录有疑义，以及认为采购人、采购代理机构 相关工作人员有需要回避的情形的，应当场提出询问或者回避申请。采购人、采购代理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机构对供应商代表提出的询问或者回避申请应当及时处理。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 xml:space="preserve">5.4 </w:t>
      </w:r>
      <w:r>
        <w:rPr>
          <w:rFonts w:hint="eastAsia" w:ascii="仿宋" w:hAnsi="仿宋" w:eastAsia="仿宋" w:cs="仿宋"/>
          <w:b/>
          <w:bCs/>
          <w:spacing w:val="1"/>
          <w:sz w:val="24"/>
          <w:szCs w:val="24"/>
          <w:lang w:val="en-US" w:eastAsia="zh-CN"/>
        </w:rPr>
        <w:t>磋商</w:t>
      </w:r>
      <w:r>
        <w:rPr>
          <w:rFonts w:hint="eastAsia" w:ascii="仿宋" w:hAnsi="仿宋" w:eastAsia="仿宋" w:cs="仿宋"/>
          <w:b/>
          <w:bCs/>
          <w:spacing w:val="1"/>
          <w:sz w:val="24"/>
          <w:szCs w:val="24"/>
        </w:rPr>
        <w:t>异议</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供应商对</w:t>
      </w:r>
      <w:r>
        <w:rPr>
          <w:rFonts w:hint="eastAsia" w:ascii="仿宋" w:hAnsi="仿宋" w:eastAsia="仿宋" w:cs="仿宋"/>
          <w:spacing w:val="1"/>
          <w:sz w:val="24"/>
          <w:szCs w:val="24"/>
          <w:lang w:val="en-US" w:eastAsia="zh-CN"/>
        </w:rPr>
        <w:t>磋商</w:t>
      </w:r>
      <w:r>
        <w:rPr>
          <w:rFonts w:hint="eastAsia" w:ascii="仿宋" w:hAnsi="仿宋" w:eastAsia="仿宋" w:cs="仿宋"/>
          <w:spacing w:val="1"/>
          <w:sz w:val="24"/>
          <w:szCs w:val="24"/>
        </w:rPr>
        <w:t>有异议的，应当在</w:t>
      </w:r>
      <w:r>
        <w:rPr>
          <w:rFonts w:hint="eastAsia" w:ascii="仿宋" w:hAnsi="仿宋" w:eastAsia="仿宋" w:cs="仿宋"/>
          <w:spacing w:val="1"/>
          <w:sz w:val="24"/>
          <w:szCs w:val="24"/>
          <w:lang w:val="en-US" w:eastAsia="zh-CN"/>
        </w:rPr>
        <w:t>磋商</w:t>
      </w:r>
      <w:r>
        <w:rPr>
          <w:rFonts w:hint="eastAsia" w:ascii="仿宋" w:hAnsi="仿宋" w:eastAsia="仿宋" w:cs="仿宋"/>
          <w:spacing w:val="1"/>
          <w:sz w:val="24"/>
          <w:szCs w:val="24"/>
        </w:rPr>
        <w:t>现场提出，采购人当场做出答复，并制作记录</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有异议的供应商代表、采购人代表、记录人等有关人员在记录上签字确认。</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6．评标</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6.1 竞争性磋商小组</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6.1.1 评标由采购人依法组建的竞争性磋商小组负责。竞争性磋商小组由采购人代表及有关技术、经济等方面专家组成。竞争性磋商小组成员人数以及技术、经济等方面专家的确定方式见供应商须知前附表。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6.1.2 竞争性磋商小组成员有下列情形之一的，应当回避：</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（1）采购人或供应商的主要负责人的近亲属；</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（2）项目主管部门或者行政监督部门的人员；</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（3）与供应商有经济利益关系，可能影响对投标公正评审的；</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（4）曾因在</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、评标以及其他与</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投标有关活动中从事违法行为而受过行政处罚或刑事处罚的。</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6.2 竞争性磋商原则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竞争性磋商活动遵循公平、公正、科学和择优的原则。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6.3 竞争性磋商办法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磋商小组成员应当按照客观、公正、审慎的原则，根据竞争性磋商文件第三章评审办法（综合评分法）规定的评审程序、评审方法和评审标准进行独立评审。未实质性响应磋商文件的响应文件按无效响应处理，磋商小组应当告知提交响应文件的供应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6.4 评审报告</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评审报告应当由磋商小组全体人员签字认可。磋商小组成员对评审报告有异议的</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 xml:space="preserve"> 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评审完成后，磋商小组应当向采购人提交书面评审报告和成交候选人名单。磋商小组推荐成交候选人的人数见供应商须知前附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6.5 细微偏差不影响响应文件的有效性</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细微偏差是指响应文件在实质上响应竞争性磋商文件要求，但个别地方存在漏项或 者提供了不完整的信息和数据等情况，并且补正这些遗漏或者不完整不会对其他供应商 造成不公平的结果。如响应文件中数字大写和小写不一致的，以大写为准。对于实质上 符合竞争性磋商文件要求的响应文件，采购人将对其响应文件的细微偏差进行校核。并 对有算术上和累加运算上的差错给予修正，这种修正应取得供应商的同意并确认修正后的最终结果。如果供应商拒绝确认，则其响应文件将不予评审。</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6.6 响应文件的澄清</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6.6.1 在竞争性磋商期间，竞争性磋商小组有权要求供应商对其响应文件含义不明</w:t>
      </w:r>
    </w:p>
    <w:p>
      <w:pPr>
        <w:tabs>
          <w:tab w:val="left" w:pos="467"/>
        </w:tabs>
        <w:bidi w:val="0"/>
        <w:jc w:val="left"/>
        <w:rPr>
          <w:rFonts w:hint="eastAsia" w:ascii="仿宋" w:hAnsi="仿宋" w:eastAsia="仿宋" w:cs="仿宋"/>
          <w:spacing w:val="1"/>
          <w:sz w:val="24"/>
          <w:szCs w:val="24"/>
        </w:rPr>
      </w:pPr>
      <w:r>
        <w:rPr>
          <w:rFonts w:hint="eastAsia" w:ascii="仿宋" w:hAnsi="仿宋" w:eastAsia="仿宋" w:cs="仿宋"/>
          <w:spacing w:val="1"/>
          <w:sz w:val="24"/>
          <w:szCs w:val="24"/>
        </w:rPr>
        <w:t>确、同类问题表述不一致或者有明显文字和计算错误的内容进行澄清。供应商应派授权 代表和技术人员按竞争性磋商小组通知的时间和地点接受质询。并非每个供应商都将被</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质询。</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6.6.2 竞争性磋商小组认为有必要，可要求供应商对某些问题作出必要的澄清、说 明和纠正。供应商的澄清、说明或者补正应当采用书面形式，由其授权的代表签字。供</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应商的书面澄清材料作为响应文件的补充。</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6.6.3 供应商不按竞争性磋商小组规定的时间和地点作书面澄清，将视为放弃该权</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利。</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6.7 竞争性磋商过程保密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6.7.1 在宣布成交结果之前，凡属于审查、澄清、评价、比较响应文件等有关信息</w:t>
      </w:r>
      <w:r>
        <w:rPr>
          <w:rFonts w:hint="eastAsia" w:ascii="仿宋" w:hAnsi="仿宋" w:eastAsia="仿宋" w:cs="仿宋"/>
          <w:spacing w:val="1"/>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相关当事人均不得泄露给任何供应商或与竞争性磋商工作无关的人员。</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6.7.2 供应商不得探听上述信息，不得以任何行为影响竞争性磋商过程，否则其响</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应文件将被作为无效响应文件。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6.7.3 竞争性磋商小组不向未成交的供应商解释未成交原因，也不对竞争性磋商过</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程中的细节问题进行公布。</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b/>
          <w:bCs/>
          <w:spacing w:val="1"/>
          <w:sz w:val="24"/>
          <w:szCs w:val="24"/>
        </w:rPr>
        <w:t>7．定标及合同授予</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7.1 确定成交人</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7.1.1 坚持公平、公正地对待所有供应商。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7.1.2 按照同一评审程序及方法、标准评审供应商的响应文件。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7.1.3 竞争性磋商小组将严格按照竞争性磋商文件的要求和条件进行比较,根据竞</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争性磋商文件中公布的评定成交标准推荐3名成交候选人。采购单位应当确定排名第一 的中标候选人为成交供应商。排名第一的中标候选人放弃中标或者因不可抗力提出不能 履行合同，采购单位可以确定排名第二的中标候选人为成交供应商。排名第二的中标候 选人因前款规定的同样原因不能签订合同的，采购单位可以确定排名第三的中标候选人为成交供应商。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7.2 成交通知</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7.2.1 采购代理机构应当在评标结束当天将评标报告送采购人，采购人并于当天在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评标报告确定的成交候选人名单中按顺序确定中标人。成交候选人并列的，由磋商小组</w:t>
      </w:r>
    </w:p>
    <w:p>
      <w:pPr>
        <w:tabs>
          <w:tab w:val="left" w:pos="437"/>
        </w:tabs>
        <w:bidi w:val="0"/>
        <w:jc w:val="left"/>
        <w:rPr>
          <w:rFonts w:hint="eastAsia" w:ascii="仿宋" w:hAnsi="仿宋" w:eastAsia="仿宋" w:cs="仿宋"/>
          <w:spacing w:val="1"/>
          <w:sz w:val="24"/>
          <w:szCs w:val="24"/>
        </w:rPr>
      </w:pPr>
      <w:r>
        <w:rPr>
          <w:rFonts w:hint="eastAsia" w:ascii="仿宋" w:hAnsi="仿宋" w:eastAsia="仿宋" w:cs="仿宋"/>
          <w:spacing w:val="1"/>
          <w:sz w:val="24"/>
          <w:szCs w:val="24"/>
        </w:rPr>
        <w:t>依据供应商投标方案、服务承诺进行综合评审确定报价排序。</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7.2.2 采购代理机构应当自中标人确定之日起1个工作日内，在省级以上财政部门指定的媒体上公告中标结果，竞争性磋商文件应当随中标结果同时公告。公告期限为 1个工作日。公告的同时，向中标人发出成交通知书。</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7.2.3 成交通知书对采购单位和成交供应商均具有法律效力。成交通知书发出后，</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采购单位改变成交结果的，或者成交供应商放弃成交项目的，应当依法承担法律责任。</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7.3 履约担保（无）</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7.3.1 在签订合同前，成交供应商应按供应商须知前附表规定的金额、担保形式和 竞争性磋商文件第四章“合同条款及格式”规定的履约担保格式或者事先经过采购单位书面认可的履约担保格式向采购单位提交履约担保。</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7.3.2 成交供应商不能按本章第 7.3.1 项要求提交履约担保的，视为放弃中标，给采购单位造成的损失的，成交供应商还应当对超过部分予以赔偿。</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7.4 签订合同</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7.4.1 成交供应商应在发布成交公告之日起 2 个工作日内与采购单位签订成交合</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同。</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7.4.2 成交通知书、竞争性磋商文件、成交供应商的响应文件及竞争性磋商过程中有关澄清文件均应是合同的组成部分。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lang w:eastAsia="zh-CN"/>
        </w:rPr>
      </w:pPr>
      <w:r>
        <w:rPr>
          <w:rFonts w:hint="eastAsia" w:ascii="仿宋" w:hAnsi="仿宋" w:eastAsia="仿宋" w:cs="仿宋"/>
          <w:b/>
          <w:bCs/>
          <w:spacing w:val="1"/>
          <w:sz w:val="24"/>
          <w:szCs w:val="24"/>
        </w:rPr>
        <w:t>8．重新</w:t>
      </w:r>
      <w:r>
        <w:rPr>
          <w:rFonts w:hint="eastAsia" w:ascii="仿宋" w:hAnsi="仿宋" w:eastAsia="仿宋" w:cs="仿宋"/>
          <w:b/>
          <w:bCs/>
          <w:spacing w:val="1"/>
          <w:sz w:val="24"/>
          <w:szCs w:val="24"/>
          <w:lang w:eastAsia="zh-CN"/>
        </w:rPr>
        <w:t>竞争性磋商</w:t>
      </w:r>
      <w:r>
        <w:rPr>
          <w:rFonts w:hint="eastAsia" w:ascii="仿宋" w:hAnsi="仿宋" w:eastAsia="仿宋" w:cs="仿宋"/>
          <w:b/>
          <w:bCs/>
          <w:spacing w:val="1"/>
          <w:sz w:val="24"/>
          <w:szCs w:val="24"/>
        </w:rPr>
        <w:t>和不再</w:t>
      </w:r>
      <w:r>
        <w:rPr>
          <w:rFonts w:hint="eastAsia" w:ascii="仿宋" w:hAnsi="仿宋" w:eastAsia="仿宋" w:cs="仿宋"/>
          <w:b/>
          <w:bCs/>
          <w:spacing w:val="1"/>
          <w:sz w:val="24"/>
          <w:szCs w:val="24"/>
          <w:lang w:eastAsia="zh-CN"/>
        </w:rPr>
        <w:t>竞争性磋商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lang w:eastAsia="zh-CN"/>
        </w:rPr>
      </w:pPr>
      <w:r>
        <w:rPr>
          <w:rFonts w:hint="eastAsia" w:ascii="仿宋" w:hAnsi="仿宋" w:eastAsia="仿宋" w:cs="仿宋"/>
          <w:b/>
          <w:bCs/>
          <w:spacing w:val="1"/>
          <w:sz w:val="24"/>
          <w:szCs w:val="24"/>
        </w:rPr>
        <w:t>8.1 重新</w:t>
      </w:r>
      <w:r>
        <w:rPr>
          <w:rFonts w:hint="eastAsia" w:ascii="仿宋" w:hAnsi="仿宋" w:eastAsia="仿宋" w:cs="仿宋"/>
          <w:b/>
          <w:bCs/>
          <w:spacing w:val="1"/>
          <w:sz w:val="24"/>
          <w:szCs w:val="24"/>
          <w:lang w:eastAsia="zh-CN"/>
        </w:rPr>
        <w:t>竞争性磋商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有下列情形之一的，采购人将重新</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（1）投标截止时间止，供应商少于 3 个的；</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（2）经竞争性磋商小组评审后否决所有投标的。</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lang w:eastAsia="zh-CN"/>
        </w:rPr>
      </w:pPr>
      <w:r>
        <w:rPr>
          <w:rFonts w:hint="eastAsia" w:ascii="仿宋" w:hAnsi="仿宋" w:eastAsia="仿宋" w:cs="仿宋"/>
          <w:b/>
          <w:bCs/>
          <w:spacing w:val="1"/>
          <w:sz w:val="24"/>
          <w:szCs w:val="24"/>
        </w:rPr>
        <w:t>8.2 不再</w:t>
      </w:r>
      <w:r>
        <w:rPr>
          <w:rFonts w:hint="eastAsia" w:ascii="仿宋" w:hAnsi="仿宋" w:eastAsia="仿宋" w:cs="仿宋"/>
          <w:b/>
          <w:bCs/>
          <w:spacing w:val="1"/>
          <w:sz w:val="24"/>
          <w:szCs w:val="24"/>
          <w:lang w:eastAsia="zh-CN"/>
        </w:rPr>
        <w:t>竞争性磋商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重新</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后供应商仍少于3个或者所有投标被否决的，属于必须审批或核准的项目，经原审批或核准部门批准后不再进行</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9．纪律和监督</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b/>
          <w:bCs/>
          <w:spacing w:val="1"/>
          <w:sz w:val="24"/>
          <w:szCs w:val="24"/>
        </w:rPr>
        <w:t>9.1 对采购人的纪律要求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采购人不得泄漏</w:t>
      </w:r>
      <w:r>
        <w:rPr>
          <w:rFonts w:hint="eastAsia" w:ascii="仿宋" w:hAnsi="仿宋" w:eastAsia="仿宋" w:cs="仿宋"/>
          <w:spacing w:val="1"/>
          <w:sz w:val="24"/>
          <w:szCs w:val="24"/>
          <w:lang w:eastAsia="zh-CN"/>
        </w:rPr>
        <w:t>竞争性磋商</w:t>
      </w:r>
      <w:r>
        <w:rPr>
          <w:rFonts w:hint="eastAsia" w:ascii="仿宋" w:hAnsi="仿宋" w:eastAsia="仿宋" w:cs="仿宋"/>
          <w:spacing w:val="1"/>
          <w:sz w:val="24"/>
          <w:szCs w:val="24"/>
        </w:rPr>
        <w:t>投标活动中应当保密的情况和资料，不得与供应商串通损害国家利益、社会公共利益或者他人合法权益。</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9.2 对供应商的纪律要求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供应商不得相互串通投标或者与采购人串通投标，不得向采购人或者竞争性磋商小 组成员行贿谋取中标，不得以他人名义投标或者以其他方式弄虚作假骗取中标；供应商不得以任何方式干扰、影响评标工作。</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9.3 对竞争性磋商小组成员的纪律要求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竞争性磋商小组成员不得收受他人的财物或者其他好处，不得向他人透漏对响应文件的评审和比较、中标候选人的推荐情况以及评标有关的其他情况。在评标活动中</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竞争性磋商小组成员不得擅离职守，影响评标程序正常进行，不得使用没有规定的评审因素和标准进行评标。</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9.4 对与评标活动有关的工作人员的纪律要求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与评标活动有关的工作人员不得收受他人的财物或者其他好处，不得向他人透漏对 响应文件的评审和比较、中标候选人的推荐情况以及评标有关的其他情况。在评标活动中，与评标活动有关的工作人员不得擅离职守，影响评标程序正常进行。</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9.5 投诉</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9.5.1 供应商或有关当事人对磋商过程、成交结果有异议的，可以向采购人或者采购代理机构提出询问。</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9.5.2 采购人或者采购代理机构应当在三个工作日内对供应商依法提出的询问作出答复。</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9.5.3 供应商认为竞争性磋商文件、采购过程使自己的权益受到损害的，可以在知道或者应知其权益受到损害之日起七个工作日内，以书面形式向采购人提出质疑.</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9.5.4 供应商认为成交结果使自己的权益受到损害的，可以在成交结果公告期限届 满之日起七个工作日内，以书面形式向采购人提出质疑，接收质疑函联系部门、电话及 地址详见竞争性磋商公告。在法定质疑期内供应商针对同一采购程序环节的质疑应当一次性提出。</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9.5.5 采购人或者采购代理机构应当在收到供应商的书面质疑后七个工作日内作出答复，并以书面形式通知质疑供应商和其他有关供应商，但答复的内容不得涉及商业秘密。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9.5.6 质疑供应商对采购人、采购代理机构的答复不满意或者采购人、采购代理机</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构未在规定的时间内作出答复的，可以在答复期满后十五个工作日内向同级政府采购监</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督管理部门投诉。</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9.5.7 供应商质疑、投诉应当有明确的请求和必要的证明材料。供应商投诉的事项</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不得超出已质疑事项的范围。</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10.政府采购政策</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10.1 磋商产品符合国家环保、节能标准，并载入财政部、国家发改委/国家环保总 局发布的《环境标志产品政府采购品目清单》、《节能产品政府采购品目清单》内，且 具国家确定的认证机构出具的、处于有效期之内的 《国家节能产品认证证书》或《中 国环境标志产品认证证书》（供应商必须提供有关证明材料和文件等），对获得证书的</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产品实施政府优先采购。</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10.2 如磋商产品属于财政部和国家发展改革委发布的《节能产品政府采购品目清 单》中要求的政府强制采购产品的，供应商必须提供所投产品国家确定的认证机构出具 的、处于有效期之内的《国家节能产品认证证书》复印件，如提供非《节能产品政府采</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购品目清单》中要求的强制政府采购产品的，则认定其响应文件无效。</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10.3 采购货物为国家强制性认证产品的，必须符合强制性标准。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10.4 鼓励创新，首购和订购的产品具有首创和自主研发性质，属于自主创新产品的，必须执行《自主创新产品政府收购和订购管理办法》。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10.5 为了促进中小企业发展，根据《中华人民共和国政府采购法实施条例》（财库[2020]46号）文件的规定，评审时给予小、微型企业（监狱企业、残疾人福利性单位）报价1</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rPr>
        <w:t>%的扣除，用扣除后的价格参加评审。（注：中小企业划型标准见《关于印发中小企业划型标准规定的通知》（工信部联企业[2011]300 号）。</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sectPr>
          <w:footerReference r:id="rId7" w:type="default"/>
          <w:pgSz w:w="11911" w:h="16839"/>
          <w:pgMar w:top="1431" w:right="1356" w:bottom="1015" w:left="1423" w:header="0" w:footer="850" w:gutter="0"/>
          <w:pgNumType w:fmt="decimal"/>
          <w:cols w:space="720" w:num="1"/>
        </w:sect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附件：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center"/>
        <w:textAlignment w:val="baseline"/>
        <w:outlineLvl w:val="9"/>
        <w:rPr>
          <w:rFonts w:hint="eastAsia" w:ascii="仿宋" w:hAnsi="仿宋" w:eastAsia="仿宋" w:cs="仿宋"/>
          <w:b/>
          <w:bCs/>
          <w:spacing w:val="1"/>
          <w:sz w:val="28"/>
          <w:szCs w:val="28"/>
        </w:rPr>
      </w:pPr>
      <w:bookmarkStart w:id="9" w:name="_Toc3839"/>
      <w:bookmarkStart w:id="10" w:name="_Toc5926"/>
      <w:bookmarkStart w:id="11" w:name="_Toc16842"/>
      <w:r>
        <w:rPr>
          <w:rFonts w:hint="eastAsia" w:ascii="仿宋" w:hAnsi="仿宋" w:eastAsia="仿宋" w:cs="仿宋"/>
          <w:b/>
          <w:bCs/>
          <w:spacing w:val="1"/>
          <w:sz w:val="28"/>
          <w:szCs w:val="28"/>
        </w:rPr>
        <w:t>河南省政府采购合同融资政策告知函</w:t>
      </w:r>
      <w:bookmarkEnd w:id="9"/>
      <w:bookmarkEnd w:id="10"/>
      <w:bookmarkEnd w:id="11"/>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各供应商:</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欢迎贵公司参与河南省政府采购活动!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政府采购合同融资是河南省财政厅支持中小微企业发展,针对参与政府采购活动的 供应商融资难、融资贵问题推出的一项融资政策。贵公司若成为本次政府采购项目的中标成交供应商, 可持政府采购合同向金融机构申请贷款,无需抵押、担保,融资机构将根据《河南省政府采购合同融资工作实施方案)(豫财购(2017〕10号),按照双方自愿的原则提供便捷、优惠的贷款服务。</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484"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贷款渠道和提供贷款的金融机构,可在河南省政采购网“河南省政府采购合同融资平台 ”查询联</w:t>
      </w:r>
    </w:p>
    <w:p>
      <w:pPr>
        <w:bidi w:val="0"/>
        <w:rPr>
          <w:rFonts w:hint="eastAsia"/>
        </w:rPr>
      </w:pPr>
    </w:p>
    <w:p>
      <w:pPr>
        <w:bidi w:val="0"/>
        <w:rPr>
          <w:rFonts w:hint="eastAsia"/>
        </w:rPr>
      </w:pPr>
    </w:p>
    <w:p>
      <w:pPr>
        <w:spacing w:before="95" w:line="224" w:lineRule="auto"/>
        <w:jc w:val="center"/>
        <w:outlineLvl w:val="9"/>
        <w:rPr>
          <w:rFonts w:hint="eastAsia" w:ascii="宋体" w:hAnsi="宋体" w:cs="宋体"/>
          <w:b/>
          <w:color w:val="auto"/>
          <w:kern w:val="44"/>
          <w:sz w:val="32"/>
          <w:szCs w:val="32"/>
          <w:highlight w:val="none"/>
        </w:rPr>
      </w:pPr>
    </w:p>
    <w:p>
      <w:pPr>
        <w:spacing w:before="95" w:line="224" w:lineRule="auto"/>
        <w:jc w:val="center"/>
        <w:outlineLvl w:val="9"/>
        <w:rPr>
          <w:rFonts w:hint="eastAsia" w:ascii="宋体" w:hAnsi="宋体" w:cs="宋体"/>
          <w:b/>
          <w:color w:val="auto"/>
          <w:kern w:val="44"/>
          <w:sz w:val="32"/>
          <w:szCs w:val="32"/>
          <w:highlight w:val="none"/>
        </w:rPr>
      </w:pPr>
    </w:p>
    <w:p>
      <w:pPr>
        <w:spacing w:before="95" w:line="224" w:lineRule="auto"/>
        <w:jc w:val="center"/>
        <w:outlineLvl w:val="9"/>
        <w:rPr>
          <w:rFonts w:hint="eastAsia" w:ascii="宋体" w:hAnsi="宋体" w:cs="宋体"/>
          <w:b/>
          <w:color w:val="auto"/>
          <w:kern w:val="44"/>
          <w:sz w:val="32"/>
          <w:szCs w:val="32"/>
          <w:highlight w:val="none"/>
        </w:rPr>
      </w:pPr>
    </w:p>
    <w:p>
      <w:pPr>
        <w:spacing w:before="95" w:line="224" w:lineRule="auto"/>
        <w:jc w:val="center"/>
        <w:outlineLvl w:val="9"/>
        <w:rPr>
          <w:rFonts w:hint="eastAsia" w:ascii="宋体" w:hAnsi="宋体" w:cs="宋体"/>
          <w:b/>
          <w:color w:val="auto"/>
          <w:kern w:val="44"/>
          <w:sz w:val="32"/>
          <w:szCs w:val="32"/>
          <w:highlight w:val="none"/>
        </w:rPr>
      </w:pPr>
    </w:p>
    <w:p>
      <w:pPr>
        <w:spacing w:before="95" w:line="224" w:lineRule="auto"/>
        <w:jc w:val="center"/>
        <w:outlineLvl w:val="9"/>
        <w:rPr>
          <w:rFonts w:hint="eastAsia" w:ascii="宋体" w:hAnsi="宋体" w:cs="宋体"/>
          <w:b/>
          <w:color w:val="auto"/>
          <w:kern w:val="44"/>
          <w:sz w:val="32"/>
          <w:szCs w:val="32"/>
          <w:highlight w:val="none"/>
        </w:rPr>
      </w:pPr>
    </w:p>
    <w:p>
      <w:pPr>
        <w:spacing w:before="95" w:line="224" w:lineRule="auto"/>
        <w:jc w:val="center"/>
        <w:outlineLvl w:val="9"/>
        <w:rPr>
          <w:rFonts w:hint="eastAsia" w:ascii="宋体" w:hAnsi="宋体" w:cs="宋体"/>
          <w:b/>
          <w:color w:val="auto"/>
          <w:kern w:val="44"/>
          <w:sz w:val="32"/>
          <w:szCs w:val="32"/>
          <w:highlight w:val="none"/>
        </w:rPr>
      </w:pPr>
    </w:p>
    <w:p>
      <w:pPr>
        <w:spacing w:before="95" w:line="224" w:lineRule="auto"/>
        <w:jc w:val="center"/>
        <w:outlineLvl w:val="9"/>
        <w:rPr>
          <w:rFonts w:hint="eastAsia" w:ascii="宋体" w:hAnsi="宋体" w:cs="宋体"/>
          <w:b/>
          <w:color w:val="auto"/>
          <w:kern w:val="44"/>
          <w:sz w:val="32"/>
          <w:szCs w:val="32"/>
          <w:highlight w:val="none"/>
        </w:rPr>
      </w:pPr>
    </w:p>
    <w:p>
      <w:pPr>
        <w:spacing w:before="95" w:line="224" w:lineRule="auto"/>
        <w:jc w:val="center"/>
        <w:outlineLvl w:val="9"/>
        <w:rPr>
          <w:rFonts w:hint="eastAsia" w:ascii="宋体" w:hAnsi="宋体" w:cs="宋体"/>
          <w:b/>
          <w:color w:val="auto"/>
          <w:kern w:val="44"/>
          <w:sz w:val="32"/>
          <w:szCs w:val="32"/>
          <w:highlight w:val="none"/>
        </w:rPr>
      </w:pPr>
    </w:p>
    <w:p>
      <w:pPr>
        <w:spacing w:before="95" w:line="224" w:lineRule="auto"/>
        <w:jc w:val="center"/>
        <w:outlineLvl w:val="9"/>
        <w:rPr>
          <w:rFonts w:hint="eastAsia" w:ascii="宋体" w:hAnsi="宋体" w:cs="宋体"/>
          <w:b/>
          <w:color w:val="auto"/>
          <w:kern w:val="44"/>
          <w:sz w:val="32"/>
          <w:szCs w:val="32"/>
          <w:highlight w:val="none"/>
        </w:rPr>
      </w:pPr>
    </w:p>
    <w:p>
      <w:pPr>
        <w:spacing w:before="95" w:line="224" w:lineRule="auto"/>
        <w:jc w:val="center"/>
        <w:outlineLvl w:val="9"/>
        <w:rPr>
          <w:rFonts w:hint="eastAsia" w:ascii="宋体" w:hAnsi="宋体" w:cs="宋体"/>
          <w:b/>
          <w:color w:val="auto"/>
          <w:kern w:val="44"/>
          <w:sz w:val="32"/>
          <w:szCs w:val="32"/>
          <w:highlight w:val="none"/>
        </w:rPr>
      </w:pPr>
    </w:p>
    <w:p>
      <w:pPr>
        <w:spacing w:before="95" w:line="224" w:lineRule="auto"/>
        <w:jc w:val="center"/>
        <w:outlineLvl w:val="9"/>
        <w:rPr>
          <w:rFonts w:hint="eastAsia" w:ascii="宋体" w:hAnsi="宋体" w:cs="宋体"/>
          <w:b/>
          <w:color w:val="auto"/>
          <w:kern w:val="44"/>
          <w:sz w:val="32"/>
          <w:szCs w:val="32"/>
          <w:highlight w:val="none"/>
        </w:rPr>
      </w:pPr>
    </w:p>
    <w:p>
      <w:pPr>
        <w:spacing w:before="95" w:line="224" w:lineRule="auto"/>
        <w:jc w:val="center"/>
        <w:outlineLvl w:val="9"/>
        <w:rPr>
          <w:rFonts w:hint="eastAsia" w:ascii="宋体" w:hAnsi="宋体" w:cs="宋体"/>
          <w:b/>
          <w:color w:val="auto"/>
          <w:kern w:val="44"/>
          <w:sz w:val="32"/>
          <w:szCs w:val="32"/>
          <w:highlight w:val="none"/>
        </w:rPr>
      </w:pPr>
    </w:p>
    <w:p>
      <w:pPr>
        <w:spacing w:before="95" w:line="224" w:lineRule="auto"/>
        <w:jc w:val="center"/>
        <w:outlineLvl w:val="9"/>
        <w:rPr>
          <w:rFonts w:hint="eastAsia" w:ascii="宋体" w:hAnsi="宋体" w:cs="宋体"/>
          <w:b/>
          <w:color w:val="auto"/>
          <w:kern w:val="44"/>
          <w:sz w:val="32"/>
          <w:szCs w:val="32"/>
          <w:highlight w:val="none"/>
        </w:rPr>
      </w:pPr>
    </w:p>
    <w:p>
      <w:pPr>
        <w:spacing w:before="95" w:line="224" w:lineRule="auto"/>
        <w:jc w:val="center"/>
        <w:outlineLvl w:val="9"/>
        <w:rPr>
          <w:rFonts w:hint="eastAsia" w:ascii="宋体" w:hAnsi="宋体" w:cs="宋体"/>
          <w:b/>
          <w:color w:val="auto"/>
          <w:kern w:val="44"/>
          <w:sz w:val="32"/>
          <w:szCs w:val="32"/>
          <w:highlight w:val="none"/>
        </w:rPr>
      </w:pPr>
    </w:p>
    <w:p>
      <w:pPr>
        <w:spacing w:before="95" w:line="224" w:lineRule="auto"/>
        <w:jc w:val="center"/>
        <w:outlineLvl w:val="9"/>
        <w:rPr>
          <w:rFonts w:hint="eastAsia" w:ascii="宋体" w:hAnsi="宋体" w:cs="宋体"/>
          <w:b/>
          <w:color w:val="auto"/>
          <w:kern w:val="44"/>
          <w:sz w:val="32"/>
          <w:szCs w:val="32"/>
          <w:highlight w:val="none"/>
        </w:rPr>
      </w:pPr>
    </w:p>
    <w:p>
      <w:pPr>
        <w:spacing w:before="95" w:line="224" w:lineRule="auto"/>
        <w:jc w:val="center"/>
        <w:outlineLvl w:val="9"/>
        <w:rPr>
          <w:rFonts w:hint="eastAsia" w:ascii="宋体" w:hAnsi="宋体" w:cs="宋体"/>
          <w:b/>
          <w:color w:val="auto"/>
          <w:kern w:val="44"/>
          <w:sz w:val="32"/>
          <w:szCs w:val="32"/>
          <w:highlight w:val="none"/>
        </w:rPr>
      </w:pPr>
    </w:p>
    <w:p>
      <w:pPr>
        <w:spacing w:before="95" w:line="224" w:lineRule="auto"/>
        <w:jc w:val="center"/>
        <w:outlineLvl w:val="9"/>
        <w:rPr>
          <w:rFonts w:hint="eastAsia" w:ascii="宋体" w:hAnsi="宋体" w:cs="宋体"/>
          <w:b/>
          <w:color w:val="auto"/>
          <w:kern w:val="44"/>
          <w:sz w:val="32"/>
          <w:szCs w:val="32"/>
          <w:highlight w:val="none"/>
        </w:rPr>
      </w:pPr>
    </w:p>
    <w:p>
      <w:pPr>
        <w:spacing w:before="95" w:line="224" w:lineRule="auto"/>
        <w:jc w:val="center"/>
        <w:outlineLvl w:val="9"/>
        <w:rPr>
          <w:rFonts w:hint="eastAsia" w:ascii="宋体" w:hAnsi="宋体" w:cs="宋体"/>
          <w:b/>
          <w:color w:val="auto"/>
          <w:kern w:val="44"/>
          <w:sz w:val="32"/>
          <w:szCs w:val="32"/>
          <w:highlight w:val="none"/>
        </w:rPr>
      </w:pPr>
    </w:p>
    <w:p>
      <w:pPr>
        <w:spacing w:before="95" w:line="224" w:lineRule="auto"/>
        <w:jc w:val="center"/>
        <w:outlineLvl w:val="9"/>
        <w:rPr>
          <w:rFonts w:hint="eastAsia" w:ascii="宋体" w:hAnsi="宋体" w:cs="宋体"/>
          <w:b/>
          <w:color w:val="auto"/>
          <w:kern w:val="44"/>
          <w:sz w:val="32"/>
          <w:szCs w:val="32"/>
          <w:highlight w:val="none"/>
        </w:rPr>
      </w:pPr>
    </w:p>
    <w:p>
      <w:pPr>
        <w:spacing w:before="95" w:line="224" w:lineRule="auto"/>
        <w:jc w:val="center"/>
        <w:outlineLvl w:val="0"/>
        <w:rPr>
          <w:rFonts w:hint="eastAsia" w:asciiTheme="minorEastAsia" w:hAnsiTheme="minorEastAsia" w:eastAsiaTheme="minorEastAsia" w:cstheme="minorEastAsia"/>
          <w:sz w:val="31"/>
          <w:szCs w:val="31"/>
        </w:rPr>
      </w:pPr>
      <w:bookmarkStart w:id="12" w:name="_Toc7933"/>
      <w:bookmarkStart w:id="13" w:name="_Toc5704"/>
      <w:bookmarkStart w:id="14" w:name="_Toc10311"/>
      <w:r>
        <w:rPr>
          <w:rFonts w:hint="eastAsia" w:asciiTheme="minorEastAsia" w:hAnsiTheme="minorEastAsia" w:eastAsiaTheme="minorEastAsia" w:cstheme="minorEastAsia"/>
          <w:b/>
          <w:color w:val="auto"/>
          <w:kern w:val="44"/>
          <w:sz w:val="32"/>
          <w:szCs w:val="32"/>
          <w:highlight w:val="none"/>
        </w:rPr>
        <w:t>第三章  评审办法（综合评分法）</w:t>
      </w:r>
      <w:bookmarkEnd w:id="12"/>
      <w:bookmarkEnd w:id="13"/>
      <w:bookmarkEnd w:id="14"/>
    </w:p>
    <w:p>
      <w:pPr>
        <w:spacing w:line="113" w:lineRule="exact"/>
        <w:rPr>
          <w:rFonts w:hint="eastAsia" w:ascii="仿宋" w:hAnsi="仿宋" w:eastAsia="仿宋" w:cs="仿宋"/>
          <w:snapToGrid w:val="0"/>
          <w:color w:val="000000"/>
          <w:spacing w:val="1"/>
          <w:kern w:val="0"/>
          <w:sz w:val="24"/>
          <w:szCs w:val="24"/>
          <w:lang w:val="en-US" w:eastAsia="en-US" w:bidi="ar-SA"/>
        </w:rPr>
      </w:pPr>
    </w:p>
    <w:tbl>
      <w:tblPr>
        <w:tblStyle w:val="20"/>
        <w:tblW w:w="9945" w:type="dxa"/>
        <w:tblInd w:w="-3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5"/>
        <w:gridCol w:w="960"/>
        <w:gridCol w:w="1117"/>
        <w:gridCol w:w="686"/>
        <w:gridCol w:w="58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265" w:type="dxa"/>
            <w:gridSpan w:val="2"/>
            <w:vAlign w:val="top"/>
          </w:tcPr>
          <w:p>
            <w:pPr>
              <w:pStyle w:val="22"/>
              <w:spacing w:before="36" w:line="216" w:lineRule="auto"/>
              <w:ind w:left="642"/>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条款号</w:t>
            </w:r>
          </w:p>
        </w:tc>
        <w:tc>
          <w:tcPr>
            <w:tcW w:w="1803" w:type="dxa"/>
            <w:gridSpan w:val="2"/>
            <w:vAlign w:val="top"/>
          </w:tcPr>
          <w:p>
            <w:pPr>
              <w:pStyle w:val="22"/>
              <w:spacing w:before="36" w:line="216" w:lineRule="auto"/>
              <w:ind w:left="496"/>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评审因素</w:t>
            </w:r>
          </w:p>
        </w:tc>
        <w:tc>
          <w:tcPr>
            <w:tcW w:w="5877" w:type="dxa"/>
            <w:vAlign w:val="top"/>
          </w:tcPr>
          <w:p>
            <w:pPr>
              <w:pStyle w:val="22"/>
              <w:spacing w:before="36" w:line="216" w:lineRule="auto"/>
              <w:ind w:left="2516"/>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05" w:type="dxa"/>
            <w:vMerge w:val="restart"/>
            <w:tcBorders>
              <w:bottom w:val="nil"/>
            </w:tcBorders>
            <w:vAlign w:val="top"/>
          </w:tcPr>
          <w:p>
            <w:pPr>
              <w:spacing w:line="253" w:lineRule="auto"/>
              <w:rPr>
                <w:rFonts w:hint="eastAsia" w:ascii="仿宋" w:hAnsi="仿宋" w:eastAsia="仿宋" w:cs="仿宋"/>
                <w:snapToGrid w:val="0"/>
                <w:color w:val="000000"/>
                <w:spacing w:val="1"/>
                <w:kern w:val="0"/>
                <w:sz w:val="24"/>
                <w:szCs w:val="24"/>
                <w:lang w:val="en-US" w:eastAsia="en-US" w:bidi="ar-SA"/>
              </w:rPr>
            </w:pPr>
          </w:p>
          <w:p>
            <w:pPr>
              <w:spacing w:line="253" w:lineRule="auto"/>
              <w:rPr>
                <w:rFonts w:hint="eastAsia" w:ascii="仿宋" w:hAnsi="仿宋" w:eastAsia="仿宋" w:cs="仿宋"/>
                <w:snapToGrid w:val="0"/>
                <w:color w:val="000000"/>
                <w:spacing w:val="1"/>
                <w:kern w:val="0"/>
                <w:sz w:val="24"/>
                <w:szCs w:val="24"/>
                <w:lang w:val="en-US" w:eastAsia="en-US" w:bidi="ar-SA"/>
              </w:rPr>
            </w:pPr>
          </w:p>
          <w:p>
            <w:pPr>
              <w:spacing w:line="254" w:lineRule="auto"/>
              <w:rPr>
                <w:rFonts w:hint="eastAsia" w:ascii="仿宋" w:hAnsi="仿宋" w:eastAsia="仿宋" w:cs="仿宋"/>
                <w:snapToGrid w:val="0"/>
                <w:color w:val="000000"/>
                <w:spacing w:val="1"/>
                <w:kern w:val="0"/>
                <w:sz w:val="24"/>
                <w:szCs w:val="24"/>
                <w:lang w:val="en-US" w:eastAsia="en-US" w:bidi="ar-SA"/>
              </w:rPr>
            </w:pPr>
          </w:p>
          <w:p>
            <w:pPr>
              <w:pStyle w:val="22"/>
              <w:spacing w:before="65" w:line="187" w:lineRule="auto"/>
              <w:ind w:left="208"/>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2.1.1</w:t>
            </w:r>
          </w:p>
        </w:tc>
        <w:tc>
          <w:tcPr>
            <w:tcW w:w="960" w:type="dxa"/>
            <w:vMerge w:val="restart"/>
            <w:tcBorders>
              <w:bottom w:val="nil"/>
            </w:tcBorders>
            <w:vAlign w:val="top"/>
          </w:tcPr>
          <w:p>
            <w:pPr>
              <w:spacing w:line="453" w:lineRule="auto"/>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形式性  评审标准</w:t>
            </w:r>
          </w:p>
        </w:tc>
        <w:tc>
          <w:tcPr>
            <w:tcW w:w="1803" w:type="dxa"/>
            <w:gridSpan w:val="2"/>
            <w:vAlign w:val="top"/>
          </w:tcPr>
          <w:p>
            <w:pPr>
              <w:pStyle w:val="22"/>
              <w:spacing w:before="121" w:line="229" w:lineRule="auto"/>
              <w:ind w:left="286"/>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投标单位名称</w:t>
            </w:r>
          </w:p>
        </w:tc>
        <w:tc>
          <w:tcPr>
            <w:tcW w:w="5877" w:type="dxa"/>
            <w:vAlign w:val="top"/>
          </w:tcPr>
          <w:p>
            <w:pPr>
              <w:pStyle w:val="22"/>
              <w:spacing w:before="120" w:line="232" w:lineRule="auto"/>
              <w:ind w:left="25"/>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305"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960"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1803" w:type="dxa"/>
            <w:gridSpan w:val="2"/>
            <w:vAlign w:val="top"/>
          </w:tcPr>
          <w:p>
            <w:pPr>
              <w:pStyle w:val="22"/>
              <w:spacing w:before="105" w:line="231" w:lineRule="auto"/>
              <w:ind w:left="498"/>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报价唯一</w:t>
            </w:r>
          </w:p>
        </w:tc>
        <w:tc>
          <w:tcPr>
            <w:tcW w:w="5877" w:type="dxa"/>
            <w:vAlign w:val="top"/>
          </w:tcPr>
          <w:p>
            <w:pPr>
              <w:pStyle w:val="22"/>
              <w:spacing w:before="105" w:line="230" w:lineRule="auto"/>
              <w:ind w:left="19"/>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只能有一个有效报价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05"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960"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1803" w:type="dxa"/>
            <w:gridSpan w:val="2"/>
            <w:vAlign w:val="top"/>
          </w:tcPr>
          <w:p>
            <w:pPr>
              <w:pStyle w:val="22"/>
              <w:spacing w:before="138" w:line="231" w:lineRule="auto"/>
              <w:ind w:left="85"/>
              <w:jc w:val="center"/>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响应文件签字盖章</w:t>
            </w:r>
          </w:p>
        </w:tc>
        <w:tc>
          <w:tcPr>
            <w:tcW w:w="5877" w:type="dxa"/>
            <w:vAlign w:val="top"/>
          </w:tcPr>
          <w:p>
            <w:pPr>
              <w:pStyle w:val="22"/>
              <w:spacing w:before="138" w:line="229" w:lineRule="auto"/>
              <w:ind w:left="22"/>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符合竞争性磋商响应文件要求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05" w:type="dxa"/>
            <w:vMerge w:val="continue"/>
            <w:tcBorders>
              <w:top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960" w:type="dxa"/>
            <w:vMerge w:val="continue"/>
            <w:tcBorders>
              <w:top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1803" w:type="dxa"/>
            <w:gridSpan w:val="2"/>
            <w:vAlign w:val="top"/>
          </w:tcPr>
          <w:p>
            <w:pPr>
              <w:pStyle w:val="22"/>
              <w:spacing w:before="100" w:line="231" w:lineRule="auto"/>
              <w:ind w:left="293"/>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响应文件格式</w:t>
            </w:r>
          </w:p>
        </w:tc>
        <w:tc>
          <w:tcPr>
            <w:tcW w:w="5877" w:type="dxa"/>
            <w:vAlign w:val="top"/>
          </w:tcPr>
          <w:p>
            <w:pPr>
              <w:pStyle w:val="22"/>
              <w:spacing w:before="99" w:line="229" w:lineRule="auto"/>
              <w:ind w:left="22"/>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符合竞争性磋商响应文件要求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305" w:type="dxa"/>
            <w:vMerge w:val="restart"/>
            <w:tcBorders>
              <w:bottom w:val="nil"/>
            </w:tcBorders>
            <w:vAlign w:val="top"/>
          </w:tcPr>
          <w:p>
            <w:pPr>
              <w:spacing w:line="249" w:lineRule="auto"/>
              <w:rPr>
                <w:rFonts w:hint="eastAsia" w:ascii="仿宋" w:hAnsi="仿宋" w:eastAsia="仿宋" w:cs="仿宋"/>
                <w:snapToGrid w:val="0"/>
                <w:color w:val="000000"/>
                <w:spacing w:val="1"/>
                <w:kern w:val="0"/>
                <w:sz w:val="24"/>
                <w:szCs w:val="24"/>
                <w:lang w:val="en-US" w:eastAsia="en-US" w:bidi="ar-SA"/>
              </w:rPr>
            </w:pPr>
          </w:p>
          <w:p>
            <w:pPr>
              <w:spacing w:line="249" w:lineRule="auto"/>
              <w:rPr>
                <w:rFonts w:hint="eastAsia" w:ascii="仿宋" w:hAnsi="仿宋" w:eastAsia="仿宋" w:cs="仿宋"/>
                <w:snapToGrid w:val="0"/>
                <w:color w:val="000000"/>
                <w:spacing w:val="1"/>
                <w:kern w:val="0"/>
                <w:sz w:val="24"/>
                <w:szCs w:val="24"/>
                <w:lang w:val="en-US" w:eastAsia="en-US" w:bidi="ar-SA"/>
              </w:rPr>
            </w:pPr>
          </w:p>
          <w:p>
            <w:pPr>
              <w:spacing w:line="249" w:lineRule="auto"/>
              <w:rPr>
                <w:rFonts w:hint="eastAsia" w:ascii="仿宋" w:hAnsi="仿宋" w:eastAsia="仿宋" w:cs="仿宋"/>
                <w:snapToGrid w:val="0"/>
                <w:color w:val="000000"/>
                <w:spacing w:val="1"/>
                <w:kern w:val="0"/>
                <w:sz w:val="24"/>
                <w:szCs w:val="24"/>
                <w:lang w:val="en-US" w:eastAsia="en-US" w:bidi="ar-SA"/>
              </w:rPr>
            </w:pPr>
          </w:p>
          <w:p>
            <w:pPr>
              <w:spacing w:line="249" w:lineRule="auto"/>
              <w:rPr>
                <w:rFonts w:hint="eastAsia" w:ascii="仿宋" w:hAnsi="仿宋" w:eastAsia="仿宋" w:cs="仿宋"/>
                <w:snapToGrid w:val="0"/>
                <w:color w:val="000000"/>
                <w:spacing w:val="1"/>
                <w:kern w:val="0"/>
                <w:sz w:val="24"/>
                <w:szCs w:val="24"/>
                <w:lang w:val="en-US" w:eastAsia="en-US" w:bidi="ar-SA"/>
              </w:rPr>
            </w:pPr>
          </w:p>
          <w:p>
            <w:pPr>
              <w:spacing w:line="249" w:lineRule="auto"/>
              <w:rPr>
                <w:rFonts w:hint="eastAsia" w:ascii="仿宋" w:hAnsi="仿宋" w:eastAsia="仿宋" w:cs="仿宋"/>
                <w:snapToGrid w:val="0"/>
                <w:color w:val="000000"/>
                <w:spacing w:val="1"/>
                <w:kern w:val="0"/>
                <w:sz w:val="24"/>
                <w:szCs w:val="24"/>
                <w:lang w:val="en-US" w:eastAsia="en-US" w:bidi="ar-SA"/>
              </w:rPr>
            </w:pPr>
          </w:p>
          <w:p>
            <w:pPr>
              <w:spacing w:line="249" w:lineRule="auto"/>
              <w:rPr>
                <w:rFonts w:hint="eastAsia" w:ascii="仿宋" w:hAnsi="仿宋" w:eastAsia="仿宋" w:cs="仿宋"/>
                <w:snapToGrid w:val="0"/>
                <w:color w:val="000000"/>
                <w:spacing w:val="1"/>
                <w:kern w:val="0"/>
                <w:sz w:val="24"/>
                <w:szCs w:val="24"/>
                <w:lang w:val="en-US" w:eastAsia="en-US" w:bidi="ar-SA"/>
              </w:rPr>
            </w:pPr>
          </w:p>
          <w:p>
            <w:pPr>
              <w:spacing w:line="249" w:lineRule="auto"/>
              <w:rPr>
                <w:rFonts w:hint="eastAsia" w:ascii="仿宋" w:hAnsi="仿宋" w:eastAsia="仿宋" w:cs="仿宋"/>
                <w:snapToGrid w:val="0"/>
                <w:color w:val="000000"/>
                <w:spacing w:val="1"/>
                <w:kern w:val="0"/>
                <w:sz w:val="24"/>
                <w:szCs w:val="24"/>
                <w:lang w:val="en-US" w:eastAsia="en-US" w:bidi="ar-SA"/>
              </w:rPr>
            </w:pPr>
          </w:p>
          <w:p>
            <w:pPr>
              <w:spacing w:line="250" w:lineRule="auto"/>
              <w:rPr>
                <w:rFonts w:hint="eastAsia" w:ascii="仿宋" w:hAnsi="仿宋" w:eastAsia="仿宋" w:cs="仿宋"/>
                <w:snapToGrid w:val="0"/>
                <w:color w:val="000000"/>
                <w:spacing w:val="1"/>
                <w:kern w:val="0"/>
                <w:sz w:val="24"/>
                <w:szCs w:val="24"/>
                <w:lang w:val="en-US" w:eastAsia="en-US" w:bidi="ar-SA"/>
              </w:rPr>
            </w:pPr>
          </w:p>
          <w:p>
            <w:pPr>
              <w:spacing w:line="250" w:lineRule="auto"/>
              <w:rPr>
                <w:rFonts w:hint="eastAsia" w:ascii="仿宋" w:hAnsi="仿宋" w:eastAsia="仿宋" w:cs="仿宋"/>
                <w:snapToGrid w:val="0"/>
                <w:color w:val="000000"/>
                <w:spacing w:val="1"/>
                <w:kern w:val="0"/>
                <w:sz w:val="24"/>
                <w:szCs w:val="24"/>
                <w:lang w:val="en-US" w:eastAsia="en-US" w:bidi="ar-SA"/>
              </w:rPr>
            </w:pPr>
          </w:p>
          <w:p>
            <w:pPr>
              <w:spacing w:line="250" w:lineRule="auto"/>
              <w:rPr>
                <w:rFonts w:hint="eastAsia" w:ascii="仿宋" w:hAnsi="仿宋" w:eastAsia="仿宋" w:cs="仿宋"/>
                <w:snapToGrid w:val="0"/>
                <w:color w:val="000000"/>
                <w:spacing w:val="1"/>
                <w:kern w:val="0"/>
                <w:sz w:val="24"/>
                <w:szCs w:val="24"/>
                <w:lang w:val="en-US" w:eastAsia="en-US" w:bidi="ar-SA"/>
              </w:rPr>
            </w:pPr>
          </w:p>
          <w:p>
            <w:pPr>
              <w:spacing w:line="250" w:lineRule="auto"/>
              <w:rPr>
                <w:rFonts w:hint="eastAsia" w:ascii="仿宋" w:hAnsi="仿宋" w:eastAsia="仿宋" w:cs="仿宋"/>
                <w:snapToGrid w:val="0"/>
                <w:color w:val="000000"/>
                <w:spacing w:val="1"/>
                <w:kern w:val="0"/>
                <w:sz w:val="24"/>
                <w:szCs w:val="24"/>
                <w:lang w:val="en-US" w:eastAsia="en-US" w:bidi="ar-SA"/>
              </w:rPr>
            </w:pPr>
          </w:p>
          <w:p>
            <w:pPr>
              <w:spacing w:line="250" w:lineRule="auto"/>
              <w:rPr>
                <w:rFonts w:hint="eastAsia" w:ascii="仿宋" w:hAnsi="仿宋" w:eastAsia="仿宋" w:cs="仿宋"/>
                <w:snapToGrid w:val="0"/>
                <w:color w:val="000000"/>
                <w:spacing w:val="1"/>
                <w:kern w:val="0"/>
                <w:sz w:val="24"/>
                <w:szCs w:val="24"/>
                <w:lang w:val="en-US" w:eastAsia="en-US" w:bidi="ar-SA"/>
              </w:rPr>
            </w:pPr>
          </w:p>
          <w:p>
            <w:pPr>
              <w:spacing w:line="250" w:lineRule="auto"/>
              <w:rPr>
                <w:rFonts w:hint="eastAsia" w:ascii="仿宋" w:hAnsi="仿宋" w:eastAsia="仿宋" w:cs="仿宋"/>
                <w:snapToGrid w:val="0"/>
                <w:color w:val="000000"/>
                <w:spacing w:val="1"/>
                <w:kern w:val="0"/>
                <w:sz w:val="24"/>
                <w:szCs w:val="24"/>
                <w:lang w:val="en-US" w:eastAsia="en-US" w:bidi="ar-SA"/>
              </w:rPr>
            </w:pPr>
          </w:p>
          <w:p>
            <w:pPr>
              <w:spacing w:line="250" w:lineRule="auto"/>
              <w:rPr>
                <w:rFonts w:hint="eastAsia" w:ascii="仿宋" w:hAnsi="仿宋" w:eastAsia="仿宋" w:cs="仿宋"/>
                <w:snapToGrid w:val="0"/>
                <w:color w:val="000000"/>
                <w:spacing w:val="1"/>
                <w:kern w:val="0"/>
                <w:sz w:val="24"/>
                <w:szCs w:val="24"/>
                <w:lang w:val="en-US" w:eastAsia="en-US" w:bidi="ar-SA"/>
              </w:rPr>
            </w:pPr>
          </w:p>
          <w:p>
            <w:pPr>
              <w:spacing w:line="250" w:lineRule="auto"/>
              <w:rPr>
                <w:rFonts w:hint="eastAsia" w:ascii="仿宋" w:hAnsi="仿宋" w:eastAsia="仿宋" w:cs="仿宋"/>
                <w:snapToGrid w:val="0"/>
                <w:color w:val="000000"/>
                <w:spacing w:val="1"/>
                <w:kern w:val="0"/>
                <w:sz w:val="24"/>
                <w:szCs w:val="24"/>
                <w:lang w:val="en-US" w:eastAsia="en-US" w:bidi="ar-SA"/>
              </w:rPr>
            </w:pPr>
          </w:p>
          <w:p>
            <w:pPr>
              <w:pStyle w:val="22"/>
              <w:spacing w:before="65" w:line="187" w:lineRule="auto"/>
              <w:ind w:left="208"/>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2.1.2</w:t>
            </w:r>
          </w:p>
        </w:tc>
        <w:tc>
          <w:tcPr>
            <w:tcW w:w="960" w:type="dxa"/>
            <w:vMerge w:val="restart"/>
            <w:tcBorders>
              <w:bottom w:val="nil"/>
            </w:tcBorders>
            <w:vAlign w:val="top"/>
          </w:tcPr>
          <w:p>
            <w:pPr>
              <w:spacing w:line="255" w:lineRule="auto"/>
              <w:rPr>
                <w:rFonts w:hint="eastAsia" w:ascii="仿宋" w:hAnsi="仿宋" w:eastAsia="仿宋" w:cs="仿宋"/>
                <w:snapToGrid w:val="0"/>
                <w:color w:val="000000"/>
                <w:spacing w:val="1"/>
                <w:kern w:val="0"/>
                <w:sz w:val="24"/>
                <w:szCs w:val="24"/>
                <w:lang w:val="en-US" w:eastAsia="en-US" w:bidi="ar-SA"/>
              </w:rPr>
            </w:pPr>
          </w:p>
          <w:p>
            <w:pPr>
              <w:spacing w:line="255" w:lineRule="auto"/>
              <w:rPr>
                <w:rFonts w:hint="eastAsia" w:ascii="仿宋" w:hAnsi="仿宋" w:eastAsia="仿宋" w:cs="仿宋"/>
                <w:snapToGrid w:val="0"/>
                <w:color w:val="000000"/>
                <w:spacing w:val="1"/>
                <w:kern w:val="0"/>
                <w:sz w:val="24"/>
                <w:szCs w:val="24"/>
                <w:lang w:val="en-US" w:eastAsia="en-US" w:bidi="ar-SA"/>
              </w:rPr>
            </w:pPr>
          </w:p>
          <w:p>
            <w:pPr>
              <w:spacing w:line="255" w:lineRule="auto"/>
              <w:rPr>
                <w:rFonts w:hint="eastAsia" w:ascii="仿宋" w:hAnsi="仿宋" w:eastAsia="仿宋" w:cs="仿宋"/>
                <w:snapToGrid w:val="0"/>
                <w:color w:val="000000"/>
                <w:spacing w:val="1"/>
                <w:kern w:val="0"/>
                <w:sz w:val="24"/>
                <w:szCs w:val="24"/>
                <w:lang w:val="en-US" w:eastAsia="en-US" w:bidi="ar-SA"/>
              </w:rPr>
            </w:pPr>
          </w:p>
          <w:p>
            <w:pPr>
              <w:spacing w:line="255" w:lineRule="auto"/>
              <w:rPr>
                <w:rFonts w:hint="eastAsia" w:ascii="仿宋" w:hAnsi="仿宋" w:eastAsia="仿宋" w:cs="仿宋"/>
                <w:snapToGrid w:val="0"/>
                <w:color w:val="000000"/>
                <w:spacing w:val="1"/>
                <w:kern w:val="0"/>
                <w:sz w:val="24"/>
                <w:szCs w:val="24"/>
                <w:lang w:val="en-US" w:eastAsia="en-US" w:bidi="ar-SA"/>
              </w:rPr>
            </w:pPr>
          </w:p>
          <w:p>
            <w:pPr>
              <w:spacing w:line="255" w:lineRule="auto"/>
              <w:rPr>
                <w:rFonts w:hint="eastAsia" w:ascii="仿宋" w:hAnsi="仿宋" w:eastAsia="仿宋" w:cs="仿宋"/>
                <w:snapToGrid w:val="0"/>
                <w:color w:val="000000"/>
                <w:spacing w:val="1"/>
                <w:kern w:val="0"/>
                <w:sz w:val="24"/>
                <w:szCs w:val="24"/>
                <w:lang w:val="en-US" w:eastAsia="en-US" w:bidi="ar-SA"/>
              </w:rPr>
            </w:pPr>
          </w:p>
          <w:p>
            <w:pPr>
              <w:spacing w:line="255" w:lineRule="auto"/>
              <w:rPr>
                <w:rFonts w:hint="eastAsia" w:ascii="仿宋" w:hAnsi="仿宋" w:eastAsia="仿宋" w:cs="仿宋"/>
                <w:snapToGrid w:val="0"/>
                <w:color w:val="000000"/>
                <w:spacing w:val="1"/>
                <w:kern w:val="0"/>
                <w:sz w:val="24"/>
                <w:szCs w:val="24"/>
                <w:lang w:val="en-US" w:eastAsia="en-US" w:bidi="ar-SA"/>
              </w:rPr>
            </w:pPr>
          </w:p>
          <w:p>
            <w:pPr>
              <w:spacing w:line="255" w:lineRule="auto"/>
              <w:rPr>
                <w:rFonts w:hint="eastAsia" w:ascii="仿宋" w:hAnsi="仿宋" w:eastAsia="仿宋" w:cs="仿宋"/>
                <w:snapToGrid w:val="0"/>
                <w:color w:val="000000"/>
                <w:spacing w:val="1"/>
                <w:kern w:val="0"/>
                <w:sz w:val="24"/>
                <w:szCs w:val="24"/>
                <w:lang w:val="en-US" w:eastAsia="en-US" w:bidi="ar-SA"/>
              </w:rPr>
            </w:pPr>
          </w:p>
          <w:p>
            <w:pPr>
              <w:spacing w:line="255" w:lineRule="auto"/>
              <w:rPr>
                <w:rFonts w:hint="eastAsia" w:ascii="仿宋" w:hAnsi="仿宋" w:eastAsia="仿宋" w:cs="仿宋"/>
                <w:snapToGrid w:val="0"/>
                <w:color w:val="000000"/>
                <w:spacing w:val="1"/>
                <w:kern w:val="0"/>
                <w:sz w:val="24"/>
                <w:szCs w:val="24"/>
                <w:lang w:val="en-US" w:eastAsia="en-US" w:bidi="ar-SA"/>
              </w:rPr>
            </w:pPr>
          </w:p>
          <w:p>
            <w:pPr>
              <w:spacing w:line="255" w:lineRule="auto"/>
              <w:rPr>
                <w:rFonts w:hint="eastAsia" w:ascii="仿宋" w:hAnsi="仿宋" w:eastAsia="仿宋" w:cs="仿宋"/>
                <w:snapToGrid w:val="0"/>
                <w:color w:val="000000"/>
                <w:spacing w:val="1"/>
                <w:kern w:val="0"/>
                <w:sz w:val="24"/>
                <w:szCs w:val="24"/>
                <w:lang w:val="en-US" w:eastAsia="en-US" w:bidi="ar-SA"/>
              </w:rPr>
            </w:pPr>
          </w:p>
          <w:p>
            <w:pPr>
              <w:spacing w:line="256" w:lineRule="auto"/>
              <w:rPr>
                <w:rFonts w:hint="eastAsia" w:ascii="仿宋" w:hAnsi="仿宋" w:eastAsia="仿宋" w:cs="仿宋"/>
                <w:snapToGrid w:val="0"/>
                <w:color w:val="000000"/>
                <w:spacing w:val="1"/>
                <w:kern w:val="0"/>
                <w:sz w:val="24"/>
                <w:szCs w:val="24"/>
                <w:lang w:val="en-US" w:eastAsia="en-US" w:bidi="ar-SA"/>
              </w:rPr>
            </w:pPr>
          </w:p>
          <w:p>
            <w:pPr>
              <w:spacing w:line="256" w:lineRule="auto"/>
              <w:rPr>
                <w:rFonts w:hint="eastAsia" w:ascii="仿宋" w:hAnsi="仿宋" w:eastAsia="仿宋" w:cs="仿宋"/>
                <w:snapToGrid w:val="0"/>
                <w:color w:val="000000"/>
                <w:spacing w:val="1"/>
                <w:kern w:val="0"/>
                <w:sz w:val="24"/>
                <w:szCs w:val="24"/>
                <w:lang w:val="en-US" w:eastAsia="en-US" w:bidi="ar-SA"/>
              </w:rPr>
            </w:pPr>
          </w:p>
          <w:p>
            <w:pPr>
              <w:spacing w:line="256" w:lineRule="auto"/>
              <w:rPr>
                <w:rFonts w:hint="eastAsia" w:ascii="仿宋" w:hAnsi="仿宋" w:eastAsia="仿宋" w:cs="仿宋"/>
                <w:snapToGrid w:val="0"/>
                <w:color w:val="000000"/>
                <w:spacing w:val="1"/>
                <w:kern w:val="0"/>
                <w:sz w:val="24"/>
                <w:szCs w:val="24"/>
                <w:lang w:val="en-US" w:eastAsia="en-US" w:bidi="ar-SA"/>
              </w:rPr>
            </w:pPr>
          </w:p>
          <w:p>
            <w:pPr>
              <w:spacing w:line="256" w:lineRule="auto"/>
              <w:rPr>
                <w:rFonts w:hint="eastAsia" w:ascii="仿宋" w:hAnsi="仿宋" w:eastAsia="仿宋" w:cs="仿宋"/>
                <w:snapToGrid w:val="0"/>
                <w:color w:val="000000"/>
                <w:spacing w:val="1"/>
                <w:kern w:val="0"/>
                <w:sz w:val="24"/>
                <w:szCs w:val="24"/>
                <w:lang w:val="en-US" w:eastAsia="en-US" w:bidi="ar-SA"/>
              </w:rPr>
            </w:pPr>
          </w:p>
          <w:p>
            <w:pPr>
              <w:spacing w:line="256" w:lineRule="auto"/>
              <w:rPr>
                <w:rFonts w:hint="eastAsia" w:ascii="仿宋" w:hAnsi="仿宋" w:eastAsia="仿宋" w:cs="仿宋"/>
                <w:snapToGrid w:val="0"/>
                <w:color w:val="000000"/>
                <w:spacing w:val="1"/>
                <w:kern w:val="0"/>
                <w:sz w:val="24"/>
                <w:szCs w:val="24"/>
                <w:lang w:val="en-US" w:eastAsia="en-US" w:bidi="ar-SA"/>
              </w:rPr>
            </w:pPr>
          </w:p>
          <w:p>
            <w:pPr>
              <w:pStyle w:val="22"/>
              <w:spacing w:before="65" w:line="231" w:lineRule="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资格评审标准</w:t>
            </w:r>
          </w:p>
        </w:tc>
        <w:tc>
          <w:tcPr>
            <w:tcW w:w="1803" w:type="dxa"/>
            <w:gridSpan w:val="2"/>
            <w:vAlign w:val="top"/>
          </w:tcPr>
          <w:p>
            <w:pPr>
              <w:pStyle w:val="22"/>
              <w:spacing w:before="77" w:line="232" w:lineRule="auto"/>
              <w:ind w:left="504"/>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营业执照</w:t>
            </w:r>
          </w:p>
        </w:tc>
        <w:tc>
          <w:tcPr>
            <w:tcW w:w="5877" w:type="dxa"/>
            <w:vAlign w:val="top"/>
          </w:tcPr>
          <w:p>
            <w:pPr>
              <w:pStyle w:val="22"/>
              <w:spacing w:before="76" w:line="231" w:lineRule="auto"/>
              <w:ind w:left="19"/>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305"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960"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1803" w:type="dxa"/>
            <w:gridSpan w:val="2"/>
            <w:vAlign w:val="top"/>
          </w:tcPr>
          <w:p>
            <w:pPr>
              <w:pStyle w:val="22"/>
              <w:spacing w:before="305" w:line="229" w:lineRule="auto"/>
              <w:ind w:left="395"/>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纳税和社保</w:t>
            </w:r>
          </w:p>
        </w:tc>
        <w:tc>
          <w:tcPr>
            <w:tcW w:w="5877" w:type="dxa"/>
            <w:vAlign w:val="top"/>
          </w:tcPr>
          <w:p>
            <w:pPr>
              <w:pStyle w:val="22"/>
              <w:spacing w:before="30"/>
              <w:ind w:left="17" w:right="73" w:hanging="2"/>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有依法缴纳税收和社会保障资金的良好记录（提供2023 年以来任意</w:t>
            </w:r>
            <w:r>
              <w:rPr>
                <w:rFonts w:hint="eastAsia" w:ascii="仿宋" w:hAnsi="仿宋" w:eastAsia="仿宋" w:cs="仿宋"/>
                <w:snapToGrid w:val="0"/>
                <w:color w:val="000000"/>
                <w:spacing w:val="1"/>
                <w:kern w:val="0"/>
                <w:sz w:val="24"/>
                <w:szCs w:val="24"/>
                <w:lang w:val="en-US" w:eastAsia="zh-CN" w:bidi="ar-SA"/>
              </w:rPr>
              <w:t>1</w:t>
            </w:r>
            <w:r>
              <w:rPr>
                <w:rFonts w:hint="eastAsia" w:ascii="仿宋" w:hAnsi="仿宋" w:eastAsia="仿宋" w:cs="仿宋"/>
                <w:snapToGrid w:val="0"/>
                <w:color w:val="000000"/>
                <w:spacing w:val="1"/>
                <w:kern w:val="0"/>
                <w:sz w:val="24"/>
                <w:szCs w:val="24"/>
                <w:lang w:val="en-US" w:eastAsia="en-US" w:bidi="ar-SA"/>
              </w:rPr>
              <w:t>个月依法缴纳税收和社会保障资金的记录，依法免税或不需要缴纳社会保障资金的供应商，应提供相应证明文件）；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05"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960"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1803" w:type="dxa"/>
            <w:gridSpan w:val="2"/>
            <w:vAlign w:val="top"/>
          </w:tcPr>
          <w:p>
            <w:pPr>
              <w:spacing w:line="373" w:lineRule="auto"/>
              <w:rPr>
                <w:rFonts w:hint="eastAsia" w:ascii="仿宋" w:hAnsi="仿宋" w:eastAsia="仿宋" w:cs="仿宋"/>
                <w:snapToGrid w:val="0"/>
                <w:color w:val="000000"/>
                <w:spacing w:val="1"/>
                <w:kern w:val="0"/>
                <w:sz w:val="24"/>
                <w:szCs w:val="24"/>
                <w:lang w:val="en-US" w:eastAsia="en-US" w:bidi="ar-SA"/>
              </w:rPr>
            </w:pPr>
          </w:p>
          <w:p>
            <w:pPr>
              <w:pStyle w:val="22"/>
              <w:spacing w:before="65" w:line="232" w:lineRule="auto"/>
              <w:ind w:left="500"/>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财务状况</w:t>
            </w:r>
          </w:p>
        </w:tc>
        <w:tc>
          <w:tcPr>
            <w:tcW w:w="5877" w:type="dxa"/>
            <w:vAlign w:val="top"/>
          </w:tcPr>
          <w:p>
            <w:pPr>
              <w:pStyle w:val="22"/>
              <w:spacing w:before="32"/>
              <w:ind w:left="22" w:right="73" w:hanging="3"/>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具有良好的商业信誉和健全的财务会计制度（提供</w:t>
            </w:r>
            <w:r>
              <w:rPr>
                <w:rFonts w:hint="eastAsia" w:ascii="仿宋" w:hAnsi="仿宋" w:eastAsia="仿宋" w:cs="仿宋"/>
                <w:snapToGrid w:val="0"/>
                <w:color w:val="000000"/>
                <w:spacing w:val="1"/>
                <w:kern w:val="0"/>
                <w:sz w:val="24"/>
                <w:szCs w:val="24"/>
                <w:lang w:val="en-US" w:eastAsia="zh-CN" w:bidi="ar-SA"/>
              </w:rPr>
              <w:t>2022年或</w:t>
            </w:r>
            <w:r>
              <w:rPr>
                <w:rFonts w:hint="eastAsia" w:ascii="仿宋" w:hAnsi="仿宋" w:eastAsia="仿宋" w:cs="仿宋"/>
                <w:snapToGrid w:val="0"/>
                <w:color w:val="000000"/>
                <w:spacing w:val="1"/>
                <w:kern w:val="0"/>
                <w:sz w:val="24"/>
                <w:szCs w:val="24"/>
                <w:lang w:val="en-US" w:eastAsia="en-US" w:bidi="ar-SA"/>
              </w:rPr>
              <w:t>202</w:t>
            </w:r>
            <w:r>
              <w:rPr>
                <w:rFonts w:hint="eastAsia" w:ascii="仿宋" w:hAnsi="仿宋" w:eastAsia="仿宋" w:cs="仿宋"/>
                <w:snapToGrid w:val="0"/>
                <w:color w:val="000000"/>
                <w:spacing w:val="1"/>
                <w:kern w:val="0"/>
                <w:sz w:val="24"/>
                <w:szCs w:val="24"/>
                <w:lang w:val="en-US" w:eastAsia="zh-CN" w:bidi="ar-SA"/>
              </w:rPr>
              <w:t>3</w:t>
            </w:r>
            <w:r>
              <w:rPr>
                <w:rFonts w:hint="eastAsia" w:ascii="仿宋" w:hAnsi="仿宋" w:eastAsia="仿宋" w:cs="仿宋"/>
                <w:snapToGrid w:val="0"/>
                <w:color w:val="000000"/>
                <w:spacing w:val="1"/>
                <w:kern w:val="0"/>
                <w:sz w:val="24"/>
                <w:szCs w:val="24"/>
                <w:lang w:val="en-US" w:eastAsia="en-US" w:bidi="ar-SA"/>
              </w:rPr>
              <w:t>年度财务审计报告，新成立企业提供基本开户银行出具的资信证明，部分其他组织和自然人，没有经审计的财务报告，可以提供银行出具的资信证明）；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1305"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960"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1803" w:type="dxa"/>
            <w:gridSpan w:val="2"/>
            <w:vAlign w:val="top"/>
          </w:tcPr>
          <w:p>
            <w:pPr>
              <w:pStyle w:val="22"/>
              <w:spacing w:before="263" w:line="232" w:lineRule="auto"/>
              <w:ind w:left="184"/>
              <w:jc w:val="center"/>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无重大违法记录</w:t>
            </w:r>
          </w:p>
        </w:tc>
        <w:tc>
          <w:tcPr>
            <w:tcW w:w="5877" w:type="dxa"/>
            <w:vAlign w:val="top"/>
          </w:tcPr>
          <w:p>
            <w:pPr>
              <w:pStyle w:val="22"/>
              <w:spacing w:before="126" w:line="241" w:lineRule="auto"/>
              <w:ind w:left="21" w:right="176" w:hanging="1"/>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参加政府采购活动近三年内，在经营活动中没有重大违法记录（提供书面承诺书）；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05"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960"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1803" w:type="dxa"/>
            <w:gridSpan w:val="2"/>
            <w:vAlign w:val="top"/>
          </w:tcPr>
          <w:p>
            <w:pPr>
              <w:pStyle w:val="22"/>
              <w:spacing w:before="225" w:line="229" w:lineRule="auto"/>
              <w:ind w:left="185"/>
              <w:jc w:val="center"/>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履行合同的能力</w:t>
            </w:r>
          </w:p>
        </w:tc>
        <w:tc>
          <w:tcPr>
            <w:tcW w:w="5877" w:type="dxa"/>
            <w:vAlign w:val="top"/>
          </w:tcPr>
          <w:p>
            <w:pPr>
              <w:pStyle w:val="22"/>
              <w:spacing w:before="91" w:line="241" w:lineRule="auto"/>
              <w:ind w:left="26" w:right="387" w:hanging="7"/>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具有履行合同所必须的设备和专业技术能力（</w:t>
            </w:r>
            <w:r>
              <w:rPr>
                <w:rFonts w:hint="eastAsia" w:ascii="仿宋" w:hAnsi="仿宋" w:eastAsia="仿宋" w:cs="仿宋"/>
                <w:snapToGrid w:val="0"/>
                <w:color w:val="000000"/>
                <w:spacing w:val="1"/>
                <w:kern w:val="0"/>
                <w:sz w:val="24"/>
                <w:szCs w:val="24"/>
                <w:lang w:val="en-US" w:eastAsia="zh-CN" w:bidi="ar-SA"/>
              </w:rPr>
              <w:t>提供</w:t>
            </w:r>
            <w:r>
              <w:rPr>
                <w:rFonts w:hint="eastAsia" w:ascii="仿宋" w:hAnsi="仿宋" w:eastAsia="仿宋" w:cs="仿宋"/>
                <w:snapToGrid w:val="0"/>
                <w:color w:val="000000"/>
                <w:spacing w:val="1"/>
                <w:kern w:val="0"/>
                <w:sz w:val="24"/>
                <w:szCs w:val="24"/>
                <w:lang w:val="en-US" w:eastAsia="en-US" w:bidi="ar-SA"/>
              </w:rPr>
              <w:t>书面承诺书）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305"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960"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1803" w:type="dxa"/>
            <w:gridSpan w:val="2"/>
            <w:vAlign w:val="top"/>
          </w:tcPr>
          <w:p>
            <w:pPr>
              <w:pStyle w:val="22"/>
              <w:spacing w:before="168" w:line="241" w:lineRule="auto"/>
              <w:ind w:left="404" w:right="65" w:hanging="324"/>
              <w:jc w:val="left"/>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无行政或经济关联的书面明</w:t>
            </w:r>
          </w:p>
        </w:tc>
        <w:tc>
          <w:tcPr>
            <w:tcW w:w="5877" w:type="dxa"/>
            <w:vAlign w:val="top"/>
          </w:tcPr>
          <w:p>
            <w:pPr>
              <w:pStyle w:val="22"/>
              <w:spacing w:before="168"/>
              <w:ind w:left="25" w:right="176"/>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与采购人或采购人就本次采购的服务委托的招标代理机构及其附属机构没有行政或经济关联的书面声明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1305"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960"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1803" w:type="dxa"/>
            <w:gridSpan w:val="2"/>
            <w:vAlign w:val="top"/>
          </w:tcPr>
          <w:p>
            <w:pPr>
              <w:pStyle w:val="22"/>
              <w:spacing w:before="138" w:line="230" w:lineRule="auto"/>
              <w:ind w:left="80"/>
              <w:jc w:val="center"/>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无财政部门列入不良行为记录名单的承诺函</w:t>
            </w:r>
          </w:p>
        </w:tc>
        <w:tc>
          <w:tcPr>
            <w:tcW w:w="5877" w:type="dxa"/>
            <w:vAlign w:val="top"/>
          </w:tcPr>
          <w:p>
            <w:pPr>
              <w:pStyle w:val="22"/>
              <w:spacing w:before="275" w:line="241" w:lineRule="auto"/>
              <w:ind w:left="17" w:right="176"/>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根据《政府采购质疑和投诉办法》第三十七条规定，供应商未被财政部门列入不良行为记录名单的承诺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trPr>
        <w:tc>
          <w:tcPr>
            <w:tcW w:w="1305"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960"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1803" w:type="dxa"/>
            <w:gridSpan w:val="2"/>
            <w:vAlign w:val="top"/>
          </w:tcPr>
          <w:p>
            <w:pPr>
              <w:spacing w:line="260" w:lineRule="auto"/>
              <w:rPr>
                <w:rFonts w:hint="eastAsia" w:ascii="仿宋" w:hAnsi="仿宋" w:eastAsia="仿宋" w:cs="仿宋"/>
                <w:snapToGrid w:val="0"/>
                <w:color w:val="000000"/>
                <w:spacing w:val="1"/>
                <w:kern w:val="0"/>
                <w:sz w:val="24"/>
                <w:szCs w:val="24"/>
                <w:lang w:val="en-US" w:eastAsia="en-US" w:bidi="ar-SA"/>
              </w:rPr>
            </w:pPr>
          </w:p>
          <w:p>
            <w:pPr>
              <w:spacing w:line="260" w:lineRule="auto"/>
              <w:rPr>
                <w:rFonts w:hint="eastAsia" w:ascii="仿宋" w:hAnsi="仿宋" w:eastAsia="仿宋" w:cs="仿宋"/>
                <w:snapToGrid w:val="0"/>
                <w:color w:val="000000"/>
                <w:spacing w:val="1"/>
                <w:kern w:val="0"/>
                <w:sz w:val="24"/>
                <w:szCs w:val="24"/>
                <w:lang w:val="en-US" w:eastAsia="en-US" w:bidi="ar-SA"/>
              </w:rPr>
            </w:pPr>
          </w:p>
          <w:p>
            <w:pPr>
              <w:spacing w:line="261" w:lineRule="auto"/>
              <w:rPr>
                <w:rFonts w:hint="eastAsia" w:ascii="仿宋" w:hAnsi="仿宋" w:eastAsia="仿宋" w:cs="仿宋"/>
                <w:snapToGrid w:val="0"/>
                <w:color w:val="000000"/>
                <w:spacing w:val="1"/>
                <w:kern w:val="0"/>
                <w:sz w:val="24"/>
                <w:szCs w:val="24"/>
                <w:lang w:val="en-US" w:eastAsia="en-US" w:bidi="ar-SA"/>
              </w:rPr>
            </w:pPr>
          </w:p>
          <w:p>
            <w:pPr>
              <w:pStyle w:val="22"/>
              <w:spacing w:before="65" w:line="230" w:lineRule="auto"/>
              <w:ind w:left="498"/>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信用查询</w:t>
            </w:r>
          </w:p>
        </w:tc>
        <w:tc>
          <w:tcPr>
            <w:tcW w:w="5877" w:type="dxa"/>
            <w:vAlign w:val="top"/>
          </w:tcPr>
          <w:p>
            <w:pPr>
              <w:pStyle w:val="22"/>
              <w:spacing w:before="34" w:line="246" w:lineRule="auto"/>
              <w:ind w:left="17" w:right="176"/>
              <w:jc w:val="both"/>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根据《关于在政府采购活动中查询及使用信用记录有关问题的通知》（财库[2016]125 号）规定，未被列入“中国执行信息公开网”的“失信被执行人”、“信用中国”的“重大税收违 法失信主体 ”和“ 中国政府采购网”的“政府采购严重违法失 信行为记录名单”中的任何一个名单内。被列入“失信被执行人”、“重大税收违法失信主体”、“政府采购严重违法失信行为记录名单”的供应商将被拒绝参与本项目政府采购活动。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05" w:type="dxa"/>
            <w:vMerge w:val="continue"/>
            <w:tcBorders>
              <w:top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960" w:type="dxa"/>
            <w:vMerge w:val="continue"/>
            <w:tcBorders>
              <w:top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1803" w:type="dxa"/>
            <w:gridSpan w:val="2"/>
            <w:vAlign w:val="top"/>
          </w:tcPr>
          <w:p>
            <w:pPr>
              <w:pStyle w:val="22"/>
              <w:spacing w:before="39" w:line="205" w:lineRule="auto"/>
              <w:ind w:left="442"/>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其他要求</w:t>
            </w:r>
          </w:p>
        </w:tc>
        <w:tc>
          <w:tcPr>
            <w:tcW w:w="5877" w:type="dxa"/>
            <w:vAlign w:val="top"/>
          </w:tcPr>
          <w:p>
            <w:pPr>
              <w:pStyle w:val="22"/>
              <w:spacing w:before="54" w:line="229" w:lineRule="auto"/>
              <w:ind w:left="22"/>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符合第二章“投标人须知前附表 ”第 1.4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305" w:type="dxa"/>
            <w:vMerge w:val="restart"/>
            <w:tcBorders>
              <w:bottom w:val="nil"/>
            </w:tcBorders>
            <w:vAlign w:val="top"/>
          </w:tcPr>
          <w:p>
            <w:pPr>
              <w:spacing w:line="276" w:lineRule="auto"/>
              <w:rPr>
                <w:rFonts w:hint="eastAsia" w:ascii="仿宋" w:hAnsi="仿宋" w:eastAsia="仿宋" w:cs="仿宋"/>
                <w:snapToGrid w:val="0"/>
                <w:color w:val="000000"/>
                <w:spacing w:val="1"/>
                <w:kern w:val="0"/>
                <w:sz w:val="24"/>
                <w:szCs w:val="24"/>
                <w:lang w:val="en-US" w:eastAsia="en-US" w:bidi="ar-SA"/>
              </w:rPr>
            </w:pPr>
          </w:p>
          <w:p>
            <w:pPr>
              <w:spacing w:line="276" w:lineRule="auto"/>
              <w:rPr>
                <w:rFonts w:hint="eastAsia" w:ascii="仿宋" w:hAnsi="仿宋" w:eastAsia="仿宋" w:cs="仿宋"/>
                <w:snapToGrid w:val="0"/>
                <w:color w:val="000000"/>
                <w:spacing w:val="1"/>
                <w:kern w:val="0"/>
                <w:sz w:val="24"/>
                <w:szCs w:val="24"/>
                <w:lang w:val="en-US" w:eastAsia="en-US" w:bidi="ar-SA"/>
              </w:rPr>
            </w:pPr>
          </w:p>
          <w:p>
            <w:pPr>
              <w:spacing w:line="276" w:lineRule="auto"/>
              <w:rPr>
                <w:rFonts w:hint="eastAsia" w:ascii="仿宋" w:hAnsi="仿宋" w:eastAsia="仿宋" w:cs="仿宋"/>
                <w:snapToGrid w:val="0"/>
                <w:color w:val="000000"/>
                <w:spacing w:val="1"/>
                <w:kern w:val="0"/>
                <w:sz w:val="24"/>
                <w:szCs w:val="24"/>
                <w:lang w:val="en-US" w:eastAsia="en-US" w:bidi="ar-SA"/>
              </w:rPr>
            </w:pPr>
          </w:p>
          <w:p>
            <w:pPr>
              <w:spacing w:line="277" w:lineRule="auto"/>
              <w:rPr>
                <w:rFonts w:hint="eastAsia" w:ascii="仿宋" w:hAnsi="仿宋" w:eastAsia="仿宋" w:cs="仿宋"/>
                <w:snapToGrid w:val="0"/>
                <w:color w:val="000000"/>
                <w:spacing w:val="1"/>
                <w:kern w:val="0"/>
                <w:sz w:val="24"/>
                <w:szCs w:val="24"/>
                <w:lang w:val="en-US" w:eastAsia="en-US" w:bidi="ar-SA"/>
              </w:rPr>
            </w:pPr>
          </w:p>
          <w:p>
            <w:pPr>
              <w:pStyle w:val="22"/>
              <w:spacing w:before="65" w:line="187" w:lineRule="auto"/>
              <w:ind w:left="208"/>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2.1.3</w:t>
            </w:r>
          </w:p>
        </w:tc>
        <w:tc>
          <w:tcPr>
            <w:tcW w:w="960" w:type="dxa"/>
            <w:vMerge w:val="restart"/>
            <w:tcBorders>
              <w:bottom w:val="nil"/>
            </w:tcBorders>
            <w:vAlign w:val="top"/>
          </w:tcPr>
          <w:p>
            <w:pPr>
              <w:spacing w:line="311" w:lineRule="auto"/>
              <w:rPr>
                <w:rFonts w:hint="eastAsia" w:ascii="仿宋" w:hAnsi="仿宋" w:eastAsia="仿宋" w:cs="仿宋"/>
                <w:snapToGrid w:val="0"/>
                <w:color w:val="000000"/>
                <w:spacing w:val="1"/>
                <w:kern w:val="0"/>
                <w:sz w:val="24"/>
                <w:szCs w:val="24"/>
                <w:lang w:val="en-US" w:eastAsia="en-US" w:bidi="ar-SA"/>
              </w:rPr>
            </w:pPr>
          </w:p>
          <w:p>
            <w:pPr>
              <w:spacing w:line="311" w:lineRule="auto"/>
              <w:rPr>
                <w:rFonts w:hint="eastAsia" w:ascii="仿宋" w:hAnsi="仿宋" w:eastAsia="仿宋" w:cs="仿宋"/>
                <w:snapToGrid w:val="0"/>
                <w:color w:val="000000"/>
                <w:spacing w:val="1"/>
                <w:kern w:val="0"/>
                <w:sz w:val="24"/>
                <w:szCs w:val="24"/>
                <w:lang w:val="en-US" w:eastAsia="en-US" w:bidi="ar-SA"/>
              </w:rPr>
            </w:pPr>
          </w:p>
          <w:p>
            <w:pPr>
              <w:spacing w:line="311" w:lineRule="auto"/>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响应性评审标准</w:t>
            </w:r>
          </w:p>
        </w:tc>
        <w:tc>
          <w:tcPr>
            <w:tcW w:w="1803" w:type="dxa"/>
            <w:gridSpan w:val="2"/>
            <w:vAlign w:val="top"/>
          </w:tcPr>
          <w:p>
            <w:pPr>
              <w:pStyle w:val="22"/>
              <w:spacing w:before="165" w:line="231" w:lineRule="auto"/>
              <w:jc w:val="center"/>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供货期（含安装调试）</w:t>
            </w:r>
          </w:p>
        </w:tc>
        <w:tc>
          <w:tcPr>
            <w:tcW w:w="5877" w:type="dxa"/>
            <w:vAlign w:val="top"/>
          </w:tcPr>
          <w:p>
            <w:pPr>
              <w:pStyle w:val="22"/>
              <w:spacing w:before="165" w:line="231" w:lineRule="auto"/>
              <w:ind w:left="20"/>
              <w:rPr>
                <w:rFonts w:hint="default"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30日历天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305"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960"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1803" w:type="dxa"/>
            <w:gridSpan w:val="2"/>
            <w:vAlign w:val="top"/>
          </w:tcPr>
          <w:p>
            <w:pPr>
              <w:pStyle w:val="22"/>
              <w:spacing w:before="139" w:line="231" w:lineRule="auto"/>
              <w:ind w:left="503"/>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质量要求</w:t>
            </w:r>
          </w:p>
        </w:tc>
        <w:tc>
          <w:tcPr>
            <w:tcW w:w="5877" w:type="dxa"/>
            <w:vAlign w:val="top"/>
          </w:tcPr>
          <w:p>
            <w:pPr>
              <w:pStyle w:val="22"/>
              <w:spacing w:before="139" w:line="229" w:lineRule="auto"/>
              <w:ind w:left="19"/>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pacing w:val="1"/>
                <w:sz w:val="24"/>
                <w:szCs w:val="24"/>
              </w:rPr>
              <w:t>符合现行标准、规范、规定等，满足采购人需求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305"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960"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1803" w:type="dxa"/>
            <w:gridSpan w:val="2"/>
            <w:vAlign w:val="top"/>
          </w:tcPr>
          <w:p>
            <w:pPr>
              <w:pStyle w:val="22"/>
              <w:spacing w:before="152" w:line="231" w:lineRule="auto"/>
              <w:ind w:left="12" w:firstLine="242" w:firstLineChars="100"/>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质量保证期</w:t>
            </w:r>
          </w:p>
        </w:tc>
        <w:tc>
          <w:tcPr>
            <w:tcW w:w="5877" w:type="dxa"/>
            <w:vAlign w:val="top"/>
          </w:tcPr>
          <w:p>
            <w:pPr>
              <w:pStyle w:val="22"/>
              <w:spacing w:before="152" w:line="231" w:lineRule="auto"/>
              <w:ind w:left="12"/>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1</w:t>
            </w:r>
            <w:r>
              <w:rPr>
                <w:rFonts w:hint="eastAsia" w:ascii="仿宋" w:hAnsi="仿宋" w:eastAsia="仿宋" w:cs="仿宋"/>
                <w:snapToGrid w:val="0"/>
                <w:color w:val="000000"/>
                <w:spacing w:val="1"/>
                <w:kern w:val="0"/>
                <w:sz w:val="24"/>
                <w:szCs w:val="24"/>
                <w:lang w:val="en-US" w:eastAsia="en-US" w:bidi="ar-SA"/>
              </w:rPr>
              <w:t>年（自验收合格之日起）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305"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960"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1803" w:type="dxa"/>
            <w:gridSpan w:val="2"/>
            <w:vAlign w:val="top"/>
          </w:tcPr>
          <w:p>
            <w:pPr>
              <w:pStyle w:val="22"/>
              <w:spacing w:before="152" w:line="231" w:lineRule="auto"/>
              <w:ind w:left="392"/>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磋商</w:t>
            </w:r>
            <w:r>
              <w:rPr>
                <w:rFonts w:hint="eastAsia" w:ascii="仿宋" w:hAnsi="仿宋" w:eastAsia="仿宋" w:cs="仿宋"/>
                <w:snapToGrid w:val="0"/>
                <w:color w:val="000000"/>
                <w:spacing w:val="1"/>
                <w:kern w:val="0"/>
                <w:sz w:val="24"/>
                <w:szCs w:val="24"/>
                <w:lang w:val="en-US" w:eastAsia="en-US" w:bidi="ar-SA"/>
              </w:rPr>
              <w:t>有效期</w:t>
            </w:r>
          </w:p>
        </w:tc>
        <w:tc>
          <w:tcPr>
            <w:tcW w:w="5877" w:type="dxa"/>
            <w:vAlign w:val="top"/>
          </w:tcPr>
          <w:p>
            <w:pPr>
              <w:pStyle w:val="22"/>
              <w:spacing w:before="152" w:line="231" w:lineRule="auto"/>
              <w:ind w:left="12"/>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60天（磋商截止之日起）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305"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960" w:type="dxa"/>
            <w:vMerge w:val="continue"/>
            <w:tcBorders>
              <w:top w:val="nil"/>
              <w:bottom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1803" w:type="dxa"/>
            <w:gridSpan w:val="2"/>
            <w:vAlign w:val="top"/>
          </w:tcPr>
          <w:p>
            <w:pPr>
              <w:pStyle w:val="22"/>
              <w:spacing w:before="117" w:line="231" w:lineRule="auto"/>
              <w:ind w:left="497"/>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磋商报价</w:t>
            </w:r>
          </w:p>
        </w:tc>
        <w:tc>
          <w:tcPr>
            <w:tcW w:w="5877" w:type="dxa"/>
            <w:vAlign w:val="top"/>
          </w:tcPr>
          <w:p>
            <w:pPr>
              <w:pStyle w:val="22"/>
              <w:spacing w:before="117" w:line="229" w:lineRule="auto"/>
              <w:ind w:left="17"/>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报价未超过竞争性磋商文件中规定的预算金额或者最高限价的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305" w:type="dxa"/>
            <w:vMerge w:val="continue"/>
            <w:tcBorders>
              <w:top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960" w:type="dxa"/>
            <w:vMerge w:val="continue"/>
            <w:tcBorders>
              <w:top w:val="nil"/>
            </w:tcBorders>
            <w:vAlign w:val="top"/>
          </w:tcPr>
          <w:p>
            <w:pPr>
              <w:rPr>
                <w:rFonts w:hint="eastAsia" w:ascii="仿宋" w:hAnsi="仿宋" w:eastAsia="仿宋" w:cs="仿宋"/>
                <w:snapToGrid w:val="0"/>
                <w:color w:val="000000"/>
                <w:spacing w:val="1"/>
                <w:kern w:val="0"/>
                <w:sz w:val="24"/>
                <w:szCs w:val="24"/>
                <w:lang w:val="en-US" w:eastAsia="en-US" w:bidi="ar-SA"/>
              </w:rPr>
            </w:pPr>
          </w:p>
        </w:tc>
        <w:tc>
          <w:tcPr>
            <w:tcW w:w="1803" w:type="dxa"/>
            <w:gridSpan w:val="2"/>
            <w:vAlign w:val="top"/>
          </w:tcPr>
          <w:p>
            <w:pPr>
              <w:pStyle w:val="22"/>
              <w:spacing w:before="145" w:line="231" w:lineRule="auto"/>
              <w:ind w:left="497"/>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磋商</w:t>
            </w:r>
            <w:r>
              <w:rPr>
                <w:rFonts w:hint="eastAsia" w:ascii="仿宋" w:hAnsi="仿宋" w:eastAsia="仿宋" w:cs="仿宋"/>
                <w:snapToGrid w:val="0"/>
                <w:color w:val="000000"/>
                <w:spacing w:val="1"/>
                <w:kern w:val="0"/>
                <w:sz w:val="24"/>
                <w:szCs w:val="24"/>
                <w:lang w:val="en-US" w:eastAsia="en-US" w:bidi="ar-SA"/>
              </w:rPr>
              <w:t>范围</w:t>
            </w:r>
          </w:p>
        </w:tc>
        <w:tc>
          <w:tcPr>
            <w:tcW w:w="5877" w:type="dxa"/>
            <w:vAlign w:val="top"/>
          </w:tcPr>
          <w:p>
            <w:pPr>
              <w:pStyle w:val="22"/>
              <w:spacing w:before="145" w:line="231" w:lineRule="auto"/>
              <w:ind w:left="16"/>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磋商文件第</w:t>
            </w:r>
            <w:r>
              <w:rPr>
                <w:rFonts w:hint="eastAsia" w:ascii="仿宋" w:hAnsi="仿宋" w:eastAsia="仿宋" w:cs="仿宋"/>
                <w:snapToGrid w:val="0"/>
                <w:color w:val="000000"/>
                <w:spacing w:val="1"/>
                <w:kern w:val="0"/>
                <w:sz w:val="24"/>
                <w:szCs w:val="24"/>
                <w:lang w:val="en-US" w:eastAsia="zh-CN" w:bidi="ar-SA"/>
              </w:rPr>
              <w:t>四</w:t>
            </w:r>
            <w:r>
              <w:rPr>
                <w:rFonts w:hint="eastAsia" w:ascii="仿宋" w:hAnsi="仿宋" w:eastAsia="仿宋" w:cs="仿宋"/>
                <w:snapToGrid w:val="0"/>
                <w:color w:val="000000"/>
                <w:spacing w:val="1"/>
                <w:kern w:val="0"/>
                <w:sz w:val="24"/>
                <w:szCs w:val="24"/>
                <w:lang w:val="en-US" w:eastAsia="en-US" w:bidi="ar-SA"/>
              </w:rPr>
              <w:t>章“采购需求</w:t>
            </w:r>
            <w:r>
              <w:rPr>
                <w:rFonts w:hint="eastAsia" w:ascii="仿宋" w:hAnsi="仿宋" w:eastAsia="仿宋" w:cs="仿宋"/>
                <w:snapToGrid w:val="0"/>
                <w:color w:val="000000"/>
                <w:spacing w:val="1"/>
                <w:kern w:val="0"/>
                <w:sz w:val="24"/>
                <w:szCs w:val="24"/>
                <w:lang w:val="en-US" w:eastAsia="zh-CN" w:bidi="ar-SA"/>
              </w:rPr>
              <w:t>与要求</w:t>
            </w:r>
            <w:r>
              <w:rPr>
                <w:rFonts w:hint="eastAsia" w:ascii="仿宋" w:hAnsi="仿宋" w:eastAsia="仿宋" w:cs="仿宋"/>
                <w:snapToGrid w:val="0"/>
                <w:color w:val="000000"/>
                <w:spacing w:val="1"/>
                <w:kern w:val="0"/>
                <w:sz w:val="24"/>
                <w:szCs w:val="24"/>
                <w:lang w:val="en-US" w:eastAsia="en-US" w:bidi="ar-SA"/>
              </w:rPr>
              <w:t>”要求的所有内容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305" w:type="dxa"/>
            <w:vAlign w:val="top"/>
          </w:tcPr>
          <w:p>
            <w:pPr>
              <w:spacing w:line="412" w:lineRule="auto"/>
              <w:rPr>
                <w:rFonts w:hint="eastAsia" w:ascii="仿宋" w:hAnsi="仿宋" w:eastAsia="仿宋" w:cs="仿宋"/>
                <w:snapToGrid w:val="0"/>
                <w:color w:val="000000"/>
                <w:spacing w:val="1"/>
                <w:kern w:val="0"/>
                <w:sz w:val="24"/>
                <w:szCs w:val="24"/>
                <w:lang w:val="en-US" w:eastAsia="en-US" w:bidi="ar-SA"/>
              </w:rPr>
            </w:pPr>
          </w:p>
          <w:p>
            <w:pPr>
              <w:pStyle w:val="22"/>
              <w:spacing w:before="65" w:line="186" w:lineRule="auto"/>
              <w:ind w:left="314"/>
              <w:rPr>
                <w:rFonts w:hint="eastAsia" w:ascii="仿宋" w:hAnsi="仿宋" w:eastAsia="仿宋" w:cs="仿宋"/>
                <w:snapToGrid w:val="0"/>
                <w:color w:val="000000"/>
                <w:spacing w:val="1"/>
                <w:kern w:val="0"/>
                <w:sz w:val="24"/>
                <w:szCs w:val="24"/>
                <w:lang w:val="en-US" w:eastAsia="en-US" w:bidi="ar-SA"/>
              </w:rPr>
            </w:pPr>
          </w:p>
          <w:p>
            <w:pPr>
              <w:pStyle w:val="22"/>
              <w:spacing w:before="65" w:line="186" w:lineRule="auto"/>
              <w:ind w:left="314"/>
              <w:rPr>
                <w:rFonts w:hint="eastAsia" w:ascii="仿宋" w:hAnsi="仿宋" w:eastAsia="仿宋" w:cs="仿宋"/>
                <w:snapToGrid w:val="0"/>
                <w:color w:val="000000"/>
                <w:spacing w:val="1"/>
                <w:kern w:val="0"/>
                <w:sz w:val="24"/>
                <w:szCs w:val="24"/>
                <w:lang w:val="en-US" w:eastAsia="en-US" w:bidi="ar-SA"/>
              </w:rPr>
            </w:pPr>
          </w:p>
          <w:p>
            <w:pPr>
              <w:pStyle w:val="22"/>
              <w:spacing w:before="65" w:line="186" w:lineRule="auto"/>
              <w:ind w:left="314"/>
              <w:rPr>
                <w:rFonts w:hint="eastAsia" w:ascii="仿宋" w:hAnsi="仿宋" w:eastAsia="仿宋" w:cs="仿宋"/>
                <w:snapToGrid w:val="0"/>
                <w:color w:val="000000"/>
                <w:spacing w:val="1"/>
                <w:kern w:val="0"/>
                <w:sz w:val="24"/>
                <w:szCs w:val="24"/>
                <w:lang w:val="en-US" w:eastAsia="en-US" w:bidi="ar-SA"/>
              </w:rPr>
            </w:pPr>
          </w:p>
          <w:p>
            <w:pPr>
              <w:pStyle w:val="22"/>
              <w:spacing w:before="65" w:line="186" w:lineRule="auto"/>
              <w:ind w:left="314"/>
              <w:rPr>
                <w:rFonts w:hint="eastAsia" w:ascii="仿宋" w:hAnsi="仿宋" w:eastAsia="仿宋" w:cs="仿宋"/>
                <w:snapToGrid w:val="0"/>
                <w:color w:val="000000"/>
                <w:spacing w:val="1"/>
                <w:kern w:val="0"/>
                <w:sz w:val="24"/>
                <w:szCs w:val="24"/>
                <w:lang w:val="en-US" w:eastAsia="en-US" w:bidi="ar-SA"/>
              </w:rPr>
            </w:pPr>
          </w:p>
          <w:p>
            <w:pPr>
              <w:pStyle w:val="22"/>
              <w:spacing w:before="65" w:line="186" w:lineRule="auto"/>
              <w:ind w:left="314"/>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2.2</w:t>
            </w:r>
          </w:p>
        </w:tc>
        <w:tc>
          <w:tcPr>
            <w:tcW w:w="960" w:type="dxa"/>
            <w:vAlign w:val="top"/>
          </w:tcPr>
          <w:p>
            <w:pPr>
              <w:pStyle w:val="22"/>
              <w:spacing w:before="172" w:line="271" w:lineRule="exact"/>
              <w:ind w:left="279"/>
              <w:rPr>
                <w:rFonts w:hint="eastAsia" w:ascii="仿宋" w:hAnsi="仿宋" w:eastAsia="仿宋" w:cs="仿宋"/>
                <w:snapToGrid w:val="0"/>
                <w:color w:val="000000"/>
                <w:spacing w:val="1"/>
                <w:kern w:val="0"/>
                <w:sz w:val="24"/>
                <w:szCs w:val="24"/>
                <w:lang w:val="en-US" w:eastAsia="en-US" w:bidi="ar-SA"/>
              </w:rPr>
            </w:pPr>
          </w:p>
          <w:p>
            <w:pPr>
              <w:pStyle w:val="22"/>
              <w:spacing w:before="172" w:line="271" w:lineRule="exact"/>
              <w:ind w:left="279"/>
              <w:rPr>
                <w:rFonts w:hint="eastAsia" w:ascii="仿宋" w:hAnsi="仿宋" w:eastAsia="仿宋" w:cs="仿宋"/>
                <w:snapToGrid w:val="0"/>
                <w:color w:val="000000"/>
                <w:spacing w:val="1"/>
                <w:kern w:val="0"/>
                <w:sz w:val="24"/>
                <w:szCs w:val="24"/>
                <w:lang w:val="en-US" w:eastAsia="en-US" w:bidi="ar-SA"/>
              </w:rPr>
            </w:pPr>
          </w:p>
          <w:p>
            <w:pPr>
              <w:pStyle w:val="22"/>
              <w:spacing w:before="172" w:line="271" w:lineRule="exact"/>
              <w:ind w:left="279"/>
              <w:rPr>
                <w:rFonts w:hint="eastAsia" w:ascii="仿宋" w:hAnsi="仿宋" w:eastAsia="仿宋" w:cs="仿宋"/>
                <w:snapToGrid w:val="0"/>
                <w:color w:val="000000"/>
                <w:spacing w:val="1"/>
                <w:kern w:val="0"/>
                <w:sz w:val="24"/>
                <w:szCs w:val="24"/>
                <w:lang w:val="en-US" w:eastAsia="en-US" w:bidi="ar-SA"/>
              </w:rPr>
            </w:pPr>
          </w:p>
          <w:p>
            <w:pPr>
              <w:pStyle w:val="22"/>
              <w:spacing w:before="172" w:line="271" w:lineRule="exact"/>
              <w:ind w:left="279"/>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详细</w:t>
            </w:r>
          </w:p>
          <w:p>
            <w:pPr>
              <w:pStyle w:val="22"/>
              <w:spacing w:line="231" w:lineRule="auto"/>
              <w:ind w:left="278"/>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磋商</w:t>
            </w:r>
          </w:p>
        </w:tc>
        <w:tc>
          <w:tcPr>
            <w:tcW w:w="7680" w:type="dxa"/>
            <w:gridSpan w:val="3"/>
            <w:vAlign w:val="top"/>
          </w:tcPr>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1.磋商小组根据本章第 3.3 款内容集中与单一供应商分别进行磋商，磋商结束后，并要求其在规定时间内提交最后报价。</w:t>
            </w: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（注：供应商在交易中心系统规定的时间内提交最后报价，超出时间未进行报价的，系统默认采取首次报价作为最终报价）。</w:t>
            </w:r>
          </w:p>
          <w:p>
            <w:pPr>
              <w:pStyle w:val="22"/>
              <w:spacing w:before="65" w:line="242" w:lineRule="auto"/>
              <w:ind w:right="59"/>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en-US" w:bidi="ar-SA"/>
              </w:rPr>
              <w:t>2.供应商对所参加磋商项目根据市场行情自主报价，分二次报价（一次报价须按照磋商文件的报价格式填报，第二次报价在磋商中填报。</w:t>
            </w:r>
            <w:r>
              <w:rPr>
                <w:rFonts w:hint="eastAsia" w:ascii="仿宋" w:hAnsi="仿宋" w:eastAsia="仿宋" w:cs="仿宋"/>
                <w:snapToGrid w:val="0"/>
                <w:color w:val="000000"/>
                <w:spacing w:val="1"/>
                <w:kern w:val="0"/>
                <w:sz w:val="24"/>
                <w:szCs w:val="24"/>
                <w:lang w:val="en-US" w:eastAsia="zh-CN" w:bidi="ar-SA"/>
              </w:rPr>
              <w:t>）</w:t>
            </w: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（注：最后报价明显低于成本价的，供应商需做出合理说明，否则将承担不被接受的风险。）</w:t>
            </w: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3.经磋商确定最终采购需求和提交最后报价的供应商后，由磋商小组采用综合评分法对提交最后报价的供应商的响应文件和最后报价按照竞争性磋商文件内容进行详细性评审。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305" w:type="dxa"/>
            <w:vAlign w:val="top"/>
          </w:tcPr>
          <w:p>
            <w:pPr>
              <w:pStyle w:val="22"/>
              <w:spacing w:before="65" w:line="242" w:lineRule="auto"/>
              <w:ind w:right="59"/>
              <w:jc w:val="center"/>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firstLine="242" w:firstLineChars="100"/>
              <w:jc w:val="both"/>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2.2.1</w:t>
            </w:r>
          </w:p>
          <w:p>
            <w:pPr>
              <w:pStyle w:val="22"/>
              <w:spacing w:before="65" w:line="242" w:lineRule="auto"/>
              <w:ind w:right="59"/>
              <w:jc w:val="center"/>
              <w:rPr>
                <w:rFonts w:hint="default" w:ascii="仿宋" w:hAnsi="仿宋" w:eastAsia="仿宋" w:cs="仿宋"/>
                <w:snapToGrid w:val="0"/>
                <w:color w:val="000000"/>
                <w:spacing w:val="1"/>
                <w:kern w:val="0"/>
                <w:sz w:val="24"/>
                <w:szCs w:val="24"/>
                <w:lang w:val="en-US" w:eastAsia="zh-CN" w:bidi="ar-SA"/>
              </w:rPr>
            </w:pPr>
          </w:p>
        </w:tc>
        <w:tc>
          <w:tcPr>
            <w:tcW w:w="2077" w:type="dxa"/>
            <w:gridSpan w:val="2"/>
            <w:vAlign w:val="top"/>
          </w:tcPr>
          <w:p>
            <w:pPr>
              <w:pStyle w:val="22"/>
              <w:spacing w:before="65" w:line="242" w:lineRule="auto"/>
              <w:ind w:right="59"/>
              <w:jc w:val="center"/>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jc w:val="center"/>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分值构成（总分100分）</w:t>
            </w:r>
          </w:p>
        </w:tc>
        <w:tc>
          <w:tcPr>
            <w:tcW w:w="6563" w:type="dxa"/>
            <w:gridSpan w:val="2"/>
            <w:vAlign w:val="top"/>
          </w:tcPr>
          <w:p>
            <w:pPr>
              <w:pStyle w:val="22"/>
              <w:spacing w:before="65" w:line="242" w:lineRule="auto"/>
              <w:ind w:right="59"/>
              <w:jc w:val="center"/>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商务部分：3</w:t>
            </w:r>
            <w:r>
              <w:rPr>
                <w:rFonts w:hint="eastAsia" w:ascii="仿宋" w:hAnsi="仿宋" w:eastAsia="仿宋" w:cs="仿宋"/>
                <w:snapToGrid w:val="0"/>
                <w:color w:val="000000"/>
                <w:spacing w:val="1"/>
                <w:kern w:val="0"/>
                <w:sz w:val="24"/>
                <w:szCs w:val="24"/>
                <w:lang w:val="en-US" w:eastAsia="zh-CN" w:bidi="ar-SA"/>
              </w:rPr>
              <w:t>0</w:t>
            </w:r>
            <w:r>
              <w:rPr>
                <w:rFonts w:hint="eastAsia" w:ascii="仿宋" w:hAnsi="仿宋" w:eastAsia="仿宋" w:cs="仿宋"/>
                <w:snapToGrid w:val="0"/>
                <w:color w:val="000000"/>
                <w:spacing w:val="1"/>
                <w:kern w:val="0"/>
                <w:sz w:val="24"/>
                <w:szCs w:val="24"/>
                <w:lang w:val="en-US" w:eastAsia="en-US" w:bidi="ar-SA"/>
              </w:rPr>
              <w:t xml:space="preserve"> 分</w:t>
            </w:r>
          </w:p>
          <w:p>
            <w:pPr>
              <w:pStyle w:val="22"/>
              <w:spacing w:before="65" w:line="242" w:lineRule="auto"/>
              <w:ind w:right="59"/>
              <w:jc w:val="center"/>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技术部分：50 分</w:t>
            </w:r>
          </w:p>
          <w:p>
            <w:pPr>
              <w:pStyle w:val="22"/>
              <w:spacing w:before="65" w:line="242" w:lineRule="auto"/>
              <w:ind w:right="59"/>
              <w:jc w:val="center"/>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综合部分：</w:t>
            </w:r>
            <w:r>
              <w:rPr>
                <w:rFonts w:hint="eastAsia" w:ascii="仿宋" w:hAnsi="仿宋" w:eastAsia="仿宋" w:cs="仿宋"/>
                <w:snapToGrid w:val="0"/>
                <w:color w:val="000000"/>
                <w:spacing w:val="1"/>
                <w:kern w:val="0"/>
                <w:sz w:val="24"/>
                <w:szCs w:val="24"/>
                <w:lang w:val="en-US" w:eastAsia="zh-CN" w:bidi="ar-SA"/>
              </w:rPr>
              <w:t>20</w:t>
            </w:r>
            <w:r>
              <w:rPr>
                <w:rFonts w:hint="eastAsia" w:ascii="仿宋" w:hAnsi="仿宋" w:eastAsia="仿宋" w:cs="仿宋"/>
                <w:snapToGrid w:val="0"/>
                <w:color w:val="000000"/>
                <w:spacing w:val="1"/>
                <w:kern w:val="0"/>
                <w:sz w:val="24"/>
                <w:szCs w:val="24"/>
                <w:lang w:val="en-US" w:eastAsia="en-US" w:bidi="ar-SA"/>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05" w:type="dxa"/>
            <w:tcBorders>
              <w:bottom w:val="single" w:color="auto" w:sz="4" w:space="0"/>
            </w:tcBorders>
            <w:vAlign w:val="top"/>
          </w:tcPr>
          <w:p>
            <w:pPr>
              <w:pStyle w:val="22"/>
              <w:spacing w:before="65" w:line="242" w:lineRule="auto"/>
              <w:ind w:right="59"/>
              <w:jc w:val="center"/>
              <w:rPr>
                <w:rFonts w:hint="default"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评审分项</w:t>
            </w:r>
          </w:p>
        </w:tc>
        <w:tc>
          <w:tcPr>
            <w:tcW w:w="2077" w:type="dxa"/>
            <w:gridSpan w:val="2"/>
            <w:tcBorders>
              <w:bottom w:val="single" w:color="auto" w:sz="4" w:space="0"/>
            </w:tcBorders>
            <w:vAlign w:val="top"/>
          </w:tcPr>
          <w:p>
            <w:pPr>
              <w:pStyle w:val="22"/>
              <w:spacing w:before="65" w:line="242" w:lineRule="auto"/>
              <w:ind w:right="59" w:firstLine="484" w:firstLineChars="200"/>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评分因素</w:t>
            </w:r>
          </w:p>
        </w:tc>
        <w:tc>
          <w:tcPr>
            <w:tcW w:w="6563" w:type="dxa"/>
            <w:gridSpan w:val="2"/>
            <w:vAlign w:val="top"/>
          </w:tcPr>
          <w:p>
            <w:pPr>
              <w:pStyle w:val="22"/>
              <w:spacing w:before="65" w:line="242" w:lineRule="auto"/>
              <w:ind w:right="59" w:firstLine="2420" w:firstLineChars="1000"/>
              <w:jc w:val="both"/>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0" w:hRule="atLeast"/>
        </w:trPr>
        <w:tc>
          <w:tcPr>
            <w:tcW w:w="1305" w:type="dxa"/>
            <w:tcBorders>
              <w:top w:val="single" w:color="auto" w:sz="4" w:space="0"/>
              <w:left w:val="single" w:color="auto" w:sz="4" w:space="0"/>
              <w:bottom w:val="single" w:color="auto" w:sz="4" w:space="0"/>
            </w:tcBorders>
            <w:vAlign w:val="top"/>
          </w:tcPr>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 xml:space="preserve"> </w:t>
            </w:r>
          </w:p>
          <w:p>
            <w:pPr>
              <w:pageBreakBefore w:val="0"/>
              <w:kinsoku/>
              <w:wordWrap/>
              <w:overflowPunct/>
              <w:topLinePunct w:val="0"/>
              <w:bidi w:val="0"/>
              <w:spacing w:line="400" w:lineRule="exact"/>
              <w:ind w:left="0" w:leftChars="0" w:firstLine="0" w:firstLineChars="0"/>
              <w:jc w:val="center"/>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2.2.2（1）</w:t>
            </w:r>
          </w:p>
          <w:p>
            <w:pPr>
              <w:pageBreakBefore w:val="0"/>
              <w:kinsoku/>
              <w:wordWrap/>
              <w:overflowPunct/>
              <w:topLinePunct w:val="0"/>
              <w:bidi w:val="0"/>
              <w:spacing w:line="400" w:lineRule="exact"/>
              <w:ind w:left="0" w:leftChars="0" w:firstLine="0" w:firstLineChars="0"/>
              <w:jc w:val="center"/>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商务部分</w:t>
            </w:r>
          </w:p>
          <w:p>
            <w:pPr>
              <w:pageBreakBefore w:val="0"/>
              <w:kinsoku/>
              <w:wordWrap/>
              <w:overflowPunct/>
              <w:topLinePunct w:val="0"/>
              <w:bidi w:val="0"/>
              <w:spacing w:line="400" w:lineRule="exact"/>
              <w:ind w:left="0" w:leftChars="0" w:firstLine="0" w:firstLineChars="0"/>
              <w:jc w:val="center"/>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（30分）</w:t>
            </w:r>
          </w:p>
        </w:tc>
        <w:tc>
          <w:tcPr>
            <w:tcW w:w="2077" w:type="dxa"/>
            <w:gridSpan w:val="2"/>
            <w:tcBorders>
              <w:top w:val="single" w:color="auto" w:sz="4" w:space="0"/>
              <w:bottom w:val="single" w:color="auto" w:sz="4" w:space="0"/>
              <w:right w:val="single" w:color="auto" w:sz="4" w:space="0"/>
            </w:tcBorders>
            <w:vAlign w:val="top"/>
          </w:tcPr>
          <w:p>
            <w:pPr>
              <w:pStyle w:val="22"/>
              <w:spacing w:before="65" w:line="242" w:lineRule="auto"/>
              <w:ind w:right="59"/>
              <w:jc w:val="center"/>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jc w:val="center"/>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jc w:val="center"/>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jc w:val="center"/>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jc w:val="center"/>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jc w:val="center"/>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jc w:val="center"/>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jc w:val="center"/>
              <w:rPr>
                <w:rFonts w:hint="eastAsia" w:ascii="仿宋" w:hAnsi="仿宋" w:eastAsia="仿宋" w:cs="仿宋"/>
                <w:snapToGrid w:val="0"/>
                <w:color w:val="000000"/>
                <w:spacing w:val="1"/>
                <w:kern w:val="0"/>
                <w:sz w:val="24"/>
                <w:szCs w:val="24"/>
                <w:lang w:val="en-US" w:eastAsia="en-US" w:bidi="ar-SA"/>
              </w:rPr>
            </w:pPr>
          </w:p>
          <w:p>
            <w:pPr>
              <w:pageBreakBefore w:val="0"/>
              <w:kinsoku/>
              <w:wordWrap/>
              <w:overflowPunct/>
              <w:topLinePunct w:val="0"/>
              <w:bidi w:val="0"/>
              <w:spacing w:line="400" w:lineRule="exact"/>
              <w:ind w:left="0" w:leftChars="0" w:firstLine="0" w:firstLineChars="0"/>
              <w:jc w:val="center"/>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磋商</w:t>
            </w:r>
            <w:r>
              <w:rPr>
                <w:rFonts w:hint="eastAsia" w:ascii="仿宋" w:hAnsi="仿宋" w:eastAsia="仿宋" w:cs="仿宋"/>
                <w:snapToGrid w:val="0"/>
                <w:color w:val="000000"/>
                <w:spacing w:val="1"/>
                <w:kern w:val="0"/>
                <w:sz w:val="24"/>
                <w:szCs w:val="24"/>
                <w:lang w:val="en-US" w:eastAsia="en-US" w:bidi="ar-SA"/>
              </w:rPr>
              <w:t>报价得分</w:t>
            </w:r>
          </w:p>
          <w:p>
            <w:pPr>
              <w:pStyle w:val="22"/>
              <w:spacing w:before="65" w:line="242" w:lineRule="auto"/>
              <w:ind w:right="59"/>
              <w:jc w:val="center"/>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w:t>
            </w:r>
            <w:r>
              <w:rPr>
                <w:rFonts w:hint="eastAsia" w:ascii="仿宋" w:hAnsi="仿宋" w:eastAsia="仿宋" w:cs="仿宋"/>
                <w:snapToGrid w:val="0"/>
                <w:color w:val="000000"/>
                <w:spacing w:val="1"/>
                <w:kern w:val="0"/>
                <w:sz w:val="24"/>
                <w:szCs w:val="24"/>
                <w:lang w:val="en-US" w:eastAsia="zh-CN" w:bidi="ar-SA"/>
              </w:rPr>
              <w:t>30</w:t>
            </w:r>
            <w:r>
              <w:rPr>
                <w:rFonts w:hint="eastAsia" w:ascii="仿宋" w:hAnsi="仿宋" w:eastAsia="仿宋" w:cs="仿宋"/>
                <w:snapToGrid w:val="0"/>
                <w:color w:val="000000"/>
                <w:spacing w:val="1"/>
                <w:kern w:val="0"/>
                <w:sz w:val="24"/>
                <w:szCs w:val="24"/>
                <w:lang w:val="en-US" w:eastAsia="en-US" w:bidi="ar-SA"/>
              </w:rPr>
              <w:t>分）</w:t>
            </w: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p>
          <w:p>
            <w:pPr>
              <w:bidi w:val="0"/>
              <w:jc w:val="left"/>
              <w:rPr>
                <w:rFonts w:hint="eastAsia"/>
                <w:lang w:val="en-US" w:eastAsia="en-US"/>
              </w:rPr>
            </w:pPr>
          </w:p>
          <w:p>
            <w:pPr>
              <w:bidi w:val="0"/>
              <w:rPr>
                <w:rFonts w:hint="eastAsia" w:ascii="Arial" w:hAnsi="Arial" w:eastAsia="Arial" w:cs="Arial"/>
                <w:snapToGrid w:val="0"/>
                <w:color w:val="000000"/>
                <w:kern w:val="0"/>
                <w:sz w:val="21"/>
                <w:szCs w:val="21"/>
                <w:lang w:val="en-US" w:eastAsia="en-US" w:bidi="ar-SA"/>
              </w:rPr>
            </w:pPr>
          </w:p>
          <w:p>
            <w:pPr>
              <w:bidi w:val="0"/>
              <w:jc w:val="both"/>
              <w:rPr>
                <w:rFonts w:hint="eastAsia"/>
                <w:lang w:val="en-US" w:eastAsia="en-US"/>
              </w:rPr>
            </w:pPr>
          </w:p>
          <w:p>
            <w:pPr>
              <w:pStyle w:val="2"/>
              <w:rPr>
                <w:rFonts w:hint="eastAsia"/>
                <w:lang w:val="en-US" w:eastAsia="en-US"/>
              </w:rPr>
            </w:pPr>
          </w:p>
        </w:tc>
        <w:tc>
          <w:tcPr>
            <w:tcW w:w="6563" w:type="dxa"/>
            <w:gridSpan w:val="2"/>
            <w:tcBorders>
              <w:left w:val="single" w:color="auto" w:sz="4" w:space="0"/>
            </w:tcBorders>
            <w:vAlign w:val="top"/>
          </w:tcPr>
          <w:p>
            <w:pPr>
              <w:pStyle w:val="22"/>
              <w:spacing w:before="65" w:line="242" w:lineRule="auto"/>
              <w:ind w:right="59" w:firstLine="484" w:firstLineChars="200"/>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价格分统一采用低价优先法计算，即满足磋商文件要求且投 标报价最低的供应商的价格为评标基准价，其价格分为满</w:t>
            </w: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分。其他供应商的价格分统一按照下列公式计算：</w:t>
            </w:r>
          </w:p>
          <w:p>
            <w:pPr>
              <w:pStyle w:val="22"/>
              <w:spacing w:before="65" w:line="242" w:lineRule="auto"/>
              <w:ind w:right="59"/>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en-US" w:bidi="ar-SA"/>
              </w:rPr>
              <w:t>报价得分= (评标基准价/投标报价)×</w:t>
            </w:r>
            <w:r>
              <w:rPr>
                <w:rFonts w:hint="eastAsia" w:ascii="仿宋" w:hAnsi="仿宋" w:eastAsia="仿宋" w:cs="仿宋"/>
                <w:snapToGrid w:val="0"/>
                <w:color w:val="000000"/>
                <w:spacing w:val="1"/>
                <w:kern w:val="0"/>
                <w:sz w:val="24"/>
                <w:szCs w:val="24"/>
                <w:lang w:val="en-US" w:eastAsia="zh-CN" w:bidi="ar-SA"/>
              </w:rPr>
              <w:t>30</w:t>
            </w: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注：按四舍五入法则，保留小数点后两位。</w:t>
            </w:r>
          </w:p>
          <w:p>
            <w:pPr>
              <w:pStyle w:val="22"/>
              <w:spacing w:before="65" w:line="242" w:lineRule="auto"/>
              <w:ind w:right="59" w:firstLine="484" w:firstLineChars="200"/>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en-US" w:bidi="ar-SA"/>
              </w:rPr>
              <w:t>落实财库〔2020〕46 号等文件规定，对小型和微型企业产品的价格给予15%的扣除，用扣除后的价格参与评审。参加政府 采购活动的小微型企业应提供中小企业声明函，否则不予认可</w:t>
            </w:r>
            <w:r>
              <w:rPr>
                <w:rFonts w:hint="eastAsia" w:ascii="仿宋" w:hAnsi="仿宋" w:eastAsia="仿宋" w:cs="仿宋"/>
                <w:snapToGrid w:val="0"/>
                <w:color w:val="000000"/>
                <w:spacing w:val="1"/>
                <w:kern w:val="0"/>
                <w:sz w:val="24"/>
                <w:szCs w:val="24"/>
                <w:lang w:val="en-US" w:eastAsia="zh-CN" w:bidi="ar-SA"/>
              </w:rPr>
              <w:t>。</w:t>
            </w:r>
          </w:p>
          <w:p>
            <w:pPr>
              <w:pStyle w:val="22"/>
              <w:spacing w:before="65" w:line="242" w:lineRule="auto"/>
              <w:ind w:right="59" w:firstLine="484" w:firstLineChars="200"/>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投标人报价明显低于其他通过符合性审查投标人的报价（比控制价低 30%的），且该投标人的技术等主要指标有大量或明显故意不符，视为可能影响采购质量或者项目履约，评审专家应当要求其在评标现场合理的时间内提供书面说明，投标人不能证明其报价合理性的，评标委员会应当将其作为无效投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05" w:type="dxa"/>
            <w:tcBorders>
              <w:top w:val="single" w:color="auto" w:sz="4" w:space="0"/>
            </w:tcBorders>
            <w:vAlign w:val="top"/>
          </w:tcPr>
          <w:p>
            <w:pPr>
              <w:pStyle w:val="22"/>
              <w:spacing w:before="65" w:line="242" w:lineRule="auto"/>
              <w:ind w:right="59"/>
              <w:jc w:val="center"/>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jc w:val="both"/>
              <w:rPr>
                <w:rFonts w:hint="eastAsia" w:ascii="仿宋" w:hAnsi="仿宋" w:eastAsia="仿宋" w:cs="仿宋"/>
                <w:snapToGrid w:val="0"/>
                <w:color w:val="000000"/>
                <w:spacing w:val="1"/>
                <w:kern w:val="0"/>
                <w:sz w:val="24"/>
                <w:szCs w:val="24"/>
                <w:lang w:val="en-US" w:eastAsia="zh-CN" w:bidi="ar-SA"/>
              </w:rPr>
            </w:pPr>
          </w:p>
          <w:p>
            <w:pPr>
              <w:pStyle w:val="22"/>
              <w:spacing w:before="65" w:line="242" w:lineRule="auto"/>
              <w:ind w:right="59"/>
              <w:jc w:val="center"/>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2.2.2（2）</w:t>
            </w:r>
            <w:r>
              <w:rPr>
                <w:rFonts w:hint="eastAsia" w:ascii="仿宋" w:hAnsi="仿宋" w:eastAsia="仿宋" w:cs="仿宋"/>
                <w:snapToGrid w:val="0"/>
                <w:color w:val="000000"/>
                <w:spacing w:val="1"/>
                <w:kern w:val="0"/>
                <w:sz w:val="24"/>
                <w:szCs w:val="24"/>
                <w:lang w:val="en-US" w:eastAsia="en-US" w:bidi="ar-SA"/>
              </w:rPr>
              <w:t>技术部分</w:t>
            </w:r>
          </w:p>
          <w:p>
            <w:pPr>
              <w:pStyle w:val="22"/>
              <w:spacing w:before="65" w:line="242" w:lineRule="auto"/>
              <w:ind w:right="59"/>
              <w:jc w:val="center"/>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w:t>
            </w:r>
            <w:r>
              <w:rPr>
                <w:rFonts w:hint="eastAsia" w:ascii="仿宋" w:hAnsi="仿宋" w:eastAsia="仿宋" w:cs="仿宋"/>
                <w:snapToGrid w:val="0"/>
                <w:color w:val="000000"/>
                <w:spacing w:val="1"/>
                <w:kern w:val="0"/>
                <w:sz w:val="24"/>
                <w:szCs w:val="24"/>
                <w:lang w:val="en-US" w:eastAsia="zh-CN" w:bidi="ar-SA"/>
              </w:rPr>
              <w:t>50</w:t>
            </w:r>
            <w:r>
              <w:rPr>
                <w:rFonts w:hint="eastAsia" w:ascii="仿宋" w:hAnsi="仿宋" w:eastAsia="仿宋" w:cs="仿宋"/>
                <w:snapToGrid w:val="0"/>
                <w:color w:val="000000"/>
                <w:spacing w:val="1"/>
                <w:kern w:val="0"/>
                <w:sz w:val="24"/>
                <w:szCs w:val="24"/>
                <w:lang w:val="en-US" w:eastAsia="en-US" w:bidi="ar-SA"/>
              </w:rPr>
              <w:t>分）</w:t>
            </w:r>
          </w:p>
        </w:tc>
        <w:tc>
          <w:tcPr>
            <w:tcW w:w="2077" w:type="dxa"/>
            <w:gridSpan w:val="2"/>
            <w:tcBorders>
              <w:top w:val="single" w:color="auto" w:sz="4" w:space="0"/>
              <w:bottom w:val="single" w:color="auto" w:sz="4" w:space="0"/>
            </w:tcBorders>
            <w:vAlign w:val="top"/>
          </w:tcPr>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rPr>
                <w:rFonts w:hint="eastAsia" w:ascii="仿宋" w:hAnsi="仿宋" w:eastAsia="仿宋" w:cs="仿宋"/>
                <w:snapToGrid w:val="0"/>
                <w:color w:val="000000" w:themeColor="text1"/>
                <w:spacing w:val="1"/>
                <w:kern w:val="0"/>
                <w:sz w:val="24"/>
                <w:szCs w:val="24"/>
                <w:lang w:val="en-US" w:eastAsia="en-US" w:bidi="ar-SA"/>
                <w14:textFill>
                  <w14:solidFill>
                    <w14:schemeClr w14:val="tx1"/>
                  </w14:solidFill>
                </w14:textFill>
              </w:rPr>
            </w:pPr>
            <w:r>
              <w:rPr>
                <w:rFonts w:hint="eastAsia" w:ascii="仿宋" w:hAnsi="仿宋" w:eastAsia="仿宋" w:cs="仿宋"/>
                <w:snapToGrid w:val="0"/>
                <w:color w:val="000000" w:themeColor="text1"/>
                <w:spacing w:val="1"/>
                <w:kern w:val="0"/>
                <w:sz w:val="24"/>
                <w:szCs w:val="24"/>
                <w:lang w:val="en-US" w:eastAsia="en-US" w:bidi="ar-SA"/>
                <w14:textFill>
                  <w14:solidFill>
                    <w14:schemeClr w14:val="tx1"/>
                  </w14:solidFill>
                </w14:textFill>
              </w:rPr>
              <w:t>技术参数指标符合性（</w:t>
            </w:r>
            <w:r>
              <w:rPr>
                <w:rFonts w:hint="eastAsia" w:ascii="仿宋" w:hAnsi="仿宋" w:eastAsia="仿宋" w:cs="仿宋"/>
                <w:snapToGrid w:val="0"/>
                <w:color w:val="000000" w:themeColor="text1"/>
                <w:spacing w:val="1"/>
                <w:kern w:val="0"/>
                <w:sz w:val="24"/>
                <w:szCs w:val="24"/>
                <w:lang w:val="en-US" w:eastAsia="zh-CN" w:bidi="ar-SA"/>
                <w14:textFill>
                  <w14:solidFill>
                    <w14:schemeClr w14:val="tx1"/>
                  </w14:solidFill>
                </w14:textFill>
              </w:rPr>
              <w:t>50</w:t>
            </w:r>
            <w:r>
              <w:rPr>
                <w:rFonts w:hint="eastAsia" w:ascii="仿宋" w:hAnsi="仿宋" w:eastAsia="仿宋" w:cs="仿宋"/>
                <w:snapToGrid w:val="0"/>
                <w:color w:val="000000" w:themeColor="text1"/>
                <w:spacing w:val="1"/>
                <w:kern w:val="0"/>
                <w:sz w:val="24"/>
                <w:szCs w:val="24"/>
                <w:lang w:val="en-US" w:eastAsia="en-US" w:bidi="ar-SA"/>
                <w14:textFill>
                  <w14:solidFill>
                    <w14:schemeClr w14:val="tx1"/>
                  </w14:solidFill>
                </w14:textFill>
              </w:rPr>
              <w:t>分）</w:t>
            </w: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p>
        </w:tc>
        <w:tc>
          <w:tcPr>
            <w:tcW w:w="6563" w:type="dxa"/>
            <w:gridSpan w:val="2"/>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所投设备满足招标技术参数要求完全符合或高于招标文件要求的得满分</w:t>
            </w:r>
            <w:r>
              <w:rPr>
                <w:rFonts w:hint="eastAsia" w:ascii="仿宋" w:hAnsi="仿宋" w:eastAsia="仿宋" w:cs="仿宋"/>
                <w:snapToGrid w:val="0"/>
                <w:color w:val="000000"/>
                <w:spacing w:val="1"/>
                <w:kern w:val="0"/>
                <w:sz w:val="24"/>
                <w:szCs w:val="24"/>
                <w:lang w:val="en-US" w:eastAsia="zh-CN" w:bidi="ar-SA"/>
              </w:rPr>
              <w:t>50</w:t>
            </w:r>
            <w:r>
              <w:rPr>
                <w:rFonts w:hint="eastAsia" w:ascii="仿宋" w:hAnsi="仿宋" w:eastAsia="仿宋" w:cs="仿宋"/>
                <w:snapToGrid w:val="0"/>
                <w:color w:val="000000"/>
                <w:spacing w:val="1"/>
                <w:kern w:val="0"/>
                <w:sz w:val="24"/>
                <w:szCs w:val="24"/>
                <w:lang w:val="en-US" w:eastAsia="en-US" w:bidi="ar-SA"/>
              </w:rPr>
              <w:t>分（以公开发行的彩页或代理商或生产厂商出具详细的</w:t>
            </w:r>
            <w:r>
              <w:rPr>
                <w:rFonts w:hint="eastAsia" w:ascii="仿宋" w:hAnsi="仿宋" w:eastAsia="仿宋" w:cs="仿宋"/>
                <w:snapToGrid w:val="0"/>
                <w:color w:val="000000"/>
                <w:spacing w:val="1"/>
                <w:kern w:val="0"/>
                <w:sz w:val="24"/>
                <w:szCs w:val="24"/>
                <w:lang w:val="en-US" w:eastAsia="zh-CN" w:bidi="ar-SA"/>
              </w:rPr>
              <w:t>彩页、技术证明文件、</w:t>
            </w:r>
            <w:r>
              <w:rPr>
                <w:rFonts w:hint="eastAsia" w:ascii="仿宋" w:hAnsi="仿宋" w:eastAsia="仿宋" w:cs="仿宋"/>
                <w:snapToGrid w:val="0"/>
                <w:color w:val="000000"/>
                <w:spacing w:val="1"/>
                <w:kern w:val="0"/>
                <w:sz w:val="24"/>
                <w:szCs w:val="24"/>
                <w:lang w:val="en-US" w:eastAsia="en-US" w:bidi="ar-SA"/>
              </w:rPr>
              <w:t>技术参数为准）</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1、加★项参数，为本次招标产品重要性能指标，每有一项不满足扣</w:t>
            </w:r>
            <w:r>
              <w:rPr>
                <w:rFonts w:hint="eastAsia" w:ascii="仿宋" w:hAnsi="仿宋" w:eastAsia="仿宋" w:cs="仿宋"/>
                <w:snapToGrid w:val="0"/>
                <w:color w:val="000000"/>
                <w:spacing w:val="1"/>
                <w:kern w:val="0"/>
                <w:sz w:val="24"/>
                <w:szCs w:val="24"/>
                <w:lang w:val="en-US" w:eastAsia="zh-CN" w:bidi="ar-SA"/>
              </w:rPr>
              <w:t>3</w:t>
            </w:r>
            <w:r>
              <w:rPr>
                <w:rFonts w:hint="eastAsia" w:ascii="仿宋" w:hAnsi="仿宋" w:eastAsia="仿宋" w:cs="仿宋"/>
                <w:snapToGrid w:val="0"/>
                <w:color w:val="000000"/>
                <w:spacing w:val="1"/>
                <w:kern w:val="0"/>
                <w:sz w:val="24"/>
                <w:szCs w:val="24"/>
                <w:lang w:val="en-US" w:eastAsia="en-US" w:bidi="ar-SA"/>
              </w:rPr>
              <w:t>分；</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2、非加★参数，为产品通用参数，每有一项不满足扣1分；</w:t>
            </w: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3、加★参数有超过3项（含3项）不满足或者一般技术参数超过5项（含5项）不满足的，技术参数得分为0分。扣完为止。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1305" w:type="dxa"/>
            <w:vMerge w:val="restart"/>
            <w:tcBorders>
              <w:top w:val="single" w:color="auto" w:sz="4" w:space="0"/>
              <w:left w:val="single" w:color="auto" w:sz="4" w:space="0"/>
            </w:tcBorders>
            <w:vAlign w:val="top"/>
          </w:tcPr>
          <w:p>
            <w:pPr>
              <w:pStyle w:val="22"/>
              <w:spacing w:before="65" w:line="242" w:lineRule="auto"/>
              <w:ind w:right="59"/>
              <w:rPr>
                <w:rFonts w:hint="eastAsia" w:ascii="仿宋" w:hAnsi="仿宋" w:eastAsia="仿宋" w:cs="仿宋"/>
                <w:snapToGrid w:val="0"/>
                <w:color w:val="FF0000"/>
                <w:spacing w:val="1"/>
                <w:kern w:val="0"/>
                <w:sz w:val="24"/>
                <w:szCs w:val="24"/>
                <w:lang w:val="en-US" w:eastAsia="en-US" w:bidi="ar-SA"/>
              </w:rPr>
            </w:pPr>
          </w:p>
          <w:p>
            <w:pPr>
              <w:pStyle w:val="22"/>
              <w:spacing w:before="65" w:line="242" w:lineRule="auto"/>
              <w:ind w:right="59"/>
              <w:rPr>
                <w:rFonts w:hint="eastAsia" w:ascii="仿宋" w:hAnsi="仿宋" w:eastAsia="仿宋" w:cs="仿宋"/>
                <w:snapToGrid w:val="0"/>
                <w:color w:val="FF0000"/>
                <w:spacing w:val="1"/>
                <w:kern w:val="0"/>
                <w:sz w:val="24"/>
                <w:szCs w:val="24"/>
                <w:lang w:val="en-US" w:eastAsia="en-US" w:bidi="ar-SA"/>
              </w:rPr>
            </w:pPr>
          </w:p>
          <w:p>
            <w:pPr>
              <w:pStyle w:val="22"/>
              <w:spacing w:before="65" w:line="242" w:lineRule="auto"/>
              <w:ind w:right="59"/>
              <w:rPr>
                <w:rFonts w:hint="eastAsia" w:ascii="仿宋" w:hAnsi="仿宋" w:eastAsia="仿宋" w:cs="仿宋"/>
                <w:snapToGrid w:val="0"/>
                <w:color w:val="FF0000"/>
                <w:spacing w:val="1"/>
                <w:kern w:val="0"/>
                <w:sz w:val="24"/>
                <w:szCs w:val="24"/>
                <w:lang w:val="en-US" w:eastAsia="zh-CN" w:bidi="ar-SA"/>
              </w:rPr>
            </w:pPr>
          </w:p>
          <w:p>
            <w:pPr>
              <w:pStyle w:val="22"/>
              <w:spacing w:before="65" w:line="242" w:lineRule="auto"/>
              <w:ind w:right="59"/>
              <w:rPr>
                <w:rFonts w:hint="eastAsia" w:ascii="仿宋" w:hAnsi="仿宋" w:eastAsia="仿宋" w:cs="仿宋"/>
                <w:snapToGrid w:val="0"/>
                <w:color w:val="FF0000"/>
                <w:spacing w:val="1"/>
                <w:kern w:val="0"/>
                <w:sz w:val="24"/>
                <w:szCs w:val="24"/>
                <w:lang w:val="en-US" w:eastAsia="zh-CN" w:bidi="ar-SA"/>
              </w:rPr>
            </w:pPr>
          </w:p>
          <w:p>
            <w:pPr>
              <w:pStyle w:val="22"/>
              <w:spacing w:before="65" w:line="242" w:lineRule="auto"/>
              <w:ind w:right="59"/>
              <w:rPr>
                <w:rFonts w:hint="eastAsia" w:ascii="仿宋" w:hAnsi="仿宋" w:eastAsia="仿宋" w:cs="仿宋"/>
                <w:snapToGrid w:val="0"/>
                <w:color w:val="000000" w:themeColor="text1"/>
                <w:spacing w:val="1"/>
                <w:kern w:val="0"/>
                <w:sz w:val="24"/>
                <w:szCs w:val="24"/>
                <w:lang w:val="en-US" w:eastAsia="zh-CN" w:bidi="ar-SA"/>
                <w14:textFill>
                  <w14:solidFill>
                    <w14:schemeClr w14:val="tx1"/>
                  </w14:solidFill>
                </w14:textFill>
              </w:rPr>
            </w:pPr>
          </w:p>
          <w:p>
            <w:pPr>
              <w:pStyle w:val="22"/>
              <w:spacing w:before="65" w:line="242" w:lineRule="auto"/>
              <w:ind w:right="59"/>
              <w:rPr>
                <w:rFonts w:hint="eastAsia" w:ascii="仿宋" w:hAnsi="仿宋" w:eastAsia="仿宋" w:cs="仿宋"/>
                <w:snapToGrid w:val="0"/>
                <w:color w:val="000000" w:themeColor="text1"/>
                <w:spacing w:val="1"/>
                <w:kern w:val="0"/>
                <w:sz w:val="24"/>
                <w:szCs w:val="24"/>
                <w:lang w:val="en-US" w:eastAsia="zh-CN" w:bidi="ar-SA"/>
                <w14:textFill>
                  <w14:solidFill>
                    <w14:schemeClr w14:val="tx1"/>
                  </w14:solidFill>
                </w14:textFill>
              </w:rPr>
            </w:pPr>
          </w:p>
          <w:p>
            <w:pPr>
              <w:pStyle w:val="22"/>
              <w:spacing w:before="65" w:line="242" w:lineRule="auto"/>
              <w:ind w:right="59"/>
              <w:rPr>
                <w:rFonts w:hint="eastAsia" w:ascii="仿宋" w:hAnsi="仿宋" w:eastAsia="仿宋" w:cs="仿宋"/>
                <w:snapToGrid w:val="0"/>
                <w:color w:val="000000" w:themeColor="text1"/>
                <w:spacing w:val="1"/>
                <w:kern w:val="0"/>
                <w:sz w:val="24"/>
                <w:szCs w:val="24"/>
                <w:lang w:val="en-US" w:eastAsia="zh-CN" w:bidi="ar-SA"/>
                <w14:textFill>
                  <w14:solidFill>
                    <w14:schemeClr w14:val="tx1"/>
                  </w14:solidFill>
                </w14:textFill>
              </w:rPr>
            </w:pPr>
          </w:p>
          <w:p>
            <w:pPr>
              <w:pStyle w:val="22"/>
              <w:spacing w:before="65" w:line="242" w:lineRule="auto"/>
              <w:ind w:right="59"/>
              <w:rPr>
                <w:rFonts w:hint="eastAsia" w:ascii="仿宋" w:hAnsi="仿宋" w:eastAsia="仿宋" w:cs="仿宋"/>
                <w:snapToGrid w:val="0"/>
                <w:color w:val="000000" w:themeColor="text1"/>
                <w:spacing w:val="1"/>
                <w:kern w:val="0"/>
                <w:sz w:val="24"/>
                <w:szCs w:val="24"/>
                <w:lang w:val="en-US" w:eastAsia="zh-CN" w:bidi="ar-SA"/>
                <w14:textFill>
                  <w14:solidFill>
                    <w14:schemeClr w14:val="tx1"/>
                  </w14:solidFill>
                </w14:textFill>
              </w:rPr>
            </w:pPr>
            <w:r>
              <w:rPr>
                <w:rFonts w:hint="eastAsia" w:ascii="仿宋" w:hAnsi="仿宋" w:eastAsia="仿宋" w:cs="仿宋"/>
                <w:snapToGrid w:val="0"/>
                <w:color w:val="000000" w:themeColor="text1"/>
                <w:spacing w:val="1"/>
                <w:kern w:val="0"/>
                <w:sz w:val="24"/>
                <w:szCs w:val="24"/>
                <w:lang w:val="en-US" w:eastAsia="zh-CN" w:bidi="ar-SA"/>
                <w14:textFill>
                  <w14:solidFill>
                    <w14:schemeClr w14:val="tx1"/>
                  </w14:solidFill>
                </w14:textFill>
              </w:rPr>
              <w:t>2.2.2（3）</w:t>
            </w:r>
          </w:p>
          <w:p>
            <w:pPr>
              <w:pStyle w:val="22"/>
              <w:spacing w:before="65" w:line="242" w:lineRule="auto"/>
              <w:ind w:right="59"/>
              <w:rPr>
                <w:rFonts w:hint="eastAsia" w:ascii="仿宋" w:hAnsi="仿宋" w:eastAsia="仿宋" w:cs="仿宋"/>
                <w:snapToGrid w:val="0"/>
                <w:color w:val="FF0000"/>
                <w:spacing w:val="1"/>
                <w:kern w:val="0"/>
                <w:sz w:val="24"/>
                <w:szCs w:val="24"/>
                <w:lang w:val="en-US" w:eastAsia="en-US" w:bidi="ar-SA"/>
              </w:rPr>
            </w:pPr>
            <w:r>
              <w:rPr>
                <w:rFonts w:hint="eastAsia" w:ascii="仿宋" w:hAnsi="仿宋" w:eastAsia="仿宋" w:cs="仿宋"/>
                <w:snapToGrid w:val="0"/>
                <w:color w:val="000000" w:themeColor="text1"/>
                <w:spacing w:val="1"/>
                <w:kern w:val="0"/>
                <w:sz w:val="24"/>
                <w:szCs w:val="24"/>
                <w:lang w:val="en-US" w:eastAsia="en-US" w:bidi="ar-SA"/>
                <w14:textFill>
                  <w14:solidFill>
                    <w14:schemeClr w14:val="tx1"/>
                  </w14:solidFill>
                </w14:textFill>
              </w:rPr>
              <w:t>综合部分</w:t>
            </w:r>
            <w:r>
              <w:rPr>
                <w:rFonts w:hint="eastAsia" w:ascii="仿宋" w:hAnsi="仿宋" w:eastAsia="仿宋" w:cs="仿宋"/>
                <w:snapToGrid w:val="0"/>
                <w:color w:val="000000" w:themeColor="text1"/>
                <w:spacing w:val="1"/>
                <w:kern w:val="0"/>
                <w:sz w:val="24"/>
                <w:szCs w:val="24"/>
                <w:lang w:val="en-US" w:eastAsia="zh-CN" w:bidi="ar-SA"/>
                <w14:textFill>
                  <w14:solidFill>
                    <w14:schemeClr w14:val="tx1"/>
                  </w14:solidFill>
                </w14:textFill>
              </w:rPr>
              <w:t xml:space="preserve"> </w:t>
            </w:r>
            <w:r>
              <w:rPr>
                <w:rFonts w:hint="eastAsia" w:ascii="仿宋" w:hAnsi="仿宋" w:eastAsia="仿宋" w:cs="仿宋"/>
                <w:snapToGrid w:val="0"/>
                <w:color w:val="000000" w:themeColor="text1"/>
                <w:spacing w:val="1"/>
                <w:kern w:val="0"/>
                <w:sz w:val="24"/>
                <w:szCs w:val="24"/>
                <w:lang w:val="en-US" w:eastAsia="en-US" w:bidi="ar-SA"/>
                <w14:textFill>
                  <w14:solidFill>
                    <w14:schemeClr w14:val="tx1"/>
                  </w14:solidFill>
                </w14:textFill>
              </w:rPr>
              <w:t>（</w:t>
            </w:r>
            <w:r>
              <w:rPr>
                <w:rFonts w:hint="eastAsia" w:ascii="仿宋" w:hAnsi="仿宋" w:eastAsia="仿宋" w:cs="仿宋"/>
                <w:snapToGrid w:val="0"/>
                <w:color w:val="000000" w:themeColor="text1"/>
                <w:spacing w:val="1"/>
                <w:kern w:val="0"/>
                <w:sz w:val="24"/>
                <w:szCs w:val="24"/>
                <w:lang w:val="en-US" w:eastAsia="zh-CN" w:bidi="ar-SA"/>
                <w14:textFill>
                  <w14:solidFill>
                    <w14:schemeClr w14:val="tx1"/>
                  </w14:solidFill>
                </w14:textFill>
              </w:rPr>
              <w:t>20</w:t>
            </w:r>
            <w:r>
              <w:rPr>
                <w:rFonts w:hint="eastAsia" w:ascii="仿宋" w:hAnsi="仿宋" w:eastAsia="仿宋" w:cs="仿宋"/>
                <w:snapToGrid w:val="0"/>
                <w:color w:val="000000" w:themeColor="text1"/>
                <w:spacing w:val="1"/>
                <w:kern w:val="0"/>
                <w:sz w:val="24"/>
                <w:szCs w:val="24"/>
                <w:lang w:val="en-US" w:eastAsia="en-US" w:bidi="ar-SA"/>
                <w14:textFill>
                  <w14:solidFill>
                    <w14:schemeClr w14:val="tx1"/>
                  </w14:solidFill>
                </w14:textFill>
              </w:rPr>
              <w:t>分）</w:t>
            </w:r>
          </w:p>
        </w:tc>
        <w:tc>
          <w:tcPr>
            <w:tcW w:w="2077" w:type="dxa"/>
            <w:gridSpan w:val="2"/>
            <w:tcBorders>
              <w:top w:val="single" w:color="auto" w:sz="4" w:space="0"/>
              <w:bottom w:val="single" w:color="auto" w:sz="4" w:space="0"/>
            </w:tcBorders>
            <w:vAlign w:val="top"/>
          </w:tcPr>
          <w:p>
            <w:pPr>
              <w:pStyle w:val="22"/>
              <w:spacing w:before="65" w:line="242" w:lineRule="auto"/>
              <w:ind w:right="59"/>
              <w:rPr>
                <w:rFonts w:hint="eastAsia" w:ascii="仿宋" w:hAnsi="仿宋" w:eastAsia="仿宋" w:cs="仿宋"/>
                <w:snapToGrid w:val="0"/>
                <w:color w:val="000000" w:themeColor="text1"/>
                <w:spacing w:val="1"/>
                <w:kern w:val="0"/>
                <w:sz w:val="24"/>
                <w:szCs w:val="24"/>
                <w:lang w:val="en-US" w:eastAsia="en-US" w:bidi="ar-SA"/>
                <w14:textFill>
                  <w14:solidFill>
                    <w14:schemeClr w14:val="tx1"/>
                  </w14:solidFill>
                </w14:textFill>
              </w:rPr>
            </w:pPr>
          </w:p>
          <w:p>
            <w:pPr>
              <w:pStyle w:val="22"/>
              <w:spacing w:before="65" w:line="242" w:lineRule="auto"/>
              <w:ind w:right="59"/>
              <w:rPr>
                <w:rFonts w:hint="eastAsia" w:ascii="仿宋" w:hAnsi="仿宋" w:eastAsia="仿宋" w:cs="仿宋"/>
                <w:snapToGrid w:val="0"/>
                <w:color w:val="000000" w:themeColor="text1"/>
                <w:spacing w:val="1"/>
                <w:kern w:val="0"/>
                <w:sz w:val="24"/>
                <w:szCs w:val="24"/>
                <w:lang w:val="en-US" w:eastAsia="en-US" w:bidi="ar-SA"/>
                <w14:textFill>
                  <w14:solidFill>
                    <w14:schemeClr w14:val="tx1"/>
                  </w14:solidFill>
                </w14:textFill>
              </w:rPr>
            </w:pPr>
            <w:r>
              <w:rPr>
                <w:rFonts w:hint="eastAsia" w:ascii="仿宋" w:hAnsi="仿宋" w:eastAsia="仿宋" w:cs="仿宋"/>
                <w:snapToGrid w:val="0"/>
                <w:color w:val="000000" w:themeColor="text1"/>
                <w:spacing w:val="1"/>
                <w:kern w:val="0"/>
                <w:sz w:val="24"/>
                <w:szCs w:val="24"/>
                <w:lang w:val="en-US" w:eastAsia="zh-CN" w:bidi="ar-SA"/>
                <w14:textFill>
                  <w14:solidFill>
                    <w14:schemeClr w14:val="tx1"/>
                  </w14:solidFill>
                </w14:textFill>
              </w:rPr>
              <w:t>投标人</w:t>
            </w:r>
            <w:r>
              <w:rPr>
                <w:rFonts w:hint="eastAsia" w:ascii="仿宋" w:hAnsi="仿宋" w:eastAsia="仿宋" w:cs="仿宋"/>
                <w:snapToGrid w:val="0"/>
                <w:color w:val="000000" w:themeColor="text1"/>
                <w:spacing w:val="1"/>
                <w:kern w:val="0"/>
                <w:sz w:val="24"/>
                <w:szCs w:val="24"/>
                <w:lang w:val="en-US" w:eastAsia="en-US" w:bidi="ar-SA"/>
                <w14:textFill>
                  <w14:solidFill>
                    <w14:schemeClr w14:val="tx1"/>
                  </w14:solidFill>
                </w14:textFill>
              </w:rPr>
              <w:t>类似项目及成功案例（</w:t>
            </w:r>
            <w:r>
              <w:rPr>
                <w:rFonts w:hint="eastAsia" w:ascii="仿宋" w:hAnsi="仿宋" w:eastAsia="仿宋" w:cs="仿宋"/>
                <w:snapToGrid w:val="0"/>
                <w:color w:val="000000" w:themeColor="text1"/>
                <w:spacing w:val="1"/>
                <w:kern w:val="0"/>
                <w:sz w:val="24"/>
                <w:szCs w:val="24"/>
                <w:lang w:val="en-US" w:eastAsia="zh-CN" w:bidi="ar-SA"/>
                <w14:textFill>
                  <w14:solidFill>
                    <w14:schemeClr w14:val="tx1"/>
                  </w14:solidFill>
                </w14:textFill>
              </w:rPr>
              <w:t>10</w:t>
            </w:r>
            <w:r>
              <w:rPr>
                <w:rFonts w:hint="eastAsia" w:ascii="仿宋" w:hAnsi="仿宋" w:eastAsia="仿宋" w:cs="仿宋"/>
                <w:snapToGrid w:val="0"/>
                <w:color w:val="000000" w:themeColor="text1"/>
                <w:spacing w:val="1"/>
                <w:kern w:val="0"/>
                <w:sz w:val="24"/>
                <w:szCs w:val="24"/>
                <w:lang w:val="en-US" w:eastAsia="en-US" w:bidi="ar-SA"/>
                <w14:textFill>
                  <w14:solidFill>
                    <w14:schemeClr w14:val="tx1"/>
                  </w14:solidFill>
                </w14:textFill>
              </w:rPr>
              <w:t>分）</w:t>
            </w:r>
          </w:p>
        </w:tc>
        <w:tc>
          <w:tcPr>
            <w:tcW w:w="6563" w:type="dxa"/>
            <w:gridSpan w:val="2"/>
            <w:tcBorders>
              <w:top w:val="single" w:color="auto" w:sz="4" w:space="0"/>
              <w:bottom w:val="single" w:color="auto" w:sz="4" w:space="0"/>
              <w:right w:val="single" w:color="auto" w:sz="4" w:space="0"/>
            </w:tcBorders>
            <w:vAlign w:val="top"/>
          </w:tcPr>
          <w:p>
            <w:pPr>
              <w:pStyle w:val="22"/>
              <w:spacing w:before="65" w:line="242" w:lineRule="auto"/>
              <w:ind w:right="59"/>
              <w:rPr>
                <w:rFonts w:hint="eastAsia" w:ascii="仿宋" w:hAnsi="仿宋" w:eastAsia="仿宋" w:cs="仿宋"/>
                <w:snapToGrid w:val="0"/>
                <w:color w:val="000000" w:themeColor="text1"/>
                <w:spacing w:val="1"/>
                <w:kern w:val="0"/>
                <w:sz w:val="24"/>
                <w:szCs w:val="24"/>
                <w:lang w:val="en-US" w:eastAsia="en-US" w:bidi="ar-SA"/>
                <w14:textFill>
                  <w14:solidFill>
                    <w14:schemeClr w14:val="tx1"/>
                  </w14:solidFill>
                </w14:textFill>
              </w:rPr>
            </w:pPr>
            <w:r>
              <w:rPr>
                <w:rFonts w:hint="eastAsia" w:ascii="仿宋" w:hAnsi="仿宋" w:eastAsia="仿宋" w:cs="仿宋"/>
                <w:snapToGrid w:val="0"/>
                <w:color w:val="000000" w:themeColor="text1"/>
                <w:spacing w:val="1"/>
                <w:kern w:val="0"/>
                <w:sz w:val="24"/>
                <w:szCs w:val="24"/>
                <w:lang w:val="en-US" w:eastAsia="zh-CN" w:bidi="ar-SA"/>
                <w14:textFill>
                  <w14:solidFill>
                    <w14:schemeClr w14:val="tx1"/>
                  </w14:solidFill>
                </w14:textFill>
              </w:rPr>
              <w:t>2019年1月1日以来供应商相关项目业绩，提供一个得3分，共10分。（投标文件中附中标公告截图、合同、中标通知书扫描件，以合同签定时间为准）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5" w:hRule="atLeast"/>
        </w:trPr>
        <w:tc>
          <w:tcPr>
            <w:tcW w:w="1305" w:type="dxa"/>
            <w:vMerge w:val="continue"/>
            <w:tcBorders>
              <w:left w:val="single" w:color="auto" w:sz="4" w:space="0"/>
            </w:tcBorders>
            <w:vAlign w:val="top"/>
          </w:tcPr>
          <w:p>
            <w:pPr>
              <w:bidi w:val="0"/>
              <w:jc w:val="both"/>
              <w:rPr>
                <w:rFonts w:hint="eastAsia" w:ascii="仿宋" w:hAnsi="仿宋" w:eastAsia="仿宋" w:cs="仿宋"/>
                <w:snapToGrid w:val="0"/>
                <w:color w:val="000000"/>
                <w:spacing w:val="1"/>
                <w:kern w:val="0"/>
                <w:sz w:val="24"/>
                <w:szCs w:val="24"/>
                <w:lang w:val="en-US" w:eastAsia="en-US" w:bidi="ar-SA"/>
              </w:rPr>
            </w:pPr>
          </w:p>
        </w:tc>
        <w:tc>
          <w:tcPr>
            <w:tcW w:w="2077" w:type="dxa"/>
            <w:gridSpan w:val="2"/>
            <w:tcBorders>
              <w:top w:val="single" w:color="auto" w:sz="4" w:space="0"/>
              <w:bottom w:val="single" w:color="auto" w:sz="4" w:space="0"/>
            </w:tcBorders>
            <w:vAlign w:val="top"/>
          </w:tcPr>
          <w:p>
            <w:pPr>
              <w:keepNext w:val="0"/>
              <w:keepLines w:val="0"/>
              <w:suppressLineNumbers w:val="0"/>
              <w:adjustRightInd w:val="0"/>
              <w:snapToGrid w:val="0"/>
              <w:spacing w:before="0" w:beforeAutospacing="0" w:afterAutospacing="0" w:line="360" w:lineRule="auto"/>
              <w:ind w:left="0" w:leftChars="0" w:right="0" w:firstLine="0" w:firstLineChars="0"/>
              <w:jc w:val="center"/>
              <w:rPr>
                <w:rFonts w:hint="eastAsia" w:ascii="仿宋" w:hAnsi="仿宋" w:eastAsia="仿宋" w:cs="仿宋"/>
                <w:snapToGrid w:val="0"/>
                <w:color w:val="000000" w:themeColor="text1"/>
                <w:spacing w:val="1"/>
                <w:kern w:val="0"/>
                <w:sz w:val="24"/>
                <w:szCs w:val="24"/>
                <w:lang w:val="en-US" w:eastAsia="en-US" w:bidi="ar-SA"/>
                <w14:textFill>
                  <w14:solidFill>
                    <w14:schemeClr w14:val="tx1"/>
                  </w14:solidFill>
                </w14:textFill>
              </w:rPr>
            </w:pPr>
          </w:p>
          <w:p>
            <w:pPr>
              <w:keepNext w:val="0"/>
              <w:keepLines w:val="0"/>
              <w:suppressLineNumbers w:val="0"/>
              <w:adjustRightInd w:val="0"/>
              <w:snapToGrid w:val="0"/>
              <w:spacing w:before="0" w:beforeAutospacing="0" w:afterAutospacing="0" w:line="360" w:lineRule="auto"/>
              <w:ind w:left="0" w:leftChars="0" w:right="0" w:firstLine="0" w:firstLineChars="0"/>
              <w:jc w:val="center"/>
              <w:rPr>
                <w:rFonts w:hint="default" w:ascii="仿宋" w:hAnsi="仿宋" w:eastAsia="仿宋" w:cs="仿宋"/>
                <w:snapToGrid w:val="0"/>
                <w:color w:val="000000" w:themeColor="text1"/>
                <w:spacing w:val="1"/>
                <w:kern w:val="0"/>
                <w:sz w:val="24"/>
                <w:szCs w:val="24"/>
                <w:lang w:val="en-US" w:eastAsia="en-US" w:bidi="ar-SA"/>
                <w14:textFill>
                  <w14:solidFill>
                    <w14:schemeClr w14:val="tx1"/>
                  </w14:solidFill>
                </w14:textFill>
              </w:rPr>
            </w:pPr>
            <w:r>
              <w:rPr>
                <w:rFonts w:hint="eastAsia" w:ascii="仿宋" w:hAnsi="仿宋" w:eastAsia="仿宋" w:cs="仿宋"/>
                <w:snapToGrid w:val="0"/>
                <w:color w:val="000000" w:themeColor="text1"/>
                <w:spacing w:val="1"/>
                <w:kern w:val="0"/>
                <w:sz w:val="24"/>
                <w:szCs w:val="24"/>
                <w:lang w:val="en-US" w:eastAsia="en-US" w:bidi="ar-SA"/>
                <w14:textFill>
                  <w14:solidFill>
                    <w14:schemeClr w14:val="tx1"/>
                  </w14:solidFill>
                </w14:textFill>
              </w:rPr>
              <w:t>售后服务</w:t>
            </w:r>
          </w:p>
          <w:p>
            <w:pPr>
              <w:keepNext w:val="0"/>
              <w:keepLines w:val="0"/>
              <w:suppressLineNumbers w:val="0"/>
              <w:adjustRightInd w:val="0"/>
              <w:snapToGrid w:val="0"/>
              <w:spacing w:before="0" w:beforeAutospacing="0" w:afterAutospacing="0" w:line="360" w:lineRule="auto"/>
              <w:ind w:right="0" w:rightChars="0"/>
              <w:jc w:val="center"/>
              <w:rPr>
                <w:rFonts w:hint="eastAsia" w:ascii="仿宋" w:hAnsi="仿宋" w:eastAsia="仿宋" w:cs="仿宋"/>
                <w:snapToGrid w:val="0"/>
                <w:color w:val="000000" w:themeColor="text1"/>
                <w:spacing w:val="1"/>
                <w:kern w:val="0"/>
                <w:sz w:val="24"/>
                <w:szCs w:val="24"/>
                <w:lang w:val="en-US" w:eastAsia="en-US" w:bidi="ar-SA"/>
                <w14:textFill>
                  <w14:solidFill>
                    <w14:schemeClr w14:val="tx1"/>
                  </w14:solidFill>
                </w14:textFill>
              </w:rPr>
            </w:pPr>
            <w:r>
              <w:rPr>
                <w:rFonts w:hint="eastAsia" w:ascii="仿宋" w:hAnsi="仿宋" w:eastAsia="仿宋" w:cs="仿宋"/>
                <w:snapToGrid w:val="0"/>
                <w:color w:val="000000" w:themeColor="text1"/>
                <w:spacing w:val="1"/>
                <w:kern w:val="0"/>
                <w:sz w:val="24"/>
                <w:szCs w:val="24"/>
                <w:lang w:val="en-US" w:eastAsia="en-US" w:bidi="ar-SA"/>
                <w14:textFill>
                  <w14:solidFill>
                    <w14:schemeClr w14:val="tx1"/>
                  </w14:solidFill>
                </w14:textFill>
              </w:rPr>
              <w:t>（</w:t>
            </w:r>
            <w:r>
              <w:rPr>
                <w:rFonts w:hint="eastAsia" w:ascii="仿宋" w:hAnsi="仿宋" w:eastAsia="仿宋" w:cs="仿宋"/>
                <w:snapToGrid w:val="0"/>
                <w:color w:val="000000" w:themeColor="text1"/>
                <w:spacing w:val="1"/>
                <w:kern w:val="0"/>
                <w:sz w:val="24"/>
                <w:szCs w:val="24"/>
                <w:lang w:val="en-US" w:eastAsia="zh-CN" w:bidi="ar-SA"/>
                <w14:textFill>
                  <w14:solidFill>
                    <w14:schemeClr w14:val="tx1"/>
                  </w14:solidFill>
                </w14:textFill>
              </w:rPr>
              <w:t>5</w:t>
            </w:r>
            <w:r>
              <w:rPr>
                <w:rFonts w:hint="eastAsia" w:ascii="仿宋" w:hAnsi="仿宋" w:eastAsia="仿宋" w:cs="仿宋"/>
                <w:snapToGrid w:val="0"/>
                <w:color w:val="000000" w:themeColor="text1"/>
                <w:spacing w:val="1"/>
                <w:kern w:val="0"/>
                <w:sz w:val="24"/>
                <w:szCs w:val="24"/>
                <w:lang w:val="en-US" w:eastAsia="en-US" w:bidi="ar-SA"/>
                <w14:textFill>
                  <w14:solidFill>
                    <w14:schemeClr w14:val="tx1"/>
                  </w14:solidFill>
                </w14:textFill>
              </w:rPr>
              <w:t>分）</w:t>
            </w:r>
          </w:p>
        </w:tc>
        <w:tc>
          <w:tcPr>
            <w:tcW w:w="6563" w:type="dxa"/>
            <w:gridSpan w:val="2"/>
            <w:tcBorders>
              <w:top w:val="single" w:color="auto" w:sz="4" w:space="0"/>
              <w:bottom w:val="single" w:color="auto" w:sz="4" w:space="0"/>
              <w:right w:val="single" w:color="auto" w:sz="4" w:space="0"/>
            </w:tcBorders>
            <w:vAlign w:val="top"/>
          </w:tcPr>
          <w:p>
            <w:pPr>
              <w:pStyle w:val="22"/>
              <w:spacing w:before="65" w:line="242" w:lineRule="auto"/>
              <w:ind w:right="59"/>
              <w:rPr>
                <w:rFonts w:hint="default" w:ascii="仿宋" w:hAnsi="仿宋" w:eastAsia="仿宋" w:cs="仿宋"/>
                <w:snapToGrid w:val="0"/>
                <w:color w:val="000000" w:themeColor="text1"/>
                <w:spacing w:val="1"/>
                <w:kern w:val="0"/>
                <w:sz w:val="24"/>
                <w:szCs w:val="24"/>
                <w:lang w:val="en-US" w:eastAsia="en-US" w:bidi="ar-SA"/>
                <w14:textFill>
                  <w14:solidFill>
                    <w14:schemeClr w14:val="tx1"/>
                  </w14:solidFill>
                </w14:textFill>
              </w:rPr>
            </w:pPr>
            <w:r>
              <w:rPr>
                <w:rFonts w:hint="eastAsia" w:ascii="仿宋" w:hAnsi="仿宋" w:eastAsia="仿宋" w:cs="仿宋"/>
                <w:snapToGrid w:val="0"/>
                <w:color w:val="000000" w:themeColor="text1"/>
                <w:spacing w:val="1"/>
                <w:kern w:val="0"/>
                <w:sz w:val="24"/>
                <w:szCs w:val="24"/>
                <w:lang w:val="en-US" w:eastAsia="en-US" w:bidi="ar-SA"/>
                <w14:textFill>
                  <w14:solidFill>
                    <w14:schemeClr w14:val="tx1"/>
                  </w14:solidFill>
                </w14:textFill>
              </w:rPr>
              <w:t>售后方案：评标委员会根据供应商提供的售后服务承诺的完整性、合理性进行打分。内容完整、清晰、详实合理得当的，得</w:t>
            </w:r>
            <w:r>
              <w:rPr>
                <w:rFonts w:hint="eastAsia" w:ascii="仿宋" w:hAnsi="仿宋" w:eastAsia="仿宋" w:cs="仿宋"/>
                <w:snapToGrid w:val="0"/>
                <w:color w:val="000000" w:themeColor="text1"/>
                <w:spacing w:val="1"/>
                <w:kern w:val="0"/>
                <w:sz w:val="24"/>
                <w:szCs w:val="24"/>
                <w:lang w:val="en-US" w:eastAsia="zh-CN" w:bidi="ar-SA"/>
                <w14:textFill>
                  <w14:solidFill>
                    <w14:schemeClr w14:val="tx1"/>
                  </w14:solidFill>
                </w14:textFill>
              </w:rPr>
              <w:t>5</w:t>
            </w:r>
            <w:r>
              <w:rPr>
                <w:rFonts w:hint="eastAsia" w:ascii="仿宋" w:hAnsi="仿宋" w:eastAsia="仿宋" w:cs="仿宋"/>
                <w:snapToGrid w:val="0"/>
                <w:color w:val="000000" w:themeColor="text1"/>
                <w:spacing w:val="1"/>
                <w:kern w:val="0"/>
                <w:sz w:val="24"/>
                <w:szCs w:val="24"/>
                <w:lang w:val="en-US" w:eastAsia="en-US" w:bidi="ar-SA"/>
                <w14:textFill>
                  <w14:solidFill>
                    <w14:schemeClr w14:val="tx1"/>
                  </w14:solidFill>
                </w14:textFill>
              </w:rPr>
              <w:t>分；内容完整、清晰合理得当的，得</w:t>
            </w:r>
            <w:r>
              <w:rPr>
                <w:rFonts w:hint="eastAsia" w:ascii="仿宋" w:hAnsi="仿宋" w:eastAsia="仿宋" w:cs="仿宋"/>
                <w:snapToGrid w:val="0"/>
                <w:color w:val="000000" w:themeColor="text1"/>
                <w:spacing w:val="1"/>
                <w:kern w:val="0"/>
                <w:sz w:val="24"/>
                <w:szCs w:val="24"/>
                <w:lang w:val="en-US" w:eastAsia="zh-CN" w:bidi="ar-SA"/>
                <w14:textFill>
                  <w14:solidFill>
                    <w14:schemeClr w14:val="tx1"/>
                  </w14:solidFill>
                </w14:textFill>
              </w:rPr>
              <w:t>3</w:t>
            </w:r>
            <w:r>
              <w:rPr>
                <w:rFonts w:hint="eastAsia" w:ascii="仿宋" w:hAnsi="仿宋" w:eastAsia="仿宋" w:cs="仿宋"/>
                <w:snapToGrid w:val="0"/>
                <w:color w:val="000000" w:themeColor="text1"/>
                <w:spacing w:val="1"/>
                <w:kern w:val="0"/>
                <w:sz w:val="24"/>
                <w:szCs w:val="24"/>
                <w:lang w:val="en-US" w:eastAsia="en-US" w:bidi="ar-SA"/>
                <w14:textFill>
                  <w14:solidFill>
                    <w14:schemeClr w14:val="tx1"/>
                  </w14:solidFill>
                </w14:textFill>
              </w:rPr>
              <w:t>分；内容基本完整、基本合理得当的，得</w:t>
            </w:r>
            <w:r>
              <w:rPr>
                <w:rFonts w:hint="eastAsia" w:ascii="仿宋" w:hAnsi="仿宋" w:eastAsia="仿宋" w:cs="仿宋"/>
                <w:snapToGrid w:val="0"/>
                <w:color w:val="000000" w:themeColor="text1"/>
                <w:spacing w:val="1"/>
                <w:kern w:val="0"/>
                <w:sz w:val="24"/>
                <w:szCs w:val="24"/>
                <w:lang w:val="en-US" w:eastAsia="zh-CN" w:bidi="ar-SA"/>
                <w14:textFill>
                  <w14:solidFill>
                    <w14:schemeClr w14:val="tx1"/>
                  </w14:solidFill>
                </w14:textFill>
              </w:rPr>
              <w:t>1</w:t>
            </w:r>
            <w:r>
              <w:rPr>
                <w:rFonts w:hint="eastAsia" w:ascii="仿宋" w:hAnsi="仿宋" w:eastAsia="仿宋" w:cs="仿宋"/>
                <w:snapToGrid w:val="0"/>
                <w:color w:val="000000" w:themeColor="text1"/>
                <w:spacing w:val="1"/>
                <w:kern w:val="0"/>
                <w:sz w:val="24"/>
                <w:szCs w:val="24"/>
                <w:lang w:val="en-US" w:eastAsia="en-US" w:bidi="ar-SA"/>
                <w14:textFill>
                  <w14:solidFill>
                    <w14:schemeClr w14:val="tx1"/>
                  </w14:solidFill>
                </w14:textFill>
              </w:rPr>
              <w:t>分。本项内容缺项不得分。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5" w:hRule="atLeast"/>
        </w:trPr>
        <w:tc>
          <w:tcPr>
            <w:tcW w:w="1305" w:type="dxa"/>
            <w:vMerge w:val="continue"/>
            <w:tcBorders>
              <w:left w:val="single" w:color="auto" w:sz="4" w:space="0"/>
              <w:bottom w:val="single" w:color="auto" w:sz="4" w:space="0"/>
            </w:tcBorders>
            <w:vAlign w:val="top"/>
          </w:tcPr>
          <w:p>
            <w:pPr>
              <w:bidi w:val="0"/>
              <w:jc w:val="both"/>
              <w:rPr>
                <w:rFonts w:hint="eastAsia" w:ascii="仿宋" w:hAnsi="仿宋" w:eastAsia="仿宋" w:cs="仿宋"/>
                <w:snapToGrid w:val="0"/>
                <w:color w:val="000000"/>
                <w:spacing w:val="1"/>
                <w:kern w:val="0"/>
                <w:sz w:val="24"/>
                <w:szCs w:val="24"/>
                <w:lang w:val="en-US" w:eastAsia="en-US" w:bidi="ar-SA"/>
              </w:rPr>
            </w:pPr>
          </w:p>
        </w:tc>
        <w:tc>
          <w:tcPr>
            <w:tcW w:w="2077" w:type="dxa"/>
            <w:gridSpan w:val="2"/>
            <w:tcBorders>
              <w:top w:val="single" w:color="auto" w:sz="4" w:space="0"/>
              <w:bottom w:val="single" w:color="auto" w:sz="4" w:space="0"/>
            </w:tcBorders>
            <w:vAlign w:val="top"/>
          </w:tcPr>
          <w:p>
            <w:pPr>
              <w:keepNext w:val="0"/>
              <w:keepLines w:val="0"/>
              <w:suppressLineNumbers w:val="0"/>
              <w:adjustRightInd w:val="0"/>
              <w:snapToGrid w:val="0"/>
              <w:spacing w:before="0" w:beforeAutospacing="0" w:afterAutospacing="0" w:line="360" w:lineRule="auto"/>
              <w:ind w:right="0" w:rightChars="0"/>
              <w:jc w:val="center"/>
              <w:rPr>
                <w:rFonts w:hint="eastAsia" w:ascii="仿宋" w:hAnsi="仿宋" w:eastAsia="仿宋" w:cs="仿宋"/>
                <w:snapToGrid w:val="0"/>
                <w:color w:val="000000"/>
                <w:spacing w:val="1"/>
                <w:kern w:val="0"/>
                <w:sz w:val="24"/>
                <w:szCs w:val="24"/>
                <w:lang w:val="en-US" w:eastAsia="en-US" w:bidi="ar-SA"/>
              </w:rPr>
            </w:pPr>
          </w:p>
          <w:p>
            <w:pPr>
              <w:keepNext w:val="0"/>
              <w:keepLines w:val="0"/>
              <w:suppressLineNumbers w:val="0"/>
              <w:adjustRightInd w:val="0"/>
              <w:snapToGrid w:val="0"/>
              <w:spacing w:before="0" w:beforeAutospacing="0" w:afterAutospacing="0" w:line="360" w:lineRule="auto"/>
              <w:ind w:right="0" w:rightChars="0"/>
              <w:jc w:val="center"/>
              <w:rPr>
                <w:rFonts w:hint="eastAsia" w:ascii="仿宋" w:hAnsi="仿宋" w:eastAsia="仿宋" w:cs="仿宋"/>
                <w:snapToGrid w:val="0"/>
                <w:color w:val="000000"/>
                <w:spacing w:val="1"/>
                <w:kern w:val="0"/>
                <w:sz w:val="24"/>
                <w:szCs w:val="24"/>
                <w:lang w:val="en-US" w:eastAsia="en-US" w:bidi="ar-SA"/>
              </w:rPr>
            </w:pPr>
          </w:p>
          <w:p>
            <w:pPr>
              <w:keepNext w:val="0"/>
              <w:keepLines w:val="0"/>
              <w:suppressLineNumbers w:val="0"/>
              <w:adjustRightInd w:val="0"/>
              <w:snapToGrid w:val="0"/>
              <w:spacing w:before="0" w:beforeAutospacing="0" w:afterAutospacing="0" w:line="360" w:lineRule="auto"/>
              <w:ind w:right="0" w:rightChars="0"/>
              <w:jc w:val="center"/>
              <w:rPr>
                <w:rFonts w:hint="eastAsia" w:ascii="仿宋" w:hAnsi="仿宋" w:eastAsia="仿宋" w:cs="仿宋"/>
                <w:snapToGrid w:val="0"/>
                <w:color w:val="000000"/>
                <w:spacing w:val="1"/>
                <w:kern w:val="0"/>
                <w:sz w:val="24"/>
                <w:szCs w:val="24"/>
                <w:lang w:val="en-US" w:eastAsia="en-US" w:bidi="ar-SA"/>
              </w:rPr>
            </w:pPr>
          </w:p>
          <w:p>
            <w:pPr>
              <w:keepNext w:val="0"/>
              <w:keepLines w:val="0"/>
              <w:suppressLineNumbers w:val="0"/>
              <w:adjustRightInd w:val="0"/>
              <w:snapToGrid w:val="0"/>
              <w:spacing w:before="0" w:beforeAutospacing="0" w:afterAutospacing="0" w:line="360" w:lineRule="auto"/>
              <w:ind w:right="0" w:rightChars="0"/>
              <w:jc w:val="center"/>
              <w:rPr>
                <w:rFonts w:hint="eastAsia" w:ascii="仿宋" w:hAnsi="仿宋" w:eastAsia="仿宋" w:cs="仿宋"/>
                <w:snapToGrid w:val="0"/>
                <w:color w:val="000000"/>
                <w:spacing w:val="1"/>
                <w:kern w:val="0"/>
                <w:sz w:val="24"/>
                <w:szCs w:val="24"/>
                <w:lang w:val="en-US" w:eastAsia="en-US" w:bidi="ar-SA"/>
              </w:rPr>
            </w:pPr>
          </w:p>
          <w:p>
            <w:pPr>
              <w:keepNext w:val="0"/>
              <w:keepLines w:val="0"/>
              <w:suppressLineNumbers w:val="0"/>
              <w:adjustRightInd w:val="0"/>
              <w:snapToGrid w:val="0"/>
              <w:spacing w:before="0" w:beforeAutospacing="0" w:afterAutospacing="0" w:line="360" w:lineRule="auto"/>
              <w:ind w:right="0" w:rightChars="0" w:firstLine="242" w:firstLineChars="100"/>
              <w:jc w:val="both"/>
              <w:rPr>
                <w:rFonts w:hint="eastAsia" w:ascii="仿宋" w:hAnsi="仿宋" w:eastAsia="仿宋" w:cs="仿宋"/>
                <w:snapToGrid w:val="0"/>
                <w:color w:val="000000" w:themeColor="text1"/>
                <w:spacing w:val="1"/>
                <w:kern w:val="0"/>
                <w:sz w:val="24"/>
                <w:szCs w:val="24"/>
                <w:lang w:val="en-US" w:eastAsia="en-US" w:bidi="ar-SA"/>
                <w14:textFill>
                  <w14:solidFill>
                    <w14:schemeClr w14:val="tx1"/>
                  </w14:solidFill>
                </w14:textFill>
              </w:rPr>
            </w:pPr>
            <w:r>
              <w:rPr>
                <w:rFonts w:hint="eastAsia" w:ascii="仿宋" w:hAnsi="仿宋" w:eastAsia="仿宋" w:cs="仿宋"/>
                <w:snapToGrid w:val="0"/>
                <w:color w:val="000000"/>
                <w:spacing w:val="1"/>
                <w:kern w:val="0"/>
                <w:sz w:val="24"/>
                <w:szCs w:val="24"/>
                <w:lang w:val="en-US" w:eastAsia="en-US" w:bidi="ar-SA"/>
              </w:rPr>
              <w:t>培训方案（</w:t>
            </w:r>
            <w:r>
              <w:rPr>
                <w:rFonts w:hint="eastAsia" w:ascii="仿宋" w:hAnsi="仿宋" w:eastAsia="仿宋" w:cs="仿宋"/>
                <w:snapToGrid w:val="0"/>
                <w:color w:val="000000"/>
                <w:spacing w:val="1"/>
                <w:kern w:val="0"/>
                <w:sz w:val="24"/>
                <w:szCs w:val="24"/>
                <w:lang w:val="en-US" w:eastAsia="zh-CN" w:bidi="ar-SA"/>
              </w:rPr>
              <w:t>5</w:t>
            </w:r>
            <w:r>
              <w:rPr>
                <w:rFonts w:hint="eastAsia" w:ascii="仿宋" w:hAnsi="仿宋" w:eastAsia="仿宋" w:cs="仿宋"/>
                <w:snapToGrid w:val="0"/>
                <w:color w:val="000000"/>
                <w:spacing w:val="1"/>
                <w:kern w:val="0"/>
                <w:sz w:val="24"/>
                <w:szCs w:val="24"/>
                <w:lang w:val="en-US" w:eastAsia="en-US" w:bidi="ar-SA"/>
              </w:rPr>
              <w:t>分）</w:t>
            </w:r>
          </w:p>
        </w:tc>
        <w:tc>
          <w:tcPr>
            <w:tcW w:w="6563" w:type="dxa"/>
            <w:gridSpan w:val="2"/>
            <w:tcBorders>
              <w:top w:val="single" w:color="auto" w:sz="4" w:space="0"/>
              <w:bottom w:val="single" w:color="auto" w:sz="4" w:space="0"/>
              <w:right w:val="single" w:color="auto" w:sz="4" w:space="0"/>
            </w:tcBorders>
            <w:vAlign w:val="top"/>
          </w:tcPr>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对供应商的培训方案进行综合评分，培训方案包括但不限于以下方面：</w:t>
            </w: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w:t>
            </w:r>
            <w:r>
              <w:rPr>
                <w:rFonts w:hint="eastAsia" w:ascii="仿宋" w:hAnsi="仿宋" w:eastAsia="仿宋" w:cs="仿宋"/>
                <w:snapToGrid w:val="0"/>
                <w:color w:val="000000"/>
                <w:spacing w:val="1"/>
                <w:kern w:val="0"/>
                <w:sz w:val="24"/>
                <w:szCs w:val="24"/>
                <w:lang w:val="en-US" w:eastAsia="zh-CN" w:bidi="ar-SA"/>
              </w:rPr>
              <w:t>、</w:t>
            </w:r>
            <w:r>
              <w:rPr>
                <w:rFonts w:hint="eastAsia" w:ascii="仿宋" w:hAnsi="仿宋" w:eastAsia="仿宋" w:cs="仿宋"/>
                <w:snapToGrid w:val="0"/>
                <w:color w:val="000000"/>
                <w:spacing w:val="1"/>
                <w:kern w:val="0"/>
                <w:sz w:val="24"/>
                <w:szCs w:val="24"/>
                <w:lang w:val="en-US" w:eastAsia="en-US" w:bidi="ar-SA"/>
              </w:rPr>
              <w:t>有关设备的使用、维护和保养等方法</w:t>
            </w:r>
            <w:r>
              <w:rPr>
                <w:rFonts w:hint="eastAsia" w:ascii="仿宋" w:hAnsi="仿宋" w:eastAsia="仿宋" w:cs="仿宋"/>
                <w:snapToGrid w:val="0"/>
                <w:color w:val="000000"/>
                <w:spacing w:val="1"/>
                <w:kern w:val="0"/>
                <w:sz w:val="24"/>
                <w:szCs w:val="24"/>
                <w:lang w:val="en-US" w:eastAsia="zh-CN" w:bidi="ar-SA"/>
              </w:rPr>
              <w:t>：</w:t>
            </w:r>
            <w:r>
              <w:rPr>
                <w:rFonts w:hint="eastAsia" w:ascii="仿宋" w:hAnsi="仿宋" w:eastAsia="仿宋" w:cs="仿宋"/>
                <w:snapToGrid w:val="0"/>
                <w:color w:val="000000"/>
                <w:spacing w:val="1"/>
                <w:kern w:val="0"/>
                <w:sz w:val="24"/>
                <w:szCs w:val="24"/>
                <w:lang w:val="en-US" w:eastAsia="en-US" w:bidi="ar-SA"/>
              </w:rPr>
              <w:t>（以使操作人员具备独立进行操作、故障处理、日常测试和维护保养等工作的能力为目的）</w:t>
            </w: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w:t>
            </w:r>
            <w:r>
              <w:rPr>
                <w:rFonts w:hint="eastAsia" w:ascii="仿宋" w:hAnsi="仿宋" w:eastAsia="仿宋" w:cs="仿宋"/>
                <w:snapToGrid w:val="0"/>
                <w:color w:val="000000"/>
                <w:spacing w:val="1"/>
                <w:kern w:val="0"/>
                <w:sz w:val="24"/>
                <w:szCs w:val="24"/>
                <w:lang w:val="en-US" w:eastAsia="zh-CN" w:bidi="ar-SA"/>
              </w:rPr>
              <w:t>、</w:t>
            </w:r>
            <w:r>
              <w:rPr>
                <w:rFonts w:hint="eastAsia" w:ascii="仿宋" w:hAnsi="仿宋" w:eastAsia="仿宋" w:cs="仿宋"/>
                <w:snapToGrid w:val="0"/>
                <w:color w:val="000000"/>
                <w:spacing w:val="1"/>
                <w:kern w:val="0"/>
                <w:sz w:val="24"/>
                <w:szCs w:val="24"/>
                <w:lang w:val="en-US" w:eastAsia="en-US" w:bidi="ar-SA"/>
              </w:rPr>
              <w:t>拟派出培训人员的基本情况介绍，应包括同类项目的培训和应用经验等内容；</w:t>
            </w: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根据供应商提供的培训方案进行评分：</w:t>
            </w:r>
          </w:p>
          <w:p>
            <w:pPr>
              <w:pStyle w:val="22"/>
              <w:spacing w:before="65" w:line="242" w:lineRule="auto"/>
              <w:ind w:right="59"/>
              <w:rPr>
                <w:rFonts w:hint="eastAsia" w:ascii="仿宋" w:hAnsi="仿宋" w:eastAsia="仿宋" w:cs="仿宋"/>
                <w:snapToGrid w:val="0"/>
                <w:color w:val="000000" w:themeColor="text1"/>
                <w:spacing w:val="1"/>
                <w:kern w:val="0"/>
                <w:sz w:val="24"/>
                <w:szCs w:val="24"/>
                <w:lang w:val="en-US" w:eastAsia="en-US" w:bidi="ar-SA"/>
                <w14:textFill>
                  <w14:solidFill>
                    <w14:schemeClr w14:val="tx1"/>
                  </w14:solidFill>
                </w14:textFill>
              </w:rPr>
            </w:pPr>
            <w:r>
              <w:rPr>
                <w:rFonts w:hint="eastAsia" w:ascii="仿宋" w:hAnsi="仿宋" w:eastAsia="仿宋" w:cs="仿宋"/>
                <w:snapToGrid w:val="0"/>
                <w:color w:val="000000"/>
                <w:spacing w:val="1"/>
                <w:kern w:val="0"/>
                <w:sz w:val="24"/>
                <w:szCs w:val="24"/>
                <w:lang w:val="en-US" w:eastAsia="en-US" w:bidi="ar-SA"/>
              </w:rPr>
              <w:t>方案详细合理，完全能够满足招标需要的</w:t>
            </w:r>
            <w:r>
              <w:rPr>
                <w:rFonts w:hint="eastAsia" w:ascii="仿宋" w:hAnsi="仿宋" w:eastAsia="仿宋" w:cs="仿宋"/>
                <w:snapToGrid w:val="0"/>
                <w:color w:val="000000"/>
                <w:spacing w:val="1"/>
                <w:kern w:val="0"/>
                <w:sz w:val="24"/>
                <w:szCs w:val="24"/>
                <w:lang w:val="en-US" w:eastAsia="zh-CN" w:bidi="ar-SA"/>
              </w:rPr>
              <w:t>，得5</w:t>
            </w:r>
            <w:r>
              <w:rPr>
                <w:rFonts w:hint="eastAsia" w:ascii="仿宋" w:hAnsi="仿宋" w:eastAsia="仿宋" w:cs="仿宋"/>
                <w:snapToGrid w:val="0"/>
                <w:color w:val="000000"/>
                <w:spacing w:val="1"/>
                <w:kern w:val="0"/>
                <w:sz w:val="24"/>
                <w:szCs w:val="24"/>
                <w:lang w:val="en-US" w:eastAsia="en-US" w:bidi="ar-SA"/>
              </w:rPr>
              <w:t>分</w:t>
            </w:r>
            <w:r>
              <w:rPr>
                <w:rFonts w:hint="eastAsia" w:ascii="仿宋" w:hAnsi="仿宋" w:eastAsia="仿宋" w:cs="仿宋"/>
                <w:snapToGrid w:val="0"/>
                <w:color w:val="000000"/>
                <w:spacing w:val="1"/>
                <w:kern w:val="0"/>
                <w:sz w:val="24"/>
                <w:szCs w:val="24"/>
                <w:lang w:val="en-US" w:eastAsia="zh-CN" w:bidi="ar-SA"/>
              </w:rPr>
              <w:t>；</w:t>
            </w:r>
            <w:r>
              <w:rPr>
                <w:rFonts w:hint="eastAsia" w:ascii="仿宋" w:hAnsi="仿宋" w:eastAsia="仿宋" w:cs="仿宋"/>
                <w:snapToGrid w:val="0"/>
                <w:color w:val="000000"/>
                <w:spacing w:val="1"/>
                <w:kern w:val="0"/>
                <w:sz w:val="24"/>
                <w:szCs w:val="24"/>
                <w:lang w:val="en-US" w:eastAsia="en-US" w:bidi="ar-SA"/>
              </w:rPr>
              <w:t>方案基本详细合理，基本满足招标的需要的</w:t>
            </w:r>
            <w:r>
              <w:rPr>
                <w:rFonts w:hint="eastAsia" w:ascii="仿宋" w:hAnsi="仿宋" w:eastAsia="仿宋" w:cs="仿宋"/>
                <w:snapToGrid w:val="0"/>
                <w:color w:val="000000"/>
                <w:spacing w:val="1"/>
                <w:kern w:val="0"/>
                <w:sz w:val="24"/>
                <w:szCs w:val="24"/>
                <w:lang w:val="en-US" w:eastAsia="zh-CN" w:bidi="ar-SA"/>
              </w:rPr>
              <w:t>得3</w:t>
            </w:r>
            <w:r>
              <w:rPr>
                <w:rFonts w:hint="eastAsia" w:ascii="仿宋" w:hAnsi="仿宋" w:eastAsia="仿宋" w:cs="仿宋"/>
                <w:snapToGrid w:val="0"/>
                <w:color w:val="000000"/>
                <w:spacing w:val="1"/>
                <w:kern w:val="0"/>
                <w:sz w:val="24"/>
                <w:szCs w:val="24"/>
                <w:lang w:val="en-US" w:eastAsia="en-US" w:bidi="ar-SA"/>
              </w:rPr>
              <w:t>分</w:t>
            </w:r>
            <w:r>
              <w:rPr>
                <w:rFonts w:hint="eastAsia" w:ascii="仿宋" w:hAnsi="仿宋" w:eastAsia="仿宋" w:cs="仿宋"/>
                <w:snapToGrid w:val="0"/>
                <w:color w:val="000000"/>
                <w:spacing w:val="1"/>
                <w:kern w:val="0"/>
                <w:sz w:val="24"/>
                <w:szCs w:val="24"/>
                <w:lang w:val="en-US" w:eastAsia="zh-CN" w:bidi="ar-SA"/>
              </w:rPr>
              <w:t>；</w:t>
            </w:r>
            <w:r>
              <w:rPr>
                <w:rFonts w:hint="eastAsia" w:ascii="仿宋" w:hAnsi="仿宋" w:eastAsia="仿宋" w:cs="仿宋"/>
                <w:snapToGrid w:val="0"/>
                <w:color w:val="000000"/>
                <w:spacing w:val="1"/>
                <w:kern w:val="0"/>
                <w:sz w:val="24"/>
                <w:szCs w:val="24"/>
                <w:lang w:val="en-US" w:eastAsia="en-US" w:bidi="ar-SA"/>
              </w:rPr>
              <w:t>方案模糊、不完整，流程欠缺或不合理，内容有遗漏，可行性较差</w:t>
            </w:r>
            <w:r>
              <w:rPr>
                <w:rFonts w:hint="eastAsia" w:ascii="仿宋" w:hAnsi="仿宋" w:eastAsia="仿宋" w:cs="仿宋"/>
                <w:snapToGrid w:val="0"/>
                <w:color w:val="000000"/>
                <w:spacing w:val="1"/>
                <w:kern w:val="0"/>
                <w:sz w:val="24"/>
                <w:szCs w:val="24"/>
                <w:lang w:val="en-US" w:eastAsia="zh-CN" w:bidi="ar-SA"/>
              </w:rPr>
              <w:t>的</w:t>
            </w:r>
            <w:r>
              <w:rPr>
                <w:rFonts w:hint="eastAsia" w:ascii="仿宋" w:hAnsi="仿宋" w:eastAsia="仿宋" w:cs="仿宋"/>
                <w:snapToGrid w:val="0"/>
                <w:color w:val="000000"/>
                <w:spacing w:val="1"/>
                <w:kern w:val="0"/>
                <w:sz w:val="24"/>
                <w:szCs w:val="24"/>
                <w:lang w:val="en-US" w:eastAsia="en-US" w:bidi="ar-SA"/>
              </w:rPr>
              <w:t>得</w:t>
            </w:r>
            <w:r>
              <w:rPr>
                <w:rFonts w:hint="eastAsia" w:ascii="仿宋" w:hAnsi="仿宋" w:eastAsia="仿宋" w:cs="仿宋"/>
                <w:snapToGrid w:val="0"/>
                <w:color w:val="000000"/>
                <w:spacing w:val="1"/>
                <w:kern w:val="0"/>
                <w:sz w:val="24"/>
                <w:szCs w:val="24"/>
                <w:lang w:val="en-US" w:eastAsia="zh-CN" w:bidi="ar-SA"/>
              </w:rPr>
              <w:t>1</w:t>
            </w:r>
            <w:r>
              <w:rPr>
                <w:rFonts w:hint="eastAsia" w:ascii="仿宋" w:hAnsi="仿宋" w:eastAsia="仿宋" w:cs="仿宋"/>
                <w:snapToGrid w:val="0"/>
                <w:color w:val="000000"/>
                <w:spacing w:val="1"/>
                <w:kern w:val="0"/>
                <w:sz w:val="24"/>
                <w:szCs w:val="24"/>
                <w:lang w:val="en-US" w:eastAsia="en-US" w:bidi="ar-SA"/>
              </w:rPr>
              <w:t>分</w:t>
            </w:r>
            <w:r>
              <w:rPr>
                <w:spacing w:val="-3"/>
                <w:sz w:val="28"/>
                <w:szCs w:val="28"/>
              </w:rPr>
              <w:t>。</w:t>
            </w:r>
            <w:r>
              <w:rPr>
                <w:rFonts w:hint="eastAsia" w:ascii="仿宋" w:hAnsi="仿宋" w:eastAsia="仿宋" w:cs="仿宋"/>
                <w:snapToGrid w:val="0"/>
                <w:color w:val="000000" w:themeColor="text1"/>
                <w:spacing w:val="1"/>
                <w:kern w:val="0"/>
                <w:sz w:val="24"/>
                <w:szCs w:val="24"/>
                <w:lang w:val="en-US" w:eastAsia="en-US" w:bidi="ar-SA"/>
                <w14:textFill>
                  <w14:solidFill>
                    <w14:schemeClr w14:val="tx1"/>
                  </w14:solidFill>
                </w14:textFill>
              </w:rPr>
              <w:t>本项内容缺项不得分。</w:t>
            </w:r>
          </w:p>
        </w:tc>
      </w:tr>
    </w:tbl>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pPr>
    </w:p>
    <w:p>
      <w:pPr>
        <w:pageBreakBefore w:val="0"/>
        <w:widowControl w:val="0"/>
        <w:numPr>
          <w:ilvl w:val="0"/>
          <w:numId w:val="2"/>
        </w:numPr>
        <w:kinsoku/>
        <w:wordWrap/>
        <w:overflowPunct/>
        <w:topLinePunct w:val="0"/>
        <w:autoSpaceDE/>
        <w:autoSpaceDN/>
        <w:bidi w:val="0"/>
        <w:adjustRightInd/>
        <w:snapToGrid/>
        <w:spacing w:line="400" w:lineRule="exact"/>
        <w:ind w:left="0" w:leftChars="0" w:firstLine="484" w:firstLineChars="200"/>
        <w:textAlignment w:val="auto"/>
        <w:outlineLvl w:val="9"/>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评审方法</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 xml:space="preserve">1.1 </w:t>
      </w:r>
      <w:r>
        <w:rPr>
          <w:rFonts w:hint="eastAsia" w:ascii="仿宋" w:hAnsi="仿宋" w:eastAsia="仿宋" w:cs="仿宋"/>
          <w:snapToGrid w:val="0"/>
          <w:color w:val="000000"/>
          <w:spacing w:val="1"/>
          <w:kern w:val="0"/>
          <w:sz w:val="24"/>
          <w:szCs w:val="24"/>
          <w:lang w:val="en-US" w:eastAsia="en-US" w:bidi="ar-SA"/>
        </w:rPr>
        <w:t>提供相同品牌产品且通过资格审查、符合性审查的不同</w:t>
      </w:r>
      <w:r>
        <w:rPr>
          <w:rFonts w:hint="eastAsia" w:ascii="仿宋" w:hAnsi="仿宋" w:eastAsia="仿宋" w:cs="仿宋"/>
          <w:snapToGrid w:val="0"/>
          <w:color w:val="000000"/>
          <w:spacing w:val="1"/>
          <w:kern w:val="0"/>
          <w:sz w:val="24"/>
          <w:szCs w:val="24"/>
          <w:lang w:val="en-US" w:eastAsia="zh-CN" w:bidi="ar-SA"/>
        </w:rPr>
        <w:t>供应商</w:t>
      </w:r>
      <w:r>
        <w:rPr>
          <w:rFonts w:hint="eastAsia" w:ascii="仿宋" w:hAnsi="仿宋" w:eastAsia="仿宋" w:cs="仿宋"/>
          <w:snapToGrid w:val="0"/>
          <w:color w:val="000000"/>
          <w:spacing w:val="1"/>
          <w:kern w:val="0"/>
          <w:sz w:val="24"/>
          <w:szCs w:val="24"/>
          <w:lang w:val="en-US" w:eastAsia="en-US" w:bidi="ar-SA"/>
        </w:rPr>
        <w:t>参加同一合同项下投标的，按一家</w:t>
      </w:r>
      <w:r>
        <w:rPr>
          <w:rFonts w:hint="eastAsia" w:ascii="仿宋" w:hAnsi="仿宋" w:eastAsia="仿宋" w:cs="仿宋"/>
          <w:snapToGrid w:val="0"/>
          <w:color w:val="000000"/>
          <w:spacing w:val="1"/>
          <w:kern w:val="0"/>
          <w:sz w:val="24"/>
          <w:szCs w:val="24"/>
          <w:lang w:val="en-US" w:eastAsia="zh-CN" w:bidi="ar-SA"/>
        </w:rPr>
        <w:t>供应商</w:t>
      </w:r>
      <w:r>
        <w:rPr>
          <w:rFonts w:hint="eastAsia" w:ascii="仿宋" w:hAnsi="仿宋" w:eastAsia="仿宋" w:cs="仿宋"/>
          <w:snapToGrid w:val="0"/>
          <w:color w:val="000000"/>
          <w:spacing w:val="1"/>
          <w:kern w:val="0"/>
          <w:sz w:val="24"/>
          <w:szCs w:val="24"/>
          <w:lang w:val="en-US" w:eastAsia="en-US" w:bidi="ar-SA"/>
        </w:rPr>
        <w:t>计算，评审后得分最高的同品牌</w:t>
      </w:r>
      <w:r>
        <w:rPr>
          <w:rFonts w:hint="eastAsia" w:ascii="仿宋" w:hAnsi="仿宋" w:eastAsia="仿宋" w:cs="仿宋"/>
          <w:snapToGrid w:val="0"/>
          <w:color w:val="000000"/>
          <w:spacing w:val="1"/>
          <w:kern w:val="0"/>
          <w:sz w:val="24"/>
          <w:szCs w:val="24"/>
          <w:lang w:val="en-US" w:eastAsia="zh-CN" w:bidi="ar-SA"/>
        </w:rPr>
        <w:t>供应商</w:t>
      </w:r>
      <w:r>
        <w:rPr>
          <w:rFonts w:hint="eastAsia" w:ascii="仿宋" w:hAnsi="仿宋" w:eastAsia="仿宋" w:cs="仿宋"/>
          <w:snapToGrid w:val="0"/>
          <w:color w:val="000000"/>
          <w:spacing w:val="1"/>
          <w:kern w:val="0"/>
          <w:sz w:val="24"/>
          <w:szCs w:val="24"/>
          <w:lang w:val="en-US" w:eastAsia="en-US" w:bidi="ar-SA"/>
        </w:rPr>
        <w:t>获得</w:t>
      </w:r>
      <w:r>
        <w:rPr>
          <w:rFonts w:hint="eastAsia" w:ascii="仿宋" w:hAnsi="仿宋" w:eastAsia="仿宋" w:cs="仿宋"/>
          <w:snapToGrid w:val="0"/>
          <w:color w:val="000000"/>
          <w:spacing w:val="1"/>
          <w:kern w:val="0"/>
          <w:sz w:val="24"/>
          <w:szCs w:val="24"/>
          <w:lang w:val="en-US" w:eastAsia="zh-CN" w:bidi="ar-SA"/>
        </w:rPr>
        <w:t>成交人</w:t>
      </w:r>
      <w:r>
        <w:rPr>
          <w:rFonts w:hint="eastAsia" w:ascii="仿宋" w:hAnsi="仿宋" w:eastAsia="仿宋" w:cs="仿宋"/>
          <w:snapToGrid w:val="0"/>
          <w:color w:val="000000"/>
          <w:spacing w:val="1"/>
          <w:kern w:val="0"/>
          <w:sz w:val="24"/>
          <w:szCs w:val="24"/>
          <w:lang w:val="en-US" w:eastAsia="en-US" w:bidi="ar-SA"/>
        </w:rPr>
        <w:t>推荐资格；评审得分相同的采取随机抽取方式确定，其他同品牌</w:t>
      </w:r>
      <w:r>
        <w:rPr>
          <w:rFonts w:hint="eastAsia" w:ascii="仿宋" w:hAnsi="仿宋" w:eastAsia="仿宋" w:cs="仿宋"/>
          <w:snapToGrid w:val="0"/>
          <w:color w:val="000000"/>
          <w:spacing w:val="1"/>
          <w:kern w:val="0"/>
          <w:sz w:val="24"/>
          <w:szCs w:val="24"/>
          <w:lang w:val="en-US" w:eastAsia="zh-CN" w:bidi="ar-SA"/>
        </w:rPr>
        <w:t>供应商</w:t>
      </w:r>
      <w:r>
        <w:rPr>
          <w:rFonts w:hint="eastAsia" w:ascii="仿宋" w:hAnsi="仿宋" w:eastAsia="仿宋" w:cs="仿宋"/>
          <w:snapToGrid w:val="0"/>
          <w:color w:val="000000"/>
          <w:spacing w:val="1"/>
          <w:kern w:val="0"/>
          <w:sz w:val="24"/>
          <w:szCs w:val="24"/>
          <w:lang w:val="en-US" w:eastAsia="en-US" w:bidi="ar-SA"/>
        </w:rPr>
        <w:t>不作为</w:t>
      </w:r>
      <w:r>
        <w:rPr>
          <w:rFonts w:hint="eastAsia" w:ascii="仿宋" w:hAnsi="仿宋" w:eastAsia="仿宋" w:cs="仿宋"/>
          <w:snapToGrid w:val="0"/>
          <w:color w:val="000000"/>
          <w:spacing w:val="1"/>
          <w:kern w:val="0"/>
          <w:sz w:val="24"/>
          <w:szCs w:val="24"/>
          <w:lang w:val="en-US" w:eastAsia="zh-CN" w:bidi="ar-SA"/>
        </w:rPr>
        <w:t>成交</w:t>
      </w:r>
      <w:r>
        <w:rPr>
          <w:rFonts w:hint="eastAsia" w:ascii="仿宋" w:hAnsi="仿宋" w:eastAsia="仿宋" w:cs="仿宋"/>
          <w:snapToGrid w:val="0"/>
          <w:color w:val="000000"/>
          <w:spacing w:val="1"/>
          <w:kern w:val="0"/>
          <w:sz w:val="24"/>
          <w:szCs w:val="24"/>
          <w:lang w:val="en-US" w:eastAsia="en-US" w:bidi="ar-SA"/>
        </w:rPr>
        <w:t>候选人。</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本次评审采用综合评分法。磋商小组对满足</w:t>
      </w:r>
      <w:r>
        <w:rPr>
          <w:rFonts w:hint="eastAsia" w:ascii="仿宋" w:hAnsi="仿宋" w:eastAsia="仿宋" w:cs="仿宋"/>
          <w:snapToGrid w:val="0"/>
          <w:color w:val="000000"/>
          <w:spacing w:val="1"/>
          <w:kern w:val="0"/>
          <w:sz w:val="24"/>
          <w:szCs w:val="24"/>
          <w:lang w:val="en-US" w:eastAsia="zh-CN" w:bidi="ar-SA"/>
        </w:rPr>
        <w:t>竞争性磋商文件</w:t>
      </w:r>
      <w:r>
        <w:rPr>
          <w:rFonts w:hint="eastAsia" w:ascii="仿宋" w:hAnsi="仿宋" w:eastAsia="仿宋" w:cs="仿宋"/>
          <w:snapToGrid w:val="0"/>
          <w:color w:val="000000"/>
          <w:spacing w:val="1"/>
          <w:kern w:val="0"/>
          <w:sz w:val="24"/>
          <w:szCs w:val="24"/>
          <w:lang w:val="en-US" w:eastAsia="en-US" w:bidi="ar-SA"/>
        </w:rPr>
        <w:t>实质性要求的响应文件，按照本章规定的评分标准进行打分，并按得分由高到低顺序推荐成交候选人，综合评分相等时，以报价得分高的优先；报价得分也相等的，由采购人自行确定。</w:t>
      </w:r>
      <w:bookmarkStart w:id="15" w:name="_Toc24936"/>
      <w:bookmarkStart w:id="16" w:name="_Toc152042378"/>
      <w:bookmarkStart w:id="17" w:name="_Toc26131"/>
      <w:bookmarkStart w:id="18" w:name="_Toc29362"/>
      <w:bookmarkStart w:id="19" w:name="_Toc318450723"/>
      <w:bookmarkStart w:id="20" w:name="_Toc281405529"/>
      <w:bookmarkStart w:id="21" w:name="_Toc466298140"/>
      <w:bookmarkStart w:id="22" w:name="_Toc455080157"/>
      <w:bookmarkStart w:id="23" w:name="_Toc6612"/>
      <w:bookmarkStart w:id="24" w:name="_Toc144974568"/>
      <w:bookmarkStart w:id="25" w:name="_Toc455867817"/>
      <w:bookmarkStart w:id="26" w:name="_Toc152045601"/>
      <w:bookmarkStart w:id="27" w:name="_Toc490667876"/>
      <w:bookmarkStart w:id="28" w:name="_Toc20837"/>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1.2</w:t>
      </w:r>
      <w:r>
        <w:rPr>
          <w:rFonts w:hint="eastAsia" w:ascii="仿宋" w:hAnsi="仿宋" w:eastAsia="仿宋" w:cs="仿宋"/>
          <w:snapToGrid w:val="0"/>
          <w:color w:val="000000"/>
          <w:spacing w:val="1"/>
          <w:kern w:val="0"/>
          <w:sz w:val="24"/>
          <w:szCs w:val="24"/>
          <w:lang w:val="en-US" w:eastAsia="en-US" w:bidi="ar-SA"/>
        </w:rPr>
        <w:t>经</w:t>
      </w:r>
      <w:r>
        <w:rPr>
          <w:rFonts w:hint="eastAsia" w:ascii="仿宋" w:hAnsi="仿宋" w:eastAsia="仿宋" w:cs="仿宋"/>
          <w:snapToGrid w:val="0"/>
          <w:color w:val="000000"/>
          <w:spacing w:val="1"/>
          <w:kern w:val="0"/>
          <w:sz w:val="24"/>
          <w:szCs w:val="24"/>
          <w:lang w:val="en-US" w:eastAsia="zh-CN" w:bidi="ar-SA"/>
        </w:rPr>
        <w:t>磋商小组</w:t>
      </w:r>
      <w:r>
        <w:rPr>
          <w:rFonts w:hint="eastAsia" w:ascii="仿宋" w:hAnsi="仿宋" w:eastAsia="仿宋" w:cs="仿宋"/>
          <w:snapToGrid w:val="0"/>
          <w:color w:val="000000"/>
          <w:spacing w:val="1"/>
          <w:kern w:val="0"/>
          <w:sz w:val="24"/>
          <w:szCs w:val="24"/>
          <w:lang w:val="en-US" w:eastAsia="en-US" w:bidi="ar-SA"/>
        </w:rPr>
        <w:t>初步评审后有效投标不足</w:t>
      </w:r>
      <w:r>
        <w:rPr>
          <w:rFonts w:hint="eastAsia" w:ascii="仿宋" w:hAnsi="仿宋" w:eastAsia="仿宋" w:cs="仿宋"/>
          <w:snapToGrid w:val="0"/>
          <w:color w:val="000000"/>
          <w:spacing w:val="1"/>
          <w:kern w:val="0"/>
          <w:sz w:val="24"/>
          <w:szCs w:val="24"/>
          <w:lang w:val="en-US" w:eastAsia="zh-CN" w:bidi="ar-SA"/>
        </w:rPr>
        <w:t>2</w:t>
      </w:r>
      <w:r>
        <w:rPr>
          <w:rFonts w:hint="eastAsia" w:ascii="仿宋" w:hAnsi="仿宋" w:eastAsia="仿宋" w:cs="仿宋"/>
          <w:snapToGrid w:val="0"/>
          <w:color w:val="000000"/>
          <w:spacing w:val="1"/>
          <w:kern w:val="0"/>
          <w:sz w:val="24"/>
          <w:szCs w:val="24"/>
          <w:lang w:val="en-US" w:eastAsia="en-US" w:bidi="ar-SA"/>
        </w:rPr>
        <w:t>个的，</w:t>
      </w:r>
      <w:r>
        <w:rPr>
          <w:rFonts w:hint="eastAsia" w:ascii="仿宋" w:hAnsi="仿宋" w:eastAsia="仿宋" w:cs="仿宋"/>
          <w:snapToGrid w:val="0"/>
          <w:color w:val="000000"/>
          <w:spacing w:val="1"/>
          <w:kern w:val="0"/>
          <w:sz w:val="24"/>
          <w:szCs w:val="24"/>
          <w:lang w:val="en-US" w:eastAsia="zh-CN" w:bidi="ar-SA"/>
        </w:rPr>
        <w:t>磋商小组</w:t>
      </w:r>
      <w:r>
        <w:rPr>
          <w:rFonts w:hint="eastAsia" w:ascii="仿宋" w:hAnsi="仿宋" w:eastAsia="仿宋" w:cs="仿宋"/>
          <w:snapToGrid w:val="0"/>
          <w:color w:val="000000"/>
          <w:spacing w:val="1"/>
          <w:kern w:val="0"/>
          <w:sz w:val="24"/>
          <w:szCs w:val="24"/>
          <w:lang w:val="en-US" w:eastAsia="en-US" w:bidi="ar-SA"/>
        </w:rPr>
        <w:t>应予废标。</w:t>
      </w:r>
    </w:p>
    <w:p>
      <w:pPr>
        <w:pageBreakBefore w:val="0"/>
        <w:widowControl w:val="0"/>
        <w:numPr>
          <w:ilvl w:val="0"/>
          <w:numId w:val="0"/>
        </w:numPr>
        <w:kinsoku/>
        <w:wordWrap/>
        <w:overflowPunct/>
        <w:topLinePunct w:val="0"/>
        <w:autoSpaceDE/>
        <w:autoSpaceDN/>
        <w:bidi w:val="0"/>
        <w:adjustRightInd/>
        <w:snapToGrid/>
        <w:spacing w:line="400" w:lineRule="exact"/>
        <w:ind w:left="0" w:leftChars="0"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2.</w:t>
      </w:r>
      <w:r>
        <w:rPr>
          <w:rFonts w:hint="eastAsia" w:ascii="仿宋" w:hAnsi="仿宋" w:eastAsia="仿宋" w:cs="仿宋"/>
          <w:snapToGrid w:val="0"/>
          <w:color w:val="000000"/>
          <w:spacing w:val="1"/>
          <w:kern w:val="0"/>
          <w:sz w:val="24"/>
          <w:szCs w:val="24"/>
          <w:lang w:val="en-US" w:eastAsia="en-US" w:bidi="ar-SA"/>
        </w:rPr>
        <w:t>评审标准</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144974569"/>
      <w:bookmarkStart w:id="30" w:name="_Toc19934"/>
      <w:bookmarkStart w:id="31" w:name="_Toc490667877"/>
      <w:bookmarkStart w:id="32" w:name="_Toc31037"/>
      <w:bookmarkStart w:id="33" w:name="_Toc15813"/>
      <w:bookmarkStart w:id="34" w:name="_Toc281405530"/>
      <w:bookmarkStart w:id="35" w:name="_Toc455867818"/>
      <w:bookmarkStart w:id="36" w:name="_Toc11223"/>
      <w:bookmarkStart w:id="37" w:name="_Toc21120"/>
      <w:bookmarkStart w:id="38" w:name="_Toc24558"/>
      <w:bookmarkStart w:id="39" w:name="_Toc152042379"/>
      <w:bookmarkStart w:id="40" w:name="_Toc2867"/>
      <w:bookmarkStart w:id="41" w:name="_Toc152045602"/>
      <w:bookmarkStart w:id="42" w:name="_Toc318450724"/>
      <w:bookmarkStart w:id="43" w:name="_Toc466298141"/>
      <w:bookmarkStart w:id="44" w:name="_Toc455080158"/>
      <w:bookmarkStart w:id="45" w:name="_Toc25637"/>
      <w:bookmarkStart w:id="46" w:name="_Toc6711"/>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 初步</w:t>
      </w:r>
      <w:r>
        <w:rPr>
          <w:rFonts w:hint="eastAsia" w:ascii="仿宋" w:hAnsi="仿宋" w:eastAsia="仿宋" w:cs="仿宋"/>
          <w:snapToGrid w:val="0"/>
          <w:color w:val="000000"/>
          <w:spacing w:val="1"/>
          <w:kern w:val="0"/>
          <w:sz w:val="24"/>
          <w:szCs w:val="24"/>
          <w:lang w:val="en-US" w:eastAsia="zh-CN" w:bidi="ar-SA"/>
        </w:rPr>
        <w:t>评审标准</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en-US" w:bidi="ar-SA"/>
        </w:rPr>
        <w:t>2.1.1 资格评审标准：见评审办法前附表</w:t>
      </w:r>
      <w:r>
        <w:rPr>
          <w:rFonts w:hint="eastAsia" w:ascii="仿宋" w:hAnsi="仿宋" w:eastAsia="仿宋" w:cs="仿宋"/>
          <w:snapToGrid w:val="0"/>
          <w:color w:val="000000"/>
          <w:spacing w:val="1"/>
          <w:kern w:val="0"/>
          <w:sz w:val="24"/>
          <w:szCs w:val="24"/>
          <w:lang w:val="en-US" w:eastAsia="zh-CN" w:bidi="ar-SA"/>
        </w:rPr>
        <w:t>；</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w:t>
      </w:r>
      <w:r>
        <w:rPr>
          <w:rFonts w:hint="eastAsia" w:ascii="仿宋" w:hAnsi="仿宋" w:eastAsia="仿宋" w:cs="仿宋"/>
          <w:snapToGrid w:val="0"/>
          <w:color w:val="000000"/>
          <w:spacing w:val="1"/>
          <w:kern w:val="0"/>
          <w:sz w:val="24"/>
          <w:szCs w:val="24"/>
          <w:lang w:val="en-US" w:eastAsia="zh-CN" w:bidi="ar-SA"/>
        </w:rPr>
        <w:t>2</w:t>
      </w:r>
      <w:r>
        <w:rPr>
          <w:rFonts w:hint="eastAsia" w:ascii="仿宋" w:hAnsi="仿宋" w:eastAsia="仿宋" w:cs="仿宋"/>
          <w:snapToGrid w:val="0"/>
          <w:color w:val="000000"/>
          <w:spacing w:val="1"/>
          <w:kern w:val="0"/>
          <w:sz w:val="24"/>
          <w:szCs w:val="24"/>
          <w:lang w:val="en-US" w:eastAsia="en-US" w:bidi="ar-SA"/>
        </w:rPr>
        <w:t xml:space="preserve"> </w:t>
      </w:r>
      <w:r>
        <w:rPr>
          <w:rFonts w:hint="eastAsia" w:ascii="仿宋" w:hAnsi="仿宋" w:eastAsia="仿宋" w:cs="仿宋"/>
          <w:snapToGrid w:val="0"/>
          <w:color w:val="000000"/>
          <w:spacing w:val="1"/>
          <w:kern w:val="0"/>
          <w:sz w:val="24"/>
          <w:szCs w:val="24"/>
          <w:lang w:val="en-US" w:eastAsia="zh-CN" w:bidi="ar-SA"/>
        </w:rPr>
        <w:t>符合</w:t>
      </w:r>
      <w:r>
        <w:rPr>
          <w:rFonts w:hint="eastAsia" w:ascii="仿宋" w:hAnsi="仿宋" w:eastAsia="仿宋" w:cs="仿宋"/>
          <w:snapToGrid w:val="0"/>
          <w:color w:val="000000"/>
          <w:spacing w:val="1"/>
          <w:kern w:val="0"/>
          <w:sz w:val="24"/>
          <w:szCs w:val="24"/>
          <w:lang w:val="en-US" w:eastAsia="en-US" w:bidi="ar-SA"/>
        </w:rPr>
        <w:t>性评审标准：见评审办法前附表。</w:t>
      </w:r>
    </w:p>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snapToGrid w:val="0"/>
          <w:color w:val="000000"/>
          <w:spacing w:val="1"/>
          <w:kern w:val="0"/>
          <w:sz w:val="24"/>
          <w:szCs w:val="24"/>
          <w:lang w:val="en-US" w:eastAsia="en-US" w:bidi="ar-SA"/>
        </w:rPr>
      </w:pPr>
      <w:bookmarkStart w:id="47" w:name="_Toc26179"/>
      <w:bookmarkStart w:id="48" w:name="_Toc144974570"/>
      <w:bookmarkStart w:id="49" w:name="_Toc11061"/>
      <w:bookmarkStart w:id="50" w:name="_Toc455867819"/>
      <w:bookmarkStart w:id="51" w:name="_Toc22439"/>
      <w:bookmarkStart w:id="52" w:name="_Toc21970"/>
      <w:bookmarkStart w:id="53" w:name="_Toc281405531"/>
      <w:bookmarkStart w:id="54" w:name="_Toc30189"/>
      <w:bookmarkStart w:id="55" w:name="_Toc7284"/>
      <w:bookmarkStart w:id="56" w:name="_Toc490667878"/>
      <w:bookmarkStart w:id="57" w:name="_Toc25492"/>
      <w:bookmarkStart w:id="58" w:name="_Toc152042380"/>
      <w:bookmarkStart w:id="59" w:name="_Toc466298142"/>
      <w:bookmarkStart w:id="60" w:name="_Toc318450725"/>
      <w:bookmarkStart w:id="61" w:name="_Toc455080159"/>
      <w:bookmarkStart w:id="62" w:name="_Toc12013"/>
      <w:bookmarkStart w:id="63" w:name="_Toc27221"/>
      <w:bookmarkStart w:id="64" w:name="_Toc152045603"/>
      <w:bookmarkStart w:id="65" w:name="_Toc24825"/>
      <w:r>
        <w:rPr>
          <w:rFonts w:hint="eastAsia" w:ascii="仿宋" w:hAnsi="仿宋" w:eastAsia="仿宋" w:cs="仿宋"/>
          <w:snapToGrid w:val="0"/>
          <w:color w:val="000000"/>
          <w:spacing w:val="1"/>
          <w:kern w:val="0"/>
          <w:sz w:val="24"/>
          <w:szCs w:val="24"/>
          <w:lang w:val="en-US" w:eastAsia="en-US" w:bidi="ar-SA"/>
        </w:rPr>
        <w:t>2.2 分值构成与评分标准</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（1）商务</w:t>
      </w:r>
      <w:r>
        <w:rPr>
          <w:rFonts w:hint="eastAsia" w:ascii="仿宋" w:hAnsi="仿宋" w:eastAsia="仿宋" w:cs="仿宋"/>
          <w:snapToGrid w:val="0"/>
          <w:color w:val="000000"/>
          <w:spacing w:val="1"/>
          <w:kern w:val="0"/>
          <w:sz w:val="24"/>
          <w:szCs w:val="24"/>
          <w:lang w:val="en-US" w:eastAsia="zh-CN" w:bidi="ar-SA"/>
        </w:rPr>
        <w:t>部分</w:t>
      </w:r>
      <w:r>
        <w:rPr>
          <w:rFonts w:hint="eastAsia" w:ascii="仿宋" w:hAnsi="仿宋" w:eastAsia="仿宋" w:cs="仿宋"/>
          <w:snapToGrid w:val="0"/>
          <w:color w:val="000000"/>
          <w:spacing w:val="1"/>
          <w:kern w:val="0"/>
          <w:sz w:val="24"/>
          <w:szCs w:val="24"/>
          <w:lang w:val="en-US" w:eastAsia="en-US" w:bidi="ar-SA"/>
        </w:rPr>
        <w:t>：见评审办法前附表；</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（2）技术</w:t>
      </w:r>
      <w:r>
        <w:rPr>
          <w:rFonts w:hint="eastAsia" w:ascii="仿宋" w:hAnsi="仿宋" w:eastAsia="仿宋" w:cs="仿宋"/>
          <w:snapToGrid w:val="0"/>
          <w:color w:val="000000"/>
          <w:spacing w:val="1"/>
          <w:kern w:val="0"/>
          <w:sz w:val="24"/>
          <w:szCs w:val="24"/>
          <w:lang w:val="en-US" w:eastAsia="zh-CN" w:bidi="ar-SA"/>
        </w:rPr>
        <w:t>部分</w:t>
      </w:r>
      <w:r>
        <w:rPr>
          <w:rFonts w:hint="eastAsia" w:ascii="仿宋" w:hAnsi="仿宋" w:eastAsia="仿宋" w:cs="仿宋"/>
          <w:snapToGrid w:val="0"/>
          <w:color w:val="000000"/>
          <w:spacing w:val="1"/>
          <w:kern w:val="0"/>
          <w:sz w:val="24"/>
          <w:szCs w:val="24"/>
          <w:lang w:val="en-US" w:eastAsia="en-US" w:bidi="ar-SA"/>
        </w:rPr>
        <w:t>：见评审办法前附表；</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（3）综合</w:t>
      </w:r>
      <w:r>
        <w:rPr>
          <w:rFonts w:hint="eastAsia" w:ascii="仿宋" w:hAnsi="仿宋" w:eastAsia="仿宋" w:cs="仿宋"/>
          <w:snapToGrid w:val="0"/>
          <w:color w:val="000000"/>
          <w:spacing w:val="1"/>
          <w:kern w:val="0"/>
          <w:sz w:val="24"/>
          <w:szCs w:val="24"/>
          <w:lang w:val="en-US" w:eastAsia="zh-CN" w:bidi="ar-SA"/>
        </w:rPr>
        <w:t>部分</w:t>
      </w:r>
      <w:r>
        <w:rPr>
          <w:rFonts w:hint="eastAsia" w:ascii="仿宋" w:hAnsi="仿宋" w:eastAsia="仿宋" w:cs="仿宋"/>
          <w:snapToGrid w:val="0"/>
          <w:color w:val="000000"/>
          <w:spacing w:val="1"/>
          <w:kern w:val="0"/>
          <w:sz w:val="24"/>
          <w:szCs w:val="24"/>
          <w:lang w:val="en-US" w:eastAsia="en-US" w:bidi="ar-SA"/>
        </w:rPr>
        <w:t>：见评审办法前附表。</w:t>
      </w:r>
    </w:p>
    <w:p>
      <w:pPr>
        <w:pStyle w:val="24"/>
        <w:pageBreakBefore w:val="0"/>
        <w:widowControl w:val="0"/>
        <w:kinsoku/>
        <w:wordWrap/>
        <w:overflowPunct/>
        <w:topLinePunct w:val="0"/>
        <w:autoSpaceDE/>
        <w:autoSpaceDN/>
        <w:bidi w:val="0"/>
        <w:adjustRightInd/>
        <w:snapToGrid/>
        <w:spacing w:before="0" w:beforeLines="0" w:line="400" w:lineRule="exact"/>
        <w:textAlignment w:val="auto"/>
        <w:outlineLvl w:val="9"/>
        <w:rPr>
          <w:rFonts w:hint="eastAsia" w:ascii="仿宋" w:hAnsi="仿宋" w:eastAsia="仿宋" w:cs="仿宋"/>
          <w:snapToGrid w:val="0"/>
          <w:color w:val="000000"/>
          <w:spacing w:val="1"/>
          <w:kern w:val="0"/>
          <w:sz w:val="24"/>
          <w:szCs w:val="24"/>
          <w:lang w:val="en-US" w:eastAsia="en-US" w:bidi="ar-SA"/>
        </w:rPr>
      </w:pPr>
      <w:bookmarkStart w:id="66" w:name="_Toc16479"/>
      <w:bookmarkStart w:id="67" w:name="_Toc32314"/>
      <w:bookmarkStart w:id="68" w:name="_Toc29297"/>
      <w:bookmarkStart w:id="69" w:name="_Toc18127"/>
      <w:bookmarkStart w:id="70" w:name="_Toc455867820"/>
      <w:bookmarkStart w:id="71" w:name="_Toc318450726"/>
      <w:bookmarkStart w:id="72" w:name="_Toc455080160"/>
      <w:bookmarkStart w:id="73" w:name="_Toc17308"/>
      <w:bookmarkStart w:id="74" w:name="_Toc490667879"/>
      <w:bookmarkStart w:id="75" w:name="_Toc281405532"/>
      <w:bookmarkStart w:id="76" w:name="_Toc466298143"/>
      <w:r>
        <w:rPr>
          <w:rFonts w:hint="eastAsia" w:ascii="仿宋" w:hAnsi="仿宋" w:eastAsia="仿宋" w:cs="仿宋"/>
          <w:snapToGrid w:val="0"/>
          <w:color w:val="000000"/>
          <w:spacing w:val="1"/>
          <w:kern w:val="0"/>
          <w:sz w:val="24"/>
          <w:szCs w:val="24"/>
          <w:lang w:val="en-US" w:eastAsia="en-US" w:bidi="ar-SA"/>
        </w:rPr>
        <w:t>3. 评审程序</w:t>
      </w:r>
      <w:bookmarkEnd w:id="66"/>
      <w:bookmarkEnd w:id="67"/>
      <w:bookmarkEnd w:id="68"/>
      <w:bookmarkEnd w:id="69"/>
      <w:bookmarkEnd w:id="70"/>
      <w:bookmarkEnd w:id="71"/>
      <w:bookmarkEnd w:id="72"/>
      <w:bookmarkEnd w:id="73"/>
      <w:bookmarkEnd w:id="74"/>
      <w:bookmarkEnd w:id="75"/>
      <w:bookmarkEnd w:id="76"/>
    </w:p>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snapToGrid w:val="0"/>
          <w:color w:val="000000"/>
          <w:spacing w:val="1"/>
          <w:kern w:val="0"/>
          <w:sz w:val="24"/>
          <w:szCs w:val="24"/>
          <w:lang w:val="en-US" w:eastAsia="en-US" w:bidi="ar-SA"/>
        </w:rPr>
      </w:pPr>
      <w:bookmarkStart w:id="77" w:name="_Toc5358"/>
      <w:bookmarkStart w:id="78" w:name="_Toc18886"/>
      <w:bookmarkStart w:id="79" w:name="_Toc281405533"/>
      <w:bookmarkStart w:id="80" w:name="_Toc466298144"/>
      <w:bookmarkStart w:id="81" w:name="_Toc7272"/>
      <w:bookmarkStart w:id="82" w:name="_Toc9433"/>
      <w:bookmarkStart w:id="83" w:name="_Toc455867821"/>
      <w:bookmarkStart w:id="84" w:name="_Toc455080161"/>
      <w:bookmarkStart w:id="85" w:name="_Toc29092"/>
      <w:bookmarkStart w:id="86" w:name="_Toc2410"/>
      <w:bookmarkStart w:id="87" w:name="_Toc490667880"/>
      <w:bookmarkStart w:id="88" w:name="_Toc30986"/>
      <w:bookmarkStart w:id="89" w:name="_Toc14633"/>
      <w:bookmarkStart w:id="90" w:name="_Toc5427"/>
      <w:bookmarkStart w:id="91" w:name="_Toc16892"/>
      <w:bookmarkStart w:id="92" w:name="_Toc318450727"/>
      <w:bookmarkStart w:id="93" w:name="_Toc29614"/>
      <w:r>
        <w:rPr>
          <w:rFonts w:hint="eastAsia" w:ascii="仿宋" w:hAnsi="仿宋" w:eastAsia="仿宋" w:cs="仿宋"/>
          <w:snapToGrid w:val="0"/>
          <w:color w:val="000000"/>
          <w:spacing w:val="1"/>
          <w:kern w:val="0"/>
          <w:sz w:val="24"/>
          <w:szCs w:val="24"/>
          <w:lang w:val="en-US" w:eastAsia="en-US" w:bidi="ar-SA"/>
        </w:rPr>
        <w:t>3.1 初步评审</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bookmarkStart w:id="94" w:name="_Toc466298145"/>
      <w:bookmarkStart w:id="95" w:name="_Toc21032"/>
      <w:bookmarkStart w:id="96" w:name="_Toc26049"/>
      <w:bookmarkStart w:id="97" w:name="_Toc281405534"/>
      <w:bookmarkStart w:id="98" w:name="_Toc455867822"/>
      <w:bookmarkStart w:id="99" w:name="_Toc10692"/>
      <w:bookmarkStart w:id="100" w:name="_Toc22101"/>
      <w:bookmarkStart w:id="101" w:name="_Toc7121"/>
      <w:bookmarkStart w:id="102" w:name="_Toc26280"/>
      <w:bookmarkStart w:id="103" w:name="_Toc490667881"/>
      <w:bookmarkStart w:id="104" w:name="_Toc318450728"/>
      <w:bookmarkStart w:id="105" w:name="_Toc455080162"/>
      <w:bookmarkStart w:id="106" w:name="_Toc16964"/>
      <w:bookmarkStart w:id="107" w:name="_Toc13386"/>
      <w:bookmarkStart w:id="108" w:name="_Toc12406"/>
      <w:bookmarkStart w:id="109" w:name="_Toc21570"/>
      <w:r>
        <w:rPr>
          <w:rFonts w:hint="eastAsia" w:ascii="仿宋" w:hAnsi="仿宋" w:eastAsia="仿宋" w:cs="仿宋"/>
          <w:snapToGrid w:val="0"/>
          <w:color w:val="000000"/>
          <w:spacing w:val="1"/>
          <w:kern w:val="0"/>
          <w:sz w:val="24"/>
          <w:szCs w:val="24"/>
          <w:lang w:val="en-US" w:eastAsia="en-US" w:bidi="ar-SA"/>
        </w:rPr>
        <w:t>3.1.1</w:t>
      </w:r>
      <w:r>
        <w:rPr>
          <w:rFonts w:hint="eastAsia" w:ascii="仿宋" w:hAnsi="仿宋" w:eastAsia="仿宋" w:cs="仿宋"/>
          <w:snapToGrid w:val="0"/>
          <w:color w:val="000000"/>
          <w:spacing w:val="1"/>
          <w:kern w:val="0"/>
          <w:sz w:val="24"/>
          <w:szCs w:val="24"/>
          <w:lang w:val="en-US" w:eastAsia="zh-CN" w:bidi="ar-SA"/>
        </w:rPr>
        <w:t xml:space="preserve"> </w:t>
      </w:r>
      <w:r>
        <w:rPr>
          <w:rFonts w:hint="eastAsia" w:ascii="仿宋" w:hAnsi="仿宋" w:eastAsia="仿宋" w:cs="仿宋"/>
          <w:snapToGrid w:val="0"/>
          <w:color w:val="000000"/>
          <w:spacing w:val="1"/>
          <w:kern w:val="0"/>
          <w:sz w:val="24"/>
          <w:szCs w:val="24"/>
          <w:lang w:val="en-US" w:eastAsia="en-US" w:bidi="ar-SA"/>
        </w:rPr>
        <w:t>只有通过资格审查的</w:t>
      </w:r>
      <w:r>
        <w:rPr>
          <w:rFonts w:hint="eastAsia" w:ascii="仿宋" w:hAnsi="仿宋" w:eastAsia="仿宋" w:cs="仿宋"/>
          <w:snapToGrid w:val="0"/>
          <w:color w:val="000000"/>
          <w:spacing w:val="1"/>
          <w:kern w:val="0"/>
          <w:sz w:val="24"/>
          <w:szCs w:val="24"/>
          <w:lang w:val="en-US" w:eastAsia="zh-CN" w:bidi="ar-SA"/>
        </w:rPr>
        <w:t>供应商</w:t>
      </w:r>
      <w:r>
        <w:rPr>
          <w:rFonts w:hint="eastAsia" w:ascii="仿宋" w:hAnsi="仿宋" w:eastAsia="仿宋" w:cs="仿宋"/>
          <w:snapToGrid w:val="0"/>
          <w:color w:val="000000"/>
          <w:spacing w:val="1"/>
          <w:kern w:val="0"/>
          <w:sz w:val="24"/>
          <w:szCs w:val="24"/>
          <w:lang w:val="en-US" w:eastAsia="en-US" w:bidi="ar-SA"/>
        </w:rPr>
        <w:t>才能进入</w:t>
      </w:r>
      <w:r>
        <w:rPr>
          <w:rFonts w:hint="eastAsia" w:ascii="仿宋" w:hAnsi="仿宋" w:eastAsia="仿宋" w:cs="仿宋"/>
          <w:snapToGrid w:val="0"/>
          <w:color w:val="000000"/>
          <w:spacing w:val="1"/>
          <w:kern w:val="0"/>
          <w:sz w:val="24"/>
          <w:szCs w:val="24"/>
          <w:lang w:val="en-US" w:eastAsia="zh-CN" w:bidi="ar-SA"/>
        </w:rPr>
        <w:t>符合性评审</w:t>
      </w:r>
      <w:r>
        <w:rPr>
          <w:rFonts w:hint="eastAsia" w:ascii="仿宋" w:hAnsi="仿宋" w:eastAsia="仿宋" w:cs="仿宋"/>
          <w:snapToGrid w:val="0"/>
          <w:color w:val="000000"/>
          <w:spacing w:val="1"/>
          <w:kern w:val="0"/>
          <w:sz w:val="24"/>
          <w:szCs w:val="24"/>
          <w:lang w:val="en-US" w:eastAsia="en-US" w:bidi="ar-SA"/>
        </w:rPr>
        <w:t>。</w:t>
      </w:r>
      <w:r>
        <w:rPr>
          <w:rFonts w:hint="eastAsia" w:ascii="仿宋" w:hAnsi="仿宋" w:eastAsia="仿宋" w:cs="仿宋"/>
          <w:snapToGrid w:val="0"/>
          <w:color w:val="000000"/>
          <w:spacing w:val="1"/>
          <w:kern w:val="0"/>
          <w:sz w:val="24"/>
          <w:szCs w:val="24"/>
          <w:lang w:val="en-US" w:eastAsia="zh-CN" w:bidi="ar-SA"/>
        </w:rPr>
        <w:t>磋商小组</w:t>
      </w:r>
      <w:r>
        <w:rPr>
          <w:rFonts w:hint="eastAsia" w:ascii="仿宋" w:hAnsi="仿宋" w:eastAsia="仿宋" w:cs="仿宋"/>
          <w:snapToGrid w:val="0"/>
          <w:color w:val="000000"/>
          <w:spacing w:val="1"/>
          <w:kern w:val="0"/>
          <w:sz w:val="24"/>
          <w:szCs w:val="24"/>
          <w:lang w:val="en-US" w:eastAsia="en-US" w:bidi="ar-SA"/>
        </w:rPr>
        <w:t>依据</w:t>
      </w:r>
      <w:r>
        <w:rPr>
          <w:rFonts w:hint="eastAsia" w:ascii="仿宋" w:hAnsi="仿宋" w:eastAsia="仿宋" w:cs="仿宋"/>
          <w:snapToGrid w:val="0"/>
          <w:color w:val="000000"/>
          <w:spacing w:val="1"/>
          <w:kern w:val="0"/>
          <w:sz w:val="24"/>
          <w:szCs w:val="24"/>
          <w:lang w:val="en-US" w:eastAsia="zh-CN" w:bidi="ar-SA"/>
        </w:rPr>
        <w:t>2.1.1和2.1.3</w:t>
      </w:r>
      <w:r>
        <w:rPr>
          <w:rFonts w:hint="eastAsia" w:ascii="仿宋" w:hAnsi="仿宋" w:eastAsia="仿宋" w:cs="仿宋"/>
          <w:snapToGrid w:val="0"/>
          <w:color w:val="000000"/>
          <w:spacing w:val="1"/>
          <w:kern w:val="0"/>
          <w:sz w:val="24"/>
          <w:szCs w:val="24"/>
          <w:lang w:val="en-US" w:eastAsia="en-US" w:bidi="ar-SA"/>
        </w:rPr>
        <w:t>规定的内容和标准对</w:t>
      </w:r>
      <w:r>
        <w:rPr>
          <w:rFonts w:hint="eastAsia" w:ascii="仿宋" w:hAnsi="仿宋" w:eastAsia="仿宋" w:cs="仿宋"/>
          <w:snapToGrid w:val="0"/>
          <w:color w:val="000000"/>
          <w:spacing w:val="1"/>
          <w:kern w:val="0"/>
          <w:sz w:val="24"/>
          <w:szCs w:val="24"/>
          <w:lang w:val="en-US" w:eastAsia="zh-CN" w:bidi="ar-SA"/>
        </w:rPr>
        <w:t>响应</w:t>
      </w:r>
      <w:r>
        <w:rPr>
          <w:rFonts w:hint="eastAsia" w:ascii="仿宋" w:hAnsi="仿宋" w:eastAsia="仿宋" w:cs="仿宋"/>
          <w:snapToGrid w:val="0"/>
          <w:color w:val="000000"/>
          <w:spacing w:val="1"/>
          <w:kern w:val="0"/>
          <w:sz w:val="24"/>
          <w:szCs w:val="24"/>
          <w:lang w:val="en-US" w:eastAsia="en-US" w:bidi="ar-SA"/>
        </w:rPr>
        <w:t>文件进行</w:t>
      </w:r>
      <w:r>
        <w:rPr>
          <w:rFonts w:hint="eastAsia" w:ascii="仿宋" w:hAnsi="仿宋" w:eastAsia="仿宋" w:cs="仿宋"/>
          <w:snapToGrid w:val="0"/>
          <w:color w:val="000000"/>
          <w:spacing w:val="1"/>
          <w:kern w:val="0"/>
          <w:sz w:val="24"/>
          <w:szCs w:val="24"/>
          <w:lang w:val="en-US" w:eastAsia="zh-CN" w:bidi="ar-SA"/>
        </w:rPr>
        <w:t>符合性审查</w:t>
      </w:r>
      <w:r>
        <w:rPr>
          <w:rFonts w:hint="eastAsia" w:ascii="仿宋" w:hAnsi="仿宋" w:eastAsia="仿宋" w:cs="仿宋"/>
          <w:snapToGrid w:val="0"/>
          <w:color w:val="000000"/>
          <w:spacing w:val="1"/>
          <w:kern w:val="0"/>
          <w:sz w:val="24"/>
          <w:szCs w:val="24"/>
          <w:lang w:val="en-US" w:eastAsia="en-US" w:bidi="ar-SA"/>
        </w:rPr>
        <w:t>。有一项不符合评审标准的，其投标做无效</w:t>
      </w:r>
      <w:r>
        <w:rPr>
          <w:rFonts w:hint="eastAsia" w:ascii="仿宋" w:hAnsi="仿宋" w:eastAsia="仿宋" w:cs="仿宋"/>
          <w:snapToGrid w:val="0"/>
          <w:color w:val="000000"/>
          <w:spacing w:val="1"/>
          <w:kern w:val="0"/>
          <w:sz w:val="24"/>
          <w:szCs w:val="24"/>
          <w:lang w:val="en-US" w:eastAsia="zh-CN" w:bidi="ar-SA"/>
        </w:rPr>
        <w:t>投标</w:t>
      </w:r>
      <w:r>
        <w:rPr>
          <w:rFonts w:hint="eastAsia" w:ascii="仿宋" w:hAnsi="仿宋" w:eastAsia="仿宋" w:cs="仿宋"/>
          <w:snapToGrid w:val="0"/>
          <w:color w:val="000000"/>
          <w:spacing w:val="1"/>
          <w:kern w:val="0"/>
          <w:sz w:val="24"/>
          <w:szCs w:val="24"/>
          <w:lang w:val="en-US" w:eastAsia="en-US" w:bidi="ar-SA"/>
        </w:rPr>
        <w:t>处理，不得进入详细评审。</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3.1.2 供应商有以下情形之一的，其响应文件作无效处理：</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w:t>
      </w:r>
      <w:r>
        <w:rPr>
          <w:rFonts w:hint="eastAsia" w:ascii="仿宋" w:hAnsi="仿宋" w:eastAsia="仿宋" w:cs="仿宋"/>
          <w:snapToGrid w:val="0"/>
          <w:color w:val="000000"/>
          <w:spacing w:val="1"/>
          <w:kern w:val="0"/>
          <w:sz w:val="24"/>
          <w:szCs w:val="24"/>
          <w:lang w:val="en-US" w:eastAsia="zh-CN" w:bidi="ar-SA"/>
        </w:rPr>
        <w:t>1</w:t>
      </w:r>
      <w:r>
        <w:rPr>
          <w:rFonts w:hint="eastAsia" w:ascii="仿宋" w:hAnsi="仿宋" w:eastAsia="仿宋" w:cs="仿宋"/>
          <w:snapToGrid w:val="0"/>
          <w:color w:val="000000"/>
          <w:spacing w:val="1"/>
          <w:kern w:val="0"/>
          <w:sz w:val="24"/>
          <w:szCs w:val="24"/>
          <w:lang w:val="en-US" w:eastAsia="en-US" w:bidi="ar-SA"/>
        </w:rPr>
        <w:t>）串通或弄虚作假或有其他违法行为的；</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w:t>
      </w:r>
      <w:r>
        <w:rPr>
          <w:rFonts w:hint="eastAsia" w:ascii="仿宋" w:hAnsi="仿宋" w:eastAsia="仿宋" w:cs="仿宋"/>
          <w:snapToGrid w:val="0"/>
          <w:color w:val="000000"/>
          <w:spacing w:val="1"/>
          <w:kern w:val="0"/>
          <w:sz w:val="24"/>
          <w:szCs w:val="24"/>
          <w:lang w:val="en-US" w:eastAsia="zh-CN" w:bidi="ar-SA"/>
        </w:rPr>
        <w:t>2</w:t>
      </w:r>
      <w:r>
        <w:rPr>
          <w:rFonts w:hint="eastAsia" w:ascii="仿宋" w:hAnsi="仿宋" w:eastAsia="仿宋" w:cs="仿宋"/>
          <w:snapToGrid w:val="0"/>
          <w:color w:val="000000"/>
          <w:spacing w:val="1"/>
          <w:kern w:val="0"/>
          <w:sz w:val="24"/>
          <w:szCs w:val="24"/>
          <w:lang w:val="en-US" w:eastAsia="en-US" w:bidi="ar-SA"/>
        </w:rPr>
        <w:t>）不按磋商小组要求澄清、说明或补正的；</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w:t>
      </w:r>
      <w:r>
        <w:rPr>
          <w:rFonts w:hint="eastAsia" w:ascii="仿宋" w:hAnsi="仿宋" w:eastAsia="仿宋" w:cs="仿宋"/>
          <w:snapToGrid w:val="0"/>
          <w:color w:val="000000"/>
          <w:spacing w:val="1"/>
          <w:kern w:val="0"/>
          <w:sz w:val="24"/>
          <w:szCs w:val="24"/>
          <w:lang w:val="en-US" w:eastAsia="zh-CN" w:bidi="ar-SA"/>
        </w:rPr>
        <w:t>3</w:t>
      </w:r>
      <w:r>
        <w:rPr>
          <w:rFonts w:hint="eastAsia" w:ascii="仿宋" w:hAnsi="仿宋" w:eastAsia="仿宋" w:cs="仿宋"/>
          <w:snapToGrid w:val="0"/>
          <w:color w:val="000000"/>
          <w:spacing w:val="1"/>
          <w:kern w:val="0"/>
          <w:sz w:val="24"/>
          <w:szCs w:val="24"/>
          <w:lang w:val="en-US" w:eastAsia="en-US" w:bidi="ar-SA"/>
        </w:rPr>
        <w:t>）未按规定格式填写、内容不全或关键字迹模糊、无法辨认的；</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w:t>
      </w:r>
      <w:r>
        <w:rPr>
          <w:rFonts w:hint="eastAsia" w:ascii="仿宋" w:hAnsi="仿宋" w:eastAsia="仿宋" w:cs="仿宋"/>
          <w:snapToGrid w:val="0"/>
          <w:color w:val="000000"/>
          <w:spacing w:val="1"/>
          <w:kern w:val="0"/>
          <w:sz w:val="24"/>
          <w:szCs w:val="24"/>
          <w:lang w:val="en-US" w:eastAsia="zh-CN" w:bidi="ar-SA"/>
        </w:rPr>
        <w:t>4</w:t>
      </w:r>
      <w:r>
        <w:rPr>
          <w:rFonts w:hint="eastAsia" w:ascii="仿宋" w:hAnsi="仿宋" w:eastAsia="仿宋" w:cs="仿宋"/>
          <w:snapToGrid w:val="0"/>
          <w:color w:val="000000"/>
          <w:spacing w:val="1"/>
          <w:kern w:val="0"/>
          <w:sz w:val="24"/>
          <w:szCs w:val="24"/>
          <w:lang w:val="en-US" w:eastAsia="en-US" w:bidi="ar-SA"/>
        </w:rPr>
        <w:t>）响应文件附有采购人不能接受的条件；</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w:t>
      </w:r>
      <w:r>
        <w:rPr>
          <w:rFonts w:hint="eastAsia" w:ascii="仿宋" w:hAnsi="仿宋" w:eastAsia="仿宋" w:cs="仿宋"/>
          <w:snapToGrid w:val="0"/>
          <w:color w:val="000000"/>
          <w:spacing w:val="1"/>
          <w:kern w:val="0"/>
          <w:sz w:val="24"/>
          <w:szCs w:val="24"/>
          <w:lang w:val="en-US" w:eastAsia="zh-CN" w:bidi="ar-SA"/>
        </w:rPr>
        <w:t>5</w:t>
      </w:r>
      <w:r>
        <w:rPr>
          <w:rFonts w:hint="eastAsia" w:ascii="仿宋" w:hAnsi="仿宋" w:eastAsia="仿宋" w:cs="仿宋"/>
          <w:snapToGrid w:val="0"/>
          <w:color w:val="000000"/>
          <w:spacing w:val="1"/>
          <w:kern w:val="0"/>
          <w:sz w:val="24"/>
          <w:szCs w:val="24"/>
          <w:lang w:val="en-US" w:eastAsia="en-US" w:bidi="ar-SA"/>
        </w:rPr>
        <w:t>）不符合</w:t>
      </w:r>
      <w:r>
        <w:rPr>
          <w:rFonts w:hint="eastAsia" w:ascii="仿宋" w:hAnsi="仿宋" w:eastAsia="仿宋" w:cs="仿宋"/>
          <w:snapToGrid w:val="0"/>
          <w:color w:val="000000"/>
          <w:spacing w:val="1"/>
          <w:kern w:val="0"/>
          <w:sz w:val="24"/>
          <w:szCs w:val="24"/>
          <w:lang w:val="en-US" w:eastAsia="zh-CN" w:bidi="ar-SA"/>
        </w:rPr>
        <w:t>竞争性磋商文件</w:t>
      </w:r>
      <w:r>
        <w:rPr>
          <w:rFonts w:hint="eastAsia" w:ascii="仿宋" w:hAnsi="仿宋" w:eastAsia="仿宋" w:cs="仿宋"/>
          <w:snapToGrid w:val="0"/>
          <w:color w:val="000000"/>
          <w:spacing w:val="1"/>
          <w:kern w:val="0"/>
          <w:sz w:val="24"/>
          <w:szCs w:val="24"/>
          <w:lang w:val="en-US" w:eastAsia="en-US" w:bidi="ar-SA"/>
        </w:rPr>
        <w:t>规定的其他实质性要求。</w:t>
      </w:r>
    </w:p>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snapToGrid w:val="0"/>
          <w:color w:val="000000"/>
          <w:spacing w:val="1"/>
          <w:kern w:val="0"/>
          <w:sz w:val="24"/>
          <w:szCs w:val="24"/>
          <w:lang w:val="en-US" w:eastAsia="en-US" w:bidi="ar-SA"/>
        </w:rPr>
      </w:pPr>
      <w:bookmarkStart w:id="110" w:name="_Toc13191"/>
      <w:r>
        <w:rPr>
          <w:rFonts w:hint="eastAsia" w:ascii="仿宋" w:hAnsi="仿宋" w:eastAsia="仿宋" w:cs="仿宋"/>
          <w:snapToGrid w:val="0"/>
          <w:color w:val="000000"/>
          <w:spacing w:val="1"/>
          <w:kern w:val="0"/>
          <w:sz w:val="24"/>
          <w:szCs w:val="24"/>
          <w:lang w:val="en-US" w:eastAsia="en-US" w:bidi="ar-SA"/>
        </w:rPr>
        <w:t>3.2 详细评审</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3.2.1 磋商小组按本章第2.2款规定的量化因素和分值进行打分，并计算出综合评分得分。</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3.2.3</w:t>
      </w:r>
      <w:r>
        <w:rPr>
          <w:rFonts w:hint="eastAsia" w:ascii="仿宋" w:hAnsi="仿宋" w:eastAsia="仿宋" w:cs="仿宋"/>
          <w:snapToGrid w:val="0"/>
          <w:color w:val="000000"/>
          <w:spacing w:val="1"/>
          <w:kern w:val="0"/>
          <w:sz w:val="24"/>
          <w:szCs w:val="24"/>
          <w:lang w:val="en-US" w:eastAsia="zh-CN" w:bidi="ar-SA"/>
        </w:rPr>
        <w:t xml:space="preserve"> </w:t>
      </w:r>
      <w:r>
        <w:rPr>
          <w:rFonts w:hint="eastAsia" w:ascii="仿宋" w:hAnsi="仿宋" w:eastAsia="仿宋" w:cs="仿宋"/>
          <w:snapToGrid w:val="0"/>
          <w:color w:val="000000"/>
          <w:spacing w:val="1"/>
          <w:kern w:val="0"/>
          <w:sz w:val="24"/>
          <w:szCs w:val="24"/>
          <w:lang w:val="en-US" w:eastAsia="en-US" w:bidi="ar-SA"/>
        </w:rPr>
        <w:t>供应商的最终得分以全部小组成员打分的算术平均值为准，作为该供应商的最终得分。</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3.2.4</w:t>
      </w:r>
      <w:r>
        <w:rPr>
          <w:rFonts w:hint="eastAsia" w:ascii="仿宋" w:hAnsi="仿宋" w:eastAsia="仿宋" w:cs="仿宋"/>
          <w:snapToGrid w:val="0"/>
          <w:color w:val="000000"/>
          <w:spacing w:val="1"/>
          <w:kern w:val="0"/>
          <w:sz w:val="24"/>
          <w:szCs w:val="24"/>
          <w:lang w:val="en-US" w:eastAsia="zh-CN" w:bidi="ar-SA"/>
        </w:rPr>
        <w:t xml:space="preserve"> </w:t>
      </w:r>
      <w:r>
        <w:rPr>
          <w:rFonts w:hint="eastAsia" w:ascii="仿宋" w:hAnsi="仿宋" w:eastAsia="仿宋" w:cs="仿宋"/>
          <w:snapToGrid w:val="0"/>
          <w:color w:val="000000"/>
          <w:spacing w:val="1"/>
          <w:kern w:val="0"/>
          <w:sz w:val="24"/>
          <w:szCs w:val="24"/>
          <w:lang w:val="en-US" w:eastAsia="en-US" w:bidi="ar-SA"/>
        </w:rPr>
        <w:t>在磋商过程中，凡遇到</w:t>
      </w:r>
      <w:r>
        <w:rPr>
          <w:rFonts w:hint="eastAsia" w:ascii="仿宋" w:hAnsi="仿宋" w:eastAsia="仿宋" w:cs="仿宋"/>
          <w:snapToGrid w:val="0"/>
          <w:color w:val="000000"/>
          <w:spacing w:val="1"/>
          <w:kern w:val="0"/>
          <w:sz w:val="24"/>
          <w:szCs w:val="24"/>
          <w:lang w:val="en-US" w:eastAsia="zh-CN" w:bidi="ar-SA"/>
        </w:rPr>
        <w:t>竞争性磋商文件</w:t>
      </w:r>
      <w:r>
        <w:rPr>
          <w:rFonts w:hint="eastAsia" w:ascii="仿宋" w:hAnsi="仿宋" w:eastAsia="仿宋" w:cs="仿宋"/>
          <w:snapToGrid w:val="0"/>
          <w:color w:val="000000"/>
          <w:spacing w:val="1"/>
          <w:kern w:val="0"/>
          <w:sz w:val="24"/>
          <w:szCs w:val="24"/>
          <w:lang w:val="en-US" w:eastAsia="en-US" w:bidi="ar-SA"/>
        </w:rPr>
        <w:t>中无界定或界定不清、前后不一致使磋商小组意见有分歧且又难以协商一致的问题，均由磋商小组予以表决，获半数以上同意的即为通过，未获半数同意的即为否决。</w:t>
      </w:r>
    </w:p>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snapToGrid w:val="0"/>
          <w:color w:val="000000"/>
          <w:spacing w:val="1"/>
          <w:kern w:val="0"/>
          <w:sz w:val="24"/>
          <w:szCs w:val="24"/>
          <w:lang w:val="en-US" w:eastAsia="en-US" w:bidi="ar-SA"/>
        </w:rPr>
      </w:pPr>
      <w:bookmarkStart w:id="111" w:name="_Toc318450729"/>
      <w:bookmarkStart w:id="112" w:name="_Toc281405535"/>
      <w:bookmarkStart w:id="113" w:name="_Toc22084"/>
      <w:bookmarkStart w:id="114" w:name="_Toc11958"/>
      <w:bookmarkStart w:id="115" w:name="_Toc10153"/>
      <w:bookmarkStart w:id="116" w:name="_Toc8342"/>
      <w:bookmarkStart w:id="117" w:name="_Toc12374"/>
      <w:bookmarkStart w:id="118" w:name="_Toc2657"/>
      <w:bookmarkStart w:id="119" w:name="_Toc8813"/>
      <w:bookmarkStart w:id="120" w:name="_Toc455867823"/>
      <w:bookmarkStart w:id="121" w:name="_Toc27266"/>
      <w:bookmarkStart w:id="122" w:name="_Toc490667882"/>
      <w:bookmarkStart w:id="123" w:name="_Toc466298146"/>
      <w:bookmarkStart w:id="124" w:name="_Toc28633"/>
      <w:bookmarkStart w:id="125" w:name="_Toc331"/>
      <w:bookmarkStart w:id="126" w:name="_Toc24862"/>
      <w:bookmarkStart w:id="127" w:name="_Toc455080163"/>
      <w:r>
        <w:rPr>
          <w:rFonts w:hint="eastAsia" w:ascii="仿宋" w:hAnsi="仿宋" w:eastAsia="仿宋" w:cs="仿宋"/>
          <w:snapToGrid w:val="0"/>
          <w:color w:val="000000"/>
          <w:spacing w:val="1"/>
          <w:kern w:val="0"/>
          <w:sz w:val="24"/>
          <w:szCs w:val="24"/>
          <w:lang w:val="en-US" w:eastAsia="en-US" w:bidi="ar-SA"/>
        </w:rPr>
        <w:t>3.3 响应文件的澄清和补正</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3.3.1</w:t>
      </w:r>
      <w:r>
        <w:rPr>
          <w:rFonts w:hint="eastAsia" w:ascii="仿宋" w:hAnsi="仿宋" w:eastAsia="仿宋" w:cs="仿宋"/>
          <w:snapToGrid w:val="0"/>
          <w:color w:val="000000"/>
          <w:spacing w:val="1"/>
          <w:kern w:val="0"/>
          <w:sz w:val="24"/>
          <w:szCs w:val="24"/>
          <w:lang w:val="en-US" w:eastAsia="zh-CN" w:bidi="ar-SA"/>
        </w:rPr>
        <w:t xml:space="preserve"> </w:t>
      </w:r>
      <w:r>
        <w:rPr>
          <w:rFonts w:hint="eastAsia" w:ascii="仿宋" w:hAnsi="仿宋" w:eastAsia="仿宋" w:cs="仿宋"/>
          <w:snapToGrid w:val="0"/>
          <w:color w:val="000000"/>
          <w:spacing w:val="1"/>
          <w:kern w:val="0"/>
          <w:sz w:val="24"/>
          <w:szCs w:val="24"/>
          <w:lang w:val="en-US" w:eastAsia="en-US" w:bidi="ar-SA"/>
        </w:rPr>
        <w:t>在磋商过程中，磋商小组可以书面形式要求供应商对所提交的响应文件中不明确的内容进行书面澄清或说明，或者对细微偏离进行补正。磋商小组不接受供应商主动提出的澄清、说明或补正。</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3.3.2 澄清、说明和补正不得超出响应文件的范围或者改变响应文件的实质性内容（算术性错误修正的除外）。供应商的书面澄清、说明和补正属于响应文件的组成部分。</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3.3.3 磋商小组对供应商提交的澄清、说明或补正有疑问的，可以要求供应商进一步澄清、说明或补正</w:t>
      </w:r>
      <w:r>
        <w:rPr>
          <w:rFonts w:hint="eastAsia" w:ascii="仿宋" w:hAnsi="仿宋" w:eastAsia="仿宋" w:cs="仿宋"/>
          <w:snapToGrid w:val="0"/>
          <w:color w:val="000000"/>
          <w:spacing w:val="1"/>
          <w:kern w:val="0"/>
          <w:sz w:val="24"/>
          <w:szCs w:val="24"/>
          <w:lang w:val="en-US" w:eastAsia="zh-CN" w:bidi="ar-SA"/>
        </w:rPr>
        <w:t>，</w:t>
      </w:r>
      <w:r>
        <w:rPr>
          <w:rFonts w:hint="eastAsia" w:ascii="仿宋" w:hAnsi="仿宋" w:eastAsia="仿宋" w:cs="仿宋"/>
          <w:snapToGrid w:val="0"/>
          <w:color w:val="000000"/>
          <w:spacing w:val="1"/>
          <w:kern w:val="0"/>
          <w:sz w:val="24"/>
          <w:szCs w:val="24"/>
          <w:lang w:val="en-US" w:eastAsia="en-US" w:bidi="ar-SA"/>
        </w:rPr>
        <w:t>直至满足磋商小组的要求。</w:t>
      </w:r>
    </w:p>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snapToGrid w:val="0"/>
          <w:color w:val="000000"/>
          <w:spacing w:val="1"/>
          <w:kern w:val="0"/>
          <w:sz w:val="24"/>
          <w:szCs w:val="24"/>
          <w:lang w:val="en-US" w:eastAsia="en-US" w:bidi="ar-SA"/>
        </w:rPr>
      </w:pPr>
      <w:bookmarkStart w:id="128" w:name="_Toc22986"/>
      <w:bookmarkStart w:id="129" w:name="_Toc32183"/>
      <w:bookmarkStart w:id="130" w:name="_Toc19938"/>
      <w:bookmarkStart w:id="131" w:name="_Toc455080164"/>
      <w:bookmarkStart w:id="132" w:name="_Toc1857"/>
      <w:bookmarkStart w:id="133" w:name="_Toc318450730"/>
      <w:bookmarkStart w:id="134" w:name="_Toc22682"/>
      <w:bookmarkStart w:id="135" w:name="_Toc5903"/>
      <w:bookmarkStart w:id="136" w:name="_Toc874"/>
      <w:bookmarkStart w:id="137" w:name="_Toc455867824"/>
      <w:bookmarkStart w:id="138" w:name="_Toc30053"/>
      <w:bookmarkStart w:id="139" w:name="_Toc466298147"/>
      <w:bookmarkStart w:id="140" w:name="_Toc22049"/>
      <w:bookmarkStart w:id="141" w:name="_Toc281405536"/>
      <w:bookmarkStart w:id="142" w:name="_Toc490667883"/>
      <w:bookmarkStart w:id="143" w:name="_Toc26894"/>
      <w:bookmarkStart w:id="144" w:name="_Toc19453"/>
      <w:r>
        <w:rPr>
          <w:rFonts w:hint="eastAsia" w:ascii="仿宋" w:hAnsi="仿宋" w:eastAsia="仿宋" w:cs="仿宋"/>
          <w:snapToGrid w:val="0"/>
          <w:color w:val="000000"/>
          <w:spacing w:val="1"/>
          <w:kern w:val="0"/>
          <w:sz w:val="24"/>
          <w:szCs w:val="24"/>
          <w:lang w:val="en-US" w:eastAsia="en-US" w:bidi="ar-SA"/>
        </w:rPr>
        <w:t>3.4 评审结果</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3.4.1</w:t>
      </w:r>
      <w:r>
        <w:rPr>
          <w:rFonts w:hint="eastAsia" w:ascii="仿宋" w:hAnsi="仿宋" w:eastAsia="仿宋" w:cs="仿宋"/>
          <w:snapToGrid w:val="0"/>
          <w:color w:val="000000"/>
          <w:spacing w:val="1"/>
          <w:kern w:val="0"/>
          <w:sz w:val="24"/>
          <w:szCs w:val="24"/>
          <w:lang w:val="en-US" w:eastAsia="zh-CN" w:bidi="ar-SA"/>
        </w:rPr>
        <w:t xml:space="preserve"> </w:t>
      </w:r>
      <w:r>
        <w:rPr>
          <w:rFonts w:hint="eastAsia" w:ascii="仿宋" w:hAnsi="仿宋" w:eastAsia="仿宋" w:cs="仿宋"/>
          <w:snapToGrid w:val="0"/>
          <w:color w:val="000000"/>
          <w:spacing w:val="1"/>
          <w:kern w:val="0"/>
          <w:sz w:val="24"/>
          <w:szCs w:val="24"/>
          <w:lang w:val="en-US" w:eastAsia="en-US" w:bidi="ar-SA"/>
        </w:rPr>
        <w:t>除第二章“供应商须知”前附表授权直接确定成交人外，磋商小组按照得分由高到低的顺序推荐成交候选人。</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3.4.2 磋商小组完成评审后，应当向采购人提交书面评审报告。</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3.4.</w:t>
      </w:r>
      <w:r>
        <w:rPr>
          <w:rFonts w:hint="eastAsia" w:ascii="仿宋" w:hAnsi="仿宋" w:eastAsia="仿宋" w:cs="仿宋"/>
          <w:snapToGrid w:val="0"/>
          <w:color w:val="000000"/>
          <w:spacing w:val="1"/>
          <w:kern w:val="0"/>
          <w:sz w:val="24"/>
          <w:szCs w:val="24"/>
          <w:lang w:val="en-US" w:eastAsia="zh-CN" w:bidi="ar-SA"/>
        </w:rPr>
        <w:t xml:space="preserve">3 </w:t>
      </w:r>
      <w:r>
        <w:rPr>
          <w:rFonts w:hint="eastAsia" w:ascii="仿宋" w:hAnsi="仿宋" w:eastAsia="仿宋" w:cs="仿宋"/>
          <w:snapToGrid w:val="0"/>
          <w:color w:val="000000"/>
          <w:spacing w:val="1"/>
          <w:kern w:val="0"/>
          <w:sz w:val="24"/>
          <w:szCs w:val="24"/>
          <w:lang w:val="en-US" w:eastAsia="en-US" w:bidi="ar-SA"/>
        </w:rPr>
        <w:t>评标结果同时在</w:t>
      </w:r>
      <w:r>
        <w:rPr>
          <w:rFonts w:hint="eastAsia" w:ascii="仿宋" w:hAnsi="仿宋" w:eastAsia="仿宋" w:cs="仿宋"/>
          <w:snapToGrid w:val="0"/>
          <w:color w:val="000000"/>
          <w:spacing w:val="1"/>
          <w:kern w:val="0"/>
          <w:sz w:val="24"/>
          <w:szCs w:val="24"/>
          <w:lang w:val="en-US" w:eastAsia="zh-CN" w:bidi="ar-SA"/>
        </w:rPr>
        <w:t>《河南省政府采购网》、《</w:t>
      </w:r>
      <w:r>
        <w:rPr>
          <w:rFonts w:hint="eastAsia" w:ascii="仿宋" w:hAnsi="仿宋" w:eastAsia="仿宋" w:cs="仿宋"/>
          <w:spacing w:val="1"/>
          <w:sz w:val="24"/>
          <w:szCs w:val="24"/>
        </w:rPr>
        <w:t>新郑市公共资源交易中心网</w:t>
      </w:r>
      <w:r>
        <w:rPr>
          <w:rFonts w:hint="eastAsia" w:ascii="仿宋" w:hAnsi="仿宋" w:eastAsia="仿宋" w:cs="仿宋"/>
          <w:snapToGrid w:val="0"/>
          <w:color w:val="000000"/>
          <w:spacing w:val="1"/>
          <w:kern w:val="0"/>
          <w:sz w:val="24"/>
          <w:szCs w:val="24"/>
          <w:lang w:val="en-US" w:eastAsia="zh-CN" w:bidi="ar-SA"/>
        </w:rPr>
        <w:t>》</w:t>
      </w:r>
      <w:r>
        <w:rPr>
          <w:rFonts w:hint="eastAsia" w:ascii="仿宋" w:hAnsi="仿宋" w:eastAsia="仿宋" w:cs="仿宋"/>
          <w:snapToGrid w:val="0"/>
          <w:color w:val="000000"/>
          <w:spacing w:val="1"/>
          <w:kern w:val="0"/>
          <w:sz w:val="24"/>
          <w:szCs w:val="24"/>
          <w:lang w:val="en-US" w:eastAsia="en-US" w:bidi="ar-SA"/>
        </w:rPr>
        <w:t>公示。</w:t>
      </w:r>
    </w:p>
    <w:p>
      <w:pPr>
        <w:rPr>
          <w:rFonts w:hint="eastAsia" w:ascii="宋体" w:hAnsi="宋体" w:cs="宋体"/>
          <w:bCs/>
          <w:color w:val="auto"/>
          <w:sz w:val="28"/>
          <w:szCs w:val="28"/>
          <w:highlight w:val="none"/>
        </w:rPr>
      </w:pPr>
    </w:p>
    <w:p>
      <w:pPr>
        <w:pStyle w:val="14"/>
        <w:rPr>
          <w:rFonts w:hint="eastAsia" w:ascii="宋体" w:hAnsi="宋体" w:cs="宋体"/>
          <w:bCs/>
          <w:color w:val="auto"/>
          <w:sz w:val="28"/>
          <w:szCs w:val="28"/>
          <w:highlight w:val="none"/>
        </w:rPr>
      </w:pPr>
    </w:p>
    <w:p>
      <w:pPr>
        <w:pStyle w:val="15"/>
        <w:rPr>
          <w:rFonts w:hint="eastAsia"/>
          <w:highlight w:val="none"/>
        </w:rPr>
      </w:pPr>
    </w:p>
    <w:p>
      <w:pPr>
        <w:pStyle w:val="19"/>
        <w:rPr>
          <w:rFonts w:hint="eastAsia"/>
          <w:highlight w:val="none"/>
        </w:rPr>
      </w:pPr>
    </w:p>
    <w:p>
      <w:pPr>
        <w:pStyle w:val="5"/>
        <w:pageBreakBefore w:val="0"/>
        <w:numPr>
          <w:ilvl w:val="0"/>
          <w:numId w:val="0"/>
        </w:numPr>
        <w:kinsoku/>
        <w:wordWrap/>
        <w:overflowPunct/>
        <w:topLinePunct w:val="0"/>
        <w:bidi w:val="0"/>
        <w:spacing w:line="400" w:lineRule="exact"/>
        <w:outlineLvl w:val="9"/>
        <w:rPr>
          <w:rFonts w:hint="eastAsia" w:ascii="宋体" w:hAnsi="宋体" w:eastAsia="宋体" w:cs="宋体"/>
          <w:color w:val="auto"/>
          <w:sz w:val="21"/>
          <w:szCs w:val="21"/>
          <w:highlight w:val="none"/>
        </w:rPr>
      </w:pPr>
    </w:p>
    <w:p>
      <w:pPr>
        <w:pageBreakBefore w:val="0"/>
        <w:numPr>
          <w:ilvl w:val="0"/>
          <w:numId w:val="0"/>
        </w:numPr>
        <w:kinsoku/>
        <w:wordWrap/>
        <w:overflowPunct/>
        <w:topLinePunct w:val="0"/>
        <w:bidi w:val="0"/>
        <w:spacing w:line="400" w:lineRule="exact"/>
        <w:ind w:left="459" w:leftChars="0"/>
        <w:outlineLvl w:val="9"/>
        <w:rPr>
          <w:rFonts w:hint="eastAsia" w:ascii="宋体" w:hAnsi="宋体" w:eastAsia="宋体" w:cs="宋体"/>
          <w:b/>
          <w:bCs/>
          <w:color w:val="auto"/>
          <w:sz w:val="21"/>
          <w:szCs w:val="21"/>
          <w:highlight w:val="none"/>
        </w:rPr>
      </w:pPr>
      <w:bookmarkStart w:id="145" w:name="_Toc12107"/>
      <w:bookmarkStart w:id="146" w:name="_Toc6867"/>
      <w:bookmarkStart w:id="147" w:name="_Toc23705"/>
      <w:r>
        <w:rPr>
          <w:rFonts w:hint="eastAsia" w:ascii="宋体" w:hAnsi="宋体" w:eastAsia="宋体" w:cs="宋体"/>
          <w:b/>
          <w:bCs/>
          <w:color w:val="auto"/>
          <w:sz w:val="21"/>
          <w:szCs w:val="21"/>
          <w:highlight w:val="none"/>
        </w:rPr>
        <w:t>附件：废标条件</w:t>
      </w:r>
      <w:bookmarkEnd w:id="145"/>
      <w:bookmarkEnd w:id="146"/>
      <w:bookmarkEnd w:id="147"/>
    </w:p>
    <w:p>
      <w:pPr>
        <w:pageBreakBefore w:val="0"/>
        <w:kinsoku/>
        <w:wordWrap/>
        <w:overflowPunct/>
        <w:topLinePunct w:val="0"/>
        <w:bidi w:val="0"/>
        <w:spacing w:line="400" w:lineRule="exact"/>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废标条件</w:t>
      </w:r>
    </w:p>
    <w:p>
      <w:pPr>
        <w:pageBreakBefore w:val="0"/>
        <w:kinsoku/>
        <w:wordWrap/>
        <w:overflowPunct/>
        <w:topLinePunct w:val="0"/>
        <w:bidi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本附件所集中列示的废标条件，是本章“评标办法”的组成部分，是对第二章“</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须知”和本章正文部分所规定的废标条件的总结和补充，如果出现相互矛盾的情况，以第二章“</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须知”和本章正文部分的规定为准。</w:t>
      </w:r>
    </w:p>
    <w:p>
      <w:pPr>
        <w:pageBreakBefore w:val="0"/>
        <w:kinsoku/>
        <w:wordWrap/>
        <w:overflowPunct/>
        <w:topLinePunct w:val="0"/>
        <w:bidi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1.未通过第三章评标办法</w:t>
      </w:r>
      <w:r>
        <w:rPr>
          <w:rFonts w:hint="eastAsia" w:ascii="宋体" w:hAnsi="宋体" w:eastAsia="宋体" w:cs="宋体"/>
          <w:b/>
          <w:color w:val="auto"/>
          <w:sz w:val="21"/>
          <w:szCs w:val="21"/>
          <w:highlight w:val="none"/>
          <w:lang w:eastAsia="zh-CN"/>
        </w:rPr>
        <w:t>资格评审、符合性评审的</w:t>
      </w:r>
      <w:r>
        <w:rPr>
          <w:rFonts w:hint="eastAsia" w:ascii="宋体" w:hAnsi="宋体" w:eastAsia="宋体" w:cs="宋体"/>
          <w:b/>
          <w:color w:val="auto"/>
          <w:sz w:val="21"/>
          <w:szCs w:val="21"/>
          <w:highlight w:val="none"/>
        </w:rPr>
        <w:t xml:space="preserve">； </w:t>
      </w:r>
    </w:p>
    <w:p>
      <w:pPr>
        <w:pageBreakBefore w:val="0"/>
        <w:kinsoku/>
        <w:wordWrap/>
        <w:overflowPunct/>
        <w:topLinePunct w:val="0"/>
        <w:bidi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.不按</w:t>
      </w:r>
      <w:r>
        <w:rPr>
          <w:rFonts w:hint="eastAsia" w:ascii="宋体" w:hAnsi="宋体" w:eastAsia="宋体" w:cs="宋体"/>
          <w:b/>
          <w:color w:val="auto"/>
          <w:sz w:val="21"/>
          <w:szCs w:val="21"/>
          <w:highlight w:val="none"/>
          <w:lang w:eastAsia="zh-CN"/>
        </w:rPr>
        <w:t>磋商小组</w:t>
      </w:r>
      <w:r>
        <w:rPr>
          <w:rFonts w:hint="eastAsia" w:ascii="宋体" w:hAnsi="宋体" w:eastAsia="宋体" w:cs="宋体"/>
          <w:b/>
          <w:color w:val="auto"/>
          <w:sz w:val="21"/>
          <w:szCs w:val="21"/>
          <w:highlight w:val="none"/>
        </w:rPr>
        <w:t>要求澄清、说明或补正的；</w:t>
      </w:r>
    </w:p>
    <w:p>
      <w:pPr>
        <w:pageBreakBefore w:val="0"/>
        <w:kinsoku/>
        <w:wordWrap/>
        <w:overflowPunct/>
        <w:topLinePunct w:val="0"/>
        <w:bidi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磋商</w:t>
      </w:r>
      <w:r>
        <w:rPr>
          <w:rFonts w:hint="eastAsia" w:ascii="宋体" w:hAnsi="宋体" w:eastAsia="宋体" w:cs="宋体"/>
          <w:b/>
          <w:color w:val="auto"/>
          <w:sz w:val="21"/>
          <w:szCs w:val="21"/>
          <w:highlight w:val="none"/>
        </w:rPr>
        <w:t>报价有算术性错误，</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不接受修正价格的；</w:t>
      </w:r>
    </w:p>
    <w:p>
      <w:pPr>
        <w:pageBreakBefore w:val="0"/>
        <w:kinsoku/>
        <w:wordWrap/>
        <w:overflowPunct/>
        <w:topLinePunct w:val="0"/>
        <w:bidi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.以他人的名义投标、以行贿手段谋取中标或者以其他弄虚作假方式投标的；</w:t>
      </w:r>
    </w:p>
    <w:p>
      <w:pPr>
        <w:pageBreakBefore w:val="0"/>
        <w:kinsoku/>
        <w:wordWrap/>
        <w:overflowPunct/>
        <w:topLinePunct w:val="0"/>
        <w:bidi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.属于串（围）标行为的；</w:t>
      </w:r>
    </w:p>
    <w:p>
      <w:pPr>
        <w:pageBreakBefore w:val="0"/>
        <w:kinsoku/>
        <w:wordWrap/>
        <w:overflowPunct/>
        <w:topLinePunct w:val="0"/>
        <w:bidi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竞争性磋商小组</w:t>
      </w:r>
      <w:r>
        <w:rPr>
          <w:rFonts w:hint="eastAsia" w:ascii="宋体" w:hAnsi="宋体" w:eastAsia="宋体" w:cs="宋体"/>
          <w:b/>
          <w:color w:val="auto"/>
          <w:sz w:val="21"/>
          <w:szCs w:val="21"/>
          <w:highlight w:val="none"/>
        </w:rPr>
        <w:t>认定</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以低于成本报价竞标的；</w:t>
      </w:r>
    </w:p>
    <w:p>
      <w:pPr>
        <w:pageBreakBefore w:val="0"/>
        <w:kinsoku/>
        <w:wordWrap/>
        <w:overflowPunct/>
        <w:topLinePunct w:val="0"/>
        <w:bidi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明显不符合技术规格、技术标准的要求；</w:t>
      </w:r>
    </w:p>
    <w:p>
      <w:pPr>
        <w:pageBreakBefore w:val="0"/>
        <w:kinsoku/>
        <w:wordWrap/>
        <w:overflowPunct/>
        <w:topLinePunct w:val="0"/>
        <w:bidi w:val="0"/>
        <w:spacing w:line="400" w:lineRule="exac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8.文件制作机器码、文件创建标识码有相同的；</w:t>
      </w:r>
    </w:p>
    <w:p>
      <w:pPr>
        <w:pStyle w:val="22"/>
        <w:spacing w:before="65" w:line="242" w:lineRule="auto"/>
        <w:ind w:right="59"/>
        <w:rPr>
          <w:rFonts w:hint="eastAsia" w:ascii="仿宋" w:hAnsi="仿宋" w:eastAsia="仿宋" w:cs="仿宋"/>
          <w:snapToGrid w:val="0"/>
          <w:color w:val="000000"/>
          <w:spacing w:val="1"/>
          <w:kern w:val="0"/>
          <w:sz w:val="24"/>
          <w:szCs w:val="24"/>
          <w:lang w:val="en-US" w:eastAsia="en-US" w:bidi="ar-SA"/>
        </w:rPr>
        <w:sectPr>
          <w:footerReference r:id="rId8" w:type="default"/>
          <w:pgSz w:w="11911" w:h="16839"/>
          <w:pgMar w:top="1431" w:right="1156" w:bottom="1015" w:left="1156" w:header="0" w:footer="850" w:gutter="0"/>
          <w:pgNumType w:fmt="decimal"/>
          <w:cols w:space="720" w:num="1"/>
        </w:sectPr>
      </w:pP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不符合</w:t>
      </w:r>
      <w:r>
        <w:rPr>
          <w:rFonts w:hint="eastAsia" w:ascii="宋体" w:hAnsi="宋体" w:eastAsia="宋体" w:cs="宋体"/>
          <w:b/>
          <w:color w:val="auto"/>
          <w:sz w:val="21"/>
          <w:szCs w:val="21"/>
          <w:highlight w:val="none"/>
          <w:lang w:eastAsia="zh-CN"/>
        </w:rPr>
        <w:t>竞争性磋商</w:t>
      </w:r>
      <w:r>
        <w:rPr>
          <w:rFonts w:hint="eastAsia" w:ascii="宋体" w:hAnsi="宋体" w:eastAsia="宋体" w:cs="宋体"/>
          <w:b/>
          <w:color w:val="auto"/>
          <w:sz w:val="21"/>
          <w:szCs w:val="21"/>
          <w:highlight w:val="none"/>
        </w:rPr>
        <w:t>文件规定的其他实质性要求及相关法律、法规或规章规定可以废标的其他情形。</w:t>
      </w:r>
    </w:p>
    <w:p>
      <w:pPr>
        <w:pStyle w:val="23"/>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仿宋" w:hAnsi="仿宋" w:eastAsia="仿宋" w:cs="仿宋"/>
          <w:b/>
          <w:bCs/>
          <w:snapToGrid w:val="0"/>
          <w:color w:val="000000"/>
          <w:spacing w:val="1"/>
          <w:kern w:val="0"/>
          <w:sz w:val="32"/>
          <w:szCs w:val="32"/>
          <w:lang w:val="en-US" w:eastAsia="en-US" w:bidi="ar-SA"/>
        </w:rPr>
      </w:pPr>
      <w:bookmarkStart w:id="148" w:name="_Toc12991"/>
      <w:bookmarkStart w:id="149" w:name="_Toc32558"/>
      <w:bookmarkStart w:id="150" w:name="_Toc3336"/>
      <w:r>
        <w:rPr>
          <w:rFonts w:hint="eastAsia" w:ascii="仿宋" w:hAnsi="仿宋" w:eastAsia="仿宋" w:cs="仿宋"/>
          <w:b/>
          <w:bCs/>
          <w:snapToGrid w:val="0"/>
          <w:color w:val="000000"/>
          <w:spacing w:val="1"/>
          <w:kern w:val="0"/>
          <w:sz w:val="32"/>
          <w:szCs w:val="32"/>
          <w:lang w:val="en-US" w:eastAsia="zh-CN" w:bidi="ar-SA"/>
        </w:rPr>
        <w:t>第四章 采购需求与要求</w:t>
      </w:r>
      <w:bookmarkEnd w:id="148"/>
      <w:bookmarkEnd w:id="149"/>
      <w:bookmarkEnd w:id="150"/>
    </w:p>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default"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1.采购清单列表</w:t>
      </w:r>
    </w:p>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default" w:ascii="仿宋" w:hAnsi="仿宋" w:eastAsia="仿宋" w:cs="仿宋"/>
          <w:snapToGrid w:val="0"/>
          <w:color w:val="000000"/>
          <w:spacing w:val="1"/>
          <w:kern w:val="0"/>
          <w:sz w:val="24"/>
          <w:szCs w:val="24"/>
          <w:lang w:val="en-US" w:eastAsia="zh-CN" w:bidi="ar-SA"/>
        </w:rPr>
      </w:pPr>
    </w:p>
    <w:tbl>
      <w:tblPr>
        <w:tblStyle w:val="16"/>
        <w:tblW w:w="90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2"/>
        <w:gridCol w:w="4725"/>
        <w:gridCol w:w="1323"/>
        <w:gridCol w:w="1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132" w:type="dxa"/>
            <w:tcBorders>
              <w:top w:val="single" w:color="000000" w:sz="4" w:space="0"/>
              <w:left w:val="single" w:color="000000" w:sz="4" w:space="0"/>
              <w:bottom w:val="single" w:color="000000" w:sz="4" w:space="0"/>
              <w:right w:val="nil"/>
            </w:tcBorders>
            <w:noWrap/>
            <w:vAlign w:val="center"/>
          </w:tcPr>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序号</w:t>
            </w:r>
          </w:p>
        </w:tc>
        <w:tc>
          <w:tcPr>
            <w:tcW w:w="4725" w:type="dxa"/>
            <w:tcBorders>
              <w:top w:val="single" w:color="000000" w:sz="4" w:space="0"/>
              <w:left w:val="single" w:color="000000" w:sz="4" w:space="0"/>
              <w:bottom w:val="single" w:color="000000" w:sz="4" w:space="0"/>
              <w:right w:val="single" w:color="000000" w:sz="4" w:space="0"/>
            </w:tcBorders>
            <w:noWrap/>
            <w:vAlign w:val="center"/>
          </w:tcPr>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设备名称</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单位</w:t>
            </w:r>
          </w:p>
        </w:tc>
        <w:tc>
          <w:tcPr>
            <w:tcW w:w="1892" w:type="dxa"/>
            <w:tcBorders>
              <w:top w:val="single" w:color="000000" w:sz="4" w:space="0"/>
              <w:left w:val="single" w:color="000000" w:sz="4" w:space="0"/>
              <w:bottom w:val="single" w:color="000000" w:sz="4" w:space="0"/>
              <w:right w:val="single" w:color="000000" w:sz="4" w:space="0"/>
            </w:tcBorders>
            <w:noWrap/>
            <w:vAlign w:val="center"/>
          </w:tcPr>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default"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1132" w:type="dxa"/>
            <w:tcBorders>
              <w:top w:val="single" w:color="000000" w:sz="4" w:space="0"/>
              <w:left w:val="single" w:color="000000" w:sz="4" w:space="0"/>
              <w:bottom w:val="single" w:color="000000" w:sz="4" w:space="0"/>
              <w:right w:val="nil"/>
            </w:tcBorders>
            <w:noWrap/>
            <w:vAlign w:val="center"/>
          </w:tcPr>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1</w:t>
            </w:r>
          </w:p>
        </w:tc>
        <w:tc>
          <w:tcPr>
            <w:tcW w:w="4725" w:type="dxa"/>
            <w:tcBorders>
              <w:top w:val="single" w:color="000000" w:sz="4" w:space="0"/>
              <w:left w:val="single" w:color="000000" w:sz="4" w:space="0"/>
              <w:bottom w:val="single" w:color="000000" w:sz="4" w:space="0"/>
              <w:right w:val="single" w:color="000000" w:sz="4" w:space="0"/>
            </w:tcBorders>
            <w:noWrap/>
            <w:vAlign w:val="center"/>
          </w:tcPr>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default"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高锰酸盐指数分析仪器</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台</w:t>
            </w:r>
          </w:p>
        </w:tc>
        <w:tc>
          <w:tcPr>
            <w:tcW w:w="1892" w:type="dxa"/>
            <w:tcBorders>
              <w:top w:val="single" w:color="000000" w:sz="4" w:space="0"/>
              <w:left w:val="single" w:color="000000" w:sz="4" w:space="0"/>
              <w:bottom w:val="single" w:color="000000" w:sz="4" w:space="0"/>
              <w:right w:val="single" w:color="000000" w:sz="4" w:space="0"/>
            </w:tcBorders>
            <w:noWrap/>
            <w:vAlign w:val="center"/>
          </w:tcPr>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default"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1132" w:type="dxa"/>
            <w:tcBorders>
              <w:top w:val="single" w:color="000000" w:sz="4" w:space="0"/>
              <w:left w:val="single" w:color="000000" w:sz="4" w:space="0"/>
              <w:bottom w:val="single" w:color="000000" w:sz="4" w:space="0"/>
              <w:right w:val="nil"/>
            </w:tcBorders>
            <w:noWrap/>
            <w:vAlign w:val="center"/>
          </w:tcPr>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2</w:t>
            </w:r>
          </w:p>
        </w:tc>
        <w:tc>
          <w:tcPr>
            <w:tcW w:w="4725" w:type="dxa"/>
            <w:tcBorders>
              <w:top w:val="single" w:color="000000" w:sz="4" w:space="0"/>
              <w:left w:val="single" w:color="000000" w:sz="4" w:space="0"/>
              <w:bottom w:val="single" w:color="000000" w:sz="4" w:space="0"/>
              <w:right w:val="single" w:color="000000" w:sz="4" w:space="0"/>
            </w:tcBorders>
            <w:noWrap/>
            <w:vAlign w:val="center"/>
          </w:tcPr>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default"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流动注射分析仪</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台</w:t>
            </w:r>
          </w:p>
        </w:tc>
        <w:tc>
          <w:tcPr>
            <w:tcW w:w="1892" w:type="dxa"/>
            <w:tcBorders>
              <w:top w:val="single" w:color="000000" w:sz="4" w:space="0"/>
              <w:left w:val="single" w:color="000000" w:sz="4" w:space="0"/>
              <w:bottom w:val="single" w:color="000000" w:sz="4" w:space="0"/>
              <w:right w:val="single" w:color="000000" w:sz="4" w:space="0"/>
            </w:tcBorders>
            <w:noWrap/>
            <w:vAlign w:val="center"/>
          </w:tcPr>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default"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132" w:type="dxa"/>
            <w:tcBorders>
              <w:top w:val="single" w:color="000000" w:sz="4" w:space="0"/>
              <w:left w:val="single" w:color="000000" w:sz="4" w:space="0"/>
              <w:bottom w:val="single" w:color="000000" w:sz="4" w:space="0"/>
              <w:right w:val="nil"/>
            </w:tcBorders>
            <w:noWrap/>
            <w:vAlign w:val="center"/>
          </w:tcPr>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3</w:t>
            </w:r>
          </w:p>
        </w:tc>
        <w:tc>
          <w:tcPr>
            <w:tcW w:w="4725" w:type="dxa"/>
            <w:tcBorders>
              <w:top w:val="single" w:color="000000" w:sz="4" w:space="0"/>
              <w:left w:val="single" w:color="000000" w:sz="4" w:space="0"/>
              <w:bottom w:val="single" w:color="000000" w:sz="4" w:space="0"/>
              <w:right w:val="single" w:color="000000" w:sz="4" w:space="0"/>
            </w:tcBorders>
            <w:noWrap/>
            <w:vAlign w:val="center"/>
          </w:tcPr>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default"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总α放射性和总β放射性检测仪</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台</w:t>
            </w:r>
          </w:p>
        </w:tc>
        <w:tc>
          <w:tcPr>
            <w:tcW w:w="1892" w:type="dxa"/>
            <w:tcBorders>
              <w:top w:val="single" w:color="000000" w:sz="4" w:space="0"/>
              <w:left w:val="single" w:color="000000" w:sz="4" w:space="0"/>
              <w:bottom w:val="single" w:color="000000" w:sz="4" w:space="0"/>
              <w:right w:val="single" w:color="000000" w:sz="4" w:space="0"/>
            </w:tcBorders>
            <w:noWrap/>
            <w:vAlign w:val="center"/>
          </w:tcPr>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default"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1</w:t>
            </w:r>
          </w:p>
        </w:tc>
      </w:tr>
    </w:tbl>
    <w:p>
      <w:pPr>
        <w:pStyle w:val="23"/>
        <w:pageBreakBefore w:val="0"/>
        <w:widowControl w:val="0"/>
        <w:kinsoku/>
        <w:wordWrap/>
        <w:overflowPunct/>
        <w:topLinePunct w:val="0"/>
        <w:autoSpaceDE/>
        <w:autoSpaceDN/>
        <w:bidi w:val="0"/>
        <w:adjustRightInd/>
        <w:snapToGrid/>
        <w:spacing w:line="400" w:lineRule="exact"/>
        <w:textAlignment w:val="auto"/>
        <w:outlineLvl w:val="9"/>
        <w:rPr>
          <w:rFonts w:hint="default"/>
          <w:lang w:val="en-US"/>
        </w:rPr>
      </w:pPr>
      <w:r>
        <w:rPr>
          <w:rFonts w:hint="eastAsia" w:ascii="仿宋" w:hAnsi="仿宋" w:eastAsia="仿宋" w:cs="仿宋"/>
          <w:snapToGrid w:val="0"/>
          <w:color w:val="000000"/>
          <w:spacing w:val="1"/>
          <w:kern w:val="0"/>
          <w:sz w:val="24"/>
          <w:szCs w:val="24"/>
          <w:lang w:val="en-US" w:eastAsia="zh-CN" w:bidi="ar-SA"/>
        </w:rPr>
        <w:br w:type="page"/>
      </w:r>
      <w:r>
        <w:rPr>
          <w:rFonts w:hint="eastAsia" w:ascii="微软雅黑" w:hAnsi="微软雅黑" w:eastAsia="微软雅黑" w:cs="Arial"/>
          <w:b/>
          <w:color w:val="auto"/>
          <w:kern w:val="2"/>
          <w:sz w:val="21"/>
          <w:szCs w:val="21"/>
          <w:highlight w:val="none"/>
          <w:lang w:val="en-US" w:eastAsia="zh-CN" w:bidi="ar-SA"/>
        </w:rPr>
        <w:t>技术参数</w:t>
      </w:r>
    </w:p>
    <w:p>
      <w:pPr>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b/>
          <w:bCs/>
          <w:snapToGrid w:val="0"/>
          <w:color w:val="000000"/>
          <w:spacing w:val="1"/>
          <w:kern w:val="0"/>
          <w:sz w:val="24"/>
          <w:szCs w:val="24"/>
          <w:lang w:val="en-US" w:eastAsia="zh-CN" w:bidi="ar-SA"/>
        </w:rPr>
        <w:t>一. 高锰酸盐指数分析仪器技术参数</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功能与原理</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高锰酸盐指数测试</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原理：高锰酸盐指数的测定严格按照国家标准方法《GB/T 5750.7-2023 生活饮用水标准检验方法 有机物综合指标》和《GB 11892-1989水质 高锰酸盐指数的测定》中要求的步骤进行检测，自动添加硫酸溶液和高锰酸钾溶液，实现自动搅拌混匀，沸水浴处理后，自动添加草酸钠溶液，采用RGB技术实现自动滴定高锰酸钾溶液并分析数据。</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总硬度测试</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原理：总硬度的检测严格按照国家发布的标准方法《GB/T 5750.4-2023 生活饮用水标准检验方法 感观性状和物理指标》中总硬度的乙二胺四乙酸二钠滴定法要求的步骤进行检测，实现自动添加缓冲溶液和铬黑T指示剂，混匀后采用RGB技术实现自动滴定Na2EDTA标准溶液并分析数据。</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盐碘测试</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原理：盐碘检测严格按照国家质量检验检疫局总局发布的标准方法《GB/T 13025.7-2012 制盐工业通用试验方法 碘的测定》中的容量法要求的步骤进行检测，实现自动搅拌溶解盐样，自动添加试剂，混匀后采用RGB技术实现自动滴定硫代硫酸钠标准溶液并分析数据。</w:t>
      </w:r>
      <w:bookmarkStart w:id="151" w:name="OLE_LINK1"/>
    </w:p>
    <w:bookmarkEnd w:id="151"/>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主要技术参数及要求</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 性能要求</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2.1.1采用RGB技术实现滴定终点的自动识别判断，并分析数据。</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2.1.2 ★采用不低于24个恒温水浴位，可同时加热冷却样品，可分区分批加热冷却样品。</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2.1.3 盐碘检测范围：0-50mg/kg。</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高锰酸盐指数最低检测浓度为0.05mg/L；检测范围：0-5.0mg/L（100mL样品）</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总硬度最低检测浓度为1.0mg/L；总硬度检测范围：≧1mg/L。</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2.1.4 准确度：能满足国家标准对准确度的要求。</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2.1.5 方法精密度：相对标准偏差RSD≤3%。</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2.1.6 恒温水浴温控精度：±0.1℃。</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2.1.7 检测速度≤2.5min/个。</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2.1.8可自动标定高锰酸钾溶液的浓度。</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2.1.9 ★既可以做酸性高锰酸钾法，也可以做碱性高锰酸钾法。</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2.1.10 ★盐碘既可以做直接滴定法，也可以做氧化还原滴定法。</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2.2 样品盘和试剂位</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2.2.1 样品管：50mm*130mm规格的玻璃试管。</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2.2.2 试剂开放，可使用原厂试剂，用户也可自行配备。</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2.2.3 ★一次性可以同时摆放不低于24个样品。</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2.2.4 可在线搅拌、混合、溶解样品。</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2.2.5 可在不同的恒温区，进行分区滚动测试，提高检测效率。</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2.3 清洗站</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2.3.1 每次采用新鲜清洗液自动清洗取样头。</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2.3.2 每次实验结束自动清洗所有管路。</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2.3.3 可以根据实验需要，设定清洗方法。</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2.4 数据控制与输出</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2.4.1 采用触屏控制，直接编辑输出信息。</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2.4.2 自动记录滴定体积并计算结果。</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2.4.3 软件自动控制仪器分析，无须人工干预。</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 xml:space="preserve">2.4.4 内置调试软件，可校准加液精度。 </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2.4.5 可拓展使用电脑连接。</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工作环境与条件</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3.1 环境温度：5-40℃</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3.2 相对湿度：20-80%</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3.3 电源供应：200-240V (AC)</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主要配置清单：</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1、主机一台</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2、75根国标配置试管</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3、分析软件</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 打印机</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en-US" w:bidi="ar-SA"/>
        </w:rPr>
        <w:t>5、高锰酸盐数值 总硬度 试剂各一盒</w:t>
      </w:r>
      <w:r>
        <w:rPr>
          <w:rFonts w:hint="eastAsia" w:ascii="仿宋" w:hAnsi="仿宋" w:eastAsia="仿宋" w:cs="仿宋"/>
          <w:snapToGrid w:val="0"/>
          <w:color w:val="000000"/>
          <w:spacing w:val="1"/>
          <w:kern w:val="0"/>
          <w:sz w:val="24"/>
          <w:szCs w:val="24"/>
          <w:lang w:val="en-US" w:eastAsia="zh-CN" w:bidi="ar-SA"/>
        </w:rPr>
        <w:t xml:space="preserve">                   </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b/>
          <w:bCs/>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b/>
          <w:bCs/>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b/>
          <w:bCs/>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b/>
          <w:bCs/>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b/>
          <w:bCs/>
          <w:snapToGrid w:val="0"/>
          <w:color w:val="000000"/>
          <w:spacing w:val="1"/>
          <w:kern w:val="0"/>
          <w:sz w:val="24"/>
          <w:szCs w:val="24"/>
          <w:lang w:val="en-US" w:eastAsia="zh-CN" w:bidi="ar-SA"/>
        </w:rPr>
      </w:pPr>
      <w:r>
        <w:rPr>
          <w:rFonts w:hint="eastAsia" w:ascii="仿宋" w:hAnsi="仿宋" w:eastAsia="仿宋" w:cs="仿宋"/>
          <w:b/>
          <w:bCs/>
          <w:snapToGrid w:val="0"/>
          <w:color w:val="000000"/>
          <w:spacing w:val="1"/>
          <w:kern w:val="0"/>
          <w:sz w:val="24"/>
          <w:szCs w:val="24"/>
          <w:lang w:val="en-US" w:eastAsia="zh-CN" w:bidi="ar-SA"/>
        </w:rPr>
        <w:t>二.</w:t>
      </w:r>
      <w:r>
        <w:rPr>
          <w:rFonts w:hint="eastAsia" w:ascii="仿宋" w:hAnsi="仿宋" w:eastAsia="仿宋" w:cs="仿宋"/>
          <w:b/>
          <w:bCs/>
          <w:snapToGrid w:val="0"/>
          <w:color w:val="000000"/>
          <w:spacing w:val="1"/>
          <w:kern w:val="0"/>
          <w:sz w:val="24"/>
          <w:szCs w:val="24"/>
          <w:lang w:val="en-US" w:eastAsia="en-US" w:bidi="ar-SA"/>
        </w:rPr>
        <w:t>全自动流动注射分析仪技术</w:t>
      </w:r>
      <w:r>
        <w:rPr>
          <w:rFonts w:hint="eastAsia" w:ascii="仿宋" w:hAnsi="仿宋" w:eastAsia="仿宋" w:cs="仿宋"/>
          <w:b/>
          <w:bCs/>
          <w:snapToGrid w:val="0"/>
          <w:color w:val="000000"/>
          <w:spacing w:val="1"/>
          <w:kern w:val="0"/>
          <w:sz w:val="24"/>
          <w:szCs w:val="24"/>
          <w:lang w:val="en-US" w:eastAsia="zh-CN" w:bidi="ar-SA"/>
        </w:rPr>
        <w:t>参数</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该设备主要用途为: 可以用于测定地表水、地下水、饮用水和环境水中的</w:t>
      </w:r>
      <w:r>
        <w:rPr>
          <w:rFonts w:hint="eastAsia" w:ascii="仿宋" w:hAnsi="仿宋" w:eastAsia="仿宋" w:cs="仿宋"/>
          <w:snapToGrid w:val="0"/>
          <w:color w:val="000000"/>
          <w:spacing w:val="1"/>
          <w:kern w:val="0"/>
          <w:sz w:val="24"/>
          <w:szCs w:val="24"/>
          <w:lang w:val="en-US" w:eastAsia="zh-CN" w:bidi="ar-SA"/>
        </w:rPr>
        <w:t>六价铬、铝离子</w:t>
      </w:r>
      <w:r>
        <w:rPr>
          <w:rFonts w:hint="eastAsia" w:ascii="仿宋" w:hAnsi="仿宋" w:eastAsia="仿宋" w:cs="仿宋"/>
          <w:snapToGrid w:val="0"/>
          <w:color w:val="000000"/>
          <w:spacing w:val="1"/>
          <w:kern w:val="0"/>
          <w:sz w:val="24"/>
          <w:szCs w:val="24"/>
          <w:lang w:val="en-US" w:eastAsia="en-US" w:bidi="ar-SA"/>
        </w:rPr>
        <w:t>等指标。</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1.仪器的工作环境：仪器可供在室内使用或车载使用，环境温度 10~40℃；电源供给：220VAC，50HZ，相对湿度：25%~85%。</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2.技术要求：</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en-US" w:bidi="ar-SA"/>
        </w:rPr>
        <w:t>2.1仪器组成：仪器为一体机通道式设计，可配置1-16个通道分析工作，每个通道包括一个12通道蠕动泵，一套化学分析流路，一个双光束检测器及与化学分析流路配套的温度控制器、控制电路等。20</w:t>
      </w:r>
      <w:r>
        <w:rPr>
          <w:rFonts w:hint="eastAsia" w:ascii="仿宋" w:hAnsi="仿宋" w:eastAsia="仿宋" w:cs="仿宋"/>
          <w:snapToGrid w:val="0"/>
          <w:color w:val="000000"/>
          <w:spacing w:val="1"/>
          <w:kern w:val="0"/>
          <w:sz w:val="24"/>
          <w:szCs w:val="24"/>
          <w:lang w:val="en-US" w:eastAsia="zh-CN" w:bidi="ar-SA"/>
        </w:rPr>
        <w:t>0</w:t>
      </w:r>
      <w:r>
        <w:rPr>
          <w:rFonts w:hint="eastAsia" w:ascii="仿宋" w:hAnsi="仿宋" w:eastAsia="仿宋" w:cs="仿宋"/>
          <w:snapToGrid w:val="0"/>
          <w:color w:val="000000"/>
          <w:spacing w:val="1"/>
          <w:kern w:val="0"/>
          <w:sz w:val="24"/>
          <w:szCs w:val="24"/>
          <w:lang w:val="en-US" w:eastAsia="en-US" w:bidi="ar-SA"/>
        </w:rPr>
        <w:t>位</w:t>
      </w:r>
      <w:r>
        <w:rPr>
          <w:rFonts w:hint="eastAsia" w:ascii="仿宋" w:hAnsi="仿宋" w:eastAsia="仿宋" w:cs="仿宋"/>
          <w:snapToGrid w:val="0"/>
          <w:color w:val="000000"/>
          <w:spacing w:val="1"/>
          <w:kern w:val="0"/>
          <w:sz w:val="24"/>
          <w:szCs w:val="24"/>
          <w:lang w:val="en-US" w:eastAsia="zh-CN" w:bidi="ar-SA"/>
        </w:rPr>
        <w:t>以上</w:t>
      </w:r>
      <w:r>
        <w:rPr>
          <w:rFonts w:hint="eastAsia" w:ascii="仿宋" w:hAnsi="仿宋" w:eastAsia="仿宋" w:cs="仿宋"/>
          <w:snapToGrid w:val="0"/>
          <w:color w:val="000000"/>
          <w:spacing w:val="1"/>
          <w:kern w:val="0"/>
          <w:sz w:val="24"/>
          <w:szCs w:val="24"/>
          <w:lang w:val="en-US" w:eastAsia="en-US" w:bidi="ar-SA"/>
        </w:rPr>
        <w:t>自动进样装置</w:t>
      </w:r>
      <w:r>
        <w:rPr>
          <w:rFonts w:hint="eastAsia" w:ascii="仿宋" w:hAnsi="仿宋" w:eastAsia="仿宋" w:cs="仿宋"/>
          <w:snapToGrid w:val="0"/>
          <w:color w:val="000000"/>
          <w:spacing w:val="1"/>
          <w:kern w:val="0"/>
          <w:sz w:val="24"/>
          <w:szCs w:val="24"/>
          <w:lang w:val="en-US" w:eastAsia="zh-CN" w:bidi="ar-SA"/>
        </w:rPr>
        <w:t>1</w:t>
      </w:r>
      <w:r>
        <w:rPr>
          <w:rFonts w:hint="eastAsia" w:ascii="仿宋" w:hAnsi="仿宋" w:eastAsia="仿宋" w:cs="仿宋"/>
          <w:snapToGrid w:val="0"/>
          <w:color w:val="000000"/>
          <w:spacing w:val="1"/>
          <w:kern w:val="0"/>
          <w:sz w:val="24"/>
          <w:szCs w:val="24"/>
          <w:lang w:val="en-US" w:eastAsia="en-US" w:bidi="ar-SA"/>
        </w:rPr>
        <w:t>台，通道与工作站软件通过网线接口进行数据传输。仪器无需使用压缩气体，所有化学分析流路使用FEP全化学惰性透明管, 无翻边管路接头。(提供厂家证明文件)</w:t>
      </w:r>
      <w:r>
        <w:rPr>
          <w:rFonts w:hint="eastAsia" w:ascii="仿宋" w:hAnsi="仿宋" w:eastAsia="仿宋" w:cs="仿宋"/>
          <w:snapToGrid w:val="0"/>
          <w:color w:val="000000"/>
          <w:spacing w:val="1"/>
          <w:kern w:val="0"/>
          <w:sz w:val="24"/>
          <w:szCs w:val="24"/>
          <w:lang w:val="en-US" w:eastAsia="zh-CN" w:bidi="ar-SA"/>
        </w:rPr>
        <w:t>。</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2.2仪器原理：仪器基于流动注射分析的基本原理，试剂在封闭的管路中连续流动，一定体积的样品通过样品注入阀注入载流，载流携带样品在封闭的编结反应器与试剂混合，形成具有一定吸光度的混合物，流过光度检测器，形成检测峰形。样品与样品之间，样品与试剂之间，无需加入气泡，无需达到物理混合和化学反应平衡状态即可重复测定，实现快速准确地分析。</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★2.3本仪器的各个通道独立设计，无需配置主机</w:t>
      </w:r>
      <w:r>
        <w:rPr>
          <w:rFonts w:hint="eastAsia" w:ascii="仿宋" w:hAnsi="仿宋" w:eastAsia="仿宋" w:cs="仿宋"/>
          <w:snapToGrid w:val="0"/>
          <w:color w:val="000000"/>
          <w:spacing w:val="1"/>
          <w:kern w:val="0"/>
          <w:sz w:val="24"/>
          <w:szCs w:val="24"/>
          <w:lang w:val="en-US" w:eastAsia="zh-CN" w:bidi="ar-SA"/>
        </w:rPr>
        <w:t>，</w:t>
      </w:r>
      <w:r>
        <w:rPr>
          <w:rFonts w:hint="eastAsia" w:ascii="仿宋" w:hAnsi="仿宋" w:eastAsia="仿宋" w:cs="仿宋"/>
          <w:snapToGrid w:val="0"/>
          <w:color w:val="000000"/>
          <w:spacing w:val="1"/>
          <w:kern w:val="0"/>
          <w:sz w:val="24"/>
          <w:szCs w:val="24"/>
          <w:lang w:val="en-US" w:eastAsia="en-US" w:bidi="ar-SA"/>
        </w:rPr>
        <w:t>仪器无需使用压缩气体，所有化学分析流路使用全化学惰性透明管,无翻边管路接头。（提供仪器图片证明文件）</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★2.4</w:t>
      </w:r>
      <w:r>
        <w:rPr>
          <w:rFonts w:hint="eastAsia" w:ascii="仿宋" w:hAnsi="仿宋" w:eastAsia="仿宋" w:cs="仿宋"/>
          <w:snapToGrid w:val="0"/>
          <w:color w:val="000000"/>
          <w:spacing w:val="1"/>
          <w:kern w:val="0"/>
          <w:sz w:val="24"/>
          <w:szCs w:val="24"/>
          <w:lang w:val="en-US" w:eastAsia="zh-CN" w:bidi="ar-SA"/>
        </w:rPr>
        <w:t>两</w:t>
      </w:r>
      <w:r>
        <w:rPr>
          <w:rFonts w:hint="eastAsia" w:ascii="仿宋" w:hAnsi="仿宋" w:eastAsia="仿宋" w:cs="仿宋"/>
          <w:snapToGrid w:val="0"/>
          <w:color w:val="000000"/>
          <w:spacing w:val="1"/>
          <w:kern w:val="0"/>
          <w:sz w:val="24"/>
          <w:szCs w:val="24"/>
          <w:lang w:val="en-US" w:eastAsia="en-US" w:bidi="ar-SA"/>
        </w:rPr>
        <w:t>个分析模块可以在同一房间，也可以分别在</w:t>
      </w:r>
      <w:r>
        <w:rPr>
          <w:rFonts w:hint="eastAsia" w:ascii="仿宋" w:hAnsi="仿宋" w:eastAsia="仿宋" w:cs="仿宋"/>
          <w:snapToGrid w:val="0"/>
          <w:color w:val="000000"/>
          <w:spacing w:val="1"/>
          <w:kern w:val="0"/>
          <w:sz w:val="24"/>
          <w:szCs w:val="24"/>
          <w:lang w:val="en-US" w:eastAsia="zh-CN" w:bidi="ar-SA"/>
        </w:rPr>
        <w:t>两</w:t>
      </w:r>
      <w:r>
        <w:rPr>
          <w:rFonts w:hint="eastAsia" w:ascii="仿宋" w:hAnsi="仿宋" w:eastAsia="仿宋" w:cs="仿宋"/>
          <w:snapToGrid w:val="0"/>
          <w:color w:val="000000"/>
          <w:spacing w:val="1"/>
          <w:kern w:val="0"/>
          <w:sz w:val="24"/>
          <w:szCs w:val="24"/>
          <w:lang w:val="en-US" w:eastAsia="en-US" w:bidi="ar-SA"/>
        </w:rPr>
        <w:t>个不同的实验室分别进行使用；仪器模块方法长度不超过70cm，可放于通风橱;并可实现车载分析，处理紧急现场任务。（提供仪器图片证明文件）</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★2.5仪器配套的化学流路元件均要固定在化学流路板上，化学流路板采取30~45度倾角放置，便于观察化学反应情况并在出现故障下保护仪器不被腐蚀</w:t>
      </w:r>
      <w:r>
        <w:rPr>
          <w:rFonts w:hint="eastAsia" w:ascii="仿宋" w:hAnsi="仿宋" w:eastAsia="仿宋" w:cs="仿宋"/>
          <w:snapToGrid w:val="0"/>
          <w:color w:val="000000"/>
          <w:spacing w:val="1"/>
          <w:kern w:val="0"/>
          <w:sz w:val="24"/>
          <w:szCs w:val="24"/>
          <w:lang w:val="en-US" w:eastAsia="zh-CN" w:bidi="ar-SA"/>
        </w:rPr>
        <w:t>，不接受水平流路。</w:t>
      </w:r>
      <w:r>
        <w:rPr>
          <w:rFonts w:hint="eastAsia" w:ascii="仿宋" w:hAnsi="仿宋" w:eastAsia="仿宋" w:cs="仿宋"/>
          <w:snapToGrid w:val="0"/>
          <w:color w:val="000000"/>
          <w:spacing w:val="1"/>
          <w:kern w:val="0"/>
          <w:sz w:val="24"/>
          <w:szCs w:val="24"/>
          <w:lang w:val="en-US" w:eastAsia="en-US" w:bidi="ar-SA"/>
        </w:rPr>
        <w:t>（提供仪器图片证明文件）</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2.6每个通道包括一个自动进样装置，一个十二通道蠕动泵，一套化学分析流路，一个双光束检测器及与化学分析流路配套的温度控制器、控制电路等，以上装置均为通道独有，不与其他通道共用。仪器无需使用压缩气体，所有化学分析流路使用FEP全化学惰性透明管, 无翻边管路接头。</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2.7每个通道与自动进样装置连接，该装置包括2</w:t>
      </w:r>
      <w:r>
        <w:rPr>
          <w:rFonts w:hint="eastAsia" w:ascii="仿宋" w:hAnsi="仿宋" w:eastAsia="仿宋" w:cs="仿宋"/>
          <w:snapToGrid w:val="0"/>
          <w:color w:val="000000"/>
          <w:spacing w:val="1"/>
          <w:kern w:val="0"/>
          <w:sz w:val="24"/>
          <w:szCs w:val="24"/>
          <w:lang w:val="en-US" w:eastAsia="zh-CN" w:bidi="ar-SA"/>
        </w:rPr>
        <w:t>00位以上</w:t>
      </w:r>
      <w:r>
        <w:rPr>
          <w:rFonts w:hint="eastAsia" w:ascii="仿宋" w:hAnsi="仿宋" w:eastAsia="仿宋" w:cs="仿宋"/>
          <w:snapToGrid w:val="0"/>
          <w:color w:val="000000"/>
          <w:spacing w:val="1"/>
          <w:kern w:val="0"/>
          <w:sz w:val="24"/>
          <w:szCs w:val="24"/>
          <w:lang w:val="en-US" w:eastAsia="en-US" w:bidi="ar-SA"/>
        </w:rPr>
        <w:t>。其中</w:t>
      </w:r>
      <w:r>
        <w:rPr>
          <w:rFonts w:hint="eastAsia" w:ascii="仿宋" w:hAnsi="仿宋" w:eastAsia="仿宋" w:cs="仿宋"/>
          <w:snapToGrid w:val="0"/>
          <w:color w:val="000000"/>
          <w:spacing w:val="1"/>
          <w:kern w:val="0"/>
          <w:sz w:val="24"/>
          <w:szCs w:val="24"/>
          <w:lang w:val="en-US" w:eastAsia="zh-CN" w:bidi="ar-SA"/>
        </w:rPr>
        <w:t>包含</w:t>
      </w:r>
      <w:r>
        <w:rPr>
          <w:rFonts w:hint="eastAsia" w:ascii="仿宋" w:hAnsi="仿宋" w:eastAsia="仿宋" w:cs="仿宋"/>
          <w:snapToGrid w:val="0"/>
          <w:color w:val="000000"/>
          <w:spacing w:val="1"/>
          <w:kern w:val="0"/>
          <w:sz w:val="24"/>
          <w:szCs w:val="24"/>
          <w:lang w:val="en-US" w:eastAsia="en-US" w:bidi="ar-SA"/>
        </w:rPr>
        <w:t>载流位置，载流不但携带样品与试剂混合，还可起到清洁样品输送管路的作用，在不同的样品之间泵入载流，可清洗取样针、完全避免样品滞留引起交叉污染。配备多个自动进样装置，可自由实现多参数的同时测定。自动进样器的吸样量0.1~10ml，进样精度≤1%。</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2.8每个通道都包括一个专用的蠕动泵,12个管位，泵速由计算机设定（0-200r/min随意设定），蠕动泵为整体压块式设计，无需用户单独调节蠕动泵压片的松紧。泵的压强范围：0-100psi。试剂及样品流路为0~20ml/min。</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2.9每个通道都包括一个专用的电动六孔阀，六孔阀上的六个孔位两两相通，通过电机带动转换位置，六孔阀上连接有样品环，用于注入一定体积的样品到连续流动的载流中。</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2.10每个通道都包括一个专用的检测器</w:t>
      </w:r>
      <w:r>
        <w:rPr>
          <w:rFonts w:hint="eastAsia" w:ascii="仿宋" w:hAnsi="仿宋" w:eastAsia="仿宋" w:cs="仿宋"/>
          <w:snapToGrid w:val="0"/>
          <w:color w:val="000000"/>
          <w:spacing w:val="1"/>
          <w:kern w:val="0"/>
          <w:sz w:val="24"/>
          <w:szCs w:val="24"/>
          <w:lang w:val="en-US" w:eastAsia="zh-CN" w:bidi="ar-SA"/>
        </w:rPr>
        <w:t>，</w:t>
      </w:r>
      <w:r>
        <w:rPr>
          <w:rFonts w:hint="eastAsia" w:ascii="仿宋" w:hAnsi="仿宋" w:eastAsia="仿宋" w:cs="仿宋"/>
          <w:snapToGrid w:val="0"/>
          <w:color w:val="000000"/>
          <w:spacing w:val="1"/>
          <w:kern w:val="0"/>
          <w:sz w:val="24"/>
          <w:szCs w:val="24"/>
          <w:lang w:val="en-US" w:eastAsia="en-US" w:bidi="ar-SA"/>
        </w:rPr>
        <w:t>检测器为双光束设计，通过窄带滤光片分光，不同的系列分析仪可以使用相同的滤光片，也可使用不同的滤光片，滤光片更换方便。检测器使用400~1100nm的卤钨灯作为光源，还包括一个流通式比色皿，光程10mm。</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2.11每个通道标配有电加热器，温度可通过电脑进行控制，温度控制区间为室温到250℃，温度精度</w:t>
      </w:r>
      <w:r>
        <w:rPr>
          <w:rFonts w:hint="eastAsia" w:ascii="仿宋" w:hAnsi="仿宋" w:eastAsia="仿宋" w:cs="仿宋"/>
          <w:snapToGrid w:val="0"/>
          <w:color w:val="000000"/>
          <w:spacing w:val="1"/>
          <w:kern w:val="0"/>
          <w:sz w:val="24"/>
          <w:szCs w:val="24"/>
          <w:lang w:val="en-US" w:eastAsia="en-US" w:bidi="ar-SA"/>
        </w:rPr>
        <w:sym w:font="Symbol" w:char="F0B1"/>
      </w:r>
      <w:r>
        <w:rPr>
          <w:rFonts w:hint="eastAsia" w:ascii="仿宋" w:hAnsi="仿宋" w:eastAsia="仿宋" w:cs="仿宋"/>
          <w:snapToGrid w:val="0"/>
          <w:color w:val="000000"/>
          <w:spacing w:val="1"/>
          <w:kern w:val="0"/>
          <w:sz w:val="24"/>
          <w:szCs w:val="24"/>
          <w:lang w:val="en-US" w:eastAsia="en-US" w:bidi="ar-SA"/>
        </w:rPr>
        <w:t>0.1℃，数字显示。</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2.12全中文操作软件，可控制1-16个通道同时工作。</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2.13.分析软件：全中文操作软件及帮助文件，在win7以上的操作系统工作，同时显示所有同系列分析仪的实时谱图及过往图谱，可一边进行测试一边进行以往数据的查看及处理。仪器软件易于操作，能够进行多窗口同时操作，操作界面全部为中文。</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2.14使用网线进行通讯，通讯更加可靠，且无需在计算机安装电路板。每个通道都具有配套的中文方法手册，详细说明该分析仪的方法原理，应用领域，试剂配制方法，操作程序及详细列举工作曲线、检出限、精密度等指标的测试数据及图谱。</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★3.仪器性能指标：</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不同分析通道模块包括相应的在线加热、冷凝、蒸馏、萃取、还原等系统，所有系统在分析通道模块上实现（不需要额外配置加热、冷凝、蒸馏、萃取、还原等辅助设备）。</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w:t>
      </w:r>
      <w:r>
        <w:rPr>
          <w:rFonts w:hint="eastAsia" w:ascii="仿宋" w:hAnsi="仿宋" w:eastAsia="仿宋" w:cs="仿宋"/>
          <w:snapToGrid w:val="0"/>
          <w:color w:val="000000"/>
          <w:spacing w:val="1"/>
          <w:kern w:val="0"/>
          <w:sz w:val="24"/>
          <w:szCs w:val="24"/>
          <w:lang w:val="en-US" w:eastAsia="zh-CN" w:bidi="ar-SA"/>
        </w:rPr>
        <w:t>1</w:t>
      </w:r>
      <w:r>
        <w:rPr>
          <w:rFonts w:hint="eastAsia" w:ascii="仿宋" w:hAnsi="仿宋" w:eastAsia="仿宋" w:cs="仿宋"/>
          <w:snapToGrid w:val="0"/>
          <w:color w:val="000000"/>
          <w:spacing w:val="1"/>
          <w:kern w:val="0"/>
          <w:sz w:val="24"/>
          <w:szCs w:val="24"/>
          <w:lang w:val="en-US" w:eastAsia="en-US" w:bidi="ar-SA"/>
        </w:rPr>
        <w:t>六价铬技术指标</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w:t>
      </w:r>
      <w:r>
        <w:rPr>
          <w:rFonts w:hint="eastAsia" w:ascii="仿宋" w:hAnsi="仿宋" w:eastAsia="仿宋" w:cs="仿宋"/>
          <w:snapToGrid w:val="0"/>
          <w:color w:val="000000"/>
          <w:spacing w:val="1"/>
          <w:kern w:val="0"/>
          <w:sz w:val="24"/>
          <w:szCs w:val="24"/>
          <w:lang w:val="en-US" w:eastAsia="zh-CN" w:bidi="ar-SA"/>
        </w:rPr>
        <w:t>1</w:t>
      </w:r>
      <w:r>
        <w:rPr>
          <w:rFonts w:hint="eastAsia" w:ascii="仿宋" w:hAnsi="仿宋" w:eastAsia="仿宋" w:cs="仿宋"/>
          <w:snapToGrid w:val="0"/>
          <w:color w:val="000000"/>
          <w:spacing w:val="1"/>
          <w:kern w:val="0"/>
          <w:sz w:val="24"/>
          <w:szCs w:val="24"/>
          <w:lang w:val="en-US" w:eastAsia="en-US" w:bidi="ar-SA"/>
        </w:rPr>
        <w:t>.1方法原理：二苯碳酰二肼光度法</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w:t>
      </w:r>
      <w:r>
        <w:rPr>
          <w:rFonts w:hint="eastAsia" w:ascii="仿宋" w:hAnsi="仿宋" w:eastAsia="仿宋" w:cs="仿宋"/>
          <w:snapToGrid w:val="0"/>
          <w:color w:val="000000"/>
          <w:spacing w:val="1"/>
          <w:kern w:val="0"/>
          <w:sz w:val="24"/>
          <w:szCs w:val="24"/>
          <w:lang w:val="en-US" w:eastAsia="zh-CN" w:bidi="ar-SA"/>
        </w:rPr>
        <w:t>1</w:t>
      </w:r>
      <w:r>
        <w:rPr>
          <w:rFonts w:hint="eastAsia" w:ascii="仿宋" w:hAnsi="仿宋" w:eastAsia="仿宋" w:cs="仿宋"/>
          <w:snapToGrid w:val="0"/>
          <w:color w:val="000000"/>
          <w:spacing w:val="1"/>
          <w:kern w:val="0"/>
          <w:sz w:val="24"/>
          <w:szCs w:val="24"/>
          <w:lang w:val="en-US" w:eastAsia="en-US" w:bidi="ar-SA"/>
        </w:rPr>
        <w:t>.2线性范围：0.002 -1.0mg/L</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w:t>
      </w:r>
      <w:r>
        <w:rPr>
          <w:rFonts w:hint="eastAsia" w:ascii="仿宋" w:hAnsi="仿宋" w:eastAsia="仿宋" w:cs="仿宋"/>
          <w:snapToGrid w:val="0"/>
          <w:color w:val="000000"/>
          <w:spacing w:val="1"/>
          <w:kern w:val="0"/>
          <w:sz w:val="24"/>
          <w:szCs w:val="24"/>
          <w:lang w:val="en-US" w:eastAsia="zh-CN" w:bidi="ar-SA"/>
        </w:rPr>
        <w:t>1</w:t>
      </w:r>
      <w:r>
        <w:rPr>
          <w:rFonts w:hint="eastAsia" w:ascii="仿宋" w:hAnsi="仿宋" w:eastAsia="仿宋" w:cs="仿宋"/>
          <w:snapToGrid w:val="0"/>
          <w:color w:val="000000"/>
          <w:spacing w:val="1"/>
          <w:kern w:val="0"/>
          <w:sz w:val="24"/>
          <w:szCs w:val="24"/>
          <w:lang w:val="en-US" w:eastAsia="en-US" w:bidi="ar-SA"/>
        </w:rPr>
        <w:t>.3检出限：&lt; 0.0005mg/L</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w:t>
      </w:r>
      <w:r>
        <w:rPr>
          <w:rFonts w:hint="eastAsia" w:ascii="仿宋" w:hAnsi="仿宋" w:eastAsia="仿宋" w:cs="仿宋"/>
          <w:snapToGrid w:val="0"/>
          <w:color w:val="000000"/>
          <w:spacing w:val="1"/>
          <w:kern w:val="0"/>
          <w:sz w:val="24"/>
          <w:szCs w:val="24"/>
          <w:lang w:val="en-US" w:eastAsia="zh-CN" w:bidi="ar-SA"/>
        </w:rPr>
        <w:t>1</w:t>
      </w:r>
      <w:r>
        <w:rPr>
          <w:rFonts w:hint="eastAsia" w:ascii="仿宋" w:hAnsi="仿宋" w:eastAsia="仿宋" w:cs="仿宋"/>
          <w:snapToGrid w:val="0"/>
          <w:color w:val="000000"/>
          <w:spacing w:val="1"/>
          <w:kern w:val="0"/>
          <w:sz w:val="24"/>
          <w:szCs w:val="24"/>
          <w:lang w:val="en-US" w:eastAsia="en-US" w:bidi="ar-SA"/>
        </w:rPr>
        <w:t>.4样品分析频率：</w:t>
      </w:r>
      <w:r>
        <w:rPr>
          <w:rFonts w:hint="eastAsia" w:ascii="仿宋" w:hAnsi="仿宋" w:eastAsia="仿宋" w:cs="仿宋"/>
          <w:snapToGrid w:val="0"/>
          <w:color w:val="000000"/>
          <w:spacing w:val="1"/>
          <w:kern w:val="0"/>
          <w:sz w:val="24"/>
          <w:szCs w:val="24"/>
          <w:lang w:val="en-US" w:eastAsia="zh-CN" w:bidi="ar-SA"/>
        </w:rPr>
        <w:t>30</w:t>
      </w:r>
      <w:r>
        <w:rPr>
          <w:rFonts w:hint="eastAsia" w:ascii="仿宋" w:hAnsi="仿宋" w:eastAsia="仿宋" w:cs="仿宋"/>
          <w:snapToGrid w:val="0"/>
          <w:color w:val="000000"/>
          <w:spacing w:val="1"/>
          <w:kern w:val="0"/>
          <w:sz w:val="24"/>
          <w:szCs w:val="24"/>
          <w:lang w:val="en-US" w:eastAsia="en-US" w:bidi="ar-SA"/>
        </w:rPr>
        <w:t>样/小时</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w:t>
      </w:r>
      <w:r>
        <w:rPr>
          <w:rFonts w:hint="eastAsia" w:ascii="仿宋" w:hAnsi="仿宋" w:eastAsia="仿宋" w:cs="仿宋"/>
          <w:snapToGrid w:val="0"/>
          <w:color w:val="000000"/>
          <w:spacing w:val="1"/>
          <w:kern w:val="0"/>
          <w:sz w:val="24"/>
          <w:szCs w:val="24"/>
          <w:lang w:val="en-US" w:eastAsia="zh-CN" w:bidi="ar-SA"/>
        </w:rPr>
        <w:t>1</w:t>
      </w:r>
      <w:r>
        <w:rPr>
          <w:rFonts w:hint="eastAsia" w:ascii="仿宋" w:hAnsi="仿宋" w:eastAsia="仿宋" w:cs="仿宋"/>
          <w:snapToGrid w:val="0"/>
          <w:color w:val="000000"/>
          <w:spacing w:val="1"/>
          <w:kern w:val="0"/>
          <w:sz w:val="24"/>
          <w:szCs w:val="24"/>
          <w:lang w:val="en-US" w:eastAsia="en-US" w:bidi="ar-SA"/>
        </w:rPr>
        <w:t>.5精密度：≤1%</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2.2</w:t>
      </w:r>
      <w:r>
        <w:rPr>
          <w:rFonts w:hint="eastAsia" w:ascii="仿宋" w:hAnsi="仿宋" w:eastAsia="仿宋" w:cs="仿宋"/>
          <w:snapToGrid w:val="0"/>
          <w:color w:val="000000"/>
          <w:spacing w:val="1"/>
          <w:kern w:val="0"/>
          <w:sz w:val="24"/>
          <w:szCs w:val="24"/>
          <w:lang w:val="en-US" w:eastAsia="en-US" w:bidi="ar-SA"/>
        </w:rPr>
        <w:t>铝离子技术指标</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2.2.1</w:t>
      </w:r>
      <w:r>
        <w:rPr>
          <w:rFonts w:hint="eastAsia" w:ascii="仿宋" w:hAnsi="仿宋" w:eastAsia="仿宋" w:cs="仿宋"/>
          <w:snapToGrid w:val="0"/>
          <w:color w:val="000000"/>
          <w:spacing w:val="1"/>
          <w:kern w:val="0"/>
          <w:sz w:val="24"/>
          <w:szCs w:val="24"/>
          <w:lang w:val="en-US" w:eastAsia="en-US" w:bidi="ar-SA"/>
        </w:rPr>
        <w:t>方法原理：铬天青S光度法</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2.2.2</w:t>
      </w:r>
      <w:r>
        <w:rPr>
          <w:rFonts w:hint="eastAsia" w:ascii="仿宋" w:hAnsi="仿宋" w:eastAsia="仿宋" w:cs="仿宋"/>
          <w:snapToGrid w:val="0"/>
          <w:color w:val="000000"/>
          <w:spacing w:val="1"/>
          <w:kern w:val="0"/>
          <w:sz w:val="24"/>
          <w:szCs w:val="24"/>
          <w:lang w:val="en-US" w:eastAsia="en-US" w:bidi="ar-SA"/>
        </w:rPr>
        <w:t xml:space="preserve">线性范围：0.008 – 0.200mg/L </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2.2.3</w:t>
      </w:r>
      <w:r>
        <w:rPr>
          <w:rFonts w:hint="eastAsia" w:ascii="仿宋" w:hAnsi="仿宋" w:eastAsia="仿宋" w:cs="仿宋"/>
          <w:snapToGrid w:val="0"/>
          <w:color w:val="000000"/>
          <w:spacing w:val="1"/>
          <w:kern w:val="0"/>
          <w:sz w:val="24"/>
          <w:szCs w:val="24"/>
          <w:lang w:val="en-US" w:eastAsia="en-US" w:bidi="ar-SA"/>
        </w:rPr>
        <w:t xml:space="preserve">检出限：≤ 0.002mg/L </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2.2.4</w:t>
      </w:r>
      <w:r>
        <w:rPr>
          <w:rFonts w:hint="eastAsia" w:ascii="仿宋" w:hAnsi="仿宋" w:eastAsia="仿宋" w:cs="仿宋"/>
          <w:snapToGrid w:val="0"/>
          <w:color w:val="000000"/>
          <w:spacing w:val="1"/>
          <w:kern w:val="0"/>
          <w:sz w:val="24"/>
          <w:szCs w:val="24"/>
          <w:lang w:val="en-US" w:eastAsia="en-US" w:bidi="ar-SA"/>
        </w:rPr>
        <w:t>样品分析频率：</w:t>
      </w:r>
      <w:r>
        <w:rPr>
          <w:rFonts w:hint="eastAsia" w:ascii="仿宋" w:hAnsi="仿宋" w:eastAsia="仿宋" w:cs="仿宋"/>
          <w:snapToGrid w:val="0"/>
          <w:color w:val="000000"/>
          <w:spacing w:val="1"/>
          <w:kern w:val="0"/>
          <w:sz w:val="24"/>
          <w:szCs w:val="24"/>
          <w:lang w:val="en-US" w:eastAsia="zh-CN" w:bidi="ar-SA"/>
        </w:rPr>
        <w:t>30</w:t>
      </w:r>
      <w:r>
        <w:rPr>
          <w:rFonts w:hint="eastAsia" w:ascii="仿宋" w:hAnsi="仿宋" w:eastAsia="仿宋" w:cs="仿宋"/>
          <w:snapToGrid w:val="0"/>
          <w:color w:val="000000"/>
          <w:spacing w:val="1"/>
          <w:kern w:val="0"/>
          <w:sz w:val="24"/>
          <w:szCs w:val="24"/>
          <w:lang w:val="en-US" w:eastAsia="en-US" w:bidi="ar-SA"/>
        </w:rPr>
        <w:t>样/小时</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2.2.5</w:t>
      </w:r>
      <w:r>
        <w:rPr>
          <w:rFonts w:hint="eastAsia" w:ascii="仿宋" w:hAnsi="仿宋" w:eastAsia="仿宋" w:cs="仿宋"/>
          <w:snapToGrid w:val="0"/>
          <w:color w:val="000000"/>
          <w:spacing w:val="1"/>
          <w:kern w:val="0"/>
          <w:sz w:val="24"/>
          <w:szCs w:val="24"/>
          <w:lang w:val="en-US" w:eastAsia="en-US" w:bidi="ar-SA"/>
        </w:rPr>
        <w:t>精密度：≤1%</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仪器配置要求：</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4.1</w:t>
      </w:r>
      <w:r>
        <w:rPr>
          <w:rFonts w:hint="eastAsia" w:ascii="仿宋" w:hAnsi="仿宋" w:eastAsia="仿宋" w:cs="仿宋"/>
          <w:snapToGrid w:val="0"/>
          <w:color w:val="000000"/>
          <w:spacing w:val="1"/>
          <w:kern w:val="0"/>
          <w:sz w:val="24"/>
          <w:szCs w:val="24"/>
          <w:lang w:val="en-US" w:eastAsia="zh-CN" w:bidi="ar-SA"/>
        </w:rPr>
        <w:t xml:space="preserve"> </w:t>
      </w:r>
      <w:r>
        <w:rPr>
          <w:rFonts w:hint="eastAsia" w:ascii="仿宋" w:hAnsi="仿宋" w:eastAsia="仿宋" w:cs="仿宋"/>
          <w:snapToGrid w:val="0"/>
          <w:color w:val="000000"/>
          <w:spacing w:val="1"/>
          <w:kern w:val="0"/>
          <w:sz w:val="24"/>
          <w:szCs w:val="24"/>
          <w:lang w:val="en-US" w:eastAsia="en-US" w:bidi="ar-SA"/>
        </w:rPr>
        <w:t>全自动</w:t>
      </w:r>
      <w:r>
        <w:rPr>
          <w:rFonts w:hint="eastAsia" w:ascii="仿宋" w:hAnsi="仿宋" w:eastAsia="仿宋" w:cs="仿宋"/>
          <w:snapToGrid w:val="0"/>
          <w:color w:val="000000"/>
          <w:spacing w:val="1"/>
          <w:kern w:val="0"/>
          <w:sz w:val="24"/>
          <w:szCs w:val="24"/>
          <w:lang w:val="en-US" w:eastAsia="zh-CN" w:bidi="ar-SA"/>
        </w:rPr>
        <w:t>六价铬</w:t>
      </w:r>
      <w:r>
        <w:rPr>
          <w:rFonts w:hint="eastAsia" w:ascii="仿宋" w:hAnsi="仿宋" w:eastAsia="仿宋" w:cs="仿宋"/>
          <w:snapToGrid w:val="0"/>
          <w:color w:val="000000"/>
          <w:spacing w:val="1"/>
          <w:kern w:val="0"/>
          <w:sz w:val="24"/>
          <w:szCs w:val="24"/>
          <w:lang w:val="en-US" w:eastAsia="en-US" w:bidi="ar-SA"/>
        </w:rPr>
        <w:t xml:space="preserve">分析通道             </w:t>
      </w:r>
      <w:r>
        <w:rPr>
          <w:rFonts w:hint="eastAsia" w:ascii="仿宋" w:hAnsi="仿宋" w:eastAsia="仿宋" w:cs="仿宋"/>
          <w:snapToGrid w:val="0"/>
          <w:color w:val="000000"/>
          <w:spacing w:val="1"/>
          <w:kern w:val="0"/>
          <w:sz w:val="24"/>
          <w:szCs w:val="24"/>
          <w:lang w:val="en-US" w:eastAsia="zh-CN" w:bidi="ar-SA"/>
        </w:rPr>
        <w:t xml:space="preserve"> </w:t>
      </w:r>
      <w:r>
        <w:rPr>
          <w:rFonts w:hint="eastAsia" w:ascii="仿宋" w:hAnsi="仿宋" w:eastAsia="仿宋" w:cs="仿宋"/>
          <w:snapToGrid w:val="0"/>
          <w:color w:val="000000"/>
          <w:spacing w:val="1"/>
          <w:kern w:val="0"/>
          <w:sz w:val="24"/>
          <w:szCs w:val="24"/>
          <w:lang w:val="en-US" w:eastAsia="en-US" w:bidi="ar-SA"/>
        </w:rPr>
        <w:t>1台</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4.2</w:t>
      </w:r>
      <w:r>
        <w:rPr>
          <w:rFonts w:hint="eastAsia" w:ascii="仿宋" w:hAnsi="仿宋" w:eastAsia="仿宋" w:cs="仿宋"/>
          <w:snapToGrid w:val="0"/>
          <w:color w:val="000000"/>
          <w:spacing w:val="1"/>
          <w:kern w:val="0"/>
          <w:sz w:val="24"/>
          <w:szCs w:val="24"/>
          <w:lang w:val="en-US" w:eastAsia="zh-CN" w:bidi="ar-SA"/>
        </w:rPr>
        <w:t xml:space="preserve"> </w:t>
      </w:r>
      <w:r>
        <w:rPr>
          <w:rFonts w:hint="eastAsia" w:ascii="仿宋" w:hAnsi="仿宋" w:eastAsia="仿宋" w:cs="仿宋"/>
          <w:snapToGrid w:val="0"/>
          <w:color w:val="000000"/>
          <w:spacing w:val="1"/>
          <w:kern w:val="0"/>
          <w:sz w:val="24"/>
          <w:szCs w:val="24"/>
          <w:lang w:val="en-US" w:eastAsia="en-US" w:bidi="ar-SA"/>
        </w:rPr>
        <w:t>全自动</w:t>
      </w:r>
      <w:r>
        <w:rPr>
          <w:rFonts w:hint="eastAsia" w:ascii="仿宋" w:hAnsi="仿宋" w:eastAsia="仿宋" w:cs="仿宋"/>
          <w:snapToGrid w:val="0"/>
          <w:color w:val="000000"/>
          <w:spacing w:val="1"/>
          <w:kern w:val="0"/>
          <w:sz w:val="24"/>
          <w:szCs w:val="24"/>
          <w:lang w:val="en-US" w:eastAsia="zh-CN" w:bidi="ar-SA"/>
        </w:rPr>
        <w:t>铝离子</w:t>
      </w:r>
      <w:r>
        <w:rPr>
          <w:rFonts w:hint="eastAsia" w:ascii="仿宋" w:hAnsi="仿宋" w:eastAsia="仿宋" w:cs="仿宋"/>
          <w:snapToGrid w:val="0"/>
          <w:color w:val="000000"/>
          <w:spacing w:val="1"/>
          <w:kern w:val="0"/>
          <w:sz w:val="24"/>
          <w:szCs w:val="24"/>
          <w:lang w:val="en-US" w:eastAsia="en-US" w:bidi="ar-SA"/>
        </w:rPr>
        <w:t xml:space="preserve">分析通道  </w:t>
      </w:r>
      <w:r>
        <w:rPr>
          <w:rFonts w:hint="eastAsia" w:ascii="仿宋" w:hAnsi="仿宋" w:eastAsia="仿宋" w:cs="仿宋"/>
          <w:snapToGrid w:val="0"/>
          <w:color w:val="000000"/>
          <w:spacing w:val="1"/>
          <w:kern w:val="0"/>
          <w:sz w:val="24"/>
          <w:szCs w:val="24"/>
          <w:lang w:val="en-US" w:eastAsia="zh-CN" w:bidi="ar-SA"/>
        </w:rPr>
        <w:t xml:space="preserve">          </w:t>
      </w:r>
      <w:r>
        <w:rPr>
          <w:rFonts w:hint="eastAsia" w:ascii="仿宋" w:hAnsi="仿宋" w:eastAsia="仿宋" w:cs="仿宋"/>
          <w:snapToGrid w:val="0"/>
          <w:color w:val="000000"/>
          <w:spacing w:val="1"/>
          <w:kern w:val="0"/>
          <w:sz w:val="24"/>
          <w:szCs w:val="24"/>
          <w:lang w:val="en-US" w:eastAsia="en-US" w:bidi="ar-SA"/>
        </w:rPr>
        <w:t xml:space="preserve"> </w:t>
      </w:r>
      <w:r>
        <w:rPr>
          <w:rFonts w:hint="eastAsia" w:ascii="仿宋" w:hAnsi="仿宋" w:eastAsia="仿宋" w:cs="仿宋"/>
          <w:snapToGrid w:val="0"/>
          <w:color w:val="000000"/>
          <w:spacing w:val="1"/>
          <w:kern w:val="0"/>
          <w:sz w:val="24"/>
          <w:szCs w:val="24"/>
          <w:lang w:val="en-US" w:eastAsia="zh-CN" w:bidi="ar-SA"/>
        </w:rPr>
        <w:t xml:space="preserve"> </w:t>
      </w:r>
      <w:r>
        <w:rPr>
          <w:rFonts w:hint="eastAsia" w:ascii="仿宋" w:hAnsi="仿宋" w:eastAsia="仿宋" w:cs="仿宋"/>
          <w:snapToGrid w:val="0"/>
          <w:color w:val="000000"/>
          <w:spacing w:val="1"/>
          <w:kern w:val="0"/>
          <w:sz w:val="24"/>
          <w:szCs w:val="24"/>
          <w:lang w:val="en-US" w:eastAsia="en-US" w:bidi="ar-SA"/>
        </w:rPr>
        <w:t>1台</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w:t>
      </w:r>
      <w:r>
        <w:rPr>
          <w:rFonts w:hint="eastAsia" w:ascii="仿宋" w:hAnsi="仿宋" w:eastAsia="仿宋" w:cs="仿宋"/>
          <w:snapToGrid w:val="0"/>
          <w:color w:val="000000"/>
          <w:spacing w:val="1"/>
          <w:kern w:val="0"/>
          <w:sz w:val="24"/>
          <w:szCs w:val="24"/>
          <w:lang w:val="en-US" w:eastAsia="zh-CN" w:bidi="ar-SA"/>
        </w:rPr>
        <w:t>3</w:t>
      </w:r>
      <w:r>
        <w:rPr>
          <w:rFonts w:hint="eastAsia" w:ascii="仿宋" w:hAnsi="仿宋" w:eastAsia="仿宋" w:cs="仿宋"/>
          <w:snapToGrid w:val="0"/>
          <w:color w:val="000000"/>
          <w:spacing w:val="1"/>
          <w:kern w:val="0"/>
          <w:sz w:val="24"/>
          <w:szCs w:val="24"/>
          <w:lang w:val="en-US" w:eastAsia="en-US" w:bidi="ar-SA"/>
        </w:rPr>
        <w:t xml:space="preserve">路由器                           </w:t>
      </w:r>
      <w:r>
        <w:rPr>
          <w:rFonts w:hint="eastAsia" w:ascii="仿宋" w:hAnsi="仿宋" w:eastAsia="仿宋" w:cs="仿宋"/>
          <w:snapToGrid w:val="0"/>
          <w:color w:val="000000"/>
          <w:spacing w:val="1"/>
          <w:kern w:val="0"/>
          <w:sz w:val="24"/>
          <w:szCs w:val="24"/>
          <w:lang w:val="en-US" w:eastAsia="zh-CN" w:bidi="ar-SA"/>
        </w:rPr>
        <w:t xml:space="preserve">  </w:t>
      </w:r>
      <w:r>
        <w:rPr>
          <w:rFonts w:hint="eastAsia" w:ascii="仿宋" w:hAnsi="仿宋" w:eastAsia="仿宋" w:cs="仿宋"/>
          <w:snapToGrid w:val="0"/>
          <w:color w:val="000000"/>
          <w:spacing w:val="1"/>
          <w:kern w:val="0"/>
          <w:sz w:val="24"/>
          <w:szCs w:val="24"/>
          <w:lang w:val="en-US" w:eastAsia="en-US" w:bidi="ar-SA"/>
        </w:rPr>
        <w:t>1个</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w:t>
      </w:r>
      <w:r>
        <w:rPr>
          <w:rFonts w:hint="eastAsia" w:ascii="仿宋" w:hAnsi="仿宋" w:eastAsia="仿宋" w:cs="仿宋"/>
          <w:snapToGrid w:val="0"/>
          <w:color w:val="000000"/>
          <w:spacing w:val="1"/>
          <w:kern w:val="0"/>
          <w:sz w:val="24"/>
          <w:szCs w:val="24"/>
          <w:lang w:val="en-US" w:eastAsia="zh-CN" w:bidi="ar-SA"/>
        </w:rPr>
        <w:t xml:space="preserve">4 </w:t>
      </w:r>
      <w:r>
        <w:rPr>
          <w:rFonts w:hint="eastAsia" w:ascii="仿宋" w:hAnsi="仿宋" w:eastAsia="仿宋" w:cs="仿宋"/>
          <w:snapToGrid w:val="0"/>
          <w:color w:val="000000"/>
          <w:spacing w:val="1"/>
          <w:kern w:val="0"/>
          <w:sz w:val="24"/>
          <w:szCs w:val="24"/>
          <w:lang w:val="en-US" w:eastAsia="en-US" w:bidi="ar-SA"/>
        </w:rPr>
        <w:t xml:space="preserve">备件套包（泵管、接头、进样针等） </w:t>
      </w:r>
      <w:r>
        <w:rPr>
          <w:rFonts w:hint="eastAsia" w:ascii="仿宋" w:hAnsi="仿宋" w:eastAsia="仿宋" w:cs="仿宋"/>
          <w:snapToGrid w:val="0"/>
          <w:color w:val="000000"/>
          <w:spacing w:val="1"/>
          <w:kern w:val="0"/>
          <w:sz w:val="24"/>
          <w:szCs w:val="24"/>
          <w:lang w:val="en-US" w:eastAsia="zh-CN" w:bidi="ar-SA"/>
        </w:rPr>
        <w:t xml:space="preserve"> 2</w:t>
      </w:r>
      <w:r>
        <w:rPr>
          <w:rFonts w:hint="eastAsia" w:ascii="仿宋" w:hAnsi="仿宋" w:eastAsia="仿宋" w:cs="仿宋"/>
          <w:snapToGrid w:val="0"/>
          <w:color w:val="000000"/>
          <w:spacing w:val="1"/>
          <w:kern w:val="0"/>
          <w:sz w:val="24"/>
          <w:szCs w:val="24"/>
          <w:lang w:val="en-US" w:eastAsia="en-US" w:bidi="ar-SA"/>
        </w:rPr>
        <w:t>套</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w:t>
      </w:r>
      <w:r>
        <w:rPr>
          <w:rFonts w:hint="eastAsia" w:ascii="仿宋" w:hAnsi="仿宋" w:eastAsia="仿宋" w:cs="仿宋"/>
          <w:snapToGrid w:val="0"/>
          <w:color w:val="000000"/>
          <w:spacing w:val="1"/>
          <w:kern w:val="0"/>
          <w:sz w:val="24"/>
          <w:szCs w:val="24"/>
          <w:lang w:val="en-US" w:eastAsia="zh-CN" w:bidi="ar-SA"/>
        </w:rPr>
        <w:t xml:space="preserve">5 </w:t>
      </w:r>
      <w:r>
        <w:rPr>
          <w:rFonts w:hint="eastAsia" w:ascii="仿宋" w:hAnsi="仿宋" w:eastAsia="仿宋" w:cs="仿宋"/>
          <w:snapToGrid w:val="0"/>
          <w:color w:val="000000"/>
          <w:spacing w:val="1"/>
          <w:kern w:val="0"/>
          <w:sz w:val="24"/>
          <w:szCs w:val="24"/>
          <w:lang w:val="en-US" w:eastAsia="en-US" w:bidi="ar-SA"/>
        </w:rPr>
        <w:t xml:space="preserve">说明书：软件、仪器及方法说明     </w:t>
      </w:r>
      <w:r>
        <w:rPr>
          <w:rFonts w:hint="eastAsia" w:ascii="仿宋" w:hAnsi="仿宋" w:eastAsia="仿宋" w:cs="仿宋"/>
          <w:snapToGrid w:val="0"/>
          <w:color w:val="000000"/>
          <w:spacing w:val="1"/>
          <w:kern w:val="0"/>
          <w:sz w:val="24"/>
          <w:szCs w:val="24"/>
          <w:lang w:val="en-US" w:eastAsia="zh-CN" w:bidi="ar-SA"/>
        </w:rPr>
        <w:t xml:space="preserve"> 2</w:t>
      </w:r>
      <w:r>
        <w:rPr>
          <w:rFonts w:hint="eastAsia" w:ascii="仿宋" w:hAnsi="仿宋" w:eastAsia="仿宋" w:cs="仿宋"/>
          <w:snapToGrid w:val="0"/>
          <w:color w:val="000000"/>
          <w:spacing w:val="1"/>
          <w:kern w:val="0"/>
          <w:sz w:val="24"/>
          <w:szCs w:val="24"/>
          <w:lang w:val="en-US" w:eastAsia="en-US" w:bidi="ar-SA"/>
        </w:rPr>
        <w:t>套</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w:t>
      </w:r>
      <w:r>
        <w:rPr>
          <w:rFonts w:hint="eastAsia" w:ascii="仿宋" w:hAnsi="仿宋" w:eastAsia="仿宋" w:cs="仿宋"/>
          <w:snapToGrid w:val="0"/>
          <w:color w:val="000000"/>
          <w:spacing w:val="1"/>
          <w:kern w:val="0"/>
          <w:sz w:val="24"/>
          <w:szCs w:val="24"/>
          <w:lang w:val="en-US" w:eastAsia="zh-CN" w:bidi="ar-SA"/>
        </w:rPr>
        <w:t>6 联想</w:t>
      </w:r>
      <w:r>
        <w:rPr>
          <w:rFonts w:hint="eastAsia" w:ascii="仿宋" w:hAnsi="仿宋" w:eastAsia="仿宋" w:cs="仿宋"/>
          <w:snapToGrid w:val="0"/>
          <w:color w:val="000000"/>
          <w:spacing w:val="1"/>
          <w:kern w:val="0"/>
          <w:sz w:val="24"/>
          <w:szCs w:val="24"/>
          <w:lang w:val="en-US" w:eastAsia="en-US" w:bidi="ar-SA"/>
        </w:rPr>
        <w:t xml:space="preserve">商用计算机和激光打印机各 </w:t>
      </w:r>
      <w:r>
        <w:rPr>
          <w:rFonts w:hint="eastAsia" w:ascii="仿宋" w:hAnsi="仿宋" w:eastAsia="仿宋" w:cs="仿宋"/>
          <w:snapToGrid w:val="0"/>
          <w:color w:val="000000"/>
          <w:spacing w:val="1"/>
          <w:kern w:val="0"/>
          <w:sz w:val="24"/>
          <w:szCs w:val="24"/>
          <w:lang w:val="en-US" w:eastAsia="zh-CN" w:bidi="ar-SA"/>
        </w:rPr>
        <w:t xml:space="preserve">     </w:t>
      </w:r>
      <w:r>
        <w:rPr>
          <w:rFonts w:hint="eastAsia" w:ascii="仿宋" w:hAnsi="仿宋" w:eastAsia="仿宋" w:cs="仿宋"/>
          <w:snapToGrid w:val="0"/>
          <w:color w:val="000000"/>
          <w:spacing w:val="1"/>
          <w:kern w:val="0"/>
          <w:sz w:val="24"/>
          <w:szCs w:val="24"/>
          <w:lang w:val="en-US" w:eastAsia="en-US" w:bidi="ar-SA"/>
        </w:rPr>
        <w:t>1台</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w:t>
      </w:r>
      <w:r>
        <w:rPr>
          <w:rFonts w:hint="eastAsia" w:ascii="仿宋" w:hAnsi="仿宋" w:eastAsia="仿宋" w:cs="仿宋"/>
          <w:snapToGrid w:val="0"/>
          <w:color w:val="000000"/>
          <w:spacing w:val="1"/>
          <w:kern w:val="0"/>
          <w:sz w:val="24"/>
          <w:szCs w:val="24"/>
          <w:lang w:val="en-US" w:eastAsia="zh-CN" w:bidi="ar-SA"/>
        </w:rPr>
        <w:t>7 独立200位以上</w:t>
      </w:r>
      <w:r>
        <w:rPr>
          <w:rFonts w:hint="eastAsia" w:ascii="仿宋" w:hAnsi="仿宋" w:eastAsia="仿宋" w:cs="仿宋"/>
          <w:snapToGrid w:val="0"/>
          <w:color w:val="000000"/>
          <w:spacing w:val="1"/>
          <w:kern w:val="0"/>
          <w:sz w:val="24"/>
          <w:szCs w:val="24"/>
          <w:lang w:val="en-US" w:eastAsia="en-US" w:bidi="ar-SA"/>
        </w:rPr>
        <w:t>极坐标自动进样器</w:t>
      </w:r>
      <w:r>
        <w:rPr>
          <w:rFonts w:hint="eastAsia" w:ascii="仿宋" w:hAnsi="仿宋" w:eastAsia="仿宋" w:cs="仿宋"/>
          <w:snapToGrid w:val="0"/>
          <w:color w:val="000000"/>
          <w:spacing w:val="1"/>
          <w:kern w:val="0"/>
          <w:sz w:val="24"/>
          <w:szCs w:val="24"/>
          <w:lang w:val="en-US" w:eastAsia="zh-CN" w:bidi="ar-SA"/>
        </w:rPr>
        <w:t xml:space="preserve">  </w:t>
      </w:r>
      <w:r>
        <w:rPr>
          <w:rFonts w:hint="eastAsia" w:ascii="仿宋" w:hAnsi="仿宋" w:eastAsia="仿宋" w:cs="仿宋"/>
          <w:snapToGrid w:val="0"/>
          <w:color w:val="000000"/>
          <w:spacing w:val="1"/>
          <w:kern w:val="0"/>
          <w:sz w:val="24"/>
          <w:szCs w:val="24"/>
          <w:lang w:val="en-US" w:eastAsia="en-US" w:bidi="ar-SA"/>
        </w:rPr>
        <w:t xml:space="preserve"> </w:t>
      </w:r>
      <w:r>
        <w:rPr>
          <w:rFonts w:hint="eastAsia" w:ascii="仿宋" w:hAnsi="仿宋" w:eastAsia="仿宋" w:cs="仿宋"/>
          <w:snapToGrid w:val="0"/>
          <w:color w:val="000000"/>
          <w:spacing w:val="1"/>
          <w:kern w:val="0"/>
          <w:sz w:val="24"/>
          <w:szCs w:val="24"/>
          <w:lang w:val="en-US" w:eastAsia="zh-CN" w:bidi="ar-SA"/>
        </w:rPr>
        <w:t xml:space="preserve"> 1</w:t>
      </w:r>
      <w:r>
        <w:rPr>
          <w:rFonts w:hint="eastAsia" w:ascii="仿宋" w:hAnsi="仿宋" w:eastAsia="仿宋" w:cs="仿宋"/>
          <w:snapToGrid w:val="0"/>
          <w:color w:val="000000"/>
          <w:spacing w:val="1"/>
          <w:kern w:val="0"/>
          <w:sz w:val="24"/>
          <w:szCs w:val="24"/>
          <w:lang w:val="en-US" w:eastAsia="en-US" w:bidi="ar-SA"/>
        </w:rPr>
        <w:t>套</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w:t>
      </w:r>
      <w:r>
        <w:rPr>
          <w:rFonts w:hint="eastAsia" w:ascii="仿宋" w:hAnsi="仿宋" w:eastAsia="仿宋" w:cs="仿宋"/>
          <w:snapToGrid w:val="0"/>
          <w:color w:val="000000"/>
          <w:spacing w:val="1"/>
          <w:kern w:val="0"/>
          <w:sz w:val="24"/>
          <w:szCs w:val="24"/>
          <w:lang w:val="en-US" w:eastAsia="zh-CN" w:bidi="ar-SA"/>
        </w:rPr>
        <w:t xml:space="preserve">8 </w:t>
      </w:r>
      <w:r>
        <w:rPr>
          <w:rFonts w:hint="eastAsia" w:ascii="仿宋" w:hAnsi="仿宋" w:eastAsia="仿宋" w:cs="仿宋"/>
          <w:snapToGrid w:val="0"/>
          <w:color w:val="000000"/>
          <w:spacing w:val="1"/>
          <w:kern w:val="0"/>
          <w:sz w:val="24"/>
          <w:szCs w:val="24"/>
          <w:lang w:val="en-US" w:eastAsia="en-US" w:bidi="ar-SA"/>
        </w:rPr>
        <w:t xml:space="preserve">双光束检测器       </w:t>
      </w:r>
      <w:r>
        <w:rPr>
          <w:rFonts w:hint="eastAsia" w:ascii="仿宋" w:hAnsi="仿宋" w:eastAsia="仿宋" w:cs="仿宋"/>
          <w:snapToGrid w:val="0"/>
          <w:color w:val="000000"/>
          <w:spacing w:val="1"/>
          <w:kern w:val="0"/>
          <w:sz w:val="24"/>
          <w:szCs w:val="24"/>
          <w:lang w:val="en-US" w:eastAsia="zh-CN" w:bidi="ar-SA"/>
        </w:rPr>
        <w:t xml:space="preserve"> </w:t>
      </w:r>
      <w:r>
        <w:rPr>
          <w:rFonts w:hint="eastAsia" w:ascii="仿宋" w:hAnsi="仿宋" w:eastAsia="仿宋" w:cs="仿宋"/>
          <w:snapToGrid w:val="0"/>
          <w:color w:val="000000"/>
          <w:spacing w:val="1"/>
          <w:kern w:val="0"/>
          <w:sz w:val="24"/>
          <w:szCs w:val="24"/>
          <w:lang w:val="en-US" w:eastAsia="en-US" w:bidi="ar-SA"/>
        </w:rPr>
        <w:t xml:space="preserve">              </w:t>
      </w:r>
      <w:r>
        <w:rPr>
          <w:rFonts w:hint="eastAsia" w:ascii="仿宋" w:hAnsi="仿宋" w:eastAsia="仿宋" w:cs="仿宋"/>
          <w:snapToGrid w:val="0"/>
          <w:color w:val="000000"/>
          <w:spacing w:val="1"/>
          <w:kern w:val="0"/>
          <w:sz w:val="24"/>
          <w:szCs w:val="24"/>
          <w:lang w:val="en-US" w:eastAsia="zh-CN" w:bidi="ar-SA"/>
        </w:rPr>
        <w:t>2</w:t>
      </w:r>
      <w:r>
        <w:rPr>
          <w:rFonts w:hint="eastAsia" w:ascii="仿宋" w:hAnsi="仿宋" w:eastAsia="仿宋" w:cs="仿宋"/>
          <w:snapToGrid w:val="0"/>
          <w:color w:val="000000"/>
          <w:spacing w:val="1"/>
          <w:kern w:val="0"/>
          <w:sz w:val="24"/>
          <w:szCs w:val="24"/>
          <w:lang w:val="en-US" w:eastAsia="en-US" w:bidi="ar-SA"/>
        </w:rPr>
        <w:t>个</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w:t>
      </w:r>
      <w:r>
        <w:rPr>
          <w:rFonts w:hint="eastAsia" w:ascii="仿宋" w:hAnsi="仿宋" w:eastAsia="仿宋" w:cs="仿宋"/>
          <w:snapToGrid w:val="0"/>
          <w:color w:val="000000"/>
          <w:spacing w:val="1"/>
          <w:kern w:val="0"/>
          <w:sz w:val="24"/>
          <w:szCs w:val="24"/>
          <w:lang w:val="en-US" w:eastAsia="zh-CN" w:bidi="ar-SA"/>
        </w:rPr>
        <w:t xml:space="preserve">9 </w:t>
      </w:r>
      <w:r>
        <w:rPr>
          <w:rFonts w:hint="eastAsia" w:ascii="仿宋" w:hAnsi="仿宋" w:eastAsia="仿宋" w:cs="仿宋"/>
          <w:snapToGrid w:val="0"/>
          <w:color w:val="000000"/>
          <w:spacing w:val="1"/>
          <w:kern w:val="0"/>
          <w:sz w:val="24"/>
          <w:szCs w:val="24"/>
          <w:lang w:val="en-US" w:eastAsia="en-US" w:bidi="ar-SA"/>
        </w:rPr>
        <w:t xml:space="preserve">免调压块式蠕动泵  </w:t>
      </w:r>
      <w:r>
        <w:rPr>
          <w:rFonts w:hint="eastAsia" w:ascii="仿宋" w:hAnsi="仿宋" w:eastAsia="仿宋" w:cs="仿宋"/>
          <w:snapToGrid w:val="0"/>
          <w:color w:val="000000"/>
          <w:spacing w:val="1"/>
          <w:kern w:val="0"/>
          <w:sz w:val="24"/>
          <w:szCs w:val="24"/>
          <w:lang w:val="en-US" w:eastAsia="zh-CN" w:bidi="ar-SA"/>
        </w:rPr>
        <w:t xml:space="preserve"> </w:t>
      </w:r>
      <w:r>
        <w:rPr>
          <w:rFonts w:hint="eastAsia" w:ascii="仿宋" w:hAnsi="仿宋" w:eastAsia="仿宋" w:cs="仿宋"/>
          <w:snapToGrid w:val="0"/>
          <w:color w:val="000000"/>
          <w:spacing w:val="1"/>
          <w:kern w:val="0"/>
          <w:sz w:val="24"/>
          <w:szCs w:val="24"/>
          <w:lang w:val="en-US" w:eastAsia="en-US" w:bidi="ar-SA"/>
        </w:rPr>
        <w:t xml:space="preserve">              </w:t>
      </w:r>
      <w:r>
        <w:rPr>
          <w:rFonts w:hint="eastAsia" w:ascii="仿宋" w:hAnsi="仿宋" w:eastAsia="仿宋" w:cs="仿宋"/>
          <w:snapToGrid w:val="0"/>
          <w:color w:val="000000"/>
          <w:spacing w:val="1"/>
          <w:kern w:val="0"/>
          <w:sz w:val="24"/>
          <w:szCs w:val="24"/>
          <w:lang w:val="en-US" w:eastAsia="zh-CN" w:bidi="ar-SA"/>
        </w:rPr>
        <w:t xml:space="preserve"> 2</w:t>
      </w:r>
      <w:r>
        <w:rPr>
          <w:rFonts w:hint="eastAsia" w:ascii="仿宋" w:hAnsi="仿宋" w:eastAsia="仿宋" w:cs="仿宋"/>
          <w:snapToGrid w:val="0"/>
          <w:color w:val="000000"/>
          <w:spacing w:val="1"/>
          <w:kern w:val="0"/>
          <w:sz w:val="24"/>
          <w:szCs w:val="24"/>
          <w:lang w:val="en-US" w:eastAsia="en-US" w:bidi="ar-SA"/>
        </w:rPr>
        <w:t>个</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4.1</w:t>
      </w:r>
      <w:r>
        <w:rPr>
          <w:rFonts w:hint="eastAsia" w:ascii="仿宋" w:hAnsi="仿宋" w:eastAsia="仿宋" w:cs="仿宋"/>
          <w:snapToGrid w:val="0"/>
          <w:color w:val="000000"/>
          <w:spacing w:val="1"/>
          <w:kern w:val="0"/>
          <w:sz w:val="24"/>
          <w:szCs w:val="24"/>
          <w:lang w:val="en-US" w:eastAsia="zh-CN" w:bidi="ar-SA"/>
        </w:rPr>
        <w:t>0</w:t>
      </w:r>
      <w:r>
        <w:rPr>
          <w:rFonts w:hint="eastAsia" w:ascii="仿宋" w:hAnsi="仿宋" w:eastAsia="仿宋" w:cs="仿宋"/>
          <w:snapToGrid w:val="0"/>
          <w:color w:val="000000"/>
          <w:spacing w:val="1"/>
          <w:kern w:val="0"/>
          <w:sz w:val="24"/>
          <w:szCs w:val="24"/>
          <w:lang w:val="en-US" w:eastAsia="en-US" w:bidi="ar-SA"/>
        </w:rPr>
        <w:t xml:space="preserve">工作站软件                      </w:t>
      </w:r>
      <w:r>
        <w:rPr>
          <w:rFonts w:hint="eastAsia" w:ascii="仿宋" w:hAnsi="仿宋" w:eastAsia="仿宋" w:cs="仿宋"/>
          <w:snapToGrid w:val="0"/>
          <w:color w:val="000000"/>
          <w:spacing w:val="1"/>
          <w:kern w:val="0"/>
          <w:sz w:val="24"/>
          <w:szCs w:val="24"/>
          <w:lang w:val="en-US" w:eastAsia="zh-CN" w:bidi="ar-SA"/>
        </w:rPr>
        <w:t xml:space="preserve">  </w:t>
      </w:r>
      <w:r>
        <w:rPr>
          <w:rFonts w:hint="eastAsia" w:ascii="仿宋" w:hAnsi="仿宋" w:eastAsia="仿宋" w:cs="仿宋"/>
          <w:snapToGrid w:val="0"/>
          <w:color w:val="000000"/>
          <w:spacing w:val="1"/>
          <w:kern w:val="0"/>
          <w:sz w:val="24"/>
          <w:szCs w:val="24"/>
          <w:lang w:val="en-US" w:eastAsia="en-US" w:bidi="ar-SA"/>
        </w:rPr>
        <w:t>1套</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4.1</w:t>
      </w:r>
      <w:r>
        <w:rPr>
          <w:rFonts w:hint="eastAsia" w:ascii="仿宋" w:hAnsi="仿宋" w:eastAsia="仿宋" w:cs="仿宋"/>
          <w:snapToGrid w:val="0"/>
          <w:color w:val="000000"/>
          <w:spacing w:val="1"/>
          <w:kern w:val="0"/>
          <w:sz w:val="24"/>
          <w:szCs w:val="24"/>
          <w:lang w:val="en-US" w:eastAsia="zh-CN" w:bidi="ar-SA"/>
        </w:rPr>
        <w:t>1</w:t>
      </w:r>
      <w:r>
        <w:rPr>
          <w:rFonts w:hint="eastAsia" w:ascii="仿宋" w:hAnsi="仿宋" w:eastAsia="仿宋" w:cs="仿宋"/>
          <w:snapToGrid w:val="0"/>
          <w:color w:val="000000"/>
          <w:spacing w:val="1"/>
          <w:kern w:val="0"/>
          <w:sz w:val="24"/>
          <w:szCs w:val="24"/>
          <w:lang w:val="en-US" w:eastAsia="en-US" w:bidi="ar-SA"/>
        </w:rPr>
        <w:t xml:space="preserve">各方法试剂包1套                </w:t>
      </w:r>
      <w:r>
        <w:rPr>
          <w:rFonts w:hint="eastAsia" w:ascii="仿宋" w:hAnsi="仿宋" w:eastAsia="仿宋" w:cs="仿宋"/>
          <w:snapToGrid w:val="0"/>
          <w:color w:val="000000"/>
          <w:spacing w:val="1"/>
          <w:kern w:val="0"/>
          <w:sz w:val="24"/>
          <w:szCs w:val="24"/>
          <w:lang w:val="en-US" w:eastAsia="zh-CN" w:bidi="ar-SA"/>
        </w:rPr>
        <w:t xml:space="preserve">  2</w:t>
      </w:r>
      <w:r>
        <w:rPr>
          <w:rFonts w:hint="eastAsia" w:ascii="仿宋" w:hAnsi="仿宋" w:eastAsia="仿宋" w:cs="仿宋"/>
          <w:snapToGrid w:val="0"/>
          <w:color w:val="000000"/>
          <w:spacing w:val="1"/>
          <w:kern w:val="0"/>
          <w:sz w:val="24"/>
          <w:szCs w:val="24"/>
          <w:lang w:val="en-US" w:eastAsia="en-US" w:bidi="ar-SA"/>
        </w:rPr>
        <w:t>套</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5</w:t>
      </w:r>
      <w:r>
        <w:rPr>
          <w:rFonts w:hint="eastAsia" w:ascii="仿宋" w:hAnsi="仿宋" w:eastAsia="仿宋" w:cs="仿宋"/>
          <w:snapToGrid w:val="0"/>
          <w:color w:val="000000"/>
          <w:spacing w:val="1"/>
          <w:kern w:val="0"/>
          <w:sz w:val="24"/>
          <w:szCs w:val="24"/>
          <w:lang w:val="en-US" w:eastAsia="zh-CN" w:bidi="ar-SA"/>
        </w:rPr>
        <w:t>.</w:t>
      </w:r>
      <w:r>
        <w:rPr>
          <w:rFonts w:hint="eastAsia" w:ascii="仿宋" w:hAnsi="仿宋" w:eastAsia="仿宋" w:cs="仿宋"/>
          <w:snapToGrid w:val="0"/>
          <w:color w:val="000000"/>
          <w:spacing w:val="1"/>
          <w:kern w:val="0"/>
          <w:sz w:val="24"/>
          <w:szCs w:val="24"/>
          <w:lang w:val="en-US" w:eastAsia="en-US" w:bidi="ar-SA"/>
        </w:rPr>
        <w:t>售后服务与培训：</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5.1用户支持：在保修期内，所有售后服务及配件（消耗品除外）全部免费；质保期外，售后服务上门终身不收取上门服务费。</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en-US" w:bidi="ar-SA"/>
        </w:rPr>
        <w:t>★</w:t>
      </w:r>
      <w:r>
        <w:rPr>
          <w:rFonts w:hint="eastAsia" w:ascii="仿宋" w:hAnsi="仿宋" w:eastAsia="仿宋" w:cs="仿宋"/>
          <w:snapToGrid w:val="0"/>
          <w:color w:val="000000"/>
          <w:spacing w:val="1"/>
          <w:kern w:val="0"/>
          <w:sz w:val="24"/>
          <w:szCs w:val="24"/>
          <w:lang w:val="en-US" w:eastAsia="zh-CN" w:bidi="ar-SA"/>
        </w:rPr>
        <w:t>5.2供货商为用户提供产品终身技术服务。仪器制造商在郑州拥有办事处和专职售后服务工程师（需提供仪器制造商和中介或房东的租赁合同），产品出现故障随时拨打服务电话，4小时内响应，12小时内到现场进行维修服务。</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en-US" w:bidi="ar-SA"/>
        </w:rPr>
        <w:t>★</w:t>
      </w:r>
      <w:r>
        <w:rPr>
          <w:rFonts w:hint="eastAsia" w:ascii="仿宋" w:hAnsi="仿宋" w:eastAsia="仿宋" w:cs="仿宋"/>
          <w:snapToGrid w:val="0"/>
          <w:color w:val="000000"/>
          <w:spacing w:val="1"/>
          <w:kern w:val="0"/>
          <w:sz w:val="24"/>
          <w:szCs w:val="24"/>
          <w:lang w:val="en-US" w:eastAsia="zh-CN" w:bidi="ar-SA"/>
        </w:rPr>
        <w:t>5.3为保证提升服务质量，仪器制造商应具有五星级售后服务证书及良好的信用等级证书，并在本省行业内拥有大量用户，提供用户名单及联系方式，如后期发现有弄虚作假，我方采购单位将拒绝设备验收并退回，以此产生的后果制造商自行承担。</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5.4需提供制造商针对本项目的专项售后服务承诺（不低于5年质保）。</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5.5仪器安装验收：只有在仪器完全正常运转和买方确认后，仪器的安装工作才能认为已全部完成。</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5.6现场培训：在用户单位现场进行操作培训。内容包括，仪器的基本原理、操作、日常维护及基础分析仪器理论课程，安装现场对使用人员2-4人以上进行培训直至掌握为止。</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备注：★号指标为该设备核心指标，需提供必要的证明资料（直接复制盖章说明无效）</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5.7赠送总部深造学习（2人/次）不收取任何费用。</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b/>
          <w:bCs/>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b/>
          <w:bCs/>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b/>
          <w:bCs/>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b/>
          <w:bCs/>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b/>
          <w:bCs/>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b/>
          <w:bCs/>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b/>
          <w:bCs/>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b/>
          <w:bCs/>
          <w:snapToGrid w:val="0"/>
          <w:color w:val="000000"/>
          <w:spacing w:val="1"/>
          <w:kern w:val="0"/>
          <w:sz w:val="24"/>
          <w:szCs w:val="24"/>
          <w:lang w:val="en-US" w:eastAsia="en-US" w:bidi="ar-SA"/>
        </w:rPr>
      </w:pPr>
      <w:r>
        <w:rPr>
          <w:rFonts w:hint="eastAsia" w:ascii="仿宋" w:hAnsi="仿宋" w:eastAsia="仿宋" w:cs="仿宋"/>
          <w:b/>
          <w:bCs/>
          <w:snapToGrid w:val="0"/>
          <w:color w:val="000000"/>
          <w:spacing w:val="1"/>
          <w:kern w:val="0"/>
          <w:sz w:val="24"/>
          <w:szCs w:val="24"/>
          <w:lang w:val="en-US" w:eastAsia="zh-CN" w:bidi="ar-SA"/>
        </w:rPr>
        <w:t>三．总α放射性和总β放射性检测仪</w:t>
      </w:r>
      <w:r>
        <w:rPr>
          <w:rFonts w:hint="eastAsia" w:ascii="仿宋" w:hAnsi="仿宋" w:eastAsia="仿宋" w:cs="仿宋"/>
          <w:b/>
          <w:bCs/>
          <w:snapToGrid w:val="0"/>
          <w:color w:val="000000"/>
          <w:spacing w:val="1"/>
          <w:kern w:val="0"/>
          <w:sz w:val="24"/>
          <w:szCs w:val="24"/>
          <w:lang w:val="en-US" w:eastAsia="en-US" w:bidi="ar-SA"/>
        </w:rPr>
        <w:t>技术参数</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1、主要用途</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主要用于样品中α/β总活度的测量。</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2、性能要求：</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2.1仪器装有两只双闪烁体主探测器和两只反符合探测器，每次可测量两个样品中的总α总β比活度指标，中文操作软件界面，仪器无需配备气源等耗材；</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★2.2仪器有断电记忆储存功能，正在测样时，如遇突发停电, 仪器接电再次开机后，无需手动操作，也无需调取数据库任何文件，开机即可自动提示有未完成测量项。（需提供有未完成项测量的软件界面图以证明）；</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2.3仪器的两个通道均可独立设置测样时间长短，每个通道均独立计时，各个通道互不影响。</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2.4为方便后期后期仪器升级拓展，仪器默认配套多功能十路操作软件，具有灵活组合兼容模式，可兼容一路至十路中不同数量通道的测量仪，使用几个通道就开启几个通道，不测样的通道可关闭并隐藏。</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2.5两个通道均可独立打印测量结果报告，也可同时打印，便于数据对比。</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2.6仪器软件配有数据总管理库，可给每个通道指派单独指令，每个通道都可单独开始、结束或暂停，且每个通道都单独执行。</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2.7为方便编辑整理等工作需求，测样结果可以3种格式保存，分别为Excel、PDF和Word，此功能是仪器测量软件默认功能选项，测样结束后只需点击想要保存的格式即可。（需提供可体现出以上3种保存格式的软件界面图以证明）</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2.8单位面积的本底计数率α粒子≤0.002cm-2min-1；β粒子≤0.1cm-2min-1；</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2.9仪器对于239Puα源（活性区Φ25mm）的2π探测效率比≥85％；</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2.10仪器对于90Sr-90Yβ源（活性区Φ20mm）的2π探测效率比≥58％；</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2.11重复性：仪器连续测量24小时，探测效率变化α＜2％、β＜3％；</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2.12串道比：α进入β道的记数比＜1％（对239Pu）；</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2.13串道比：β进入α道的计数比＜0.1％（对于90Sr-90Y）；</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2.14耐压绝缘度＞1500V；绝缘电阻≥2MΩ；</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2.15电源电压：交流220V±10％；50Hz；</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2.16仪器采用程控高压设置模式，即仪器主机机箱外部表面无手工调节高压阈值的旋钮；</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★2.17探测器屏蔽铅室需采用方形内嵌入式结构，该结构更加牢固，屏蔽和密闭性更好，可为探测器提供更加稳定的测量环境，保证测样结果的准确性。（需提供方形内嵌入式铅室图片以证明）</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2.18同一个样品，不同日期的测量结果报告，可同时从数据库调取，并显示在同一软件界面上，也可同时打印在同一张结果报告上，便于数据对比。</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★2.19为更好减少外界射线干扰，降低仪器本底,确保测量结果准确性，仪器必须安装两只反符合探测器。（需提供仪器装有两只反符合探测器图片以证明）</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2.20仪器和电脑采用分离式设计，电脑单独放实验台上操作仪器，便于操作与数据整理；</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2.21仪器采用高线程智能记忆储存芯片，测样结束后,可自动保存测量结果,无需人工手动保存测样结果，实现测量无看守；</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3、配置清单要求：</w:t>
      </w:r>
    </w:p>
    <w:tbl>
      <w:tblPr>
        <w:tblStyle w:val="16"/>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95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序号</w:t>
            </w:r>
          </w:p>
        </w:tc>
        <w:tc>
          <w:tcPr>
            <w:tcW w:w="5953" w:type="dxa"/>
            <w:tcBorders>
              <w:top w:val="single" w:color="auto" w:sz="4" w:space="0"/>
              <w:left w:val="single" w:color="auto" w:sz="4" w:space="0"/>
              <w:bottom w:val="single" w:color="auto" w:sz="4" w:space="0"/>
              <w:right w:val="single" w:color="auto" w:sz="4" w:space="0"/>
            </w:tcBorders>
            <w:noWrap w:val="0"/>
            <w:vAlign w:val="bottom"/>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配  置  项  目</w:t>
            </w:r>
          </w:p>
        </w:tc>
        <w:tc>
          <w:tcPr>
            <w:tcW w:w="127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w:t>
            </w:r>
          </w:p>
        </w:tc>
        <w:tc>
          <w:tcPr>
            <w:tcW w:w="5953" w:type="dxa"/>
            <w:tcBorders>
              <w:top w:val="single" w:color="auto" w:sz="4" w:space="0"/>
              <w:left w:val="single" w:color="auto" w:sz="4" w:space="0"/>
              <w:bottom w:val="single" w:color="auto" w:sz="4" w:space="0"/>
              <w:right w:val="single" w:color="auto" w:sz="4" w:space="0"/>
            </w:tcBorders>
            <w:noWrap w:val="0"/>
            <w:vAlign w:val="bottom"/>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方形内嵌入式屏蔽铅室</w:t>
            </w:r>
          </w:p>
        </w:tc>
        <w:tc>
          <w:tcPr>
            <w:tcW w:w="127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w:t>
            </w:r>
          </w:p>
        </w:tc>
        <w:tc>
          <w:tcPr>
            <w:tcW w:w="5953" w:type="dxa"/>
            <w:tcBorders>
              <w:top w:val="single" w:color="auto" w:sz="4" w:space="0"/>
              <w:left w:val="single" w:color="auto" w:sz="4" w:space="0"/>
              <w:bottom w:val="single" w:color="auto" w:sz="4" w:space="0"/>
              <w:right w:val="single" w:color="auto" w:sz="4" w:space="0"/>
            </w:tcBorders>
            <w:noWrap w:val="0"/>
            <w:vAlign w:val="bottom"/>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十路操作软件光盘</w:t>
            </w:r>
          </w:p>
        </w:tc>
        <w:tc>
          <w:tcPr>
            <w:tcW w:w="127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w:t>
            </w:r>
          </w:p>
        </w:tc>
        <w:tc>
          <w:tcPr>
            <w:tcW w:w="5953" w:type="dxa"/>
            <w:tcBorders>
              <w:top w:val="single" w:color="auto" w:sz="4" w:space="0"/>
              <w:left w:val="single" w:color="auto" w:sz="4" w:space="0"/>
              <w:bottom w:val="single" w:color="auto" w:sz="4" w:space="0"/>
              <w:right w:val="single" w:color="auto" w:sz="4" w:space="0"/>
            </w:tcBorders>
            <w:noWrap w:val="0"/>
            <w:vAlign w:val="bottom"/>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四轮滑动底盘</w:t>
            </w:r>
          </w:p>
        </w:tc>
        <w:tc>
          <w:tcPr>
            <w:tcW w:w="127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w:t>
            </w:r>
          </w:p>
        </w:tc>
        <w:tc>
          <w:tcPr>
            <w:tcW w:w="5953" w:type="dxa"/>
            <w:tcBorders>
              <w:top w:val="single" w:color="auto" w:sz="4" w:space="0"/>
              <w:left w:val="single" w:color="auto" w:sz="4" w:space="0"/>
              <w:bottom w:val="single" w:color="auto" w:sz="4" w:space="0"/>
              <w:right w:val="single" w:color="auto" w:sz="4" w:space="0"/>
            </w:tcBorders>
            <w:noWrap w:val="0"/>
            <w:vAlign w:val="bottom"/>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主机控制箱</w:t>
            </w:r>
          </w:p>
        </w:tc>
        <w:tc>
          <w:tcPr>
            <w:tcW w:w="127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5</w:t>
            </w:r>
          </w:p>
        </w:tc>
        <w:tc>
          <w:tcPr>
            <w:tcW w:w="5953" w:type="dxa"/>
            <w:tcBorders>
              <w:top w:val="single" w:color="auto" w:sz="4" w:space="0"/>
              <w:left w:val="single" w:color="auto" w:sz="4" w:space="0"/>
              <w:bottom w:val="single" w:color="auto" w:sz="4" w:space="0"/>
              <w:right w:val="single" w:color="auto" w:sz="4" w:space="0"/>
            </w:tcBorders>
            <w:noWrap w:val="0"/>
            <w:vAlign w:val="bottom"/>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双闪烁主探测器</w:t>
            </w:r>
          </w:p>
        </w:tc>
        <w:tc>
          <w:tcPr>
            <w:tcW w:w="127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6</w:t>
            </w:r>
          </w:p>
        </w:tc>
        <w:tc>
          <w:tcPr>
            <w:tcW w:w="5953" w:type="dxa"/>
            <w:tcBorders>
              <w:top w:val="single" w:color="auto" w:sz="4" w:space="0"/>
              <w:left w:val="single" w:color="auto" w:sz="4" w:space="0"/>
              <w:bottom w:val="single" w:color="auto" w:sz="4" w:space="0"/>
              <w:right w:val="single" w:color="auto" w:sz="4" w:space="0"/>
            </w:tcBorders>
            <w:noWrap w:val="0"/>
            <w:vAlign w:val="bottom"/>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反符合探测器</w:t>
            </w:r>
          </w:p>
        </w:tc>
        <w:tc>
          <w:tcPr>
            <w:tcW w:w="127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7</w:t>
            </w:r>
          </w:p>
        </w:tc>
        <w:tc>
          <w:tcPr>
            <w:tcW w:w="5953" w:type="dxa"/>
            <w:tcBorders>
              <w:top w:val="single" w:color="auto" w:sz="4" w:space="0"/>
              <w:left w:val="single" w:color="auto" w:sz="4" w:space="0"/>
              <w:bottom w:val="single" w:color="auto" w:sz="4" w:space="0"/>
              <w:right w:val="single" w:color="auto" w:sz="4" w:space="0"/>
            </w:tcBorders>
            <w:noWrap w:val="0"/>
            <w:vAlign w:val="bottom"/>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α标准物质</w:t>
            </w:r>
          </w:p>
        </w:tc>
        <w:tc>
          <w:tcPr>
            <w:tcW w:w="127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8</w:t>
            </w:r>
          </w:p>
        </w:tc>
        <w:tc>
          <w:tcPr>
            <w:tcW w:w="5953" w:type="dxa"/>
            <w:tcBorders>
              <w:top w:val="single" w:color="auto" w:sz="4" w:space="0"/>
              <w:left w:val="single" w:color="auto" w:sz="4" w:space="0"/>
              <w:bottom w:val="single" w:color="auto" w:sz="4" w:space="0"/>
              <w:right w:val="single" w:color="auto" w:sz="4" w:space="0"/>
            </w:tcBorders>
            <w:noWrap w:val="0"/>
            <w:vAlign w:val="bottom"/>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β标准物质</w:t>
            </w:r>
          </w:p>
        </w:tc>
        <w:tc>
          <w:tcPr>
            <w:tcW w:w="127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8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9</w:t>
            </w:r>
          </w:p>
        </w:tc>
        <w:tc>
          <w:tcPr>
            <w:tcW w:w="5953" w:type="dxa"/>
            <w:tcBorders>
              <w:top w:val="single" w:color="auto" w:sz="4" w:space="0"/>
              <w:left w:val="single" w:color="auto" w:sz="4" w:space="0"/>
              <w:bottom w:val="single" w:color="auto" w:sz="4" w:space="0"/>
              <w:right w:val="single" w:color="auto" w:sz="4" w:space="0"/>
            </w:tcBorders>
            <w:noWrap w:val="0"/>
            <w:vAlign w:val="bottom"/>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不锈钢样品盘</w:t>
            </w:r>
          </w:p>
        </w:tc>
        <w:tc>
          <w:tcPr>
            <w:tcW w:w="127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98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10</w:t>
            </w:r>
          </w:p>
        </w:tc>
        <w:tc>
          <w:tcPr>
            <w:tcW w:w="5953" w:type="dxa"/>
            <w:tcBorders>
              <w:top w:val="single" w:color="auto" w:sz="4" w:space="0"/>
              <w:left w:val="single" w:color="auto" w:sz="4" w:space="0"/>
              <w:bottom w:val="single" w:color="auto" w:sz="4" w:space="0"/>
              <w:right w:val="single" w:color="auto" w:sz="4" w:space="0"/>
            </w:tcBorders>
            <w:noWrap w:val="0"/>
            <w:vAlign w:val="bottom"/>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探测器连接线</w:t>
            </w:r>
          </w:p>
        </w:tc>
        <w:tc>
          <w:tcPr>
            <w:tcW w:w="127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98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11</w:t>
            </w:r>
          </w:p>
        </w:tc>
        <w:tc>
          <w:tcPr>
            <w:tcW w:w="5953" w:type="dxa"/>
            <w:tcBorders>
              <w:top w:val="single" w:color="auto" w:sz="4" w:space="0"/>
              <w:left w:val="single" w:color="auto" w:sz="4" w:space="0"/>
              <w:bottom w:val="single" w:color="auto" w:sz="4" w:space="0"/>
              <w:right w:val="single" w:color="auto" w:sz="4" w:space="0"/>
            </w:tcBorders>
            <w:noWrap w:val="0"/>
            <w:vAlign w:val="bottom"/>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电源线</w:t>
            </w:r>
          </w:p>
        </w:tc>
        <w:tc>
          <w:tcPr>
            <w:tcW w:w="127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98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12</w:t>
            </w:r>
          </w:p>
        </w:tc>
        <w:tc>
          <w:tcPr>
            <w:tcW w:w="5953" w:type="dxa"/>
            <w:tcBorders>
              <w:top w:val="single" w:color="auto" w:sz="4" w:space="0"/>
              <w:left w:val="single" w:color="auto" w:sz="4" w:space="0"/>
              <w:bottom w:val="single" w:color="auto" w:sz="4" w:space="0"/>
              <w:right w:val="single" w:color="auto" w:sz="4" w:space="0"/>
            </w:tcBorders>
            <w:noWrap w:val="0"/>
            <w:vAlign w:val="bottom"/>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通讯线</w:t>
            </w:r>
          </w:p>
        </w:tc>
        <w:tc>
          <w:tcPr>
            <w:tcW w:w="127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98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13</w:t>
            </w:r>
          </w:p>
        </w:tc>
        <w:tc>
          <w:tcPr>
            <w:tcW w:w="5953" w:type="dxa"/>
            <w:tcBorders>
              <w:top w:val="single" w:color="auto" w:sz="4" w:space="0"/>
              <w:left w:val="single" w:color="auto" w:sz="4" w:space="0"/>
              <w:bottom w:val="single" w:color="auto" w:sz="4" w:space="0"/>
              <w:right w:val="single" w:color="auto" w:sz="4" w:space="0"/>
            </w:tcBorders>
            <w:noWrap w:val="0"/>
            <w:vAlign w:val="bottom"/>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品牌商务电脑</w:t>
            </w:r>
          </w:p>
        </w:tc>
        <w:tc>
          <w:tcPr>
            <w:tcW w:w="127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14</w:t>
            </w:r>
          </w:p>
        </w:tc>
        <w:tc>
          <w:tcPr>
            <w:tcW w:w="5953" w:type="dxa"/>
            <w:tcBorders>
              <w:top w:val="single" w:color="auto" w:sz="4" w:space="0"/>
              <w:left w:val="single" w:color="auto" w:sz="4" w:space="0"/>
              <w:bottom w:val="single" w:color="auto" w:sz="4" w:space="0"/>
              <w:right w:val="single" w:color="auto" w:sz="4" w:space="0"/>
            </w:tcBorders>
            <w:noWrap w:val="0"/>
            <w:vAlign w:val="bottom"/>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激光打印机</w:t>
            </w:r>
          </w:p>
        </w:tc>
        <w:tc>
          <w:tcPr>
            <w:tcW w:w="127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15</w:t>
            </w:r>
          </w:p>
        </w:tc>
        <w:tc>
          <w:tcPr>
            <w:tcW w:w="5953" w:type="dxa"/>
            <w:tcBorders>
              <w:top w:val="single" w:color="auto" w:sz="4" w:space="0"/>
              <w:left w:val="single" w:color="auto" w:sz="4" w:space="0"/>
              <w:bottom w:val="single" w:color="auto" w:sz="4" w:space="0"/>
              <w:right w:val="single" w:color="auto" w:sz="4" w:space="0"/>
            </w:tcBorders>
            <w:noWrap w:val="0"/>
            <w:vAlign w:val="bottom"/>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使用说明书</w:t>
            </w:r>
          </w:p>
        </w:tc>
        <w:tc>
          <w:tcPr>
            <w:tcW w:w="127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16</w:t>
            </w:r>
          </w:p>
        </w:tc>
        <w:tc>
          <w:tcPr>
            <w:tcW w:w="5953" w:type="dxa"/>
            <w:tcBorders>
              <w:top w:val="single" w:color="auto" w:sz="4" w:space="0"/>
              <w:left w:val="single" w:color="auto" w:sz="4" w:space="0"/>
              <w:bottom w:val="single" w:color="auto" w:sz="4" w:space="0"/>
              <w:right w:val="single" w:color="auto" w:sz="4" w:space="0"/>
            </w:tcBorders>
            <w:noWrap w:val="0"/>
            <w:vAlign w:val="bottom"/>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仪器计量检定证书</w:t>
            </w:r>
          </w:p>
        </w:tc>
        <w:tc>
          <w:tcPr>
            <w:tcW w:w="127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17</w:t>
            </w:r>
          </w:p>
        </w:tc>
        <w:tc>
          <w:tcPr>
            <w:tcW w:w="5953" w:type="dxa"/>
            <w:tcBorders>
              <w:top w:val="single" w:color="auto" w:sz="4" w:space="0"/>
              <w:left w:val="single" w:color="auto" w:sz="4" w:space="0"/>
              <w:bottom w:val="single" w:color="auto" w:sz="4" w:space="0"/>
              <w:right w:val="single" w:color="auto" w:sz="4" w:space="0"/>
            </w:tcBorders>
            <w:noWrap w:val="0"/>
            <w:vAlign w:val="bottom"/>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设备装箱单</w:t>
            </w:r>
          </w:p>
        </w:tc>
        <w:tc>
          <w:tcPr>
            <w:tcW w:w="127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18</w:t>
            </w:r>
          </w:p>
        </w:tc>
        <w:tc>
          <w:tcPr>
            <w:tcW w:w="5953" w:type="dxa"/>
            <w:tcBorders>
              <w:top w:val="single" w:color="auto" w:sz="4" w:space="0"/>
              <w:left w:val="single" w:color="auto" w:sz="4" w:space="0"/>
              <w:bottom w:val="single" w:color="auto" w:sz="4" w:space="0"/>
              <w:right w:val="single" w:color="auto" w:sz="4" w:space="0"/>
            </w:tcBorders>
            <w:noWrap w:val="0"/>
            <w:vAlign w:val="bottom"/>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前处理设备：水样蒸发浓缩仪技术要求</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1.产品用途：适用于放射性总α总β及其他水样检测过程中的水样蒸发浓缩等工作要求，溶解性总固体项目的蒸发浓缩。</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★2.采用碗式远红外陶瓷辐射加热炉，热传导加热，加热均匀，避免水样迸溅，能够与容器均匀贴合，热均衡、效率高，使用蒸发皿作为蒸发容器，赶酸无需转移，减少了待测物质的损失。</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3.一键开始，仪器全自动进样运行，样品自动逐次添加，无需手工加液转移，各通道可以随意执行进样总量编辑，每个通道独立设置并独立运行，达到设定值后自动停止加热。</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4.仪器配有液晶触摸屏，能够一键启动、进样独立控制、浓缩定量自动判断，各通道互不干扰且独立运行。</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5.一键启动无人值守工作，仪器智能添加补充水样，实时记录已蒸发量，达到设定量自动停止工作。</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6. 陶瓷辐射加热底部预留导液孔，遇到烧瓶破损导致液体流入或者意外倒入陶瓷碗，都可以通过导液孔直接流出，不会影响仪器正常运行。</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★7.防止样品干扰，进样管路带一键排液功能，测新水样前，可一键排放上次遗留在管路内水样，防止样品与样品之间干扰；</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8.内置断电保护模块，断电开机可继续工作，数据不丢失，样品无损坏，水样蒸发结束后，带自动预警提示功能；</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9.整机具有防腐耐酸耐高温保护，确保仪器可以长期稳定运行；</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10.加热控制：单路功率0-500W可调，额定最大功率：3000W</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11.定量精度：每路都配置一个小型天平，定量精度&lt;2%；</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12.主要配置清单：</w:t>
            </w: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主机1台、瓷蒸发皿12个、进样管路6套、校准砝码 1个、随机附件1套。</w:t>
            </w:r>
          </w:p>
        </w:tc>
        <w:tc>
          <w:tcPr>
            <w:tcW w:w="127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en-US" w:bidi="ar-SA"/>
              </w:rPr>
            </w:pPr>
          </w:p>
        </w:tc>
      </w:tr>
    </w:tbl>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eastAsia" w:ascii="仿宋" w:hAnsi="仿宋" w:eastAsia="仿宋" w:cs="仿宋"/>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default" w:ascii="仿宋" w:hAnsi="仿宋" w:eastAsia="仿宋" w:cs="仿宋"/>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default" w:ascii="仿宋" w:hAnsi="仿宋" w:eastAsia="仿宋" w:cs="仿宋"/>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default" w:ascii="仿宋" w:hAnsi="仿宋" w:eastAsia="仿宋" w:cs="仿宋"/>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default" w:ascii="仿宋" w:hAnsi="仿宋" w:eastAsia="仿宋" w:cs="仿宋"/>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default" w:ascii="仿宋" w:hAnsi="仿宋" w:eastAsia="仿宋" w:cs="仿宋"/>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default" w:ascii="仿宋" w:hAnsi="仿宋" w:eastAsia="仿宋" w:cs="仿宋"/>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default" w:ascii="仿宋" w:hAnsi="仿宋" w:eastAsia="仿宋" w:cs="仿宋"/>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ind w:firstLine="484" w:firstLineChars="200"/>
        <w:textAlignment w:val="auto"/>
        <w:rPr>
          <w:rFonts w:hint="default" w:ascii="仿宋" w:hAnsi="仿宋" w:eastAsia="仿宋" w:cs="仿宋"/>
          <w:snapToGrid w:val="0"/>
          <w:color w:val="000000"/>
          <w:spacing w:val="1"/>
          <w:kern w:val="0"/>
          <w:sz w:val="24"/>
          <w:szCs w:val="24"/>
          <w:lang w:val="en-US" w:eastAsia="zh-CN" w:bidi="ar-SA"/>
        </w:rPr>
      </w:pPr>
    </w:p>
    <w:p>
      <w:pPr>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pacing w:val="8"/>
          <w:sz w:val="31"/>
          <w:szCs w:val="31"/>
          <w14:textOutline w14:w="5793" w14:cap="sq" w14:cmpd="sng">
            <w14:solidFill>
              <w14:srgbClr w14:val="000000"/>
            </w14:solidFill>
            <w14:prstDash w14:val="solid"/>
            <w14:bevel/>
          </w14:textOutline>
        </w:rPr>
      </w:pPr>
      <w:bookmarkStart w:id="152" w:name="_Toc4275"/>
      <w:bookmarkStart w:id="153" w:name="_Toc18205"/>
      <w:bookmarkStart w:id="154" w:name="_Toc21686"/>
    </w:p>
    <w:p>
      <w:pPr>
        <w:spacing w:before="95" w:line="224" w:lineRule="auto"/>
        <w:ind w:left="2776" w:firstLine="326" w:firstLineChars="100"/>
        <w:outlineLvl w:val="0"/>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第五章</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合同条款及格式</w:t>
      </w:r>
      <w:bookmarkEnd w:id="152"/>
      <w:bookmarkEnd w:id="153"/>
      <w:bookmarkEnd w:id="154"/>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（本合同样本仅供参考，具体内容由采购单位和中标人协商确定）</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p>
    <w:p>
      <w:pPr>
        <w:numPr>
          <w:ilvl w:val="0"/>
          <w:numId w:val="0"/>
        </w:numPr>
        <w:spacing w:line="360" w:lineRule="auto"/>
        <w:jc w:val="left"/>
        <w:rPr>
          <w:rFonts w:hint="eastAsia" w:ascii="仿宋" w:hAnsi="仿宋" w:eastAsia="仿宋" w:cs="仿宋"/>
          <w:b/>
          <w:bCs/>
          <w:snapToGrid w:val="0"/>
          <w:color w:val="000000"/>
          <w:spacing w:val="1"/>
          <w:kern w:val="0"/>
          <w:sz w:val="24"/>
          <w:szCs w:val="24"/>
          <w:lang w:val="en-US" w:eastAsia="zh-CN" w:bidi="ar-SA"/>
        </w:rPr>
      </w:pPr>
      <w:r>
        <w:rPr>
          <w:rFonts w:hint="eastAsia" w:ascii="仿宋" w:hAnsi="仿宋" w:eastAsia="仿宋" w:cs="仿宋"/>
          <w:b/>
          <w:bCs/>
          <w:snapToGrid w:val="0"/>
          <w:color w:val="000000"/>
          <w:spacing w:val="1"/>
          <w:kern w:val="0"/>
          <w:sz w:val="24"/>
          <w:szCs w:val="24"/>
          <w:lang w:val="en-US" w:eastAsia="zh-CN" w:bidi="ar-SA"/>
        </w:rPr>
        <w:t>合同编号：</w:t>
      </w:r>
    </w:p>
    <w:p>
      <w:pPr>
        <w:numPr>
          <w:ilvl w:val="0"/>
          <w:numId w:val="0"/>
        </w:numPr>
        <w:spacing w:line="360" w:lineRule="auto"/>
        <w:jc w:val="center"/>
        <w:rPr>
          <w:rFonts w:hint="eastAsia" w:ascii="仿宋" w:hAnsi="仿宋" w:eastAsia="仿宋" w:cs="仿宋"/>
          <w:b/>
          <w:bCs/>
          <w:snapToGrid w:val="0"/>
          <w:color w:val="000000"/>
          <w:spacing w:val="1"/>
          <w:kern w:val="0"/>
          <w:sz w:val="24"/>
          <w:szCs w:val="24"/>
          <w:lang w:val="en-US" w:eastAsia="zh-CN" w:bidi="ar-SA"/>
        </w:rPr>
      </w:pPr>
      <w:r>
        <w:rPr>
          <w:rFonts w:hint="eastAsia" w:ascii="仿宋" w:hAnsi="仿宋" w:eastAsia="仿宋" w:cs="仿宋"/>
          <w:b/>
          <w:bCs/>
          <w:snapToGrid w:val="0"/>
          <w:color w:val="000000"/>
          <w:spacing w:val="1"/>
          <w:kern w:val="0"/>
          <w:sz w:val="24"/>
          <w:szCs w:val="24"/>
          <w:lang w:val="en-US" w:eastAsia="zh-CN" w:bidi="ar-SA"/>
        </w:rPr>
        <w:t>政府采购合同</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 xml:space="preserve">卖方： </w:t>
      </w:r>
      <w:r>
        <w:rPr>
          <w:rFonts w:ascii="宋体" w:hAnsi="宋体" w:eastAsia="宋体" w:cs="宋体"/>
          <w:sz w:val="24"/>
          <w:szCs w:val="24"/>
          <w:u w:val="single" w:color="auto"/>
        </w:rPr>
        <w:t xml:space="preserve">                                     </w:t>
      </w:r>
      <w:r>
        <w:rPr>
          <w:rFonts w:hint="eastAsia" w:ascii="仿宋" w:hAnsi="仿宋" w:eastAsia="仿宋" w:cs="仿宋"/>
          <w:snapToGrid w:val="0"/>
          <w:color w:val="000000"/>
          <w:spacing w:val="1"/>
          <w:kern w:val="0"/>
          <w:sz w:val="24"/>
          <w:szCs w:val="24"/>
          <w:lang w:val="en-US" w:eastAsia="zh-CN" w:bidi="ar-SA"/>
        </w:rPr>
        <w:t xml:space="preserve">                                    </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 xml:space="preserve">住址:  </w:t>
      </w:r>
      <w:r>
        <w:rPr>
          <w:rFonts w:ascii="宋体" w:hAnsi="宋体" w:eastAsia="宋体" w:cs="宋体"/>
          <w:sz w:val="24"/>
          <w:szCs w:val="24"/>
          <w:u w:val="single" w:color="auto"/>
        </w:rPr>
        <w:t xml:space="preserve">                                     </w:t>
      </w:r>
      <w:r>
        <w:rPr>
          <w:rFonts w:hint="eastAsia" w:ascii="仿宋" w:hAnsi="仿宋" w:eastAsia="仿宋" w:cs="仿宋"/>
          <w:snapToGrid w:val="0"/>
          <w:color w:val="000000"/>
          <w:spacing w:val="1"/>
          <w:kern w:val="0"/>
          <w:sz w:val="24"/>
          <w:szCs w:val="24"/>
          <w:lang w:val="en-US" w:eastAsia="zh-CN" w:bidi="ar-SA"/>
        </w:rPr>
        <w:t xml:space="preserve">                                    </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 xml:space="preserve">法定代表人：  </w:t>
      </w:r>
      <w:r>
        <w:rPr>
          <w:rFonts w:ascii="宋体" w:hAnsi="宋体" w:eastAsia="宋体" w:cs="宋体"/>
          <w:sz w:val="24"/>
          <w:szCs w:val="24"/>
          <w:u w:val="single" w:color="auto"/>
        </w:rPr>
        <w:t xml:space="preserve">                                     </w:t>
      </w:r>
      <w:r>
        <w:rPr>
          <w:rFonts w:hint="eastAsia" w:ascii="仿宋" w:hAnsi="仿宋" w:eastAsia="仿宋" w:cs="仿宋"/>
          <w:snapToGrid w:val="0"/>
          <w:color w:val="000000"/>
          <w:spacing w:val="1"/>
          <w:kern w:val="0"/>
          <w:sz w:val="24"/>
          <w:szCs w:val="24"/>
          <w:lang w:val="en-US" w:eastAsia="zh-CN" w:bidi="ar-SA"/>
        </w:rPr>
        <w:t xml:space="preserve">                                   </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 xml:space="preserve">统一社会信用代码：  </w:t>
      </w:r>
      <w:r>
        <w:rPr>
          <w:rFonts w:ascii="宋体" w:hAnsi="宋体" w:eastAsia="宋体" w:cs="宋体"/>
          <w:sz w:val="24"/>
          <w:szCs w:val="24"/>
          <w:u w:val="single" w:color="auto"/>
        </w:rPr>
        <w:t xml:space="preserve">                                     </w:t>
      </w:r>
      <w:r>
        <w:rPr>
          <w:rFonts w:hint="eastAsia" w:ascii="仿宋" w:hAnsi="仿宋" w:eastAsia="仿宋" w:cs="仿宋"/>
          <w:snapToGrid w:val="0"/>
          <w:color w:val="000000"/>
          <w:spacing w:val="1"/>
          <w:kern w:val="0"/>
          <w:sz w:val="24"/>
          <w:szCs w:val="24"/>
          <w:lang w:val="en-US" w:eastAsia="zh-CN" w:bidi="ar-SA"/>
        </w:rPr>
        <w:t xml:space="preserve">                                   </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 xml:space="preserve">买方：  </w:t>
      </w:r>
      <w:r>
        <w:rPr>
          <w:rFonts w:ascii="宋体" w:hAnsi="宋体" w:eastAsia="宋体" w:cs="宋体"/>
          <w:sz w:val="24"/>
          <w:szCs w:val="24"/>
          <w:u w:val="single" w:color="auto"/>
        </w:rPr>
        <w:t xml:space="preserve">                                     </w:t>
      </w:r>
      <w:r>
        <w:rPr>
          <w:rFonts w:hint="eastAsia" w:ascii="仿宋" w:hAnsi="仿宋" w:eastAsia="仿宋" w:cs="仿宋"/>
          <w:snapToGrid w:val="0"/>
          <w:color w:val="000000"/>
          <w:spacing w:val="1"/>
          <w:kern w:val="0"/>
          <w:sz w:val="24"/>
          <w:szCs w:val="24"/>
          <w:lang w:val="en-US" w:eastAsia="zh-CN" w:bidi="ar-SA"/>
        </w:rPr>
        <w:t xml:space="preserve">                                   </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 xml:space="preserve">住址: </w:t>
      </w:r>
      <w:r>
        <w:rPr>
          <w:rFonts w:ascii="宋体" w:hAnsi="宋体" w:eastAsia="宋体" w:cs="宋体"/>
          <w:sz w:val="24"/>
          <w:szCs w:val="24"/>
          <w:u w:val="single" w:color="auto"/>
        </w:rPr>
        <w:t xml:space="preserve">                                     </w:t>
      </w:r>
      <w:r>
        <w:rPr>
          <w:rFonts w:hint="eastAsia" w:ascii="仿宋" w:hAnsi="仿宋" w:eastAsia="仿宋" w:cs="仿宋"/>
          <w:snapToGrid w:val="0"/>
          <w:color w:val="000000"/>
          <w:spacing w:val="1"/>
          <w:kern w:val="0"/>
          <w:sz w:val="24"/>
          <w:szCs w:val="24"/>
          <w:lang w:val="en-US" w:eastAsia="zh-CN" w:bidi="ar-SA"/>
        </w:rPr>
        <w:t xml:space="preserve">                                     </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 xml:space="preserve">法定代表人：  </w:t>
      </w:r>
      <w:r>
        <w:rPr>
          <w:rFonts w:ascii="宋体" w:hAnsi="宋体" w:eastAsia="宋体" w:cs="宋体"/>
          <w:sz w:val="24"/>
          <w:szCs w:val="24"/>
          <w:u w:val="single" w:color="auto"/>
        </w:rPr>
        <w:t xml:space="preserve">                                     </w:t>
      </w:r>
      <w:r>
        <w:rPr>
          <w:rFonts w:hint="eastAsia" w:ascii="仿宋" w:hAnsi="仿宋" w:eastAsia="仿宋" w:cs="仿宋"/>
          <w:snapToGrid w:val="0"/>
          <w:color w:val="000000"/>
          <w:spacing w:val="1"/>
          <w:kern w:val="0"/>
          <w:sz w:val="24"/>
          <w:szCs w:val="24"/>
          <w:lang w:val="en-US" w:eastAsia="zh-CN" w:bidi="ar-SA"/>
        </w:rPr>
        <w:t xml:space="preserve">                                   </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统一社会信用代码：</w:t>
      </w:r>
      <w:r>
        <w:rPr>
          <w:rFonts w:ascii="宋体" w:hAnsi="宋体" w:eastAsia="宋体" w:cs="宋体"/>
          <w:sz w:val="24"/>
          <w:szCs w:val="24"/>
          <w:u w:val="single" w:color="auto"/>
        </w:rPr>
        <w:t xml:space="preserve">                                     </w:t>
      </w:r>
      <w:r>
        <w:rPr>
          <w:rFonts w:hint="eastAsia" w:ascii="仿宋" w:hAnsi="仿宋" w:eastAsia="仿宋" w:cs="仿宋"/>
          <w:snapToGrid w:val="0"/>
          <w:color w:val="000000"/>
          <w:spacing w:val="1"/>
          <w:kern w:val="0"/>
          <w:sz w:val="24"/>
          <w:szCs w:val="24"/>
          <w:lang w:val="en-US" w:eastAsia="zh-CN" w:bidi="ar-SA"/>
        </w:rPr>
        <w:t xml:space="preserve">                                     </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u w:val="single"/>
          <w:lang w:val="en-US" w:eastAsia="zh-CN" w:bidi="ar-SA"/>
        </w:rPr>
        <w:tab/>
      </w:r>
      <w:r>
        <w:rPr>
          <w:rFonts w:hint="eastAsia" w:ascii="仿宋" w:hAnsi="仿宋" w:eastAsia="仿宋" w:cs="仿宋"/>
          <w:snapToGrid w:val="0"/>
          <w:color w:val="000000"/>
          <w:spacing w:val="1"/>
          <w:kern w:val="0"/>
          <w:sz w:val="24"/>
          <w:szCs w:val="24"/>
          <w:u w:val="single"/>
          <w:lang w:val="en-US" w:eastAsia="zh-CN" w:bidi="ar-SA"/>
        </w:rPr>
        <w:t xml:space="preserve"> </w:t>
      </w:r>
      <w:r>
        <w:rPr>
          <w:rFonts w:hint="eastAsia" w:ascii="仿宋" w:hAnsi="仿宋" w:eastAsia="仿宋" w:cs="仿宋"/>
          <w:snapToGrid w:val="0"/>
          <w:color w:val="000000"/>
          <w:spacing w:val="1"/>
          <w:kern w:val="0"/>
          <w:sz w:val="24"/>
          <w:szCs w:val="24"/>
          <w:lang w:val="en-US" w:eastAsia="zh-CN" w:bidi="ar-SA"/>
        </w:rPr>
        <w:t>(买方)</w:t>
      </w:r>
      <w:r>
        <w:rPr>
          <w:rFonts w:hint="eastAsia" w:ascii="仿宋" w:hAnsi="仿宋" w:eastAsia="仿宋" w:cs="仿宋"/>
          <w:snapToGrid w:val="0"/>
          <w:color w:val="000000"/>
          <w:spacing w:val="1"/>
          <w:kern w:val="0"/>
          <w:sz w:val="24"/>
          <w:szCs w:val="24"/>
          <w:u w:val="single"/>
          <w:lang w:val="en-US" w:eastAsia="zh-CN" w:bidi="ar-SA"/>
        </w:rPr>
        <w:t xml:space="preserve">          </w:t>
      </w:r>
      <w:r>
        <w:rPr>
          <w:rFonts w:hint="eastAsia" w:ascii="仿宋" w:hAnsi="仿宋" w:eastAsia="仿宋" w:cs="仿宋"/>
          <w:snapToGrid w:val="0"/>
          <w:color w:val="000000"/>
          <w:spacing w:val="1"/>
          <w:kern w:val="0"/>
          <w:sz w:val="24"/>
          <w:szCs w:val="24"/>
          <w:lang w:val="en-US" w:eastAsia="zh-CN" w:bidi="ar-SA"/>
        </w:rPr>
        <w:t>(项目名称)中所需</w:t>
      </w:r>
      <w:r>
        <w:rPr>
          <w:rFonts w:hint="eastAsia" w:ascii="仿宋" w:hAnsi="仿宋" w:eastAsia="仿宋" w:cs="仿宋"/>
          <w:snapToGrid w:val="0"/>
          <w:color w:val="000000"/>
          <w:spacing w:val="1"/>
          <w:kern w:val="0"/>
          <w:sz w:val="24"/>
          <w:szCs w:val="24"/>
          <w:u w:val="single"/>
          <w:lang w:val="en-US" w:eastAsia="zh-CN" w:bidi="ar-SA"/>
        </w:rPr>
        <w:t xml:space="preserve">         (货物名称)</w:t>
      </w:r>
      <w:r>
        <w:rPr>
          <w:rFonts w:hint="eastAsia" w:ascii="仿宋" w:hAnsi="仿宋" w:eastAsia="仿宋" w:cs="仿宋"/>
          <w:snapToGrid w:val="0"/>
          <w:color w:val="000000"/>
          <w:spacing w:val="1"/>
          <w:kern w:val="0"/>
          <w:sz w:val="24"/>
          <w:szCs w:val="24"/>
          <w:lang w:val="en-US" w:eastAsia="zh-CN" w:bidi="ar-SA"/>
        </w:rPr>
        <w:t>经</w:t>
      </w:r>
      <w:r>
        <w:rPr>
          <w:rFonts w:hint="eastAsia" w:ascii="仿宋" w:hAnsi="仿宋" w:eastAsia="仿宋" w:cs="仿宋"/>
          <w:snapToGrid w:val="0"/>
          <w:color w:val="000000"/>
          <w:spacing w:val="1"/>
          <w:kern w:val="0"/>
          <w:sz w:val="24"/>
          <w:szCs w:val="24"/>
          <w:u w:val="single"/>
          <w:lang w:val="en-US" w:eastAsia="zh-CN" w:bidi="ar-SA"/>
        </w:rPr>
        <w:t xml:space="preserve">         (招标人)</w:t>
      </w:r>
      <w:r>
        <w:rPr>
          <w:rFonts w:hint="eastAsia" w:ascii="仿宋" w:hAnsi="仿宋" w:eastAsia="仿宋" w:cs="仿宋"/>
          <w:snapToGrid w:val="0"/>
          <w:color w:val="000000"/>
          <w:spacing w:val="1"/>
          <w:kern w:val="0"/>
          <w:sz w:val="24"/>
          <w:szCs w:val="24"/>
          <w:lang w:val="en-US" w:eastAsia="zh-CN" w:bidi="ar-SA"/>
        </w:rPr>
        <w:t>以</w:t>
      </w:r>
      <w:r>
        <w:rPr>
          <w:rFonts w:hint="eastAsia" w:ascii="仿宋" w:hAnsi="仿宋" w:eastAsia="仿宋" w:cs="仿宋"/>
          <w:snapToGrid w:val="0"/>
          <w:color w:val="000000"/>
          <w:spacing w:val="1"/>
          <w:kern w:val="0"/>
          <w:sz w:val="24"/>
          <w:szCs w:val="24"/>
          <w:u w:val="single"/>
          <w:lang w:val="en-US" w:eastAsia="zh-CN" w:bidi="ar-SA"/>
        </w:rPr>
        <w:t xml:space="preserve">          </w:t>
      </w:r>
      <w:r>
        <w:rPr>
          <w:rFonts w:hint="eastAsia" w:ascii="仿宋" w:hAnsi="仿宋" w:eastAsia="仿宋" w:cs="仿宋"/>
          <w:snapToGrid w:val="0"/>
          <w:color w:val="000000"/>
          <w:spacing w:val="1"/>
          <w:kern w:val="0"/>
          <w:sz w:val="24"/>
          <w:szCs w:val="24"/>
          <w:lang w:val="en-US" w:eastAsia="zh-CN" w:bidi="ar-SA"/>
        </w:rPr>
        <w:t>号招标文件在国内</w:t>
      </w:r>
      <w:r>
        <w:rPr>
          <w:rFonts w:hint="eastAsia" w:ascii="仿宋" w:hAnsi="仿宋" w:eastAsia="仿宋" w:cs="仿宋"/>
          <w:snapToGrid w:val="0"/>
          <w:color w:val="000000"/>
          <w:spacing w:val="1"/>
          <w:kern w:val="0"/>
          <w:sz w:val="24"/>
          <w:szCs w:val="24"/>
          <w:u w:val="single"/>
          <w:lang w:val="en-US" w:eastAsia="zh-CN" w:bidi="ar-SA"/>
        </w:rPr>
        <w:t xml:space="preserve">       （公开/邀请） </w:t>
      </w:r>
      <w:r>
        <w:rPr>
          <w:rFonts w:hint="eastAsia" w:ascii="仿宋" w:hAnsi="仿宋" w:eastAsia="仿宋" w:cs="仿宋"/>
          <w:snapToGrid w:val="0"/>
          <w:color w:val="000000"/>
          <w:spacing w:val="1"/>
          <w:kern w:val="0"/>
          <w:sz w:val="24"/>
          <w:szCs w:val="24"/>
          <w:lang w:val="en-US" w:eastAsia="zh-CN" w:bidi="ar-SA"/>
        </w:rPr>
        <w:t>招标 。经评标委员会评定 (卖方)为中标人。为进一步明确双方的责任，确保合同的顺利履行，根据《中华人民共 和国政府采购法》、《中华人民共和国民法典》及有关法律规定，遵循平等、自愿、公</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平和诚实信用的原则，买卖双方协商一致同意按如下条款签订本合同：</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一、定义</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本合同中的下列术语应解释为：</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1、“合同 ”系指买卖双方签署的、合同格式中载明的买卖双方所达成的协议， 包</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括所有的附件、附录和构成合同的其它文件。</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2、“合同价 ”系指根据合同约定，乙方在完全履行合同义务后甲方应付给卖方的</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价格。</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3、“货物 ”系指卖方根据合同约定须向买方提供的一切设备、机械、仪表、备件， 包括工具、手册等其它相关资料。“服务”系指根据合同约定卖方承担与供货有关的辅</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助服务，如运输、保险及安装、调试、提供技术援助、培训和其他类似的服务。</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4、“买方 ”系指与中标人签属供货合同的单位（含最终用户）。</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5、“卖方 ”系指根据合同约定提供货物及相关服务的中标人。</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6、“现场 ”系指合同约定货物将要运至和安装的地点。</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7、“验收 ”系指合同双方依据强制性的国家技术质量规范和合同约定，确认合同</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项下的货物符合合同规定的活动。</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二、合同文件</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下列文件构成本合同的组成部分，应该认为是一个整体，彼此相互解释，相互补充。</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组成合同的多个文件的优先支配地位的次序如下：</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1、本合同书</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2、中标通知书</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3、采购文件及答疑、更正公告;</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4、采购文件标准文本中的“合同条款 ”；</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5、卖方提交的投标文件及书面承诺函；</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6、其他合同文件</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三、货物和数量（可另附具体清单）</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本合同货物：</w:t>
      </w:r>
      <w:r>
        <w:rPr>
          <w:rFonts w:ascii="宋体" w:hAnsi="宋体" w:eastAsia="宋体" w:cs="宋体"/>
          <w:sz w:val="24"/>
          <w:szCs w:val="24"/>
          <w:u w:val="single" w:color="auto"/>
        </w:rPr>
        <w:t xml:space="preserve">                                     </w:t>
      </w:r>
      <w:r>
        <w:rPr>
          <w:rFonts w:hint="eastAsia" w:ascii="仿宋" w:hAnsi="仿宋" w:eastAsia="仿宋" w:cs="仿宋"/>
          <w:snapToGrid w:val="0"/>
          <w:color w:val="000000"/>
          <w:spacing w:val="1"/>
          <w:kern w:val="0"/>
          <w:sz w:val="24"/>
          <w:szCs w:val="24"/>
          <w:lang w:val="en-US" w:eastAsia="zh-CN" w:bidi="ar-SA"/>
        </w:rPr>
        <w:t xml:space="preserve">                        </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数量：</w:t>
      </w:r>
      <w:r>
        <w:rPr>
          <w:rFonts w:ascii="宋体" w:hAnsi="宋体" w:eastAsia="宋体" w:cs="宋体"/>
          <w:sz w:val="24"/>
          <w:szCs w:val="24"/>
          <w:u w:val="single" w:color="auto"/>
        </w:rPr>
        <w:t xml:space="preserve">                                     </w:t>
      </w:r>
      <w:r>
        <w:rPr>
          <w:rFonts w:hint="eastAsia" w:ascii="仿宋" w:hAnsi="仿宋" w:eastAsia="仿宋" w:cs="仿宋"/>
          <w:snapToGrid w:val="0"/>
          <w:color w:val="000000"/>
          <w:spacing w:val="1"/>
          <w:kern w:val="0"/>
          <w:sz w:val="24"/>
          <w:szCs w:val="24"/>
          <w:lang w:val="en-US" w:eastAsia="zh-CN" w:bidi="ar-SA"/>
        </w:rPr>
        <w:t xml:space="preserve">                              </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四、合同总价</w:t>
      </w:r>
    </w:p>
    <w:p>
      <w:pPr>
        <w:numPr>
          <w:ilvl w:val="0"/>
          <w:numId w:val="0"/>
        </w:numPr>
        <w:spacing w:line="360" w:lineRule="auto"/>
        <w:jc w:val="left"/>
        <w:rPr>
          <w:rFonts w:ascii="宋体" w:hAnsi="宋体" w:eastAsia="宋体" w:cs="宋体"/>
          <w:sz w:val="24"/>
          <w:szCs w:val="24"/>
          <w:u w:val="single" w:color="auto"/>
        </w:rPr>
      </w:pPr>
      <w:r>
        <w:rPr>
          <w:rFonts w:hint="eastAsia" w:ascii="仿宋" w:hAnsi="仿宋" w:eastAsia="仿宋" w:cs="仿宋"/>
          <w:snapToGrid w:val="0"/>
          <w:color w:val="000000"/>
          <w:spacing w:val="1"/>
          <w:kern w:val="0"/>
          <w:sz w:val="24"/>
          <w:szCs w:val="24"/>
          <w:lang w:val="en-US" w:eastAsia="zh-CN" w:bidi="ar-SA"/>
        </w:rPr>
        <w:t>本合同总价为：</w:t>
      </w:r>
      <w:r>
        <w:rPr>
          <w:rFonts w:ascii="宋体" w:hAnsi="宋体" w:eastAsia="宋体" w:cs="宋体"/>
          <w:sz w:val="24"/>
          <w:szCs w:val="24"/>
          <w:u w:val="single" w:color="auto"/>
        </w:rPr>
        <w:t xml:space="preserve">                                     </w:t>
      </w:r>
    </w:p>
    <w:p>
      <w:pPr>
        <w:numPr>
          <w:ilvl w:val="0"/>
          <w:numId w:val="0"/>
        </w:numPr>
        <w:spacing w:line="360" w:lineRule="auto"/>
        <w:jc w:val="left"/>
        <w:rPr>
          <w:rFonts w:hint="eastAsia" w:ascii="仿宋" w:hAnsi="仿宋" w:eastAsia="仿宋" w:cs="仿宋"/>
          <w:snapToGrid w:val="0"/>
          <w:color w:val="000000"/>
          <w:spacing w:val="1"/>
          <w:kern w:val="0"/>
          <w:sz w:val="24"/>
          <w:szCs w:val="24"/>
          <w:u w:val="single"/>
          <w:lang w:val="en-US" w:eastAsia="zh-CN" w:bidi="ar-SA"/>
        </w:rPr>
      </w:pPr>
      <w:r>
        <w:rPr>
          <w:rFonts w:hint="eastAsia" w:ascii="仿宋" w:hAnsi="仿宋" w:eastAsia="仿宋" w:cs="仿宋"/>
          <w:snapToGrid w:val="0"/>
          <w:color w:val="000000"/>
          <w:spacing w:val="1"/>
          <w:kern w:val="0"/>
          <w:sz w:val="24"/>
          <w:szCs w:val="24"/>
          <w:lang w:val="en-US" w:eastAsia="zh-CN" w:bidi="ar-SA"/>
        </w:rPr>
        <w:t>人民币（大写）</w:t>
      </w:r>
      <w:r>
        <w:rPr>
          <w:rFonts w:hint="eastAsia" w:ascii="仿宋" w:hAnsi="仿宋" w:eastAsia="仿宋" w:cs="仿宋"/>
          <w:snapToGrid w:val="0"/>
          <w:color w:val="000000"/>
          <w:spacing w:val="1"/>
          <w:kern w:val="0"/>
          <w:sz w:val="24"/>
          <w:szCs w:val="24"/>
          <w:u w:val="single"/>
          <w:lang w:val="en-US" w:eastAsia="zh-CN" w:bidi="ar-SA"/>
        </w:rPr>
        <w:t xml:space="preserve">                 (¥             元)</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 xml:space="preserve">分项价格：                        </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五、付款方式</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本合同的付款方式为：支付节点和比例详询招标人，以合同签订为准。</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六、本合同货物的交货时间及交货地点</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交货时间：</w:t>
      </w:r>
      <w:r>
        <w:rPr>
          <w:rFonts w:ascii="宋体" w:hAnsi="宋体" w:eastAsia="宋体" w:cs="宋体"/>
          <w:sz w:val="24"/>
          <w:szCs w:val="24"/>
          <w:u w:val="single" w:color="auto"/>
        </w:rPr>
        <w:t xml:space="preserve">                                     </w:t>
      </w:r>
      <w:r>
        <w:rPr>
          <w:rFonts w:hint="eastAsia" w:ascii="仿宋" w:hAnsi="仿宋" w:eastAsia="仿宋" w:cs="仿宋"/>
          <w:snapToGrid w:val="0"/>
          <w:color w:val="000000"/>
          <w:spacing w:val="1"/>
          <w:kern w:val="0"/>
          <w:sz w:val="24"/>
          <w:szCs w:val="24"/>
          <w:lang w:val="en-US" w:eastAsia="zh-CN" w:bidi="ar-SA"/>
        </w:rPr>
        <w:t xml:space="preserve">                                </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 xml:space="preserve">交货地点： </w:t>
      </w:r>
      <w:r>
        <w:rPr>
          <w:rFonts w:ascii="宋体" w:hAnsi="宋体" w:eastAsia="宋体" w:cs="宋体"/>
          <w:sz w:val="24"/>
          <w:szCs w:val="24"/>
          <w:u w:val="single" w:color="auto"/>
        </w:rPr>
        <w:t xml:space="preserve">                                     </w:t>
      </w:r>
      <w:r>
        <w:rPr>
          <w:rFonts w:hint="eastAsia" w:ascii="仿宋" w:hAnsi="仿宋" w:eastAsia="仿宋" w:cs="仿宋"/>
          <w:snapToGrid w:val="0"/>
          <w:color w:val="000000"/>
          <w:spacing w:val="1"/>
          <w:kern w:val="0"/>
          <w:sz w:val="24"/>
          <w:szCs w:val="24"/>
          <w:lang w:val="en-US" w:eastAsia="zh-CN" w:bidi="ar-SA"/>
        </w:rPr>
        <w:t xml:space="preserve">                               </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七、技术规范</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提交货物的技术规范应与招标文件规定的技术规范和技术规范附件(如果有的话) 及其投标文件的技术规范偏差表(如果被买方接受的话)相一致。若技术规范中无相应说</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明，则以国家有关部门最新颁布的相应标准及规范为准。</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八、知识产权</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九、包装要求</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1、除合同另有约定外,卖方提供的全部货物,均应采用本行业通用的方式进行包装， 且该包装应符合国家有关包装的法律、法规的规定。包装应适应于远距离运输、防潮、 防震、防锈和防粗暴装卸，确保货物安全无损，运抵现场。由于包装不善所引起的货物</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锈蚀、损坏和损失均由卖方承担。</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2、每件包装箱内应附一份详细装箱单和质量合格证。</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十、装运要求：</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 xml:space="preserve"> 十一、交货方式</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1、现场交货：卖方负责办理运输和保险，将货物运抵现场。有关运输和保险的一</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切费用由卖方承担。所有货物运抵现场的日期为交货日期。</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2、卖方应在合同规定的交货期</w:t>
      </w:r>
      <w:r>
        <w:rPr>
          <w:rFonts w:hint="eastAsia" w:ascii="仿宋" w:hAnsi="仿宋" w:eastAsia="仿宋" w:cs="仿宋"/>
          <w:snapToGrid w:val="0"/>
          <w:color w:val="000000"/>
          <w:spacing w:val="1"/>
          <w:kern w:val="0"/>
          <w:sz w:val="24"/>
          <w:szCs w:val="24"/>
          <w:u w:val="single"/>
          <w:lang w:val="en-US" w:eastAsia="zh-CN" w:bidi="ar-SA"/>
        </w:rPr>
        <w:t xml:space="preserve">     </w:t>
      </w:r>
      <w:r>
        <w:rPr>
          <w:rFonts w:hint="eastAsia" w:ascii="仿宋" w:hAnsi="仿宋" w:eastAsia="仿宋" w:cs="仿宋"/>
          <w:snapToGrid w:val="0"/>
          <w:color w:val="000000"/>
          <w:spacing w:val="1"/>
          <w:kern w:val="0"/>
          <w:sz w:val="24"/>
          <w:szCs w:val="24"/>
          <w:lang w:val="en-US" w:eastAsia="zh-CN" w:bidi="ar-SA"/>
        </w:rPr>
        <w:t>天以前以电报或传真形式将合同号、货物名称、 数量、包装箱件数、总毛重、总体积(立方米)和备妥交货日期通知买方。同时卖方应用 挂号信将详细交货清单一式 6 份包括合同号、货物名称、规格、数量、总毛重、总体积 (立方米)、包装箱件数和每个包装箱的尺寸(长×宽×高)、货物总价和备妥待交日期以</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及对货物在运输和仓储的特殊要求和注意事项通知买方。</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3、在现场交货条件下，卖方装运的货物不应超过合同规定的数量或重量。否则，</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卖方应对超运部分引起的一切后果负责。</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十二、技术资料</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1、合同项下技术资料(除合同特殊条款规定外)将以下列方式交付：</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合同生效后</w:t>
      </w:r>
      <w:r>
        <w:rPr>
          <w:rFonts w:hint="eastAsia" w:ascii="仿宋" w:hAnsi="仿宋" w:eastAsia="仿宋" w:cs="仿宋"/>
          <w:snapToGrid w:val="0"/>
          <w:color w:val="000000"/>
          <w:spacing w:val="1"/>
          <w:kern w:val="0"/>
          <w:sz w:val="24"/>
          <w:szCs w:val="24"/>
          <w:u w:val="single"/>
          <w:lang w:val="en-US" w:eastAsia="zh-CN" w:bidi="ar-SA"/>
        </w:rPr>
        <w:t xml:space="preserve">       </w:t>
      </w:r>
      <w:r>
        <w:rPr>
          <w:rFonts w:hint="eastAsia" w:ascii="仿宋" w:hAnsi="仿宋" w:eastAsia="仿宋" w:cs="仿宋"/>
          <w:snapToGrid w:val="0"/>
          <w:color w:val="000000"/>
          <w:spacing w:val="1"/>
          <w:kern w:val="0"/>
          <w:sz w:val="24"/>
          <w:szCs w:val="24"/>
          <w:lang w:val="en-US" w:eastAsia="zh-CN" w:bidi="ar-SA"/>
        </w:rPr>
        <w:t>天之内，卖方应将每台设备和仪器的中文技术资料一套，如目录</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索引、图纸、操作手册、使用指南、维修指南和／或服务手册和示意图寄给买方。</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2、另外一套完整的上述资料应包装好随同每批货物一起发运。</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3、如果买方确认卖方提供的技术资料不完整或在运输过程中丢失，卖方将在收到</w:t>
      </w:r>
    </w:p>
    <w:p>
      <w:pPr>
        <w:numPr>
          <w:ilvl w:val="0"/>
          <w:numId w:val="0"/>
        </w:numPr>
        <w:spacing w:line="360" w:lineRule="auto"/>
        <w:jc w:val="left"/>
        <w:rPr>
          <w:rFonts w:hint="eastAsia"/>
          <w:lang w:val="en-US" w:eastAsia="zh-CN"/>
        </w:rPr>
      </w:pPr>
      <w:r>
        <w:rPr>
          <w:rFonts w:hint="eastAsia" w:ascii="仿宋" w:hAnsi="仿宋" w:eastAsia="仿宋" w:cs="仿宋"/>
          <w:snapToGrid w:val="0"/>
          <w:color w:val="000000"/>
          <w:spacing w:val="1"/>
          <w:kern w:val="0"/>
          <w:sz w:val="24"/>
          <w:szCs w:val="24"/>
          <w:lang w:val="en-US" w:eastAsia="zh-CN" w:bidi="ar-SA"/>
        </w:rPr>
        <w:t>买方通知后</w:t>
      </w:r>
      <w:r>
        <w:rPr>
          <w:rFonts w:hint="eastAsia" w:ascii="仿宋" w:hAnsi="仿宋" w:eastAsia="仿宋" w:cs="仿宋"/>
          <w:snapToGrid w:val="0"/>
          <w:color w:val="000000"/>
          <w:spacing w:val="1"/>
          <w:kern w:val="0"/>
          <w:sz w:val="24"/>
          <w:szCs w:val="24"/>
          <w:u w:val="single"/>
          <w:lang w:val="en-US" w:eastAsia="zh-CN" w:bidi="ar-SA"/>
        </w:rPr>
        <w:t xml:space="preserve">      </w:t>
      </w:r>
      <w:r>
        <w:rPr>
          <w:rFonts w:hint="eastAsia" w:ascii="仿宋" w:hAnsi="仿宋" w:eastAsia="仿宋" w:cs="仿宋"/>
          <w:snapToGrid w:val="0"/>
          <w:color w:val="000000"/>
          <w:spacing w:val="1"/>
          <w:kern w:val="0"/>
          <w:sz w:val="24"/>
          <w:szCs w:val="24"/>
          <w:lang w:val="en-US" w:eastAsia="zh-CN" w:bidi="ar-SA"/>
        </w:rPr>
        <w:t>天内将这些资料免费寄给买方。</w:t>
      </w:r>
    </w:p>
    <w:p>
      <w:pPr>
        <w:tabs>
          <w:tab w:val="left" w:pos="235"/>
        </w:tabs>
        <w:bidi w:val="0"/>
        <w:jc w:val="left"/>
        <w:rPr>
          <w:rFonts w:hint="eastAsia" w:ascii="仿宋" w:hAnsi="仿宋" w:eastAsia="仿宋" w:cs="仿宋"/>
          <w:snapToGrid w:val="0"/>
          <w:color w:val="000000"/>
          <w:spacing w:val="1"/>
          <w:kern w:val="0"/>
          <w:sz w:val="24"/>
          <w:szCs w:val="24"/>
          <w:lang w:val="en-US" w:eastAsia="zh-CN" w:bidi="ar-SA"/>
        </w:rPr>
      </w:pPr>
      <w:r>
        <w:rPr>
          <w:rFonts w:hint="eastAsia"/>
          <w:lang w:val="en-US" w:eastAsia="zh-CN"/>
        </w:rPr>
        <w:tab/>
      </w:r>
      <w:r>
        <w:rPr>
          <w:rFonts w:hint="eastAsia" w:ascii="仿宋" w:hAnsi="仿宋" w:eastAsia="仿宋" w:cs="仿宋"/>
          <w:snapToGrid w:val="0"/>
          <w:color w:val="000000"/>
          <w:spacing w:val="1"/>
          <w:kern w:val="0"/>
          <w:sz w:val="24"/>
          <w:szCs w:val="24"/>
          <w:lang w:val="en-US" w:eastAsia="zh-CN" w:bidi="ar-SA"/>
        </w:rPr>
        <w:t>十三、质量保证</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1、卖方须保证货物是全新、未使用过的。卖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合法进货渠道证明及海关完税证明，此外，有关技术资料中须附有全文翻译的中文文本。</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2、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3、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hint="eastAsia" w:ascii="仿宋" w:hAnsi="仿宋" w:eastAsia="仿宋" w:cs="仿宋"/>
          <w:snapToGrid w:val="0"/>
          <w:color w:val="000000"/>
          <w:spacing w:val="1"/>
          <w:kern w:val="0"/>
          <w:sz w:val="24"/>
          <w:szCs w:val="24"/>
          <w:u w:val="single"/>
          <w:lang w:val="en-US" w:eastAsia="zh-CN" w:bidi="ar-SA"/>
        </w:rPr>
        <w:t xml:space="preserve">      </w:t>
      </w:r>
      <w:r>
        <w:rPr>
          <w:rFonts w:hint="eastAsia" w:ascii="仿宋" w:hAnsi="仿宋" w:eastAsia="仿宋" w:cs="仿宋"/>
          <w:snapToGrid w:val="0"/>
          <w:color w:val="000000"/>
          <w:spacing w:val="1"/>
          <w:kern w:val="0"/>
          <w:sz w:val="24"/>
          <w:szCs w:val="24"/>
          <w:lang w:val="en-US" w:eastAsia="zh-CN" w:bidi="ar-SA"/>
        </w:rPr>
        <w:t>天内应免费维修或更换有缺陷的货物或部件。</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4、如果卖方在收到通知后</w:t>
      </w:r>
      <w:r>
        <w:rPr>
          <w:rFonts w:hint="eastAsia" w:ascii="仿宋" w:hAnsi="仿宋" w:eastAsia="仿宋" w:cs="仿宋"/>
          <w:snapToGrid w:val="0"/>
          <w:color w:val="000000"/>
          <w:spacing w:val="1"/>
          <w:kern w:val="0"/>
          <w:sz w:val="24"/>
          <w:szCs w:val="24"/>
          <w:u w:val="single"/>
          <w:lang w:val="en-US" w:eastAsia="zh-CN" w:bidi="ar-SA"/>
        </w:rPr>
        <w:t xml:space="preserve">      </w:t>
      </w:r>
      <w:r>
        <w:rPr>
          <w:rFonts w:hint="eastAsia" w:ascii="仿宋" w:hAnsi="仿宋" w:eastAsia="仿宋" w:cs="仿宋"/>
          <w:snapToGrid w:val="0"/>
          <w:color w:val="000000"/>
          <w:spacing w:val="1"/>
          <w:kern w:val="0"/>
          <w:sz w:val="24"/>
          <w:szCs w:val="24"/>
          <w:lang w:val="en-US" w:eastAsia="zh-CN" w:bidi="ar-SA"/>
        </w:rPr>
        <w:t>天内没有弥补缺陷，买方可采取必要的补救措施，</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但由此引发的风险和费用将由卖方承担。</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5、合同项下货物的质量保证期为自货物通过最终验收起</w:t>
      </w:r>
      <w:r>
        <w:rPr>
          <w:rFonts w:hint="eastAsia" w:ascii="仿宋" w:hAnsi="仿宋" w:eastAsia="仿宋" w:cs="仿宋"/>
          <w:snapToGrid w:val="0"/>
          <w:color w:val="000000"/>
          <w:spacing w:val="1"/>
          <w:kern w:val="0"/>
          <w:sz w:val="24"/>
          <w:szCs w:val="24"/>
          <w:u w:val="single"/>
          <w:lang w:val="en-US" w:eastAsia="zh-CN" w:bidi="ar-SA"/>
        </w:rPr>
        <w:t xml:space="preserve">     </w:t>
      </w:r>
      <w:r>
        <w:rPr>
          <w:rFonts w:hint="eastAsia" w:ascii="仿宋" w:hAnsi="仿宋" w:eastAsia="仿宋" w:cs="仿宋"/>
          <w:snapToGrid w:val="0"/>
          <w:color w:val="000000"/>
          <w:spacing w:val="1"/>
          <w:kern w:val="0"/>
          <w:sz w:val="24"/>
          <w:szCs w:val="24"/>
          <w:lang w:val="en-US" w:eastAsia="zh-CN" w:bidi="ar-SA"/>
        </w:rPr>
        <w:t>个月。</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十四、检验和验收</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1、在交货前，卖方应对货物的质量、规格、性能、数量和重量等进行详细而全面的检验，并出具证明货物符合合同规定的文件。该文件将作为申请付款单据的一部分，</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但有关质量、规格、性能、数量或重量的检验不应视为最终检验。</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2、货物运抵现场后，买方应在</w:t>
      </w:r>
      <w:r>
        <w:rPr>
          <w:rFonts w:hint="eastAsia" w:ascii="仿宋" w:hAnsi="仿宋" w:eastAsia="仿宋" w:cs="仿宋"/>
          <w:snapToGrid w:val="0"/>
          <w:color w:val="000000"/>
          <w:spacing w:val="1"/>
          <w:kern w:val="0"/>
          <w:sz w:val="24"/>
          <w:szCs w:val="24"/>
          <w:u w:val="single"/>
          <w:lang w:val="en-US" w:eastAsia="zh-CN" w:bidi="ar-SA"/>
        </w:rPr>
        <w:t xml:space="preserve">      </w:t>
      </w:r>
      <w:r>
        <w:rPr>
          <w:rFonts w:hint="eastAsia" w:ascii="仿宋" w:hAnsi="仿宋" w:eastAsia="仿宋" w:cs="仿宋"/>
          <w:snapToGrid w:val="0"/>
          <w:color w:val="000000"/>
          <w:spacing w:val="1"/>
          <w:kern w:val="0"/>
          <w:sz w:val="24"/>
          <w:szCs w:val="24"/>
          <w:lang w:val="en-US" w:eastAsia="zh-CN" w:bidi="ar-SA"/>
        </w:rPr>
        <w:t>日内组织验收，需要安装调试的，卖方应负责安装调试。买方验收后制作验收备忘录，签署验收意见并报同级政府采购监督管理部门</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备案。</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3、买方有在货物制造过程中派员监造的权利, 卖方有义务为买方监造人员行使该</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权利提供方便。</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4、制造厂对所供货物进行机械运转试验和性能试验时，卖方必须提前通知买方。</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5、买方负责组织验收工作，大型或者复杂的政府采购项目，必须邀请国家认可的</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质量检测机构参加验收工作。</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sectPr>
          <w:footerReference r:id="rId9" w:type="default"/>
          <w:pgSz w:w="11911" w:h="16839"/>
          <w:pgMar w:top="1431" w:right="1338" w:bottom="1015" w:left="1423" w:header="0" w:footer="850" w:gutter="0"/>
          <w:pgNumType w:fmt="decimal"/>
          <w:cols w:space="720" w:num="1"/>
        </w:sectPr>
      </w:pP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十五、售后服务</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1、卖方在合同货物的质量保修期内，免费为买方提供合同货物的技术指导和维修</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服务服务的时间是：每周</w:t>
      </w:r>
      <w:r>
        <w:rPr>
          <w:rFonts w:hint="eastAsia" w:ascii="仿宋" w:hAnsi="仿宋" w:eastAsia="仿宋" w:cs="仿宋"/>
          <w:snapToGrid w:val="0"/>
          <w:color w:val="000000"/>
          <w:spacing w:val="1"/>
          <w:kern w:val="0"/>
          <w:sz w:val="24"/>
          <w:szCs w:val="24"/>
          <w:u w:val="single"/>
          <w:lang w:val="en-US" w:eastAsia="zh-CN" w:bidi="ar-SA"/>
        </w:rPr>
        <w:t xml:space="preserve">  </w:t>
      </w:r>
      <w:r>
        <w:rPr>
          <w:rFonts w:hint="eastAsia" w:ascii="仿宋" w:hAnsi="仿宋" w:eastAsia="仿宋" w:cs="仿宋"/>
          <w:snapToGrid w:val="0"/>
          <w:color w:val="000000"/>
          <w:spacing w:val="1"/>
          <w:kern w:val="0"/>
          <w:sz w:val="24"/>
          <w:szCs w:val="24"/>
          <w:lang w:val="en-US" w:eastAsia="zh-CN" w:bidi="ar-SA"/>
        </w:rPr>
        <w:t>天</w:t>
      </w:r>
      <w:r>
        <w:rPr>
          <w:rFonts w:hint="eastAsia" w:ascii="仿宋" w:hAnsi="仿宋" w:eastAsia="仿宋" w:cs="仿宋"/>
          <w:snapToGrid w:val="0"/>
          <w:color w:val="000000"/>
          <w:spacing w:val="1"/>
          <w:kern w:val="0"/>
          <w:sz w:val="24"/>
          <w:szCs w:val="24"/>
          <w:u w:val="single"/>
          <w:lang w:val="en-US" w:eastAsia="zh-CN" w:bidi="ar-SA"/>
        </w:rPr>
        <w:t xml:space="preserve">   </w:t>
      </w:r>
      <w:r>
        <w:rPr>
          <w:rFonts w:hint="eastAsia" w:ascii="仿宋" w:hAnsi="仿宋" w:eastAsia="仿宋" w:cs="仿宋"/>
          <w:snapToGrid w:val="0"/>
          <w:color w:val="000000"/>
          <w:spacing w:val="1"/>
          <w:kern w:val="0"/>
          <w:sz w:val="24"/>
          <w:szCs w:val="24"/>
          <w:lang w:val="en-US" w:eastAsia="zh-CN" w:bidi="ar-SA"/>
        </w:rPr>
        <w:t>小时（工作时间）。</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2、卖方保证在合同货物出现故障和缺陷时，或接到买方提出的技术服务要求后</w:t>
      </w:r>
      <w:r>
        <w:rPr>
          <w:rFonts w:hint="eastAsia" w:ascii="仿宋" w:hAnsi="仿宋" w:eastAsia="仿宋" w:cs="仿宋"/>
          <w:snapToGrid w:val="0"/>
          <w:color w:val="000000"/>
          <w:spacing w:val="1"/>
          <w:kern w:val="0"/>
          <w:sz w:val="24"/>
          <w:szCs w:val="24"/>
          <w:u w:val="single"/>
          <w:lang w:val="en-US" w:eastAsia="zh-CN" w:bidi="ar-SA"/>
        </w:rPr>
        <w:t xml:space="preserve">  </w:t>
      </w:r>
      <w:r>
        <w:rPr>
          <w:rFonts w:hint="eastAsia" w:ascii="仿宋" w:hAnsi="仿宋" w:eastAsia="仿宋" w:cs="仿宋"/>
          <w:snapToGrid w:val="0"/>
          <w:color w:val="000000"/>
          <w:spacing w:val="1"/>
          <w:kern w:val="0"/>
          <w:sz w:val="24"/>
          <w:szCs w:val="24"/>
          <w:lang w:val="en-US" w:eastAsia="zh-CN" w:bidi="ar-SA"/>
        </w:rPr>
        <w:t>小时内予以答复，如买方有要求或必要时，卖方应在接到买方通知后</w:t>
      </w:r>
      <w:r>
        <w:rPr>
          <w:rFonts w:hint="eastAsia" w:ascii="仿宋" w:hAnsi="仿宋" w:eastAsia="仿宋" w:cs="仿宋"/>
          <w:snapToGrid w:val="0"/>
          <w:color w:val="000000"/>
          <w:spacing w:val="1"/>
          <w:kern w:val="0"/>
          <w:sz w:val="24"/>
          <w:szCs w:val="24"/>
          <w:u w:val="single"/>
          <w:lang w:val="en-US" w:eastAsia="zh-CN" w:bidi="ar-SA"/>
        </w:rPr>
        <w:t xml:space="preserve">     </w:t>
      </w:r>
      <w:r>
        <w:rPr>
          <w:rFonts w:hint="eastAsia" w:ascii="仿宋" w:hAnsi="仿宋" w:eastAsia="仿宋" w:cs="仿宋"/>
          <w:snapToGrid w:val="0"/>
          <w:color w:val="000000"/>
          <w:spacing w:val="1"/>
          <w:kern w:val="0"/>
          <w:sz w:val="24"/>
          <w:szCs w:val="24"/>
          <w:lang w:val="en-US" w:eastAsia="zh-CN" w:bidi="ar-SA"/>
        </w:rPr>
        <w:t>小时内派员至买方免费维修和提供现场指导。</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3、如卖方在接到买方维修通知后</w:t>
      </w:r>
      <w:r>
        <w:rPr>
          <w:rFonts w:hint="eastAsia" w:ascii="仿宋" w:hAnsi="仿宋" w:eastAsia="仿宋" w:cs="仿宋"/>
          <w:snapToGrid w:val="0"/>
          <w:color w:val="000000"/>
          <w:spacing w:val="1"/>
          <w:kern w:val="0"/>
          <w:sz w:val="24"/>
          <w:szCs w:val="24"/>
          <w:u w:val="single"/>
          <w:lang w:val="en-US" w:eastAsia="zh-CN" w:bidi="ar-SA"/>
        </w:rPr>
        <w:t xml:space="preserve">      </w:t>
      </w:r>
      <w:r>
        <w:rPr>
          <w:rFonts w:hint="eastAsia" w:ascii="仿宋" w:hAnsi="仿宋" w:eastAsia="仿宋" w:cs="仿宋"/>
          <w:snapToGrid w:val="0"/>
          <w:color w:val="000000"/>
          <w:spacing w:val="1"/>
          <w:kern w:val="0"/>
          <w:sz w:val="24"/>
          <w:szCs w:val="24"/>
          <w:lang w:val="en-US" w:eastAsia="zh-CN" w:bidi="ar-SA"/>
        </w:rPr>
        <w:t>小时仍不能修复有关货物，卖方应提供与该</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货物同一型号的备用货物。</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4、如卖方在接到买方提出的技术服务要求或维修通知后</w:t>
      </w:r>
      <w:r>
        <w:rPr>
          <w:rFonts w:hint="eastAsia" w:ascii="仿宋" w:hAnsi="仿宋" w:eastAsia="仿宋" w:cs="仿宋"/>
          <w:snapToGrid w:val="0"/>
          <w:color w:val="000000"/>
          <w:spacing w:val="1"/>
          <w:kern w:val="0"/>
          <w:sz w:val="24"/>
          <w:szCs w:val="24"/>
          <w:u w:val="single"/>
          <w:lang w:val="en-US" w:eastAsia="zh-CN" w:bidi="ar-SA"/>
        </w:rPr>
        <w:t xml:space="preserve">      </w:t>
      </w:r>
      <w:r>
        <w:rPr>
          <w:rFonts w:hint="eastAsia" w:ascii="仿宋" w:hAnsi="仿宋" w:eastAsia="仿宋" w:cs="仿宋"/>
          <w:snapToGrid w:val="0"/>
          <w:color w:val="000000"/>
          <w:spacing w:val="1"/>
          <w:kern w:val="0"/>
          <w:sz w:val="24"/>
          <w:szCs w:val="24"/>
          <w:lang w:val="en-US" w:eastAsia="zh-CN" w:bidi="ar-SA"/>
        </w:rPr>
        <w:t>小时内没有响应、拒绝或没有派员到达买方提供技术服务、修理或退换货物，买方有权委托第三方对合同货</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物进行维修或提供技术服务，因此产生的相关费用由卖方承担。</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（六）在合同货物保修期届满后，如果因合同货物硬件或软件的固有缺陷和瑕疵出现紧急故障和事故，卖方应在接到买方通知之后 小时内到达现场。</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十六、索赔</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1、如果货物的质量、规格、数量、重量等与合同不符，或在合同规定的质量保证期内证实货物存有缺陷，包括潜在的缺陷或使用不符合要求的材料等，买方有权根据有资质的权威质检机构的检验结果向卖方提出索赔。</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2、在根据合同规定的检验期和质量保证期内，如果卖方对买方提出的索赔负有责任，买方有权选择下列一种或多种方式解决索赔事宜：</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1）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上述办法办理，或由双方协商处理。</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（2）根据货物低劣程度、损坏程度以及买方所遭受损失的数额，经买卖双方商定降低货物的价格，或由有权的部门评估，以降低后的价格或评估价格为准。</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（3）用符合规格、质量和性能要求的新零件、部件或货物来更换有缺陷的部分或 /和修补缺陷部分，卖方应承担一切费用和风险并负担买方所发生的一切直接费用。同</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时，卖方应按合同规定，相应延长修补或更换件的质量保证期。</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（4）如果在买方发出索赔通知后</w:t>
      </w:r>
      <w:r>
        <w:rPr>
          <w:rFonts w:hint="eastAsia" w:ascii="仿宋" w:hAnsi="仿宋" w:eastAsia="仿宋" w:cs="仿宋"/>
          <w:snapToGrid w:val="0"/>
          <w:color w:val="000000"/>
          <w:spacing w:val="1"/>
          <w:kern w:val="0"/>
          <w:sz w:val="24"/>
          <w:szCs w:val="24"/>
          <w:u w:val="single"/>
          <w:lang w:val="en-US" w:eastAsia="zh-CN" w:bidi="ar-SA"/>
        </w:rPr>
        <w:t xml:space="preserve">      </w:t>
      </w:r>
      <w:r>
        <w:rPr>
          <w:rFonts w:hint="eastAsia" w:ascii="仿宋" w:hAnsi="仿宋" w:eastAsia="仿宋" w:cs="仿宋"/>
          <w:snapToGrid w:val="0"/>
          <w:color w:val="000000"/>
          <w:spacing w:val="1"/>
          <w:kern w:val="0"/>
          <w:sz w:val="24"/>
          <w:szCs w:val="24"/>
          <w:lang w:val="en-US" w:eastAsia="zh-CN" w:bidi="ar-SA"/>
        </w:rPr>
        <w:t>天内，卖方未作答复，上述索赔应视为已被</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sectPr>
          <w:footerReference r:id="rId10" w:type="default"/>
          <w:pgSz w:w="11911" w:h="16839"/>
          <w:pgMar w:top="1431" w:right="1415" w:bottom="1014" w:left="1424" w:header="0" w:footer="850" w:gutter="0"/>
          <w:pgNumType w:fmt="decimal"/>
          <w:cols w:space="720" w:num="1"/>
        </w:sectPr>
      </w:pP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卖方接受。如卖方未能在买方提出索赔通知后</w:t>
      </w:r>
      <w:r>
        <w:rPr>
          <w:rFonts w:hint="eastAsia" w:ascii="仿宋" w:hAnsi="仿宋" w:eastAsia="仿宋" w:cs="仿宋"/>
          <w:snapToGrid w:val="0"/>
          <w:color w:val="000000"/>
          <w:spacing w:val="1"/>
          <w:kern w:val="0"/>
          <w:sz w:val="24"/>
          <w:szCs w:val="24"/>
          <w:u w:val="single"/>
          <w:lang w:val="en-US" w:eastAsia="zh-CN" w:bidi="ar-SA"/>
        </w:rPr>
        <w:t xml:space="preserve">     </w:t>
      </w:r>
      <w:r>
        <w:rPr>
          <w:rFonts w:hint="eastAsia" w:ascii="仿宋" w:hAnsi="仿宋" w:eastAsia="仿宋" w:cs="仿宋"/>
          <w:snapToGrid w:val="0"/>
          <w:color w:val="000000"/>
          <w:spacing w:val="1"/>
          <w:kern w:val="0"/>
          <w:sz w:val="24"/>
          <w:szCs w:val="24"/>
          <w:lang w:val="en-US" w:eastAsia="zh-CN" w:bidi="ar-SA"/>
        </w:rPr>
        <w:t>天内或买方同意的更长时间内，按照 本合同第 13.2 条规定的任何一种方法解决索赔事宜，买方将从合同款或从卖方开具的 履约保证金保函中扣回索赔金额。如果这些金额不足以补偿索赔金额，买方有权向卖方提出不足部分的补偿。</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十七、迟延交货</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1、卖方应按照买方规定的时间表交货和提供服务。</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2、如果卖方无正当理由迟延交货，买方有权提出违约损失赔偿或解除合同。</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3、在履行合同过程中，如果卖方遇到不能按时交货和提供服务的情况，应及时以书面形式将不能按时交货的理由、预期延误时间通知买方。买方收到卖方通知后，认为其理由正当的，可酌情延长交货时间。</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十八、违约责任</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1、卖方供货期超过合同约定供货期限。如果卖方由于自身的原因未能按期履行完合同，买方可从履约保证金中获得经济上的赔偿。其标准为按每延期一天收取合同金额的</w:t>
      </w:r>
      <w:r>
        <w:rPr>
          <w:rFonts w:hint="eastAsia" w:ascii="仿宋" w:hAnsi="仿宋" w:eastAsia="仿宋" w:cs="仿宋"/>
          <w:snapToGrid w:val="0"/>
          <w:color w:val="000000"/>
          <w:spacing w:val="1"/>
          <w:kern w:val="0"/>
          <w:sz w:val="24"/>
          <w:szCs w:val="24"/>
          <w:u w:val="single"/>
          <w:lang w:val="en-US" w:eastAsia="zh-CN" w:bidi="ar-SA"/>
        </w:rPr>
        <w:t xml:space="preserve">     %</w:t>
      </w:r>
      <w:r>
        <w:rPr>
          <w:rFonts w:hint="eastAsia" w:ascii="仿宋" w:hAnsi="仿宋" w:eastAsia="仿宋" w:cs="仿宋"/>
          <w:snapToGrid w:val="0"/>
          <w:color w:val="000000"/>
          <w:spacing w:val="1"/>
          <w:kern w:val="0"/>
          <w:sz w:val="24"/>
          <w:szCs w:val="24"/>
          <w:lang w:val="en-US" w:eastAsia="zh-CN" w:bidi="ar-SA"/>
        </w:rPr>
        <w:t>，但误期赔偿费总额不得超过履约保证金总额。在此情况下，若误期赔偿总额超过履约保证金总额的，则买方有权解除合同。</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2、卖方供货期内未能交货。卖方在履行合同过程中，如果遇到不能按时交货情况，应及时以书面形式将不能按期履行合同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产品，由此造成的误期赔偿费按照前款约定执行。如卖方在买方规定的时间内未能提供符合质量标准的产品，买方有权终止合同，不再退还履约保证金。</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3、卖方交货不符合合同质量标准，卖方必须重新提供符合质量标准的产品，由此 造成的误期赔偿费按照前款约定执行。如卖方在买方规定的时间内未能提供符合质量标准的产品，买方有权终止合同，不再退还履约保证金。</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4、买方违反合同规定拒绝接收货物的，应当承担由此造成的损失。</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十九、不可抗力</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1、如果双方中任何一方遭遇法律规定的不可抗力，致使合同履行受阻时，履行合同的期限应予延长，延长的期限应相当于不可抗力所影响的时间。</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2、受事故影响的一方应在不可抗力的事故发生后尽快书面形式通知另一方，并在</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sectPr>
          <w:footerReference r:id="rId11" w:type="default"/>
          <w:pgSz w:w="11911" w:h="16839"/>
          <w:pgMar w:top="1431" w:right="1338" w:bottom="1015" w:left="1424" w:header="0" w:footer="850" w:gutter="0"/>
          <w:pgNumType w:fmt="decimal"/>
          <w:cols w:space="720" w:num="1"/>
        </w:sectPr>
      </w:pP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事故发生后</w:t>
      </w:r>
      <w:r>
        <w:rPr>
          <w:rFonts w:hint="eastAsia" w:ascii="仿宋" w:hAnsi="仿宋" w:eastAsia="仿宋" w:cs="仿宋"/>
          <w:snapToGrid w:val="0"/>
          <w:color w:val="000000"/>
          <w:spacing w:val="1"/>
          <w:kern w:val="0"/>
          <w:sz w:val="24"/>
          <w:szCs w:val="24"/>
          <w:u w:val="single"/>
          <w:lang w:val="en-US" w:eastAsia="zh-CN" w:bidi="ar-SA"/>
        </w:rPr>
        <w:t xml:space="preserve">    </w:t>
      </w:r>
      <w:r>
        <w:rPr>
          <w:rFonts w:hint="eastAsia" w:ascii="仿宋" w:hAnsi="仿宋" w:eastAsia="仿宋" w:cs="仿宋"/>
          <w:snapToGrid w:val="0"/>
          <w:color w:val="000000"/>
          <w:spacing w:val="1"/>
          <w:kern w:val="0"/>
          <w:sz w:val="24"/>
          <w:szCs w:val="24"/>
          <w:lang w:val="en-US" w:eastAsia="zh-CN" w:bidi="ar-SA"/>
        </w:rPr>
        <w:t>天内，将有关部门出具的证明文件送达另一方。</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3、不可抗力使合同的某些内容有变更必要的， 双方应通过协商在</w:t>
      </w:r>
      <w:r>
        <w:rPr>
          <w:rFonts w:hint="eastAsia" w:ascii="仿宋" w:hAnsi="仿宋" w:eastAsia="仿宋" w:cs="仿宋"/>
          <w:snapToGrid w:val="0"/>
          <w:color w:val="000000"/>
          <w:spacing w:val="1"/>
          <w:kern w:val="0"/>
          <w:sz w:val="24"/>
          <w:szCs w:val="24"/>
          <w:u w:val="single"/>
          <w:lang w:val="en-US" w:eastAsia="zh-CN" w:bidi="ar-SA"/>
        </w:rPr>
        <w:t xml:space="preserve">       </w:t>
      </w:r>
      <w:r>
        <w:rPr>
          <w:rFonts w:hint="eastAsia" w:ascii="仿宋" w:hAnsi="仿宋" w:eastAsia="仿宋" w:cs="仿宋"/>
          <w:snapToGrid w:val="0"/>
          <w:color w:val="000000"/>
          <w:spacing w:val="1"/>
          <w:kern w:val="0"/>
          <w:sz w:val="24"/>
          <w:szCs w:val="24"/>
          <w:lang w:val="en-US" w:eastAsia="zh-CN" w:bidi="ar-SA"/>
        </w:rPr>
        <w:t>日内达成</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进一步履行合同的协议，因不可抗力致使合同不能履行的，合同终止。</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二十、税费</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与本合同有关的一切税费均适用中华人民共和国法律的相关规定。</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二十一、合同争议的解决</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因合同履行中发生的争议，可通过合同当事人双方友好协商解决。协商不成的，可</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向合同签订地人民法院起诉。</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二十二、违约解除合同</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1、在卖方违约的情况下，买方可向卖方发出书面通知，部分或全部终止合同。同</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时保留向卖方追诉的权利。</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2、卖方未能在合同规定的限期或买方同意延长的限期内，提供全部或部分货物的；</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3、卖方未能履行合同规定的其它主要义务的；</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4、买方认为卖方在本合同履行过程中有腐败和欺诈行为的。</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5、“腐败行为”和“欺诈行为”定义如下:</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（1）“腐败行为”是指提供/给予/接受或索取任何有价值的东西来影响买方在合</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同签订、履行过程中的行为。</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（2）“欺诈行为”是指为了影响合同签订、履行过程，以谎报事实的方法，损害</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买方的利益的行为。</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6、在买方根据上述第 19.1 条规定，全部或部分解除合同之后，应当遵循诚实信用原则，购买与未交付的货物类似的货物或服务，卖方应承担买方购买类似货物或服务而</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产生的额外支出。部分解除合同的，卖方应继续履行合同中未解除的部分。</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二十三、破产终止合同</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如果卖方破产或无清偿能力时，买可在任何时候以书面通知卖方，提出终止合同而不给卖方补偿。该合同的终止将不损害或不影响买方已经采取或将要采取任何行动或补救措施的权利。</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二十四、转让和分包</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1、政府采购合同不能转让。</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2、经买方书面同意卖方可以将合同项下非主体、非关键性工作分包给他人完成。</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sectPr>
          <w:footerReference r:id="rId12" w:type="default"/>
          <w:pgSz w:w="11911" w:h="16839"/>
          <w:pgMar w:top="1431" w:right="1359" w:bottom="1015" w:left="1423" w:header="0" w:footer="850" w:gutter="0"/>
          <w:pgNumType w:fmt="decimal"/>
          <w:cols w:space="720" w:num="1"/>
        </w:sectPr>
      </w:pP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接受分包的人应当具备相应的资格条件，并不得再次分包。分包后不能解除卖方履行本合同的责任和义务，接受分包的人与卖方共同对买方连带承担合同的责任和义务。</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二十五、合同修改</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买方和卖方都不得擅自变更本合同，但合同继续履行将损害国家和社会公共利益的除外。如必须对合同条款进行改动时，当事人双方须共同签署书面文件，做为合同的补</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充，并报同级政府采购监督管理部门备案。</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二十六、通知</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本合同任何一方给另一方的通知，都应以书面形式发送，而另一方也应以书面形式确认并发送到对方明确的地址。</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二十七、计量单位</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除技术规范中另有规定外,计量单位均使用国家法定计量单位。</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二十八、适用法律</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本合同应按照中华人民共和国的法律进行解释。</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二十九、合同生效和其它</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1、本合同经双方法定代表人或委托代理人签字并加盖单位公章或合同专用章并由卖方递交履约保证金或履约保函后生效。</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2、本合同一式</w:t>
      </w:r>
      <w:r>
        <w:rPr>
          <w:rFonts w:hint="eastAsia" w:ascii="仿宋" w:hAnsi="仿宋" w:eastAsia="仿宋" w:cs="仿宋"/>
          <w:snapToGrid w:val="0"/>
          <w:color w:val="000000"/>
          <w:spacing w:val="1"/>
          <w:kern w:val="0"/>
          <w:sz w:val="24"/>
          <w:szCs w:val="24"/>
          <w:u w:val="single"/>
          <w:lang w:val="en-US" w:eastAsia="zh-CN" w:bidi="ar-SA"/>
        </w:rPr>
        <w:t xml:space="preserve">     </w:t>
      </w:r>
      <w:r>
        <w:rPr>
          <w:rFonts w:hint="eastAsia" w:ascii="仿宋" w:hAnsi="仿宋" w:eastAsia="仿宋" w:cs="仿宋"/>
          <w:snapToGrid w:val="0"/>
          <w:color w:val="000000"/>
          <w:spacing w:val="1"/>
          <w:kern w:val="0"/>
          <w:sz w:val="24"/>
          <w:szCs w:val="24"/>
          <w:lang w:val="en-US" w:eastAsia="zh-CN" w:bidi="ar-SA"/>
        </w:rPr>
        <w:t>份，具同等法律效力。卖方和买方各执</w:t>
      </w:r>
      <w:r>
        <w:rPr>
          <w:rFonts w:hint="eastAsia" w:ascii="仿宋" w:hAnsi="仿宋" w:eastAsia="仿宋" w:cs="仿宋"/>
          <w:snapToGrid w:val="0"/>
          <w:color w:val="000000"/>
          <w:spacing w:val="1"/>
          <w:kern w:val="0"/>
          <w:sz w:val="24"/>
          <w:szCs w:val="24"/>
          <w:u w:val="single"/>
          <w:lang w:val="en-US" w:eastAsia="zh-CN" w:bidi="ar-SA"/>
        </w:rPr>
        <w:t xml:space="preserve">      </w:t>
      </w:r>
      <w:r>
        <w:rPr>
          <w:rFonts w:hint="eastAsia" w:ascii="仿宋" w:hAnsi="仿宋" w:eastAsia="仿宋" w:cs="仿宋"/>
          <w:snapToGrid w:val="0"/>
          <w:color w:val="000000"/>
          <w:spacing w:val="1"/>
          <w:kern w:val="0"/>
          <w:sz w:val="24"/>
          <w:szCs w:val="24"/>
          <w:lang w:val="en-US" w:eastAsia="zh-CN" w:bidi="ar-SA"/>
        </w:rPr>
        <w:t>份。政府办公室备</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sectPr>
          <w:footerReference r:id="rId13" w:type="default"/>
          <w:pgSz w:w="11911" w:h="16839"/>
          <w:pgMar w:top="1431" w:right="1418" w:bottom="1014" w:left="1424" w:header="0" w:footer="850" w:gutter="0"/>
          <w:pgNumType w:fmt="decimal"/>
          <w:cols w:equalWidth="0" w:num="1">
            <w:col w:w="9069"/>
          </w:cols>
        </w:sectPr>
      </w:pP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案 1 份。</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 xml:space="preserve">甲方（印章）：         </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 xml:space="preserve">统一社会信用代码：          </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 xml:space="preserve">地    址：              </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法定代表人或</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 xml:space="preserve">委托代理人(签字)：      </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br w:type="column"/>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 xml:space="preserve">乙方（印章）：             </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 xml:space="preserve">统一社会信用代码：         </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 xml:space="preserve">地    址：               </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法定代表人或</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sectPr>
          <w:type w:val="continuous"/>
          <w:pgSz w:w="11911" w:h="16839"/>
          <w:pgMar w:top="1431" w:right="1418" w:bottom="1014" w:left="1424" w:header="0" w:footer="850" w:gutter="0"/>
          <w:pgNumType w:fmt="decimal"/>
          <w:cols w:equalWidth="0" w:num="2">
            <w:col w:w="4100" w:space="100"/>
            <w:col w:w="4869"/>
          </w:cols>
        </w:sectPr>
      </w:pPr>
      <w:r>
        <w:rPr>
          <w:rFonts w:hint="eastAsia" w:ascii="仿宋" w:hAnsi="仿宋" w:eastAsia="仿宋" w:cs="仿宋"/>
          <w:snapToGrid w:val="0"/>
          <w:color w:val="000000"/>
          <w:spacing w:val="1"/>
          <w:kern w:val="0"/>
          <w:sz w:val="24"/>
          <w:szCs w:val="24"/>
          <w:lang w:val="en-US" w:eastAsia="zh-CN" w:bidi="ar-SA"/>
        </w:rPr>
        <w:t xml:space="preserve">委托代理人(签字)：     </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签署日期：</w:t>
      </w:r>
      <w:r>
        <w:rPr>
          <w:rFonts w:ascii="宋体" w:hAnsi="宋体" w:eastAsia="宋体" w:cs="宋体"/>
          <w:sz w:val="24"/>
          <w:szCs w:val="24"/>
          <w:u w:val="single" w:color="auto"/>
        </w:rPr>
        <w:t xml:space="preserve">                                     </w:t>
      </w:r>
      <w:r>
        <w:rPr>
          <w:rFonts w:hint="eastAsia" w:ascii="仿宋" w:hAnsi="仿宋" w:eastAsia="仿宋" w:cs="仿宋"/>
          <w:snapToGrid w:val="0"/>
          <w:color w:val="000000"/>
          <w:spacing w:val="1"/>
          <w:kern w:val="0"/>
          <w:sz w:val="24"/>
          <w:szCs w:val="24"/>
          <w:lang w:val="en-US" w:eastAsia="zh-CN" w:bidi="ar-SA"/>
        </w:rPr>
        <w:t xml:space="preserve">                                      </w:t>
      </w: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pPr>
    </w:p>
    <w:p>
      <w:pPr>
        <w:numPr>
          <w:ilvl w:val="0"/>
          <w:numId w:val="0"/>
        </w:numPr>
        <w:spacing w:line="360" w:lineRule="auto"/>
        <w:jc w:val="left"/>
        <w:rPr>
          <w:rFonts w:hint="eastAsia" w:ascii="仿宋" w:hAnsi="仿宋" w:eastAsia="仿宋" w:cs="仿宋"/>
          <w:snapToGrid w:val="0"/>
          <w:color w:val="000000"/>
          <w:spacing w:val="1"/>
          <w:kern w:val="0"/>
          <w:sz w:val="24"/>
          <w:szCs w:val="24"/>
          <w:lang w:val="en-US" w:eastAsia="zh-CN" w:bidi="ar-SA"/>
        </w:rPr>
        <w:sectPr>
          <w:type w:val="continuous"/>
          <w:pgSz w:w="11911" w:h="16839"/>
          <w:pgMar w:top="1431" w:right="1418" w:bottom="1014" w:left="1424" w:header="0" w:footer="850" w:gutter="0"/>
          <w:pgNumType w:fmt="decimal"/>
          <w:cols w:equalWidth="0" w:num="1">
            <w:col w:w="9069"/>
          </w:cols>
        </w:sectPr>
      </w:pPr>
      <w:r>
        <w:rPr>
          <w:rFonts w:hint="eastAsia" w:ascii="仿宋" w:hAnsi="仿宋" w:eastAsia="仿宋" w:cs="仿宋"/>
          <w:snapToGrid w:val="0"/>
          <w:color w:val="000000"/>
          <w:spacing w:val="1"/>
          <w:kern w:val="0"/>
          <w:sz w:val="24"/>
          <w:szCs w:val="24"/>
          <w:lang w:val="en-US" w:eastAsia="zh-CN" w:bidi="ar-SA"/>
        </w:rPr>
        <w:t xml:space="preserve">签署地点： </w:t>
      </w:r>
      <w:r>
        <w:rPr>
          <w:rFonts w:ascii="宋体" w:hAnsi="宋体" w:eastAsia="宋体" w:cs="宋体"/>
          <w:sz w:val="24"/>
          <w:szCs w:val="24"/>
          <w:u w:val="single" w:color="auto"/>
        </w:rPr>
        <w:t xml:space="preserve">                                     </w:t>
      </w:r>
      <w:r>
        <w:rPr>
          <w:rFonts w:hint="eastAsia" w:ascii="仿宋" w:hAnsi="仿宋" w:eastAsia="仿宋" w:cs="仿宋"/>
          <w:snapToGrid w:val="0"/>
          <w:color w:val="000000"/>
          <w:spacing w:val="1"/>
          <w:kern w:val="0"/>
          <w:sz w:val="24"/>
          <w:szCs w:val="24"/>
          <w:lang w:val="en-US" w:eastAsia="zh-CN" w:bidi="ar-SA"/>
        </w:rPr>
        <w:t xml:space="preserve">                                    </w:t>
      </w:r>
    </w:p>
    <w:p>
      <w:pPr>
        <w:numPr>
          <w:ilvl w:val="0"/>
          <w:numId w:val="0"/>
        </w:numPr>
        <w:tabs>
          <w:tab w:val="left" w:pos="1498"/>
        </w:tabs>
        <w:bidi w:val="0"/>
        <w:jc w:val="both"/>
        <w:outlineLvl w:val="9"/>
        <w:rPr>
          <w:rFonts w:hint="default" w:ascii="宋体" w:hAnsi="宋体" w:eastAsia="宋体" w:cs="宋体"/>
          <w:b/>
          <w:bCs/>
          <w:spacing w:val="-1"/>
          <w:sz w:val="28"/>
          <w:szCs w:val="28"/>
          <w:lang w:val="en-US" w:eastAsia="zh-CN"/>
        </w:rPr>
      </w:pPr>
    </w:p>
    <w:p>
      <w:pPr>
        <w:numPr>
          <w:ilvl w:val="0"/>
          <w:numId w:val="3"/>
        </w:numPr>
        <w:tabs>
          <w:tab w:val="left" w:pos="3328"/>
        </w:tabs>
        <w:bidi w:val="0"/>
        <w:jc w:val="center"/>
        <w:outlineLvl w:val="0"/>
        <w:rPr>
          <w:rFonts w:ascii="宋体" w:hAnsi="宋体" w:eastAsia="宋体" w:cs="宋体"/>
          <w:b/>
          <w:bCs/>
          <w:spacing w:val="-4"/>
          <w:sz w:val="30"/>
          <w:szCs w:val="30"/>
        </w:rPr>
      </w:pPr>
      <w:r>
        <w:rPr>
          <w:rFonts w:ascii="宋体" w:hAnsi="宋体" w:eastAsia="宋体" w:cs="宋体"/>
          <w:b/>
          <w:bCs/>
          <w:spacing w:val="12"/>
          <w:sz w:val="30"/>
          <w:szCs w:val="30"/>
        </w:rPr>
        <w:t xml:space="preserve"> </w:t>
      </w:r>
      <w:bookmarkStart w:id="155" w:name="_Toc20293"/>
      <w:bookmarkStart w:id="156" w:name="_Toc28098"/>
      <w:r>
        <w:rPr>
          <w:rFonts w:ascii="宋体" w:hAnsi="宋体" w:eastAsia="宋体" w:cs="宋体"/>
          <w:b/>
          <w:bCs/>
          <w:spacing w:val="-4"/>
          <w:sz w:val="30"/>
          <w:szCs w:val="30"/>
        </w:rPr>
        <w:t>响应文件格式</w:t>
      </w:r>
      <w:bookmarkEnd w:id="155"/>
      <w:bookmarkEnd w:id="156"/>
    </w:p>
    <w:p>
      <w:pPr>
        <w:pStyle w:val="2"/>
        <w:spacing w:line="253" w:lineRule="auto"/>
      </w:pPr>
    </w:p>
    <w:p>
      <w:pPr>
        <w:tabs>
          <w:tab w:val="left" w:pos="4297"/>
        </w:tabs>
        <w:spacing w:before="169" w:line="220" w:lineRule="auto"/>
        <w:ind w:left="905"/>
        <w:rPr>
          <w:rFonts w:ascii="宋体" w:hAnsi="宋体" w:eastAsia="宋体" w:cs="宋体"/>
          <w:sz w:val="52"/>
          <w:szCs w:val="52"/>
        </w:rPr>
      </w:pPr>
      <w:r>
        <w:rPr>
          <w:rFonts w:ascii="宋体" w:hAnsi="宋体" w:eastAsia="宋体" w:cs="宋体"/>
          <w:sz w:val="52"/>
          <w:szCs w:val="52"/>
          <w:u w:val="single" w:color="auto"/>
        </w:rPr>
        <w:tab/>
      </w:r>
      <w:r>
        <w:rPr>
          <w:rFonts w:ascii="宋体" w:hAnsi="宋体" w:eastAsia="宋体" w:cs="宋体"/>
          <w:spacing w:val="1"/>
          <w:sz w:val="52"/>
          <w:szCs w:val="52"/>
          <w14:textOutline w14:w="9461" w14:cap="sq" w14:cmpd="sng">
            <w14:solidFill>
              <w14:srgbClr w14:val="000000"/>
            </w14:solidFill>
            <w14:prstDash w14:val="solid"/>
            <w14:bevel/>
          </w14:textOutline>
        </w:rPr>
        <w:t>（项目名称）</w:t>
      </w:r>
    </w:p>
    <w:p>
      <w:pPr>
        <w:pStyle w:val="2"/>
        <w:spacing w:line="254" w:lineRule="auto"/>
      </w:pPr>
    </w:p>
    <w:p>
      <w:pPr>
        <w:pStyle w:val="2"/>
        <w:spacing w:line="254" w:lineRule="auto"/>
      </w:pPr>
    </w:p>
    <w:p>
      <w:pPr>
        <w:pStyle w:val="2"/>
        <w:spacing w:line="254" w:lineRule="auto"/>
      </w:pPr>
    </w:p>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5" w:lineRule="auto"/>
      </w:pPr>
    </w:p>
    <w:p>
      <w:pPr>
        <w:spacing w:before="269" w:line="222" w:lineRule="auto"/>
        <w:ind w:left="1924"/>
        <w:outlineLvl w:val="9"/>
        <w:rPr>
          <w:rFonts w:ascii="宋体" w:hAnsi="宋体" w:eastAsia="宋体" w:cs="宋体"/>
          <w:sz w:val="83"/>
          <w:szCs w:val="83"/>
        </w:rPr>
      </w:pPr>
      <w:r>
        <w:rPr>
          <w:rFonts w:ascii="宋体" w:hAnsi="宋体" w:eastAsia="宋体" w:cs="宋体"/>
          <w:spacing w:val="-30"/>
          <w:sz w:val="83"/>
          <w:szCs w:val="83"/>
          <w14:textOutline w14:w="15255" w14:cap="sq" w14:cmpd="sng">
            <w14:solidFill>
              <w14:srgbClr w14:val="000000"/>
            </w14:solidFill>
            <w14:prstDash w14:val="solid"/>
            <w14:bevel/>
          </w14:textOutline>
        </w:rPr>
        <w:t>响</w:t>
      </w:r>
      <w:r>
        <w:rPr>
          <w:rFonts w:ascii="宋体" w:hAnsi="宋体" w:eastAsia="宋体" w:cs="宋体"/>
          <w:spacing w:val="43"/>
          <w:sz w:val="83"/>
          <w:szCs w:val="83"/>
        </w:rPr>
        <w:t xml:space="preserve"> </w:t>
      </w:r>
      <w:r>
        <w:rPr>
          <w:rFonts w:ascii="宋体" w:hAnsi="宋体" w:eastAsia="宋体" w:cs="宋体"/>
          <w:spacing w:val="-30"/>
          <w:sz w:val="83"/>
          <w:szCs w:val="83"/>
          <w14:textOutline w14:w="15255" w14:cap="sq" w14:cmpd="sng">
            <w14:solidFill>
              <w14:srgbClr w14:val="000000"/>
            </w14:solidFill>
            <w14:prstDash w14:val="solid"/>
            <w14:bevel/>
          </w14:textOutline>
        </w:rPr>
        <w:t>应</w:t>
      </w:r>
      <w:r>
        <w:rPr>
          <w:rFonts w:ascii="宋体" w:hAnsi="宋体" w:eastAsia="宋体" w:cs="宋体"/>
          <w:spacing w:val="49"/>
          <w:sz w:val="83"/>
          <w:szCs w:val="83"/>
        </w:rPr>
        <w:t xml:space="preserve"> </w:t>
      </w:r>
      <w:r>
        <w:rPr>
          <w:rFonts w:ascii="宋体" w:hAnsi="宋体" w:eastAsia="宋体" w:cs="宋体"/>
          <w:spacing w:val="-30"/>
          <w:sz w:val="83"/>
          <w:szCs w:val="83"/>
          <w14:textOutline w14:w="15255" w14:cap="sq" w14:cmpd="sng">
            <w14:solidFill>
              <w14:srgbClr w14:val="000000"/>
            </w14:solidFill>
            <w14:prstDash w14:val="solid"/>
            <w14:bevel/>
          </w14:textOutline>
        </w:rPr>
        <w:t>文</w:t>
      </w:r>
      <w:r>
        <w:rPr>
          <w:rFonts w:ascii="宋体" w:hAnsi="宋体" w:eastAsia="宋体" w:cs="宋体"/>
          <w:spacing w:val="40"/>
          <w:sz w:val="83"/>
          <w:szCs w:val="83"/>
        </w:rPr>
        <w:t xml:space="preserve"> </w:t>
      </w:r>
      <w:r>
        <w:rPr>
          <w:rFonts w:ascii="宋体" w:hAnsi="宋体" w:eastAsia="宋体" w:cs="宋体"/>
          <w:spacing w:val="-30"/>
          <w:sz w:val="83"/>
          <w:szCs w:val="83"/>
          <w14:textOutline w14:w="15255" w14:cap="sq" w14:cmpd="sng">
            <w14:solidFill>
              <w14:srgbClr w14:val="000000"/>
            </w14:solidFill>
            <w14:prstDash w14:val="solid"/>
            <w14:bevel/>
          </w14:textOutline>
        </w:rPr>
        <w:t>件</w:t>
      </w:r>
    </w:p>
    <w:p>
      <w:pPr>
        <w:pStyle w:val="2"/>
        <w:spacing w:line="310" w:lineRule="auto"/>
      </w:pPr>
    </w:p>
    <w:p>
      <w:pPr>
        <w:pStyle w:val="2"/>
        <w:spacing w:line="310" w:lineRule="auto"/>
      </w:pPr>
    </w:p>
    <w:p>
      <w:pPr>
        <w:pStyle w:val="2"/>
        <w:spacing w:line="310" w:lineRule="auto"/>
      </w:pPr>
    </w:p>
    <w:p>
      <w:pPr>
        <w:spacing w:before="91" w:line="220" w:lineRule="auto"/>
        <w:ind w:left="2449"/>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（项目编号</w:t>
      </w:r>
      <w:r>
        <w:rPr>
          <w:rFonts w:ascii="宋体" w:hAnsi="宋体" w:eastAsia="宋体" w:cs="宋体"/>
          <w:sz w:val="28"/>
          <w:szCs w:val="28"/>
          <w14:textOutline w14:w="5103" w14:cap="sq" w14:cmpd="sng">
            <w14:solidFill>
              <w14:srgbClr w14:val="000000"/>
            </w14:solidFill>
            <w14:prstDash w14:val="solid"/>
            <w14:bevel/>
          </w14:textOutline>
        </w:rPr>
        <w:t>：）</w:t>
      </w: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6" w:lineRule="auto"/>
      </w:pPr>
    </w:p>
    <w:p>
      <w:pPr>
        <w:pStyle w:val="2"/>
        <w:spacing w:line="246" w:lineRule="auto"/>
      </w:pPr>
    </w:p>
    <w:p>
      <w:pPr>
        <w:pStyle w:val="2"/>
        <w:spacing w:line="246" w:lineRule="auto"/>
      </w:pPr>
    </w:p>
    <w:p>
      <w:pPr>
        <w:spacing w:before="91" w:line="219" w:lineRule="auto"/>
        <w:ind w:left="74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供应商（企业电子签章</w:t>
      </w:r>
      <w:r>
        <w:rPr>
          <w:rFonts w:ascii="宋体" w:hAnsi="宋体" w:eastAsia="宋体" w:cs="宋体"/>
          <w:spacing w:val="4"/>
          <w:sz w:val="28"/>
          <w:szCs w:val="28"/>
          <w14:textOutline w14:w="5103" w14:cap="sq" w14:cmpd="sng">
            <w14:solidFill>
              <w14:srgbClr w14:val="000000"/>
            </w14:solidFill>
            <w14:prstDash w14:val="solid"/>
            <w14:bevel/>
          </w14:textOutline>
        </w:rPr>
        <w:t>）：</w:t>
      </w:r>
      <w:r>
        <w:rPr>
          <w:rFonts w:ascii="宋体" w:hAnsi="宋体" w:eastAsia="宋体" w:cs="宋体"/>
          <w:sz w:val="28"/>
          <w:szCs w:val="28"/>
        </w:rPr>
        <w:t xml:space="preserve"> </w:t>
      </w:r>
      <w:r>
        <w:rPr>
          <w:rFonts w:ascii="宋体" w:hAnsi="宋体" w:eastAsia="宋体" w:cs="宋体"/>
          <w:sz w:val="28"/>
          <w:szCs w:val="28"/>
          <w:u w:val="single" w:color="auto"/>
        </w:rPr>
        <w:t xml:space="preserve">                      </w:t>
      </w:r>
    </w:p>
    <w:p>
      <w:pPr>
        <w:pStyle w:val="2"/>
        <w:spacing w:line="300" w:lineRule="auto"/>
      </w:pPr>
    </w:p>
    <w:p>
      <w:pPr>
        <w:spacing w:before="92" w:line="479" w:lineRule="auto"/>
        <w:ind w:left="740"/>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法定代表人（个人电子签章）：</w:t>
      </w:r>
      <w:r>
        <w:rPr>
          <w:rFonts w:ascii="宋体" w:hAnsi="宋体" w:eastAsia="宋体" w:cs="宋体"/>
          <w:sz w:val="28"/>
          <w:szCs w:val="28"/>
          <w:u w:val="single" w:color="auto"/>
        </w:rPr>
        <w:t xml:space="preserve">                      </w:t>
      </w:r>
    </w:p>
    <w:p>
      <w:pPr>
        <w:spacing w:before="1" w:line="219" w:lineRule="auto"/>
        <w:ind w:left="787"/>
        <w:rPr>
          <w:rFonts w:ascii="宋体" w:hAnsi="宋体" w:eastAsia="宋体" w:cs="宋体"/>
          <w:sz w:val="28"/>
          <w:szCs w:val="28"/>
        </w:rPr>
      </w:pPr>
      <w:r>
        <w:rPr>
          <w:rFonts w:ascii="宋体" w:hAnsi="宋体" w:eastAsia="宋体" w:cs="宋体"/>
          <w:spacing w:val="-17"/>
          <w:sz w:val="28"/>
          <w:szCs w:val="28"/>
          <w14:textOutline w14:w="5103" w14:cap="sq" w14:cmpd="sng">
            <w14:solidFill>
              <w14:srgbClr w14:val="000000"/>
            </w14:solidFill>
            <w14:prstDash w14:val="solid"/>
            <w14:bevel/>
          </w14:textOutline>
        </w:rPr>
        <w:t>日</w:t>
      </w:r>
      <w:r>
        <w:rPr>
          <w:rFonts w:ascii="宋体" w:hAnsi="宋体" w:eastAsia="宋体" w:cs="宋体"/>
          <w:spacing w:val="4"/>
          <w:sz w:val="28"/>
          <w:szCs w:val="28"/>
        </w:rPr>
        <w:t xml:space="preserve">    </w:t>
      </w:r>
      <w:r>
        <w:rPr>
          <w:rFonts w:ascii="宋体" w:hAnsi="宋体" w:eastAsia="宋体" w:cs="宋体"/>
          <w:spacing w:val="-17"/>
          <w:sz w:val="28"/>
          <w:szCs w:val="28"/>
          <w14:textOutline w14:w="5103" w14:cap="sq" w14:cmpd="sng">
            <w14:solidFill>
              <w14:srgbClr w14:val="000000"/>
            </w14:solidFill>
            <w14:prstDash w14:val="solid"/>
            <w14:bevel/>
          </w14:textOutline>
        </w:rPr>
        <w:t>期：</w:t>
      </w:r>
      <w:r>
        <w:rPr>
          <w:rFonts w:ascii="宋体" w:hAnsi="宋体" w:eastAsia="宋体" w:cs="宋体"/>
          <w:spacing w:val="2"/>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17"/>
          <w:sz w:val="28"/>
          <w:szCs w:val="28"/>
          <w14:textOutline w14:w="5103" w14:cap="sq" w14:cmpd="sng">
            <w14:solidFill>
              <w14:srgbClr w14:val="000000"/>
            </w14:solidFill>
            <w14:prstDash w14:val="solid"/>
            <w14:bevel/>
          </w14:textOutline>
        </w:rPr>
        <w:t>年</w:t>
      </w:r>
      <w:r>
        <w:rPr>
          <w:rFonts w:ascii="宋体" w:hAnsi="宋体" w:eastAsia="宋体" w:cs="宋体"/>
          <w:sz w:val="28"/>
          <w:szCs w:val="28"/>
          <w:u w:val="single" w:color="auto"/>
        </w:rPr>
        <w:t xml:space="preserve">     </w:t>
      </w:r>
      <w:r>
        <w:rPr>
          <w:rFonts w:ascii="宋体" w:hAnsi="宋体" w:eastAsia="宋体" w:cs="宋体"/>
          <w:spacing w:val="-120"/>
          <w:sz w:val="28"/>
          <w:szCs w:val="28"/>
        </w:rPr>
        <w:t xml:space="preserve"> </w:t>
      </w:r>
      <w:r>
        <w:rPr>
          <w:rFonts w:ascii="宋体" w:hAnsi="宋体" w:eastAsia="宋体" w:cs="宋体"/>
          <w:spacing w:val="-17"/>
          <w:sz w:val="28"/>
          <w:szCs w:val="28"/>
          <w14:textOutline w14:w="5103" w14:cap="sq" w14:cmpd="sng">
            <w14:solidFill>
              <w14:srgbClr w14:val="000000"/>
            </w14:solidFill>
            <w14:prstDash w14:val="solid"/>
            <w14:bevel/>
          </w14:textOutline>
        </w:rPr>
        <w:t>月</w:t>
      </w:r>
      <w:r>
        <w:rPr>
          <w:rFonts w:ascii="宋体" w:hAnsi="宋体" w:eastAsia="宋体" w:cs="宋体"/>
          <w:sz w:val="28"/>
          <w:szCs w:val="28"/>
          <w:u w:val="single" w:color="auto"/>
        </w:rPr>
        <w:t xml:space="preserve">    </w:t>
      </w:r>
      <w:r>
        <w:rPr>
          <w:rFonts w:ascii="宋体" w:hAnsi="宋体" w:eastAsia="宋体" w:cs="宋体"/>
          <w:spacing w:val="-79"/>
          <w:sz w:val="28"/>
          <w:szCs w:val="28"/>
        </w:rPr>
        <w:t xml:space="preserve"> </w:t>
      </w:r>
      <w:r>
        <w:rPr>
          <w:rFonts w:ascii="宋体" w:hAnsi="宋体" w:eastAsia="宋体" w:cs="宋体"/>
          <w:spacing w:val="-17"/>
          <w:sz w:val="28"/>
          <w:szCs w:val="28"/>
          <w14:textOutline w14:w="5103" w14:cap="sq" w14:cmpd="sng">
            <w14:solidFill>
              <w14:srgbClr w14:val="000000"/>
            </w14:solidFill>
            <w14:prstDash w14:val="solid"/>
            <w14:bevel/>
          </w14:textOutline>
        </w:rPr>
        <w:t>日</w:t>
      </w:r>
    </w:p>
    <w:p>
      <w:pPr>
        <w:spacing w:line="219" w:lineRule="auto"/>
        <w:rPr>
          <w:rFonts w:ascii="宋体" w:hAnsi="宋体" w:eastAsia="宋体" w:cs="宋体"/>
          <w:sz w:val="28"/>
          <w:szCs w:val="28"/>
        </w:rPr>
      </w:pPr>
    </w:p>
    <w:p>
      <w:pPr>
        <w:bidi w:val="0"/>
        <w:rPr>
          <w:rFonts w:ascii="Arial" w:hAnsi="Arial" w:eastAsia="Arial" w:cs="Arial"/>
          <w:snapToGrid w:val="0"/>
          <w:color w:val="000000"/>
          <w:kern w:val="0"/>
          <w:sz w:val="21"/>
          <w:szCs w:val="21"/>
          <w:lang w:val="en-US" w:eastAsia="en-US" w:bidi="ar-SA"/>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tabs>
          <w:tab w:val="left" w:pos="1110"/>
        </w:tabs>
        <w:bidi w:val="0"/>
        <w:jc w:val="left"/>
        <w:rPr>
          <w:rFonts w:hint="eastAsia" w:eastAsia="宋体"/>
          <w:lang w:val="en-US" w:eastAsia="zh-CN"/>
        </w:rPr>
      </w:pPr>
      <w:r>
        <w:rPr>
          <w:rFonts w:hint="eastAsia" w:eastAsia="宋体"/>
          <w:lang w:val="en-US" w:eastAsia="zh-CN"/>
        </w:rPr>
        <w:tab/>
      </w:r>
    </w:p>
    <w:p>
      <w:pPr>
        <w:pStyle w:val="19"/>
        <w:rPr>
          <w:rFonts w:hint="eastAsia" w:eastAsia="宋体"/>
          <w:lang w:val="en-US" w:eastAsia="zh-CN"/>
        </w:rPr>
      </w:pPr>
    </w:p>
    <w:p>
      <w:pPr>
        <w:pStyle w:val="6"/>
        <w:rPr>
          <w:rFonts w:hint="eastAsia" w:eastAsia="宋体"/>
          <w:lang w:val="en-US" w:eastAsia="zh-CN"/>
        </w:rPr>
      </w:pPr>
    </w:p>
    <w:p>
      <w:pPr>
        <w:pStyle w:val="24"/>
        <w:jc w:val="center"/>
        <w:outlineLvl w:val="9"/>
        <w:rPr>
          <w:rFonts w:hint="eastAsia" w:ascii="宋体" w:hAnsi="宋体" w:eastAsia="宋体"/>
          <w:color w:val="auto"/>
          <w:sz w:val="32"/>
          <w:szCs w:val="32"/>
          <w:highlight w:val="none"/>
        </w:rPr>
      </w:pPr>
      <w:r>
        <w:rPr>
          <w:rFonts w:hint="eastAsia" w:ascii="宋体" w:hAnsi="宋体" w:eastAsia="宋体"/>
          <w:color w:val="auto"/>
          <w:sz w:val="32"/>
          <w:szCs w:val="32"/>
          <w:highlight w:val="none"/>
        </w:rPr>
        <w:t>目    录</w:t>
      </w:r>
    </w:p>
    <w:p>
      <w:pPr>
        <w:spacing w:line="540" w:lineRule="exact"/>
        <w:rPr>
          <w:rFonts w:hint="eastAsia" w:ascii="宋体" w:hAnsi="宋体" w:cs="宋体"/>
          <w:color w:val="000000" w:themeColor="text1"/>
          <w:sz w:val="24"/>
          <w:szCs w:val="32"/>
          <w:highlight w:val="none"/>
          <w14:textFill>
            <w14:solidFill>
              <w14:schemeClr w14:val="tx1"/>
            </w14:solidFill>
          </w14:textFill>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default" w:ascii="仿宋" w:hAnsi="仿宋" w:eastAsia="仿宋" w:cs="仿宋"/>
          <w:color w:val="000000" w:themeColor="text1"/>
          <w:spacing w:val="1"/>
          <w:sz w:val="24"/>
          <w:szCs w:val="24"/>
          <w:lang w:val="en-US" w:eastAsia="zh-CN"/>
          <w14:textFill>
            <w14:solidFill>
              <w14:schemeClr w14:val="tx1"/>
            </w14:solidFill>
          </w14:textFill>
        </w:rPr>
      </w:pPr>
      <w:r>
        <w:rPr>
          <w:rFonts w:hint="eastAsia" w:ascii="仿宋" w:hAnsi="仿宋" w:eastAsia="仿宋" w:cs="仿宋"/>
          <w:color w:val="000000" w:themeColor="text1"/>
          <w:spacing w:val="1"/>
          <w:sz w:val="24"/>
          <w:szCs w:val="24"/>
          <w:lang w:val="en-US" w:eastAsia="zh-CN"/>
          <w14:textFill>
            <w14:solidFill>
              <w14:schemeClr w14:val="tx1"/>
            </w14:solidFill>
          </w14:textFill>
        </w:rPr>
        <w:t>一.响应</w:t>
      </w:r>
      <w:r>
        <w:rPr>
          <w:rFonts w:hint="eastAsia" w:ascii="仿宋" w:hAnsi="仿宋" w:eastAsia="仿宋" w:cs="仿宋"/>
          <w:color w:val="000000" w:themeColor="text1"/>
          <w:spacing w:val="1"/>
          <w:sz w:val="24"/>
          <w:szCs w:val="24"/>
          <w14:textFill>
            <w14:solidFill>
              <w14:schemeClr w14:val="tx1"/>
            </w14:solidFill>
          </w14:textFill>
        </w:rPr>
        <w:t>函</w:t>
      </w:r>
      <w:r>
        <w:rPr>
          <w:rFonts w:hint="eastAsia" w:ascii="仿宋" w:hAnsi="仿宋" w:eastAsia="仿宋" w:cs="仿宋"/>
          <w:color w:val="000000" w:themeColor="text1"/>
          <w:spacing w:val="1"/>
          <w:sz w:val="24"/>
          <w:szCs w:val="24"/>
          <w:lang w:val="en-US" w:eastAsia="zh-CN"/>
          <w14:textFill>
            <w14:solidFill>
              <w14:schemeClr w14:val="tx1"/>
            </w14:solidFill>
          </w14:textFill>
        </w:rPr>
        <w:t>及响应函附录</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lang w:val="en-US" w:eastAsia="zh-CN"/>
          <w14:textFill>
            <w14:solidFill>
              <w14:schemeClr w14:val="tx1"/>
            </w14:solidFill>
          </w14:textFill>
        </w:rPr>
      </w:pPr>
      <w:r>
        <w:rPr>
          <w:rFonts w:hint="eastAsia" w:ascii="仿宋" w:hAnsi="仿宋" w:eastAsia="仿宋" w:cs="仿宋"/>
          <w:color w:val="000000" w:themeColor="text1"/>
          <w:spacing w:val="1"/>
          <w:sz w:val="24"/>
          <w:szCs w:val="24"/>
          <w:lang w:val="en-US" w:eastAsia="zh-CN"/>
          <w14:textFill>
            <w14:solidFill>
              <w14:schemeClr w14:val="tx1"/>
            </w14:solidFill>
          </w14:textFill>
        </w:rPr>
        <w:t>二.</w:t>
      </w:r>
      <w:r>
        <w:rPr>
          <w:rFonts w:hint="eastAsia" w:ascii="仿宋" w:hAnsi="仿宋" w:eastAsia="仿宋" w:cs="仿宋"/>
          <w:color w:val="000000" w:themeColor="text1"/>
          <w:spacing w:val="1"/>
          <w:sz w:val="24"/>
          <w:szCs w:val="24"/>
          <w14:textFill>
            <w14:solidFill>
              <w14:schemeClr w14:val="tx1"/>
            </w14:solidFill>
          </w14:textFill>
        </w:rPr>
        <w:t>法定代表人身份证明</w:t>
      </w:r>
      <w:r>
        <w:rPr>
          <w:rFonts w:hint="eastAsia" w:ascii="仿宋" w:hAnsi="仿宋" w:eastAsia="仿宋" w:cs="仿宋"/>
          <w:color w:val="000000" w:themeColor="text1"/>
          <w:spacing w:val="1"/>
          <w:sz w:val="24"/>
          <w:szCs w:val="24"/>
          <w:lang w:val="en-US" w:eastAsia="zh-CN"/>
          <w14:textFill>
            <w14:solidFill>
              <w14:schemeClr w14:val="tx1"/>
            </w14:solidFill>
          </w14:textFill>
        </w:rPr>
        <w:t>及</w:t>
      </w:r>
      <w:r>
        <w:rPr>
          <w:rFonts w:hint="eastAsia" w:ascii="仿宋" w:hAnsi="仿宋" w:eastAsia="仿宋" w:cs="仿宋"/>
          <w:color w:val="000000" w:themeColor="text1"/>
          <w:spacing w:val="1"/>
          <w:sz w:val="24"/>
          <w:szCs w:val="24"/>
          <w14:textFill>
            <w14:solidFill>
              <w14:schemeClr w14:val="tx1"/>
            </w14:solidFill>
          </w14:textFill>
        </w:rPr>
        <w:t>授权委托书</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val="en-US" w:eastAsia="zh-CN"/>
          <w14:textFill>
            <w14:solidFill>
              <w14:schemeClr w14:val="tx1"/>
            </w14:solidFill>
          </w14:textFill>
        </w:rPr>
        <w:t>三.</w:t>
      </w:r>
      <w:r>
        <w:rPr>
          <w:rFonts w:hint="eastAsia" w:ascii="仿宋" w:hAnsi="仿宋" w:eastAsia="仿宋" w:cs="仿宋"/>
          <w:color w:val="000000" w:themeColor="text1"/>
          <w:spacing w:val="1"/>
          <w:sz w:val="24"/>
          <w:szCs w:val="24"/>
          <w14:textFill>
            <w14:solidFill>
              <w14:schemeClr w14:val="tx1"/>
            </w14:solidFill>
          </w14:textFill>
        </w:rPr>
        <w:t>资格审查资料</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val="en-US" w:eastAsia="zh-CN"/>
          <w14:textFill>
            <w14:solidFill>
              <w14:schemeClr w14:val="tx1"/>
            </w14:solidFill>
          </w14:textFill>
        </w:rPr>
        <w:t>四.</w:t>
      </w:r>
      <w:r>
        <w:rPr>
          <w:rFonts w:hint="eastAsia" w:ascii="仿宋" w:hAnsi="仿宋" w:eastAsia="仿宋" w:cs="仿宋"/>
          <w:color w:val="000000" w:themeColor="text1"/>
          <w:spacing w:val="1"/>
          <w:sz w:val="24"/>
          <w:szCs w:val="24"/>
          <w14:textFill>
            <w14:solidFill>
              <w14:schemeClr w14:val="tx1"/>
            </w14:solidFill>
          </w14:textFill>
        </w:rPr>
        <w:t>开标一览表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val="en-US" w:eastAsia="zh-CN"/>
          <w14:textFill>
            <w14:solidFill>
              <w14:schemeClr w14:val="tx1"/>
            </w14:solidFill>
          </w14:textFill>
        </w:rPr>
        <w:t>五.</w:t>
      </w:r>
      <w:r>
        <w:rPr>
          <w:rFonts w:hint="eastAsia" w:ascii="仿宋" w:hAnsi="仿宋" w:eastAsia="仿宋" w:cs="仿宋"/>
          <w:color w:val="000000" w:themeColor="text1"/>
          <w:spacing w:val="1"/>
          <w:sz w:val="24"/>
          <w:szCs w:val="24"/>
          <w14:textFill>
            <w14:solidFill>
              <w14:schemeClr w14:val="tx1"/>
            </w14:solidFill>
          </w14:textFill>
        </w:rPr>
        <w:t>分项报价明细表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val="en-US" w:eastAsia="zh-CN"/>
          <w14:textFill>
            <w14:solidFill>
              <w14:schemeClr w14:val="tx1"/>
            </w14:solidFill>
          </w14:textFill>
        </w:rPr>
        <w:t>六.</w:t>
      </w:r>
      <w:r>
        <w:rPr>
          <w:rFonts w:hint="eastAsia" w:ascii="仿宋" w:hAnsi="仿宋" w:eastAsia="仿宋" w:cs="仿宋"/>
          <w:color w:val="000000" w:themeColor="text1"/>
          <w:spacing w:val="1"/>
          <w:sz w:val="24"/>
          <w:szCs w:val="24"/>
          <w14:textFill>
            <w14:solidFill>
              <w14:schemeClr w14:val="tx1"/>
            </w14:solidFill>
          </w14:textFill>
        </w:rPr>
        <w:t>技术性能参数的详细描述</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val="en-US" w:eastAsia="zh-CN"/>
          <w14:textFill>
            <w14:solidFill>
              <w14:schemeClr w14:val="tx1"/>
            </w14:solidFill>
          </w14:textFill>
        </w:rPr>
        <w:t>七.</w:t>
      </w:r>
      <w:r>
        <w:rPr>
          <w:rFonts w:hint="eastAsia" w:ascii="仿宋" w:hAnsi="仿宋" w:eastAsia="仿宋" w:cs="仿宋"/>
          <w:color w:val="000000" w:themeColor="text1"/>
          <w:spacing w:val="1"/>
          <w:sz w:val="24"/>
          <w:szCs w:val="24"/>
          <w14:textFill>
            <w14:solidFill>
              <w14:schemeClr w14:val="tx1"/>
            </w14:solidFill>
          </w14:textFill>
        </w:rPr>
        <w:t>技术规格和商务偏差表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val="en-US" w:eastAsia="zh-CN"/>
          <w14:textFill>
            <w14:solidFill>
              <w14:schemeClr w14:val="tx1"/>
            </w14:solidFill>
          </w14:textFill>
        </w:rPr>
        <w:t>八.反商业贿赂承诺书</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val="en-US" w:eastAsia="zh-CN"/>
          <w14:textFill>
            <w14:solidFill>
              <w14:schemeClr w14:val="tx1"/>
            </w14:solidFill>
          </w14:textFill>
        </w:rPr>
        <w:t>九.售后</w:t>
      </w:r>
      <w:r>
        <w:rPr>
          <w:rFonts w:hint="eastAsia" w:ascii="仿宋" w:hAnsi="仿宋" w:eastAsia="仿宋" w:cs="仿宋"/>
          <w:color w:val="000000" w:themeColor="text1"/>
          <w:spacing w:val="1"/>
          <w:sz w:val="24"/>
          <w:szCs w:val="24"/>
          <w14:textFill>
            <w14:solidFill>
              <w14:schemeClr w14:val="tx1"/>
            </w14:solidFill>
          </w14:textFill>
        </w:rPr>
        <w:t>服务承诺书</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val="en-US" w:eastAsia="zh-CN"/>
          <w14:textFill>
            <w14:solidFill>
              <w14:schemeClr w14:val="tx1"/>
            </w14:solidFill>
          </w14:textFill>
        </w:rPr>
        <w:t>十.</w:t>
      </w:r>
      <w:r>
        <w:rPr>
          <w:rFonts w:hint="eastAsia" w:ascii="仿宋" w:hAnsi="仿宋" w:eastAsia="仿宋" w:cs="仿宋"/>
          <w:color w:val="000000" w:themeColor="text1"/>
          <w:spacing w:val="1"/>
          <w:sz w:val="24"/>
          <w:szCs w:val="24"/>
          <w14:textFill>
            <w14:solidFill>
              <w14:schemeClr w14:val="tx1"/>
            </w14:solidFill>
          </w14:textFill>
        </w:rPr>
        <w:t>中小企业声明函(如有)</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val="en-US" w:eastAsia="zh-CN"/>
          <w14:textFill>
            <w14:solidFill>
              <w14:schemeClr w14:val="tx1"/>
            </w14:solidFill>
          </w14:textFill>
        </w:rPr>
        <w:t>十一.</w:t>
      </w:r>
      <w:r>
        <w:rPr>
          <w:rFonts w:hint="eastAsia" w:ascii="仿宋" w:hAnsi="仿宋" w:eastAsia="仿宋" w:cs="仿宋"/>
          <w:color w:val="000000" w:themeColor="text1"/>
          <w:spacing w:val="1"/>
          <w:sz w:val="24"/>
          <w:szCs w:val="24"/>
          <w14:textFill>
            <w14:solidFill>
              <w14:schemeClr w14:val="tx1"/>
            </w14:solidFill>
          </w14:textFill>
        </w:rPr>
        <w:t>残疾人福利性单位声明函(如有)</w:t>
      </w:r>
      <w:r>
        <w:rPr>
          <w:rFonts w:hint="eastAsia" w:ascii="仿宋" w:hAnsi="仿宋" w:eastAsia="仿宋" w:cs="仿宋"/>
          <w:color w:val="000000" w:themeColor="text1"/>
          <w:spacing w:val="1"/>
          <w:sz w:val="24"/>
          <w:szCs w:val="24"/>
          <w:lang w:eastAsia="zh-CN"/>
          <w14:textFill>
            <w14:solidFill>
              <w14:schemeClr w14:val="tx1"/>
            </w14:solidFill>
          </w14:textFill>
        </w:rPr>
        <w:t>（非专门面向中小企业适用）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val="en-US" w:eastAsia="zh-CN"/>
          <w14:textFill>
            <w14:solidFill>
              <w14:schemeClr w14:val="tx1"/>
            </w14:solidFill>
          </w14:textFill>
        </w:rPr>
        <w:t>十二.</w:t>
      </w:r>
      <w:r>
        <w:rPr>
          <w:rFonts w:hint="eastAsia" w:ascii="仿宋" w:hAnsi="仿宋" w:eastAsia="仿宋" w:cs="仿宋"/>
          <w:color w:val="000000" w:themeColor="text1"/>
          <w:spacing w:val="1"/>
          <w:sz w:val="24"/>
          <w:szCs w:val="24"/>
          <w14:textFill>
            <w14:solidFill>
              <w14:schemeClr w14:val="tx1"/>
            </w14:solidFill>
          </w14:textFill>
        </w:rPr>
        <w:t>监狱企业证明文件(如有)</w:t>
      </w:r>
      <w:r>
        <w:rPr>
          <w:rFonts w:hint="eastAsia" w:ascii="仿宋" w:hAnsi="仿宋" w:eastAsia="仿宋" w:cs="仿宋"/>
          <w:color w:val="000000" w:themeColor="text1"/>
          <w:spacing w:val="1"/>
          <w:sz w:val="24"/>
          <w:szCs w:val="24"/>
          <w:lang w:eastAsia="zh-CN"/>
          <w14:textFill>
            <w14:solidFill>
              <w14:schemeClr w14:val="tx1"/>
            </w14:solidFill>
          </w14:textFill>
        </w:rPr>
        <w:t>（非专门面向中小企业适用）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val="en-US" w:eastAsia="zh-CN"/>
          <w14:textFill>
            <w14:solidFill>
              <w14:schemeClr w14:val="tx1"/>
            </w14:solidFill>
          </w14:textFill>
        </w:rPr>
        <w:t>十三.</w:t>
      </w:r>
      <w:r>
        <w:rPr>
          <w:rFonts w:hint="eastAsia" w:ascii="仿宋" w:hAnsi="仿宋" w:eastAsia="仿宋" w:cs="仿宋"/>
          <w:color w:val="000000" w:themeColor="text1"/>
          <w:spacing w:val="1"/>
          <w:sz w:val="24"/>
          <w:szCs w:val="24"/>
          <w14:textFill>
            <w14:solidFill>
              <w14:schemeClr w14:val="tx1"/>
            </w14:solidFill>
          </w14:textFill>
        </w:rPr>
        <w:t>商务评分项验证资料</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val="en-US" w:eastAsia="zh-CN"/>
          <w14:textFill>
            <w14:solidFill>
              <w14:schemeClr w14:val="tx1"/>
            </w14:solidFill>
          </w14:textFill>
        </w:rPr>
        <w:t>十四.</w:t>
      </w:r>
      <w:r>
        <w:rPr>
          <w:rFonts w:hint="eastAsia" w:ascii="仿宋" w:hAnsi="仿宋" w:eastAsia="仿宋" w:cs="仿宋"/>
          <w:color w:val="000000" w:themeColor="text1"/>
          <w:spacing w:val="1"/>
          <w:sz w:val="24"/>
          <w:szCs w:val="24"/>
          <w14:textFill>
            <w14:solidFill>
              <w14:schemeClr w14:val="tx1"/>
            </w14:solidFill>
          </w14:textFill>
        </w:rPr>
        <w:t>技术评分项验证资料</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9" w:firstLine="478"/>
        <w:jc w:val="left"/>
        <w:textAlignment w:val="baseline"/>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val="en-US" w:eastAsia="zh-CN"/>
          <w14:textFill>
            <w14:solidFill>
              <w14:schemeClr w14:val="tx1"/>
            </w14:solidFill>
          </w14:textFill>
        </w:rPr>
        <w:t>十五.</w:t>
      </w:r>
      <w:r>
        <w:rPr>
          <w:rFonts w:hint="eastAsia" w:ascii="仿宋" w:hAnsi="仿宋" w:eastAsia="仿宋" w:cs="仿宋"/>
          <w:color w:val="000000" w:themeColor="text1"/>
          <w:spacing w:val="1"/>
          <w:sz w:val="24"/>
          <w:szCs w:val="24"/>
          <w14:textFill>
            <w14:solidFill>
              <w14:schemeClr w14:val="tx1"/>
            </w14:solidFill>
          </w14:textFill>
        </w:rPr>
        <w:t>磋商文件中规定的其他资料</w:t>
      </w:r>
    </w:p>
    <w:p>
      <w:pPr>
        <w:spacing w:before="64" w:line="225" w:lineRule="auto"/>
        <w:ind w:left="3745"/>
        <w:outlineLvl w:val="9"/>
        <w:rPr>
          <w:rFonts w:ascii="宋体" w:hAnsi="宋体" w:eastAsia="宋体" w:cs="宋体"/>
          <w:spacing w:val="7"/>
          <w:sz w:val="31"/>
          <w:szCs w:val="31"/>
          <w14:textOutline w14:w="5793" w14:cap="sq" w14:cmpd="sng">
            <w14:solidFill>
              <w14:srgbClr w14:val="000000"/>
            </w14:solidFill>
            <w14:prstDash w14:val="solid"/>
            <w14:bevel/>
          </w14:textOutline>
        </w:rPr>
      </w:pPr>
    </w:p>
    <w:p>
      <w:pPr>
        <w:spacing w:before="64" w:line="225" w:lineRule="auto"/>
        <w:ind w:left="3745"/>
        <w:outlineLvl w:val="9"/>
        <w:rPr>
          <w:rFonts w:ascii="宋体" w:hAnsi="宋体" w:eastAsia="宋体" w:cs="宋体"/>
          <w:spacing w:val="7"/>
          <w:sz w:val="31"/>
          <w:szCs w:val="31"/>
          <w14:textOutline w14:w="5793" w14:cap="sq" w14:cmpd="sng">
            <w14:solidFill>
              <w14:srgbClr w14:val="000000"/>
            </w14:solidFill>
            <w14:prstDash w14:val="solid"/>
            <w14:bevel/>
          </w14:textOutline>
        </w:rPr>
      </w:pPr>
    </w:p>
    <w:p>
      <w:pPr>
        <w:spacing w:before="64" w:line="225" w:lineRule="auto"/>
        <w:ind w:left="3745"/>
        <w:outlineLvl w:val="9"/>
        <w:rPr>
          <w:rFonts w:ascii="宋体" w:hAnsi="宋体" w:eastAsia="宋体" w:cs="宋体"/>
          <w:spacing w:val="7"/>
          <w:sz w:val="31"/>
          <w:szCs w:val="31"/>
          <w14:textOutline w14:w="5793" w14:cap="sq" w14:cmpd="sng">
            <w14:solidFill>
              <w14:srgbClr w14:val="000000"/>
            </w14:solidFill>
            <w14:prstDash w14:val="solid"/>
            <w14:bevel/>
          </w14:textOutline>
        </w:rPr>
      </w:pPr>
    </w:p>
    <w:p>
      <w:pPr>
        <w:spacing w:before="64" w:line="225" w:lineRule="auto"/>
        <w:ind w:left="3745"/>
        <w:outlineLvl w:val="9"/>
        <w:rPr>
          <w:rFonts w:ascii="宋体" w:hAnsi="宋体" w:eastAsia="宋体" w:cs="宋体"/>
          <w:spacing w:val="7"/>
          <w:sz w:val="31"/>
          <w:szCs w:val="31"/>
          <w14:textOutline w14:w="5793" w14:cap="sq" w14:cmpd="sng">
            <w14:solidFill>
              <w14:srgbClr w14:val="000000"/>
            </w14:solidFill>
            <w14:prstDash w14:val="solid"/>
            <w14:bevel/>
          </w14:textOutline>
        </w:rPr>
      </w:pPr>
    </w:p>
    <w:p>
      <w:pPr>
        <w:spacing w:before="64" w:line="225" w:lineRule="auto"/>
        <w:ind w:left="3745"/>
        <w:outlineLvl w:val="9"/>
        <w:rPr>
          <w:rFonts w:ascii="宋体" w:hAnsi="宋体" w:eastAsia="宋体" w:cs="宋体"/>
          <w:spacing w:val="7"/>
          <w:sz w:val="31"/>
          <w:szCs w:val="31"/>
          <w14:textOutline w14:w="5793" w14:cap="sq" w14:cmpd="sng">
            <w14:solidFill>
              <w14:srgbClr w14:val="000000"/>
            </w14:solidFill>
            <w14:prstDash w14:val="solid"/>
            <w14:bevel/>
          </w14:textOutline>
        </w:rPr>
      </w:pPr>
    </w:p>
    <w:p>
      <w:pPr>
        <w:spacing w:before="64" w:line="225" w:lineRule="auto"/>
        <w:ind w:left="3745"/>
        <w:outlineLvl w:val="9"/>
        <w:rPr>
          <w:rFonts w:ascii="宋体" w:hAnsi="宋体" w:eastAsia="宋体" w:cs="宋体"/>
          <w:spacing w:val="7"/>
          <w:sz w:val="31"/>
          <w:szCs w:val="31"/>
          <w14:textOutline w14:w="5793" w14:cap="sq" w14:cmpd="sng">
            <w14:solidFill>
              <w14:srgbClr w14:val="000000"/>
            </w14:solidFill>
            <w14:prstDash w14:val="solid"/>
            <w14:bevel/>
          </w14:textOutline>
        </w:rPr>
      </w:pPr>
    </w:p>
    <w:p>
      <w:pPr>
        <w:spacing w:before="64" w:line="225" w:lineRule="auto"/>
        <w:ind w:left="3745"/>
        <w:outlineLvl w:val="9"/>
        <w:rPr>
          <w:rFonts w:ascii="宋体" w:hAnsi="宋体" w:eastAsia="宋体" w:cs="宋体"/>
          <w:spacing w:val="7"/>
          <w:sz w:val="31"/>
          <w:szCs w:val="31"/>
          <w14:textOutline w14:w="5793" w14:cap="sq" w14:cmpd="sng">
            <w14:solidFill>
              <w14:srgbClr w14:val="000000"/>
            </w14:solidFill>
            <w14:prstDash w14:val="solid"/>
            <w14:bevel/>
          </w14:textOutline>
        </w:rPr>
      </w:pPr>
    </w:p>
    <w:p>
      <w:pPr>
        <w:spacing w:before="64" w:line="225" w:lineRule="auto"/>
        <w:ind w:left="3745"/>
        <w:outlineLvl w:val="9"/>
        <w:rPr>
          <w:rFonts w:ascii="宋体" w:hAnsi="宋体" w:eastAsia="宋体" w:cs="宋体"/>
          <w:spacing w:val="7"/>
          <w:sz w:val="31"/>
          <w:szCs w:val="31"/>
          <w14:textOutline w14:w="5793" w14:cap="sq" w14:cmpd="sng">
            <w14:solidFill>
              <w14:srgbClr w14:val="000000"/>
            </w14:solidFill>
            <w14:prstDash w14:val="solid"/>
            <w14:bevel/>
          </w14:textOutline>
        </w:rPr>
      </w:pPr>
    </w:p>
    <w:p>
      <w:pPr>
        <w:spacing w:before="64" w:line="225" w:lineRule="auto"/>
        <w:ind w:left="3745"/>
        <w:outlineLvl w:val="9"/>
        <w:rPr>
          <w:rFonts w:ascii="宋体" w:hAnsi="宋体" w:eastAsia="宋体" w:cs="宋体"/>
          <w:spacing w:val="7"/>
          <w:sz w:val="31"/>
          <w:szCs w:val="31"/>
          <w14:textOutline w14:w="5793" w14:cap="sq" w14:cmpd="sng">
            <w14:solidFill>
              <w14:srgbClr w14:val="000000"/>
            </w14:solidFill>
            <w14:prstDash w14:val="solid"/>
            <w14:bevel/>
          </w14:textOutline>
        </w:rPr>
      </w:pPr>
    </w:p>
    <w:p>
      <w:pPr>
        <w:spacing w:before="64" w:line="225" w:lineRule="auto"/>
        <w:ind w:left="3745"/>
        <w:outlineLvl w:val="9"/>
        <w:rPr>
          <w:rFonts w:ascii="宋体" w:hAnsi="宋体" w:eastAsia="宋体" w:cs="宋体"/>
          <w:spacing w:val="7"/>
          <w:sz w:val="31"/>
          <w:szCs w:val="31"/>
          <w14:textOutline w14:w="5793" w14:cap="sq" w14:cmpd="sng">
            <w14:solidFill>
              <w14:srgbClr w14:val="000000"/>
            </w14:solidFill>
            <w14:prstDash w14:val="solid"/>
            <w14:bevel/>
          </w14:textOutline>
        </w:rPr>
      </w:pPr>
    </w:p>
    <w:p>
      <w:pPr>
        <w:spacing w:before="64" w:line="225" w:lineRule="auto"/>
        <w:ind w:left="3745"/>
        <w:outlineLvl w:val="9"/>
        <w:rPr>
          <w:rFonts w:ascii="宋体" w:hAnsi="宋体" w:eastAsia="宋体" w:cs="宋体"/>
          <w:spacing w:val="7"/>
          <w:sz w:val="31"/>
          <w:szCs w:val="31"/>
          <w14:textOutline w14:w="5793" w14:cap="sq" w14:cmpd="sng">
            <w14:solidFill>
              <w14:srgbClr w14:val="000000"/>
            </w14:solidFill>
            <w14:prstDash w14:val="solid"/>
            <w14:bevel/>
          </w14:textOutline>
        </w:rPr>
      </w:pPr>
    </w:p>
    <w:p>
      <w:pPr>
        <w:spacing w:before="64" w:line="225" w:lineRule="auto"/>
        <w:ind w:left="3745"/>
        <w:outlineLvl w:val="9"/>
        <w:rPr>
          <w:rFonts w:ascii="宋体" w:hAnsi="宋体" w:eastAsia="宋体" w:cs="宋体"/>
          <w:spacing w:val="7"/>
          <w:sz w:val="31"/>
          <w:szCs w:val="31"/>
          <w14:textOutline w14:w="5793" w14:cap="sq" w14:cmpd="sng">
            <w14:solidFill>
              <w14:srgbClr w14:val="000000"/>
            </w14:solidFill>
            <w14:prstDash w14:val="solid"/>
            <w14:bevel/>
          </w14:textOutline>
        </w:rPr>
      </w:pPr>
    </w:p>
    <w:p>
      <w:pPr>
        <w:spacing w:before="64" w:line="225" w:lineRule="auto"/>
        <w:ind w:left="3745"/>
        <w:outlineLvl w:val="9"/>
        <w:rPr>
          <w:rFonts w:ascii="宋体" w:hAnsi="宋体" w:eastAsia="宋体" w:cs="宋体"/>
          <w:spacing w:val="7"/>
          <w:sz w:val="31"/>
          <w:szCs w:val="31"/>
          <w14:textOutline w14:w="5793" w14:cap="sq" w14:cmpd="sng">
            <w14:solidFill>
              <w14:srgbClr w14:val="000000"/>
            </w14:solidFill>
            <w14:prstDash w14:val="solid"/>
            <w14:bevel/>
          </w14:textOutline>
        </w:rPr>
      </w:pPr>
    </w:p>
    <w:p>
      <w:pPr>
        <w:spacing w:before="64" w:line="225" w:lineRule="auto"/>
        <w:ind w:left="3745"/>
        <w:outlineLvl w:val="9"/>
        <w:rPr>
          <w:rFonts w:ascii="宋体" w:hAnsi="宋体" w:eastAsia="宋体" w:cs="宋体"/>
          <w:spacing w:val="7"/>
          <w:sz w:val="31"/>
          <w:szCs w:val="31"/>
          <w14:textOutline w14:w="5793" w14:cap="sq" w14:cmpd="sng">
            <w14:solidFill>
              <w14:srgbClr w14:val="000000"/>
            </w14:solidFill>
            <w14:prstDash w14:val="solid"/>
            <w14:bevel/>
          </w14:textOutline>
        </w:rPr>
      </w:pPr>
    </w:p>
    <w:p>
      <w:pPr>
        <w:spacing w:before="64" w:line="225" w:lineRule="auto"/>
        <w:ind w:left="3745"/>
        <w:outlineLvl w:val="9"/>
        <w:rPr>
          <w:rFonts w:ascii="宋体" w:hAnsi="宋体" w:eastAsia="宋体" w:cs="宋体"/>
          <w:spacing w:val="7"/>
          <w:sz w:val="31"/>
          <w:szCs w:val="31"/>
          <w14:textOutline w14:w="5793" w14:cap="sq" w14:cmpd="sng">
            <w14:solidFill>
              <w14:srgbClr w14:val="000000"/>
            </w14:solidFill>
            <w14:prstDash w14:val="solid"/>
            <w14:bevel/>
          </w14:textOutline>
        </w:rPr>
      </w:pPr>
    </w:p>
    <w:p>
      <w:pPr>
        <w:spacing w:before="64" w:line="225" w:lineRule="auto"/>
        <w:ind w:left="3745"/>
        <w:outlineLvl w:val="9"/>
        <w:rPr>
          <w:rFonts w:ascii="宋体" w:hAnsi="宋体" w:eastAsia="宋体" w:cs="宋体"/>
          <w:spacing w:val="7"/>
          <w:sz w:val="31"/>
          <w:szCs w:val="31"/>
          <w14:textOutline w14:w="5793" w14:cap="sq" w14:cmpd="sng">
            <w14:solidFill>
              <w14:srgbClr w14:val="000000"/>
            </w14:solidFill>
            <w14:prstDash w14:val="solid"/>
            <w14:bevel/>
          </w14:textOutline>
        </w:rPr>
      </w:pPr>
    </w:p>
    <w:p>
      <w:pPr>
        <w:spacing w:before="64" w:line="225" w:lineRule="auto"/>
        <w:ind w:left="3745"/>
        <w:outlineLvl w:val="9"/>
        <w:rPr>
          <w:rFonts w:ascii="宋体" w:hAnsi="宋体" w:eastAsia="宋体" w:cs="宋体"/>
          <w:spacing w:val="7"/>
          <w:sz w:val="31"/>
          <w:szCs w:val="31"/>
          <w14:textOutline w14:w="5793" w14:cap="sq" w14:cmpd="sng">
            <w14:solidFill>
              <w14:srgbClr w14:val="000000"/>
            </w14:solidFill>
            <w14:prstDash w14:val="solid"/>
            <w14:bevel/>
          </w14:textOutline>
        </w:rPr>
      </w:pPr>
    </w:p>
    <w:p>
      <w:pPr>
        <w:spacing w:before="64" w:line="225" w:lineRule="auto"/>
        <w:ind w:left="3745"/>
        <w:outlineLvl w:val="9"/>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一、</w:t>
      </w:r>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t>响应</w:t>
      </w:r>
      <w:r>
        <w:rPr>
          <w:rFonts w:hint="eastAsia" w:ascii="宋体" w:hAnsi="宋体" w:eastAsia="宋体" w:cs="宋体"/>
          <w:spacing w:val="-2"/>
          <w:sz w:val="28"/>
          <w:szCs w:val="28"/>
          <w14:textOutline w14:w="5103" w14:cap="sq" w14:cmpd="sng">
            <w14:solidFill>
              <w14:srgbClr w14:val="000000"/>
            </w14:solidFill>
            <w14:prstDash w14:val="solid"/>
            <w14:bevel/>
          </w14:textOutline>
        </w:rPr>
        <w:t>函</w:t>
      </w:r>
    </w:p>
    <w:p>
      <w:pPr>
        <w:spacing w:before="197" w:line="219" w:lineRule="auto"/>
        <w:rPr>
          <w:rFonts w:ascii="宋体" w:hAnsi="宋体" w:eastAsia="宋体" w:cs="宋体"/>
          <w:sz w:val="24"/>
          <w:szCs w:val="24"/>
        </w:rPr>
      </w:pPr>
      <w:r>
        <w:rPr>
          <w:rFonts w:ascii="宋体" w:hAnsi="宋体" w:eastAsia="宋体" w:cs="宋体"/>
          <w:spacing w:val="-2"/>
          <w:sz w:val="24"/>
          <w:szCs w:val="24"/>
        </w:rPr>
        <w:t>致（采购人名称</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 xml:space="preserve"> ：</w:t>
      </w:r>
    </w:p>
    <w:p>
      <w:pPr>
        <w:spacing w:before="233" w:line="401" w:lineRule="auto"/>
        <w:ind w:left="3" w:right="85" w:firstLine="479"/>
        <w:rPr>
          <w:rFonts w:ascii="宋体" w:hAnsi="宋体" w:eastAsia="宋体" w:cs="宋体"/>
          <w:sz w:val="24"/>
          <w:szCs w:val="24"/>
        </w:rPr>
      </w:pPr>
      <w:r>
        <w:rPr>
          <w:rFonts w:ascii="宋体" w:hAnsi="宋体" w:eastAsia="宋体" w:cs="宋体"/>
          <w:spacing w:val="-2"/>
          <w:sz w:val="24"/>
          <w:szCs w:val="24"/>
        </w:rPr>
        <w:t>我们收到了采购编号为</w:t>
      </w:r>
      <w:r>
        <w:rPr>
          <w:rFonts w:ascii="宋体" w:hAnsi="宋体" w:eastAsia="宋体" w:cs="宋体"/>
          <w:spacing w:val="-2"/>
          <w:sz w:val="24"/>
          <w:szCs w:val="24"/>
          <w:u w:val="single" w:color="auto"/>
        </w:rPr>
        <w:t xml:space="preserve">       </w:t>
      </w:r>
      <w:r>
        <w:rPr>
          <w:rFonts w:ascii="宋体" w:hAnsi="宋体" w:eastAsia="宋体" w:cs="宋体"/>
          <w:spacing w:val="34"/>
          <w:sz w:val="24"/>
          <w:szCs w:val="24"/>
        </w:rPr>
        <w:t xml:space="preserve"> </w:t>
      </w:r>
      <w:r>
        <w:rPr>
          <w:rFonts w:ascii="宋体" w:hAnsi="宋体" w:eastAsia="宋体" w:cs="宋体"/>
          <w:spacing w:val="-2"/>
          <w:sz w:val="24"/>
          <w:szCs w:val="24"/>
        </w:rPr>
        <w:t xml:space="preserve">的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（项目名称）竞争性磋商文件，经</w:t>
      </w:r>
      <w:r>
        <w:rPr>
          <w:rFonts w:ascii="宋体" w:hAnsi="宋体" w:eastAsia="宋体" w:cs="宋体"/>
          <w:spacing w:val="-1"/>
          <w:sz w:val="24"/>
          <w:szCs w:val="24"/>
        </w:rPr>
        <w:t>详细研究，我们决定参加该项目的投标活动</w:t>
      </w:r>
      <w:r>
        <w:rPr>
          <w:rFonts w:ascii="宋体" w:hAnsi="宋体" w:eastAsia="宋体" w:cs="宋体"/>
          <w:spacing w:val="-2"/>
          <w:sz w:val="24"/>
          <w:szCs w:val="24"/>
        </w:rPr>
        <w:t>并按要求提交响应文件。我们郑重声明以下</w:t>
      </w:r>
    </w:p>
    <w:p>
      <w:pPr>
        <w:spacing w:line="219" w:lineRule="auto"/>
        <w:rPr>
          <w:rFonts w:ascii="宋体" w:hAnsi="宋体" w:eastAsia="宋体" w:cs="宋体"/>
          <w:sz w:val="24"/>
          <w:szCs w:val="24"/>
        </w:rPr>
      </w:pPr>
      <w:r>
        <w:rPr>
          <w:rFonts w:ascii="宋体" w:hAnsi="宋体" w:eastAsia="宋体" w:cs="宋体"/>
          <w:spacing w:val="-1"/>
          <w:sz w:val="24"/>
          <w:szCs w:val="24"/>
        </w:rPr>
        <w:t>诸点并负法律责任：</w:t>
      </w:r>
    </w:p>
    <w:p>
      <w:pPr>
        <w:spacing w:before="233" w:line="521" w:lineRule="exact"/>
        <w:ind w:right="73"/>
        <w:jc w:val="right"/>
        <w:rPr>
          <w:rFonts w:hint="eastAsia" w:ascii="宋体" w:hAnsi="宋体" w:eastAsia="宋体" w:cs="宋体"/>
          <w:sz w:val="24"/>
          <w:szCs w:val="24"/>
          <w:lang w:eastAsia="zh-CN"/>
        </w:rPr>
      </w:pPr>
      <w:r>
        <w:rPr>
          <w:rFonts w:ascii="宋体" w:hAnsi="宋体" w:eastAsia="宋体" w:cs="宋体"/>
          <w:spacing w:val="-5"/>
          <w:position w:val="21"/>
          <w:sz w:val="24"/>
          <w:szCs w:val="24"/>
        </w:rPr>
        <w:t>1、愿按照采购文件中规定的条款和要求，提供完成采购文件规定的全部工作，</w:t>
      </w:r>
      <w:r>
        <w:rPr>
          <w:rFonts w:hint="eastAsia" w:ascii="宋体" w:hAnsi="宋体" w:eastAsia="宋体" w:cs="宋体"/>
          <w:spacing w:val="-5"/>
          <w:position w:val="21"/>
          <w:sz w:val="24"/>
          <w:szCs w:val="24"/>
          <w:lang w:val="en-US" w:eastAsia="zh-CN"/>
        </w:rPr>
        <w:t>磋商</w:t>
      </w:r>
    </w:p>
    <w:p>
      <w:pPr>
        <w:spacing w:before="1" w:line="217" w:lineRule="auto"/>
        <w:jc w:val="right"/>
        <w:rPr>
          <w:rFonts w:ascii="宋体" w:hAnsi="宋体" w:eastAsia="宋体" w:cs="宋体"/>
          <w:sz w:val="24"/>
          <w:szCs w:val="24"/>
        </w:rPr>
      </w:pPr>
      <w:r>
        <w:rPr>
          <w:rFonts w:ascii="宋体" w:hAnsi="宋体" w:eastAsia="宋体" w:cs="宋体"/>
          <w:spacing w:val="-10"/>
          <w:sz w:val="24"/>
          <w:szCs w:val="24"/>
        </w:rPr>
        <w:t>总报价为（大写：</w:t>
      </w:r>
      <w:r>
        <w:rPr>
          <w:rFonts w:ascii="宋体" w:hAnsi="宋体" w:eastAsia="宋体" w:cs="宋体"/>
          <w:spacing w:val="-10"/>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0"/>
          <w:sz w:val="24"/>
          <w:szCs w:val="24"/>
        </w:rPr>
        <w:t>人民币（RMB￥：</w:t>
      </w:r>
      <w:r>
        <w:rPr>
          <w:rFonts w:ascii="宋体" w:hAnsi="宋体" w:eastAsia="宋体" w:cs="宋体"/>
          <w:spacing w:val="-10"/>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0"/>
          <w:sz w:val="24"/>
          <w:szCs w:val="24"/>
        </w:rPr>
        <w:t>元</w:t>
      </w:r>
      <w:r>
        <w:rPr>
          <w:rFonts w:ascii="宋体" w:hAnsi="宋体" w:eastAsia="宋体" w:cs="宋体"/>
          <w:spacing w:val="-34"/>
          <w:sz w:val="24"/>
          <w:szCs w:val="24"/>
        </w:rPr>
        <w:t>），</w:t>
      </w:r>
      <w:r>
        <w:rPr>
          <w:rFonts w:ascii="宋体" w:hAnsi="宋体" w:eastAsia="宋体" w:cs="宋体"/>
          <w:spacing w:val="-10"/>
          <w:sz w:val="24"/>
          <w:szCs w:val="24"/>
        </w:rPr>
        <w:t>供货期（含安装调试</w:t>
      </w:r>
      <w:r>
        <w:rPr>
          <w:rFonts w:ascii="宋体" w:hAnsi="宋体" w:eastAsia="宋体" w:cs="宋体"/>
          <w:spacing w:val="-34"/>
          <w:sz w:val="24"/>
          <w:szCs w:val="24"/>
        </w:rPr>
        <w:t>）：</w:t>
      </w:r>
      <w:r>
        <w:rPr>
          <w:rFonts w:ascii="宋体" w:hAnsi="宋体" w:eastAsia="宋体" w:cs="宋体"/>
          <w:spacing w:val="32"/>
          <w:sz w:val="24"/>
          <w:szCs w:val="24"/>
          <w:u w:val="single" w:color="auto"/>
        </w:rPr>
        <w:t xml:space="preserve">   </w:t>
      </w:r>
      <w:r>
        <w:rPr>
          <w:rFonts w:ascii="宋体" w:hAnsi="宋体" w:eastAsia="宋体" w:cs="宋体"/>
          <w:spacing w:val="-10"/>
          <w:sz w:val="24"/>
          <w:szCs w:val="24"/>
        </w:rPr>
        <w:t>。</w:t>
      </w:r>
    </w:p>
    <w:p>
      <w:pPr>
        <w:spacing w:before="237" w:line="219" w:lineRule="auto"/>
        <w:ind w:left="483"/>
        <w:rPr>
          <w:rFonts w:ascii="宋体" w:hAnsi="宋体" w:eastAsia="宋体" w:cs="宋体"/>
          <w:sz w:val="24"/>
          <w:szCs w:val="24"/>
        </w:rPr>
      </w:pPr>
      <w:r>
        <w:rPr>
          <w:rFonts w:ascii="宋体" w:hAnsi="宋体" w:eastAsia="宋体" w:cs="宋体"/>
          <w:sz w:val="24"/>
          <w:szCs w:val="24"/>
        </w:rPr>
        <w:t>2、如果我们的响应文件被接受，我们将履行竞争</w:t>
      </w:r>
      <w:r>
        <w:rPr>
          <w:rFonts w:ascii="宋体" w:hAnsi="宋体" w:eastAsia="宋体" w:cs="宋体"/>
          <w:spacing w:val="-1"/>
          <w:sz w:val="24"/>
          <w:szCs w:val="24"/>
        </w:rPr>
        <w:t>性磋商文件中规定的各项要求。</w:t>
      </w:r>
    </w:p>
    <w:p>
      <w:pPr>
        <w:spacing w:before="234" w:line="520" w:lineRule="exact"/>
        <w:ind w:left="483"/>
        <w:rPr>
          <w:rFonts w:ascii="宋体" w:hAnsi="宋体" w:eastAsia="宋体" w:cs="宋体"/>
          <w:sz w:val="24"/>
          <w:szCs w:val="24"/>
        </w:rPr>
      </w:pPr>
      <w:r>
        <w:rPr>
          <w:rFonts w:ascii="宋体" w:hAnsi="宋体" w:eastAsia="宋体" w:cs="宋体"/>
          <w:spacing w:val="-5"/>
          <w:position w:val="21"/>
          <w:sz w:val="24"/>
          <w:szCs w:val="24"/>
        </w:rPr>
        <w:t>3、我们同意本竞争性磋商文件中有关投标有效期的规定。如果中标，有效期延长至</w:t>
      </w:r>
    </w:p>
    <w:p>
      <w:pPr>
        <w:spacing w:before="1" w:line="221" w:lineRule="auto"/>
        <w:ind w:left="1"/>
        <w:rPr>
          <w:rFonts w:ascii="宋体" w:hAnsi="宋体" w:eastAsia="宋体" w:cs="宋体"/>
          <w:sz w:val="24"/>
          <w:szCs w:val="24"/>
        </w:rPr>
      </w:pPr>
      <w:r>
        <w:rPr>
          <w:rFonts w:ascii="宋体" w:hAnsi="宋体" w:eastAsia="宋体" w:cs="宋体"/>
          <w:spacing w:val="-3"/>
          <w:sz w:val="24"/>
          <w:szCs w:val="24"/>
        </w:rPr>
        <w:t>合同终止日止。</w:t>
      </w:r>
    </w:p>
    <w:p>
      <w:pPr>
        <w:spacing w:before="232" w:line="219" w:lineRule="auto"/>
        <w:ind w:left="480"/>
        <w:rPr>
          <w:rFonts w:ascii="宋体" w:hAnsi="宋体" w:eastAsia="宋体" w:cs="宋体"/>
          <w:sz w:val="24"/>
          <w:szCs w:val="24"/>
        </w:rPr>
      </w:pPr>
      <w:r>
        <w:rPr>
          <w:rFonts w:ascii="宋体" w:hAnsi="宋体" w:eastAsia="宋体" w:cs="宋体"/>
          <w:spacing w:val="-1"/>
          <w:sz w:val="24"/>
          <w:szCs w:val="24"/>
        </w:rPr>
        <w:t>4、我们愿提供竞争性磋商文件中要求的所有文件资料。</w:t>
      </w:r>
    </w:p>
    <w:p>
      <w:pPr>
        <w:spacing w:before="235" w:line="520" w:lineRule="exact"/>
        <w:ind w:right="77"/>
        <w:jc w:val="right"/>
        <w:rPr>
          <w:rFonts w:ascii="宋体" w:hAnsi="宋体" w:eastAsia="宋体" w:cs="宋体"/>
          <w:sz w:val="24"/>
          <w:szCs w:val="24"/>
        </w:rPr>
      </w:pPr>
      <w:r>
        <w:rPr>
          <w:rFonts w:ascii="宋体" w:hAnsi="宋体" w:eastAsia="宋体" w:cs="宋体"/>
          <w:spacing w:val="-5"/>
          <w:position w:val="21"/>
          <w:sz w:val="24"/>
          <w:szCs w:val="24"/>
        </w:rPr>
        <w:t>5、如有需要澄清的问题，我们同意按竞争性磋商文件规定的时间向采购人提出。逾</w:t>
      </w:r>
    </w:p>
    <w:p>
      <w:pPr>
        <w:spacing w:before="1" w:line="219" w:lineRule="auto"/>
        <w:ind w:left="3"/>
        <w:rPr>
          <w:rFonts w:ascii="宋体" w:hAnsi="宋体" w:eastAsia="宋体" w:cs="宋体"/>
          <w:sz w:val="24"/>
          <w:szCs w:val="24"/>
        </w:rPr>
      </w:pPr>
      <w:r>
        <w:rPr>
          <w:rFonts w:ascii="宋体" w:hAnsi="宋体" w:eastAsia="宋体" w:cs="宋体"/>
          <w:spacing w:val="-1"/>
          <w:sz w:val="24"/>
          <w:szCs w:val="24"/>
        </w:rPr>
        <w:t>期不提，我公司同意放弃对这方面有不明及误解的权利。</w:t>
      </w:r>
    </w:p>
    <w:p>
      <w:pPr>
        <w:spacing w:before="236" w:line="518" w:lineRule="exact"/>
        <w:ind w:right="69"/>
        <w:jc w:val="right"/>
        <w:rPr>
          <w:rFonts w:ascii="宋体" w:hAnsi="宋体" w:eastAsia="宋体" w:cs="宋体"/>
          <w:sz w:val="24"/>
          <w:szCs w:val="24"/>
        </w:rPr>
      </w:pPr>
      <w:r>
        <w:rPr>
          <w:rFonts w:ascii="宋体" w:hAnsi="宋体" w:eastAsia="宋体" w:cs="宋体"/>
          <w:spacing w:val="-4"/>
          <w:position w:val="21"/>
          <w:sz w:val="24"/>
          <w:szCs w:val="24"/>
        </w:rPr>
        <w:t>6、我们承诺，与采购人聘请的为此项目提供咨询服务及任何</w:t>
      </w:r>
      <w:r>
        <w:rPr>
          <w:rFonts w:ascii="宋体" w:hAnsi="宋体" w:eastAsia="宋体" w:cs="宋体"/>
          <w:spacing w:val="-5"/>
          <w:position w:val="21"/>
          <w:sz w:val="24"/>
          <w:szCs w:val="24"/>
        </w:rPr>
        <w:t>附属机构均无关联，非</w:t>
      </w:r>
    </w:p>
    <w:p>
      <w:pPr>
        <w:spacing w:before="1" w:line="218" w:lineRule="auto"/>
        <w:rPr>
          <w:rFonts w:ascii="宋体" w:hAnsi="宋体" w:eastAsia="宋体" w:cs="宋体"/>
          <w:sz w:val="24"/>
          <w:szCs w:val="24"/>
        </w:rPr>
      </w:pPr>
      <w:r>
        <w:rPr>
          <w:rFonts w:ascii="宋体" w:hAnsi="宋体" w:eastAsia="宋体" w:cs="宋体"/>
          <w:spacing w:val="-1"/>
          <w:sz w:val="24"/>
          <w:szCs w:val="24"/>
        </w:rPr>
        <w:t>采购人的附属机构。</w:t>
      </w:r>
    </w:p>
    <w:p>
      <w:pPr>
        <w:spacing w:before="236" w:line="521" w:lineRule="exact"/>
        <w:ind w:left="484"/>
        <w:rPr>
          <w:rFonts w:ascii="宋体" w:hAnsi="宋体" w:eastAsia="宋体" w:cs="宋体"/>
          <w:sz w:val="24"/>
          <w:szCs w:val="24"/>
        </w:rPr>
      </w:pPr>
      <w:r>
        <w:rPr>
          <w:rFonts w:ascii="宋体" w:hAnsi="宋体" w:eastAsia="宋体" w:cs="宋体"/>
          <w:spacing w:val="-5"/>
          <w:position w:val="21"/>
          <w:sz w:val="24"/>
          <w:szCs w:val="24"/>
        </w:rPr>
        <w:t>7、我公司同意提供按照采购人可能要求的与其投标有关的一切数据或资料，完全理</w:t>
      </w:r>
    </w:p>
    <w:p>
      <w:pPr>
        <w:spacing w:before="1" w:line="217" w:lineRule="auto"/>
        <w:rPr>
          <w:rFonts w:ascii="宋体" w:hAnsi="宋体" w:eastAsia="宋体" w:cs="宋体"/>
          <w:sz w:val="24"/>
          <w:szCs w:val="24"/>
        </w:rPr>
      </w:pPr>
      <w:r>
        <w:rPr>
          <w:rFonts w:ascii="宋体" w:hAnsi="宋体" w:eastAsia="宋体" w:cs="宋体"/>
          <w:spacing w:val="-1"/>
          <w:sz w:val="24"/>
          <w:szCs w:val="24"/>
        </w:rPr>
        <w:t>解采购人不一定接受最低价的投标或收到的任何投标。</w:t>
      </w:r>
    </w:p>
    <w:p>
      <w:pPr>
        <w:spacing w:before="236" w:line="219" w:lineRule="auto"/>
        <w:ind w:left="479"/>
        <w:rPr>
          <w:rFonts w:ascii="宋体" w:hAnsi="宋体" w:eastAsia="宋体" w:cs="宋体"/>
          <w:sz w:val="24"/>
          <w:szCs w:val="24"/>
        </w:rPr>
      </w:pPr>
      <w:r>
        <w:rPr>
          <w:rFonts w:ascii="宋体" w:hAnsi="宋体" w:eastAsia="宋体" w:cs="宋体"/>
          <w:spacing w:val="-2"/>
          <w:sz w:val="24"/>
          <w:szCs w:val="24"/>
        </w:rPr>
        <w:t>8、我们愿按《中华人民共和国合同法》履</w:t>
      </w:r>
      <w:r>
        <w:rPr>
          <w:rFonts w:ascii="宋体" w:hAnsi="宋体" w:eastAsia="宋体" w:cs="宋体"/>
          <w:spacing w:val="-3"/>
          <w:sz w:val="24"/>
          <w:szCs w:val="24"/>
        </w:rPr>
        <w:t>行自己的全部责任。</w:t>
      </w:r>
    </w:p>
    <w:p>
      <w:pPr>
        <w:spacing w:before="236" w:line="520" w:lineRule="exact"/>
        <w:ind w:left="481"/>
        <w:rPr>
          <w:rFonts w:ascii="宋体" w:hAnsi="宋体" w:eastAsia="宋体" w:cs="宋体"/>
          <w:sz w:val="24"/>
          <w:szCs w:val="24"/>
        </w:rPr>
      </w:pPr>
      <w:r>
        <w:rPr>
          <w:rFonts w:ascii="宋体" w:hAnsi="宋体" w:eastAsia="宋体" w:cs="宋体"/>
          <w:position w:val="21"/>
          <w:sz w:val="24"/>
          <w:szCs w:val="24"/>
        </w:rPr>
        <w:t>9、我们已经详细审核了全部竞争性磋商文件，</w:t>
      </w:r>
      <w:r>
        <w:rPr>
          <w:rFonts w:ascii="宋体" w:hAnsi="宋体" w:eastAsia="宋体" w:cs="宋体"/>
          <w:spacing w:val="-1"/>
          <w:position w:val="21"/>
          <w:sz w:val="24"/>
          <w:szCs w:val="24"/>
        </w:rPr>
        <w:t>对竞争性磋商文件无疑义。</w:t>
      </w:r>
    </w:p>
    <w:p>
      <w:pPr>
        <w:spacing w:before="1" w:line="218" w:lineRule="auto"/>
        <w:ind w:left="485"/>
        <w:rPr>
          <w:rFonts w:ascii="宋体" w:hAnsi="宋体" w:eastAsia="宋体" w:cs="宋体"/>
          <w:sz w:val="24"/>
          <w:szCs w:val="24"/>
        </w:rPr>
      </w:pPr>
      <w:r>
        <w:rPr>
          <w:rFonts w:ascii="宋体" w:hAnsi="宋体" w:eastAsia="宋体" w:cs="宋体"/>
          <w:spacing w:val="-2"/>
          <w:sz w:val="24"/>
          <w:szCs w:val="24"/>
        </w:rPr>
        <w:t>与本投标有关的正式通讯地址：</w:t>
      </w:r>
    </w:p>
    <w:p>
      <w:pPr>
        <w:spacing w:before="235" w:line="219" w:lineRule="auto"/>
        <w:ind w:left="480"/>
        <w:rPr>
          <w:rFonts w:ascii="宋体" w:hAnsi="宋体" w:eastAsia="宋体" w:cs="宋体"/>
          <w:sz w:val="24"/>
          <w:szCs w:val="24"/>
        </w:rPr>
      </w:pPr>
      <w:r>
        <w:rPr>
          <w:rFonts w:ascii="宋体" w:hAnsi="宋体" w:eastAsia="宋体" w:cs="宋体"/>
          <w:spacing w:val="-10"/>
          <w:sz w:val="24"/>
          <w:szCs w:val="24"/>
        </w:rPr>
        <w:t>地</w:t>
      </w:r>
      <w:r>
        <w:rPr>
          <w:rFonts w:ascii="宋体" w:hAnsi="宋体" w:eastAsia="宋体" w:cs="宋体"/>
          <w:spacing w:val="11"/>
          <w:sz w:val="24"/>
          <w:szCs w:val="24"/>
        </w:rPr>
        <w:t xml:space="preserve"> </w:t>
      </w:r>
      <w:r>
        <w:rPr>
          <w:rFonts w:ascii="宋体" w:hAnsi="宋体" w:eastAsia="宋体" w:cs="宋体"/>
          <w:spacing w:val="-10"/>
          <w:sz w:val="24"/>
          <w:szCs w:val="24"/>
        </w:rPr>
        <w:t>址：</w:t>
      </w:r>
      <w:r>
        <w:rPr>
          <w:rFonts w:ascii="宋体" w:hAnsi="宋体" w:eastAsia="宋体" w:cs="宋体"/>
          <w:spacing w:val="2"/>
          <w:sz w:val="24"/>
          <w:szCs w:val="24"/>
        </w:rPr>
        <w:t xml:space="preserve">              </w:t>
      </w:r>
      <w:r>
        <w:rPr>
          <w:rFonts w:ascii="宋体" w:hAnsi="宋体" w:eastAsia="宋体" w:cs="宋体"/>
          <w:spacing w:val="-10"/>
          <w:sz w:val="24"/>
          <w:szCs w:val="24"/>
        </w:rPr>
        <w:t>邮</w:t>
      </w:r>
      <w:r>
        <w:rPr>
          <w:rFonts w:ascii="宋体" w:hAnsi="宋体" w:eastAsia="宋体" w:cs="宋体"/>
          <w:spacing w:val="22"/>
          <w:sz w:val="24"/>
          <w:szCs w:val="24"/>
        </w:rPr>
        <w:t xml:space="preserve"> </w:t>
      </w:r>
      <w:r>
        <w:rPr>
          <w:rFonts w:ascii="宋体" w:hAnsi="宋体" w:eastAsia="宋体" w:cs="宋体"/>
          <w:spacing w:val="-10"/>
          <w:sz w:val="24"/>
          <w:szCs w:val="24"/>
        </w:rPr>
        <w:t>编：</w:t>
      </w:r>
    </w:p>
    <w:p>
      <w:pPr>
        <w:spacing w:before="235" w:line="219" w:lineRule="auto"/>
        <w:ind w:left="509"/>
        <w:rPr>
          <w:rFonts w:ascii="宋体" w:hAnsi="宋体" w:eastAsia="宋体" w:cs="宋体"/>
          <w:sz w:val="24"/>
          <w:szCs w:val="24"/>
        </w:rPr>
      </w:pPr>
      <w:r>
        <w:rPr>
          <w:rFonts w:ascii="宋体" w:hAnsi="宋体" w:eastAsia="宋体" w:cs="宋体"/>
          <w:spacing w:val="-12"/>
          <w:sz w:val="24"/>
          <w:szCs w:val="24"/>
        </w:rPr>
        <w:t>电</w:t>
      </w:r>
      <w:r>
        <w:rPr>
          <w:rFonts w:ascii="宋体" w:hAnsi="宋体" w:eastAsia="宋体" w:cs="宋体"/>
          <w:spacing w:val="13"/>
          <w:sz w:val="24"/>
          <w:szCs w:val="24"/>
        </w:rPr>
        <w:t xml:space="preserve"> </w:t>
      </w:r>
      <w:r>
        <w:rPr>
          <w:rFonts w:ascii="宋体" w:hAnsi="宋体" w:eastAsia="宋体" w:cs="宋体"/>
          <w:spacing w:val="-12"/>
          <w:sz w:val="24"/>
          <w:szCs w:val="24"/>
        </w:rPr>
        <w:t>话：</w:t>
      </w:r>
      <w:r>
        <w:rPr>
          <w:rFonts w:ascii="宋体" w:hAnsi="宋体" w:eastAsia="宋体" w:cs="宋体"/>
          <w:spacing w:val="1"/>
          <w:sz w:val="24"/>
          <w:szCs w:val="24"/>
        </w:rPr>
        <w:t xml:space="preserve">              </w:t>
      </w:r>
      <w:r>
        <w:rPr>
          <w:rFonts w:ascii="宋体" w:hAnsi="宋体" w:eastAsia="宋体" w:cs="宋体"/>
          <w:spacing w:val="-12"/>
          <w:sz w:val="24"/>
          <w:szCs w:val="24"/>
        </w:rPr>
        <w:t>传</w:t>
      </w:r>
      <w:r>
        <w:rPr>
          <w:rFonts w:ascii="宋体" w:hAnsi="宋体" w:eastAsia="宋体" w:cs="宋体"/>
          <w:spacing w:val="18"/>
          <w:sz w:val="24"/>
          <w:szCs w:val="24"/>
        </w:rPr>
        <w:t xml:space="preserve"> </w:t>
      </w:r>
      <w:r>
        <w:rPr>
          <w:rFonts w:ascii="宋体" w:hAnsi="宋体" w:eastAsia="宋体" w:cs="宋体"/>
          <w:spacing w:val="-12"/>
          <w:sz w:val="24"/>
          <w:szCs w:val="24"/>
        </w:rPr>
        <w:t>真：</w:t>
      </w:r>
    </w:p>
    <w:p>
      <w:pPr>
        <w:tabs>
          <w:tab w:val="left" w:pos="8510"/>
        </w:tabs>
        <w:spacing w:before="236" w:line="400" w:lineRule="auto"/>
        <w:ind w:left="3000" w:right="641"/>
        <w:jc w:val="both"/>
        <w:rPr>
          <w:rFonts w:ascii="宋体" w:hAnsi="宋体" w:eastAsia="宋体" w:cs="宋体"/>
          <w:sz w:val="24"/>
          <w:szCs w:val="24"/>
        </w:rPr>
      </w:pPr>
      <w:r>
        <w:rPr>
          <w:rFonts w:ascii="宋体" w:hAnsi="宋体" w:eastAsia="宋体" w:cs="宋体"/>
          <w:spacing w:val="-2"/>
          <w:sz w:val="24"/>
          <w:szCs w:val="24"/>
        </w:rPr>
        <w:t>供应商（盖电子签章</w:t>
      </w:r>
      <w:r>
        <w:rPr>
          <w:rFonts w:ascii="宋体" w:hAnsi="宋体" w:eastAsia="宋体" w:cs="宋体"/>
          <w:spacing w:val="3"/>
          <w:sz w:val="24"/>
          <w:szCs w:val="24"/>
        </w:rPr>
        <w:t>）：</w:t>
      </w:r>
      <w:r>
        <w:rPr>
          <w:rFonts w:ascii="宋体" w:hAnsi="宋体" w:eastAsia="宋体" w:cs="宋体"/>
          <w:spacing w:val="1"/>
          <w:sz w:val="24"/>
          <w:szCs w:val="24"/>
        </w:rPr>
        <w:t xml:space="preserve"> </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rPr>
        <w:t>法定代表人（盖电子签章</w:t>
      </w:r>
      <w:r>
        <w:rPr>
          <w:rFonts w:ascii="宋体" w:hAnsi="宋体" w:eastAsia="宋体" w:cs="宋体"/>
          <w:sz w:val="24"/>
          <w:szCs w:val="24"/>
        </w:rPr>
        <w:t>）：</w:t>
      </w:r>
      <w:r>
        <w:rPr>
          <w:rFonts w:ascii="宋体" w:hAnsi="宋体" w:eastAsia="宋体" w:cs="宋体"/>
          <w:sz w:val="24"/>
          <w:szCs w:val="24"/>
          <w:u w:val="single" w:color="auto"/>
        </w:rPr>
        <w:t xml:space="preserve">                    </w:t>
      </w:r>
    </w:p>
    <w:p>
      <w:pPr>
        <w:spacing w:line="220" w:lineRule="auto"/>
        <w:ind w:left="3042"/>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p>
    <w:p>
      <w:pPr>
        <w:spacing w:line="220" w:lineRule="auto"/>
        <w:rPr>
          <w:rFonts w:ascii="宋体" w:hAnsi="宋体" w:eastAsia="宋体" w:cs="宋体"/>
          <w:sz w:val="24"/>
          <w:szCs w:val="24"/>
        </w:rPr>
        <w:sectPr>
          <w:footerReference r:id="rId14" w:type="default"/>
          <w:pgSz w:w="11911" w:h="16839"/>
          <w:pgMar w:top="1403" w:right="1333" w:bottom="1015" w:left="1424" w:header="0" w:footer="850" w:gutter="0"/>
          <w:pgNumType w:fmt="decimal"/>
          <w:cols w:space="720" w:num="1"/>
        </w:sectPr>
      </w:pPr>
    </w:p>
    <w:p>
      <w:pPr>
        <w:spacing w:before="55" w:line="212" w:lineRule="auto"/>
        <w:ind w:left="3063"/>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（二）</w:t>
      </w:r>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t>响应</w:t>
      </w:r>
      <w:r>
        <w:rPr>
          <w:rFonts w:ascii="宋体" w:hAnsi="宋体" w:eastAsia="宋体" w:cs="宋体"/>
          <w:spacing w:val="-2"/>
          <w:sz w:val="28"/>
          <w:szCs w:val="28"/>
          <w14:textOutline w14:w="5103" w14:cap="sq" w14:cmpd="sng">
            <w14:solidFill>
              <w14:srgbClr w14:val="000000"/>
            </w14:solidFill>
            <w14:prstDash w14:val="solid"/>
            <w14:bevel/>
          </w14:textOutline>
        </w:rPr>
        <w:t>函附录</w:t>
      </w:r>
    </w:p>
    <w:tbl>
      <w:tblPr>
        <w:tblStyle w:val="20"/>
        <w:tblW w:w="8203" w:type="dxa"/>
        <w:tblInd w:w="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5"/>
        <w:gridCol w:w="5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2445" w:type="dxa"/>
            <w:tcBorders>
              <w:left w:val="single" w:color="000000" w:sz="2" w:space="0"/>
            </w:tcBorders>
            <w:vAlign w:val="top"/>
          </w:tcPr>
          <w:p>
            <w:pPr>
              <w:spacing w:line="278" w:lineRule="auto"/>
              <w:rPr>
                <w:rFonts w:ascii="Arial"/>
                <w:sz w:val="21"/>
              </w:rPr>
            </w:pPr>
          </w:p>
          <w:p>
            <w:pPr>
              <w:pStyle w:val="22"/>
              <w:spacing w:before="65" w:line="228" w:lineRule="auto"/>
              <w:ind w:left="876"/>
              <w:rPr>
                <w:sz w:val="20"/>
                <w:szCs w:val="20"/>
              </w:rPr>
            </w:pPr>
            <w:r>
              <w:rPr>
                <w:spacing w:val="6"/>
                <w:sz w:val="20"/>
                <w:szCs w:val="20"/>
              </w:rPr>
              <w:t>项目名称</w:t>
            </w:r>
          </w:p>
        </w:tc>
        <w:tc>
          <w:tcPr>
            <w:tcW w:w="5758"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2445" w:type="dxa"/>
            <w:tcBorders>
              <w:left w:val="single" w:color="000000" w:sz="2" w:space="0"/>
            </w:tcBorders>
            <w:vAlign w:val="top"/>
          </w:tcPr>
          <w:p>
            <w:pPr>
              <w:spacing w:line="274" w:lineRule="auto"/>
              <w:rPr>
                <w:rFonts w:ascii="Arial"/>
                <w:sz w:val="21"/>
              </w:rPr>
            </w:pPr>
          </w:p>
          <w:p>
            <w:pPr>
              <w:pStyle w:val="22"/>
              <w:spacing w:before="65" w:line="228" w:lineRule="auto"/>
              <w:ind w:left="770"/>
              <w:rPr>
                <w:sz w:val="20"/>
                <w:szCs w:val="20"/>
              </w:rPr>
            </w:pPr>
            <w:r>
              <w:rPr>
                <w:rFonts w:hint="eastAsia"/>
                <w:spacing w:val="7"/>
                <w:sz w:val="20"/>
                <w:szCs w:val="20"/>
                <w:lang w:val="en-US" w:eastAsia="zh-CN"/>
              </w:rPr>
              <w:t>供应商</w:t>
            </w:r>
            <w:r>
              <w:rPr>
                <w:spacing w:val="7"/>
                <w:sz w:val="20"/>
                <w:szCs w:val="20"/>
              </w:rPr>
              <w:t>名称</w:t>
            </w:r>
          </w:p>
        </w:tc>
        <w:tc>
          <w:tcPr>
            <w:tcW w:w="5758"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2445" w:type="dxa"/>
            <w:tcBorders>
              <w:left w:val="single" w:color="000000" w:sz="2" w:space="0"/>
            </w:tcBorders>
            <w:vAlign w:val="top"/>
          </w:tcPr>
          <w:p>
            <w:pPr>
              <w:spacing w:line="472" w:lineRule="auto"/>
              <w:rPr>
                <w:rFonts w:ascii="Arial"/>
                <w:sz w:val="21"/>
              </w:rPr>
            </w:pPr>
          </w:p>
          <w:p>
            <w:pPr>
              <w:pStyle w:val="22"/>
              <w:spacing w:before="65" w:line="226" w:lineRule="auto"/>
              <w:ind w:left="770"/>
              <w:rPr>
                <w:sz w:val="20"/>
                <w:szCs w:val="20"/>
              </w:rPr>
            </w:pPr>
            <w:r>
              <w:rPr>
                <w:rFonts w:hint="eastAsia"/>
                <w:spacing w:val="7"/>
                <w:sz w:val="20"/>
                <w:szCs w:val="20"/>
                <w:lang w:val="en-US" w:eastAsia="zh-CN"/>
              </w:rPr>
              <w:t>磋商</w:t>
            </w:r>
            <w:r>
              <w:rPr>
                <w:spacing w:val="7"/>
                <w:sz w:val="20"/>
                <w:szCs w:val="20"/>
              </w:rPr>
              <w:t>报价</w:t>
            </w:r>
          </w:p>
        </w:tc>
        <w:tc>
          <w:tcPr>
            <w:tcW w:w="5758" w:type="dxa"/>
            <w:tcBorders>
              <w:right w:val="single" w:color="000000" w:sz="2" w:space="0"/>
            </w:tcBorders>
            <w:vAlign w:val="top"/>
          </w:tcPr>
          <w:p>
            <w:pPr>
              <w:spacing w:line="250" w:lineRule="auto"/>
              <w:rPr>
                <w:rFonts w:ascii="Arial"/>
                <w:sz w:val="21"/>
              </w:rPr>
            </w:pPr>
          </w:p>
          <w:p>
            <w:pPr>
              <w:pStyle w:val="22"/>
              <w:spacing w:before="65" w:line="447" w:lineRule="exact"/>
              <w:ind w:left="144"/>
              <w:rPr>
                <w:sz w:val="20"/>
                <w:szCs w:val="20"/>
              </w:rPr>
            </w:pPr>
            <w:r>
              <w:rPr>
                <w:spacing w:val="2"/>
                <w:position w:val="18"/>
                <w:sz w:val="20"/>
                <w:szCs w:val="20"/>
              </w:rPr>
              <w:t>（大写）</w:t>
            </w:r>
          </w:p>
          <w:p>
            <w:pPr>
              <w:pStyle w:val="22"/>
              <w:spacing w:line="229" w:lineRule="auto"/>
              <w:ind w:left="130"/>
              <w:rPr>
                <w:sz w:val="20"/>
                <w:szCs w:val="20"/>
              </w:rPr>
            </w:pPr>
            <w:r>
              <w:rPr>
                <w:spacing w:val="2"/>
                <w:sz w:val="20"/>
                <w:szCs w:val="20"/>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2445" w:type="dxa"/>
            <w:tcBorders>
              <w:left w:val="single" w:color="000000" w:sz="2" w:space="0"/>
            </w:tcBorders>
            <w:vAlign w:val="top"/>
          </w:tcPr>
          <w:p>
            <w:pPr>
              <w:spacing w:line="274" w:lineRule="auto"/>
              <w:rPr>
                <w:rFonts w:ascii="Arial"/>
                <w:sz w:val="21"/>
              </w:rPr>
            </w:pPr>
          </w:p>
          <w:p>
            <w:pPr>
              <w:pStyle w:val="22"/>
              <w:spacing w:before="65" w:line="228" w:lineRule="auto"/>
              <w:ind w:left="876"/>
              <w:rPr>
                <w:sz w:val="20"/>
                <w:szCs w:val="20"/>
              </w:rPr>
            </w:pPr>
            <w:bookmarkStart w:id="158" w:name="_GoBack"/>
            <w:r>
              <w:rPr>
                <w:rFonts w:hint="eastAsia"/>
                <w:spacing w:val="6"/>
                <w:sz w:val="20"/>
                <w:szCs w:val="20"/>
                <w:lang w:val="en-US" w:eastAsia="zh-CN"/>
              </w:rPr>
              <w:t>磋商</w:t>
            </w:r>
            <w:r>
              <w:rPr>
                <w:spacing w:val="6"/>
                <w:sz w:val="20"/>
                <w:szCs w:val="20"/>
              </w:rPr>
              <w:t>内容</w:t>
            </w:r>
            <w:bookmarkEnd w:id="158"/>
          </w:p>
        </w:tc>
        <w:tc>
          <w:tcPr>
            <w:tcW w:w="5758"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2445" w:type="dxa"/>
            <w:tcBorders>
              <w:left w:val="single" w:color="000000" w:sz="2" w:space="0"/>
            </w:tcBorders>
            <w:vAlign w:val="top"/>
          </w:tcPr>
          <w:p>
            <w:pPr>
              <w:spacing w:line="338" w:lineRule="auto"/>
              <w:rPr>
                <w:rFonts w:ascii="Arial"/>
                <w:sz w:val="21"/>
              </w:rPr>
            </w:pPr>
          </w:p>
          <w:p>
            <w:pPr>
              <w:pStyle w:val="22"/>
              <w:spacing w:before="65" w:line="227" w:lineRule="auto"/>
              <w:ind w:left="919"/>
              <w:rPr>
                <w:sz w:val="20"/>
                <w:szCs w:val="20"/>
              </w:rPr>
            </w:pPr>
            <w:r>
              <w:rPr>
                <w:spacing w:val="6"/>
                <w:sz w:val="20"/>
                <w:szCs w:val="20"/>
              </w:rPr>
              <w:t>供货期</w:t>
            </w:r>
          </w:p>
        </w:tc>
        <w:tc>
          <w:tcPr>
            <w:tcW w:w="5758"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2445" w:type="dxa"/>
            <w:tcBorders>
              <w:left w:val="single" w:color="000000" w:sz="2" w:space="0"/>
            </w:tcBorders>
            <w:vAlign w:val="top"/>
          </w:tcPr>
          <w:p>
            <w:pPr>
              <w:spacing w:line="275" w:lineRule="auto"/>
              <w:rPr>
                <w:rFonts w:ascii="Arial"/>
                <w:sz w:val="21"/>
              </w:rPr>
            </w:pPr>
          </w:p>
          <w:p>
            <w:pPr>
              <w:pStyle w:val="22"/>
              <w:spacing w:before="65" w:line="227" w:lineRule="auto"/>
              <w:ind w:left="873"/>
              <w:rPr>
                <w:sz w:val="20"/>
                <w:szCs w:val="20"/>
              </w:rPr>
            </w:pPr>
            <w:r>
              <w:rPr>
                <w:spacing w:val="7"/>
                <w:sz w:val="20"/>
                <w:szCs w:val="20"/>
              </w:rPr>
              <w:t>供货地点</w:t>
            </w:r>
          </w:p>
        </w:tc>
        <w:tc>
          <w:tcPr>
            <w:tcW w:w="5758" w:type="dxa"/>
            <w:tcBorders>
              <w:right w:val="single" w:color="000000" w:sz="2" w:space="0"/>
            </w:tcBorders>
            <w:vAlign w:val="top"/>
          </w:tcPr>
          <w:p>
            <w:pPr>
              <w:spacing w:line="275" w:lineRule="auto"/>
              <w:rPr>
                <w:rFonts w:ascii="Arial"/>
                <w:sz w:val="21"/>
              </w:rPr>
            </w:pPr>
          </w:p>
          <w:p>
            <w:pPr>
              <w:pStyle w:val="22"/>
              <w:spacing w:before="65" w:line="227" w:lineRule="auto"/>
              <w:ind w:left="2200"/>
              <w:rPr>
                <w:sz w:val="20"/>
                <w:szCs w:val="20"/>
              </w:rPr>
            </w:pPr>
            <w:r>
              <w:rPr>
                <w:spacing w:val="8"/>
                <w:sz w:val="20"/>
                <w:szCs w:val="20"/>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2445" w:type="dxa"/>
            <w:tcBorders>
              <w:left w:val="single" w:color="000000" w:sz="2" w:space="0"/>
            </w:tcBorders>
            <w:vAlign w:val="top"/>
          </w:tcPr>
          <w:p>
            <w:pPr>
              <w:spacing w:line="277" w:lineRule="auto"/>
              <w:rPr>
                <w:rFonts w:ascii="Arial"/>
                <w:sz w:val="21"/>
              </w:rPr>
            </w:pPr>
          </w:p>
          <w:p>
            <w:pPr>
              <w:pStyle w:val="22"/>
              <w:spacing w:before="65" w:line="228" w:lineRule="auto"/>
              <w:ind w:left="874"/>
              <w:rPr>
                <w:sz w:val="20"/>
                <w:szCs w:val="20"/>
              </w:rPr>
            </w:pPr>
            <w:r>
              <w:rPr>
                <w:spacing w:val="7"/>
                <w:sz w:val="20"/>
                <w:szCs w:val="20"/>
              </w:rPr>
              <w:t>质量要求</w:t>
            </w:r>
          </w:p>
        </w:tc>
        <w:tc>
          <w:tcPr>
            <w:tcW w:w="5758" w:type="dxa"/>
            <w:tcBorders>
              <w:right w:val="single" w:color="000000" w:sz="2" w:space="0"/>
            </w:tcBorders>
            <w:vAlign w:val="top"/>
          </w:tcPr>
          <w:p>
            <w:pPr>
              <w:spacing w:line="277" w:lineRule="auto"/>
              <w:rPr>
                <w:rFonts w:ascii="Arial"/>
                <w:sz w:val="21"/>
              </w:rPr>
            </w:pPr>
          </w:p>
          <w:p>
            <w:pPr>
              <w:pStyle w:val="22"/>
              <w:spacing w:before="65" w:line="227" w:lineRule="auto"/>
              <w:ind w:left="734"/>
              <w:rPr>
                <w:sz w:val="20"/>
                <w:szCs w:val="20"/>
              </w:rPr>
            </w:pPr>
            <w:r>
              <w:rPr>
                <w:spacing w:val="9"/>
                <w:sz w:val="20"/>
                <w:szCs w:val="20"/>
              </w:rPr>
              <w:t>符合现行标准、规范、规定等，满足采购人需求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2445" w:type="dxa"/>
            <w:tcBorders>
              <w:left w:val="single" w:color="000000" w:sz="2" w:space="0"/>
            </w:tcBorders>
            <w:vAlign w:val="top"/>
          </w:tcPr>
          <w:p>
            <w:pPr>
              <w:spacing w:line="279" w:lineRule="auto"/>
              <w:rPr>
                <w:rFonts w:ascii="Arial"/>
                <w:sz w:val="21"/>
              </w:rPr>
            </w:pPr>
          </w:p>
          <w:p>
            <w:pPr>
              <w:pStyle w:val="22"/>
              <w:spacing w:before="65" w:line="228" w:lineRule="auto"/>
              <w:ind w:left="768"/>
              <w:rPr>
                <w:sz w:val="20"/>
                <w:szCs w:val="20"/>
              </w:rPr>
            </w:pPr>
            <w:r>
              <w:rPr>
                <w:spacing w:val="7"/>
                <w:sz w:val="20"/>
                <w:szCs w:val="20"/>
              </w:rPr>
              <w:t>质量保证期</w:t>
            </w:r>
          </w:p>
        </w:tc>
        <w:tc>
          <w:tcPr>
            <w:tcW w:w="5758"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2445" w:type="dxa"/>
            <w:tcBorders>
              <w:left w:val="single" w:color="000000" w:sz="2" w:space="0"/>
              <w:bottom w:val="single" w:color="000000" w:sz="2" w:space="0"/>
            </w:tcBorders>
            <w:vAlign w:val="top"/>
          </w:tcPr>
          <w:p>
            <w:pPr>
              <w:spacing w:line="290" w:lineRule="auto"/>
              <w:rPr>
                <w:rFonts w:ascii="Arial"/>
                <w:sz w:val="21"/>
              </w:rPr>
            </w:pPr>
          </w:p>
          <w:p>
            <w:pPr>
              <w:pStyle w:val="22"/>
              <w:spacing w:before="65" w:line="228" w:lineRule="auto"/>
              <w:ind w:left="770"/>
              <w:rPr>
                <w:sz w:val="20"/>
                <w:szCs w:val="20"/>
              </w:rPr>
            </w:pPr>
            <w:r>
              <w:rPr>
                <w:rFonts w:hint="eastAsia"/>
                <w:spacing w:val="7"/>
                <w:sz w:val="20"/>
                <w:szCs w:val="20"/>
                <w:lang w:val="en-US" w:eastAsia="zh-CN"/>
              </w:rPr>
              <w:t>磋商</w:t>
            </w:r>
            <w:r>
              <w:rPr>
                <w:spacing w:val="7"/>
                <w:sz w:val="20"/>
                <w:szCs w:val="20"/>
              </w:rPr>
              <w:t>有效期</w:t>
            </w:r>
          </w:p>
        </w:tc>
        <w:tc>
          <w:tcPr>
            <w:tcW w:w="5758" w:type="dxa"/>
            <w:tcBorders>
              <w:bottom w:val="single" w:color="000000" w:sz="2" w:space="0"/>
              <w:right w:val="single" w:color="000000" w:sz="2" w:space="0"/>
            </w:tcBorders>
            <w:vAlign w:val="top"/>
          </w:tcPr>
          <w:p>
            <w:pPr>
              <w:rPr>
                <w:rFonts w:ascii="Arial"/>
                <w:sz w:val="21"/>
              </w:rPr>
            </w:pPr>
          </w:p>
        </w:tc>
      </w:tr>
    </w:tbl>
    <w:p>
      <w:pPr>
        <w:pStyle w:val="2"/>
        <w:spacing w:line="386" w:lineRule="auto"/>
      </w:pPr>
    </w:p>
    <w:p>
      <w:pPr>
        <w:tabs>
          <w:tab w:val="left" w:pos="8149"/>
        </w:tabs>
        <w:spacing w:before="78" w:line="400" w:lineRule="auto"/>
        <w:ind w:left="2638" w:right="188"/>
        <w:jc w:val="both"/>
        <w:rPr>
          <w:rFonts w:ascii="宋体" w:hAnsi="宋体" w:eastAsia="宋体" w:cs="宋体"/>
          <w:sz w:val="24"/>
          <w:szCs w:val="24"/>
        </w:rPr>
      </w:pPr>
      <w:r>
        <w:rPr>
          <w:rFonts w:ascii="宋体" w:hAnsi="宋体" w:eastAsia="宋体" w:cs="宋体"/>
          <w:spacing w:val="-2"/>
          <w:sz w:val="24"/>
          <w:szCs w:val="24"/>
        </w:rPr>
        <w:t>供应商（盖电子签章</w:t>
      </w:r>
      <w:r>
        <w:rPr>
          <w:rFonts w:ascii="宋体" w:hAnsi="宋体" w:eastAsia="宋体" w:cs="宋体"/>
          <w:spacing w:val="3"/>
          <w:sz w:val="24"/>
          <w:szCs w:val="24"/>
        </w:rPr>
        <w:t>）：</w:t>
      </w:r>
      <w:r>
        <w:rPr>
          <w:rFonts w:ascii="宋体" w:hAnsi="宋体" w:eastAsia="宋体" w:cs="宋体"/>
          <w:spacing w:val="1"/>
          <w:sz w:val="24"/>
          <w:szCs w:val="24"/>
        </w:rPr>
        <w:t xml:space="preserve"> </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rPr>
        <w:t>法定代表人（盖电子签章</w:t>
      </w:r>
      <w:r>
        <w:rPr>
          <w:rFonts w:ascii="宋体" w:hAnsi="宋体" w:eastAsia="宋体" w:cs="宋体"/>
          <w:sz w:val="24"/>
          <w:szCs w:val="24"/>
        </w:rPr>
        <w:t>）：</w:t>
      </w:r>
      <w:r>
        <w:rPr>
          <w:rFonts w:ascii="宋体" w:hAnsi="宋体" w:eastAsia="宋体" w:cs="宋体"/>
          <w:sz w:val="24"/>
          <w:szCs w:val="24"/>
          <w:u w:val="single" w:color="auto"/>
        </w:rPr>
        <w:t xml:space="preserve">                    </w:t>
      </w:r>
    </w:p>
    <w:p>
      <w:pPr>
        <w:spacing w:line="220" w:lineRule="auto"/>
        <w:ind w:left="2679"/>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p>
    <w:p>
      <w:pPr>
        <w:spacing w:line="220" w:lineRule="auto"/>
        <w:rPr>
          <w:rFonts w:ascii="宋体" w:hAnsi="宋体" w:eastAsia="宋体" w:cs="宋体"/>
          <w:sz w:val="24"/>
          <w:szCs w:val="24"/>
        </w:rPr>
        <w:sectPr>
          <w:footerReference r:id="rId15" w:type="default"/>
          <w:pgSz w:w="11911" w:h="16839"/>
          <w:pgMar w:top="1402" w:right="1786" w:bottom="810" w:left="1786" w:header="0" w:footer="646" w:gutter="0"/>
          <w:pgNumType w:fmt="decimal"/>
          <w:cols w:space="720" w:num="1"/>
        </w:sectPr>
      </w:pPr>
    </w:p>
    <w:p>
      <w:pPr>
        <w:spacing w:before="275" w:line="224" w:lineRule="auto"/>
        <w:ind w:left="1852"/>
        <w:outlineLvl w:val="9"/>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二、法定代表人身份证明及授权委托书</w:t>
      </w:r>
    </w:p>
    <w:p>
      <w:pPr>
        <w:spacing w:before="165" w:line="220" w:lineRule="auto"/>
        <w:ind w:left="2898"/>
        <w:outlineLvl w:val="9"/>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（一）法定代表人身份证明</w:t>
      </w:r>
    </w:p>
    <w:p>
      <w:pPr>
        <w:pStyle w:val="2"/>
        <w:spacing w:line="329" w:lineRule="auto"/>
        <w:outlineLvl w:val="9"/>
      </w:pPr>
    </w:p>
    <w:p>
      <w:pPr>
        <w:pStyle w:val="2"/>
        <w:spacing w:line="329" w:lineRule="auto"/>
      </w:pPr>
    </w:p>
    <w:p>
      <w:pPr>
        <w:spacing w:before="78" w:line="401" w:lineRule="auto"/>
        <w:ind w:left="35"/>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 xml:space="preserve">                      </w:t>
      </w:r>
    </w:p>
    <w:p>
      <w:pPr>
        <w:spacing w:line="220" w:lineRule="auto"/>
        <w:ind w:left="37"/>
        <w:rPr>
          <w:rFonts w:ascii="宋体" w:hAnsi="宋体" w:eastAsia="宋体" w:cs="宋体"/>
          <w:sz w:val="24"/>
          <w:szCs w:val="24"/>
        </w:rPr>
      </w:pPr>
      <w:r>
        <w:rPr>
          <w:rFonts w:ascii="宋体" w:hAnsi="宋体" w:eastAsia="宋体" w:cs="宋体"/>
          <w:spacing w:val="-3"/>
          <w:sz w:val="24"/>
          <w:szCs w:val="24"/>
        </w:rPr>
        <w:t>单位性质：</w:t>
      </w:r>
      <w:r>
        <w:rPr>
          <w:rFonts w:ascii="宋体" w:hAnsi="宋体" w:eastAsia="宋体" w:cs="宋体"/>
          <w:sz w:val="24"/>
          <w:szCs w:val="24"/>
          <w:u w:val="single" w:color="auto"/>
        </w:rPr>
        <w:t xml:space="preserve">                       </w:t>
      </w:r>
    </w:p>
    <w:p>
      <w:pPr>
        <w:spacing w:before="231" w:line="229" w:lineRule="auto"/>
        <w:ind w:left="35"/>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 xml:space="preserve">                           </w:t>
      </w:r>
    </w:p>
    <w:p>
      <w:pPr>
        <w:spacing w:before="224" w:line="219" w:lineRule="auto"/>
        <w:ind w:left="37"/>
        <w:rPr>
          <w:rFonts w:ascii="宋体" w:hAnsi="宋体" w:eastAsia="宋体" w:cs="宋体"/>
          <w:sz w:val="24"/>
          <w:szCs w:val="24"/>
        </w:rPr>
      </w:pPr>
      <w:r>
        <w:rPr>
          <w:rFonts w:ascii="宋体" w:hAnsi="宋体" w:eastAsia="宋体" w:cs="宋体"/>
          <w:spacing w:val="-3"/>
          <w:sz w:val="24"/>
          <w:szCs w:val="24"/>
        </w:rPr>
        <w:t>成立时间：</w:t>
      </w:r>
      <w:r>
        <w:rPr>
          <w:rFonts w:ascii="宋体" w:hAnsi="宋体" w:eastAsia="宋体" w:cs="宋体"/>
          <w:spacing w:val="-3"/>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15"/>
          <w:sz w:val="24"/>
          <w:szCs w:val="24"/>
        </w:rPr>
        <w:t xml:space="preserve"> </w:t>
      </w:r>
      <w:r>
        <w:rPr>
          <w:rFonts w:ascii="宋体" w:hAnsi="宋体" w:eastAsia="宋体" w:cs="宋体"/>
          <w:spacing w:val="-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w:t>
      </w:r>
    </w:p>
    <w:p>
      <w:pPr>
        <w:spacing w:before="235" w:line="220" w:lineRule="auto"/>
        <w:ind w:left="37"/>
        <w:rPr>
          <w:rFonts w:ascii="宋体" w:hAnsi="宋体" w:eastAsia="宋体" w:cs="宋体"/>
          <w:sz w:val="24"/>
          <w:szCs w:val="24"/>
        </w:rPr>
      </w:pPr>
      <w:r>
        <w:rPr>
          <w:rFonts w:ascii="宋体" w:hAnsi="宋体" w:eastAsia="宋体" w:cs="宋体"/>
          <w:spacing w:val="-3"/>
          <w:sz w:val="24"/>
          <w:szCs w:val="24"/>
        </w:rPr>
        <w:t>经营期限</w:t>
      </w:r>
      <w:r>
        <w:rPr>
          <w:rFonts w:ascii="宋体" w:hAnsi="宋体" w:eastAsia="宋体" w:cs="宋体"/>
          <w:spacing w:val="-3"/>
          <w:sz w:val="24"/>
          <w:szCs w:val="24"/>
          <w:u w:val="single" w:color="auto"/>
        </w:rPr>
        <w:t>：</w:t>
      </w:r>
      <w:r>
        <w:rPr>
          <w:rFonts w:ascii="宋体" w:hAnsi="宋体" w:eastAsia="宋体" w:cs="宋体"/>
          <w:sz w:val="24"/>
          <w:szCs w:val="24"/>
          <w:u w:val="single" w:color="auto"/>
        </w:rPr>
        <w:t xml:space="preserve">                        </w:t>
      </w:r>
    </w:p>
    <w:p>
      <w:pPr>
        <w:spacing w:before="233" w:line="219" w:lineRule="auto"/>
        <w:ind w:left="35"/>
        <w:rPr>
          <w:rFonts w:ascii="宋体" w:hAnsi="宋体" w:eastAsia="宋体" w:cs="宋体"/>
          <w:sz w:val="24"/>
          <w:szCs w:val="24"/>
        </w:rPr>
      </w:pPr>
      <w:r>
        <w:rPr>
          <w:rFonts w:ascii="宋体" w:hAnsi="宋体" w:eastAsia="宋体" w:cs="宋体"/>
          <w:spacing w:val="-2"/>
          <w:sz w:val="24"/>
          <w:szCs w:val="24"/>
        </w:rPr>
        <w:t>姓名：</w:t>
      </w:r>
      <w:r>
        <w:rPr>
          <w:rFonts w:ascii="宋体" w:hAnsi="宋体" w:eastAsia="宋体" w:cs="宋体"/>
          <w:spacing w:val="-2"/>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2"/>
          <w:sz w:val="24"/>
          <w:szCs w:val="24"/>
        </w:rPr>
        <w:t>性别：</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年龄：</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职务：</w:t>
      </w:r>
      <w:r>
        <w:rPr>
          <w:rFonts w:ascii="宋体" w:hAnsi="宋体" w:eastAsia="宋体" w:cs="宋体"/>
          <w:sz w:val="24"/>
          <w:szCs w:val="24"/>
          <w:u w:val="single" w:color="auto"/>
        </w:rPr>
        <w:t xml:space="preserve">     </w:t>
      </w:r>
    </w:p>
    <w:p>
      <w:pPr>
        <w:spacing w:before="235" w:line="219" w:lineRule="auto"/>
        <w:ind w:left="39"/>
        <w:rPr>
          <w:rFonts w:ascii="宋体" w:hAnsi="宋体" w:eastAsia="宋体" w:cs="宋体"/>
          <w:sz w:val="24"/>
          <w:szCs w:val="24"/>
        </w:rPr>
      </w:pPr>
      <w:r>
        <w:rPr>
          <w:rFonts w:ascii="宋体" w:hAnsi="宋体" w:eastAsia="宋体" w:cs="宋体"/>
          <w:sz w:val="24"/>
          <w:szCs w:val="24"/>
        </w:rPr>
        <w:t>系</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（供应商名称）的法定代表人。</w:t>
      </w:r>
    </w:p>
    <w:p>
      <w:pPr>
        <w:pStyle w:val="2"/>
        <w:spacing w:line="336" w:lineRule="auto"/>
      </w:pPr>
    </w:p>
    <w:p>
      <w:pPr>
        <w:pStyle w:val="2"/>
        <w:spacing w:line="337" w:lineRule="auto"/>
      </w:pPr>
    </w:p>
    <w:p>
      <w:pPr>
        <w:spacing w:before="79" w:line="219" w:lineRule="auto"/>
        <w:ind w:left="515"/>
        <w:rPr>
          <w:rFonts w:ascii="宋体" w:hAnsi="宋体" w:eastAsia="宋体" w:cs="宋体"/>
          <w:sz w:val="24"/>
          <w:szCs w:val="24"/>
        </w:rPr>
      </w:pPr>
      <w:r>
        <w:rPr>
          <w:rFonts w:ascii="宋体" w:hAnsi="宋体" w:eastAsia="宋体" w:cs="宋体"/>
          <w:spacing w:val="-2"/>
          <w:sz w:val="24"/>
          <w:szCs w:val="24"/>
        </w:rPr>
        <w:t>特此证明。</w:t>
      </w:r>
    </w:p>
    <w:p>
      <w:pPr>
        <w:spacing w:before="31"/>
      </w:pPr>
    </w:p>
    <w:p>
      <w:pPr>
        <w:spacing w:before="31"/>
      </w:pPr>
    </w:p>
    <w:tbl>
      <w:tblPr>
        <w:tblStyle w:val="20"/>
        <w:tblW w:w="912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2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865" w:hRule="atLeast"/>
        </w:trPr>
        <w:tc>
          <w:tcPr>
            <w:tcW w:w="9124"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22"/>
              <w:spacing w:before="78" w:line="219" w:lineRule="auto"/>
              <w:ind w:left="2420"/>
            </w:pPr>
            <w:r>
              <w:rPr>
                <w:spacing w:val="-2"/>
              </w:rPr>
              <w:t>（附法定代表人身份证复印件正、反面）</w:t>
            </w:r>
          </w:p>
        </w:tc>
      </w:tr>
    </w:tbl>
    <w:p>
      <w:pPr>
        <w:pStyle w:val="2"/>
        <w:spacing w:line="291" w:lineRule="auto"/>
      </w:pPr>
    </w:p>
    <w:p>
      <w:pPr>
        <w:pStyle w:val="2"/>
        <w:spacing w:line="291" w:lineRule="auto"/>
      </w:pPr>
    </w:p>
    <w:p>
      <w:pPr>
        <w:pStyle w:val="2"/>
        <w:spacing w:line="291" w:lineRule="auto"/>
      </w:pPr>
    </w:p>
    <w:p>
      <w:pPr>
        <w:pStyle w:val="2"/>
        <w:spacing w:line="292" w:lineRule="auto"/>
      </w:pPr>
    </w:p>
    <w:p>
      <w:pPr>
        <w:tabs>
          <w:tab w:val="left" w:pos="8545"/>
        </w:tabs>
        <w:spacing w:before="78" w:line="400" w:lineRule="auto"/>
        <w:ind w:left="3035" w:right="583"/>
        <w:jc w:val="both"/>
        <w:rPr>
          <w:rFonts w:ascii="宋体" w:hAnsi="宋体" w:eastAsia="宋体" w:cs="宋体"/>
          <w:sz w:val="24"/>
          <w:szCs w:val="24"/>
        </w:rPr>
      </w:pPr>
      <w:r>
        <w:rPr>
          <w:rFonts w:ascii="宋体" w:hAnsi="宋体" w:eastAsia="宋体" w:cs="宋体"/>
          <w:spacing w:val="-2"/>
          <w:sz w:val="24"/>
          <w:szCs w:val="24"/>
        </w:rPr>
        <w:t>供应商（盖电子签章</w:t>
      </w:r>
      <w:r>
        <w:rPr>
          <w:rFonts w:ascii="宋体" w:hAnsi="宋体" w:eastAsia="宋体" w:cs="宋体"/>
          <w:spacing w:val="3"/>
          <w:sz w:val="24"/>
          <w:szCs w:val="24"/>
        </w:rPr>
        <w:t>）：</w:t>
      </w:r>
      <w:r>
        <w:rPr>
          <w:rFonts w:ascii="宋体" w:hAnsi="宋体" w:eastAsia="宋体" w:cs="宋体"/>
          <w:spacing w:val="1"/>
          <w:sz w:val="24"/>
          <w:szCs w:val="24"/>
        </w:rPr>
        <w:t xml:space="preserve"> </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rPr>
        <w:t>法定代表人（盖电子签章</w:t>
      </w:r>
      <w:r>
        <w:rPr>
          <w:rFonts w:ascii="宋体" w:hAnsi="宋体" w:eastAsia="宋体" w:cs="宋体"/>
          <w:sz w:val="24"/>
          <w:szCs w:val="24"/>
        </w:rPr>
        <w:t>）：</w:t>
      </w:r>
      <w:r>
        <w:rPr>
          <w:rFonts w:ascii="宋体" w:hAnsi="宋体" w:eastAsia="宋体" w:cs="宋体"/>
          <w:sz w:val="24"/>
          <w:szCs w:val="24"/>
          <w:u w:val="single" w:color="auto"/>
        </w:rPr>
        <w:t xml:space="preserve">                    </w:t>
      </w:r>
    </w:p>
    <w:p>
      <w:pPr>
        <w:spacing w:line="220" w:lineRule="auto"/>
        <w:ind w:left="3076"/>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p>
    <w:p>
      <w:pPr>
        <w:spacing w:line="220" w:lineRule="auto"/>
        <w:rPr>
          <w:rFonts w:ascii="宋体" w:hAnsi="宋体" w:eastAsia="宋体" w:cs="宋体"/>
          <w:sz w:val="24"/>
          <w:szCs w:val="24"/>
        </w:rPr>
        <w:sectPr>
          <w:footerReference r:id="rId16" w:type="default"/>
          <w:pgSz w:w="11911" w:h="16839"/>
          <w:pgMar w:top="1431" w:right="1391" w:bottom="1015" w:left="1390" w:header="0" w:footer="850" w:gutter="0"/>
          <w:pgNumType w:fmt="decimal"/>
          <w:cols w:space="720" w:num="1"/>
        </w:sectPr>
      </w:pPr>
    </w:p>
    <w:p>
      <w:pPr>
        <w:spacing w:before="299" w:line="219" w:lineRule="auto"/>
        <w:ind w:left="3424"/>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（二）授权委托书</w:t>
      </w:r>
    </w:p>
    <w:p>
      <w:pPr>
        <w:pStyle w:val="2"/>
        <w:spacing w:line="301" w:lineRule="auto"/>
      </w:pPr>
    </w:p>
    <w:p>
      <w:pPr>
        <w:tabs>
          <w:tab w:val="left" w:pos="9065"/>
        </w:tabs>
        <w:spacing w:before="79" w:line="400" w:lineRule="auto"/>
        <w:ind w:firstLine="480"/>
        <w:jc w:val="both"/>
        <w:rPr>
          <w:rFonts w:ascii="宋体" w:hAnsi="宋体" w:eastAsia="宋体" w:cs="宋体"/>
          <w:sz w:val="24"/>
          <w:szCs w:val="24"/>
        </w:rPr>
      </w:pPr>
      <w:r>
        <w:rPr>
          <w:rFonts w:ascii="宋体" w:hAnsi="宋体" w:eastAsia="宋体" w:cs="宋体"/>
          <w:sz w:val="24"/>
          <w:szCs w:val="24"/>
        </w:rPr>
        <w:t>本人</w:t>
      </w:r>
      <w:r>
        <w:rPr>
          <w:rFonts w:ascii="宋体" w:hAnsi="宋体" w:eastAsia="宋体" w:cs="宋体"/>
          <w:sz w:val="24"/>
          <w:szCs w:val="24"/>
          <w:u w:val="single" w:color="auto"/>
        </w:rPr>
        <w:t xml:space="preserve">      </w:t>
      </w:r>
      <w:r>
        <w:rPr>
          <w:rFonts w:ascii="宋体" w:hAnsi="宋体" w:eastAsia="宋体" w:cs="宋体"/>
          <w:sz w:val="24"/>
          <w:szCs w:val="24"/>
        </w:rPr>
        <w:t>（法人姓名）系</w:t>
      </w:r>
      <w:r>
        <w:rPr>
          <w:rFonts w:ascii="宋体" w:hAnsi="宋体" w:eastAsia="宋体" w:cs="宋体"/>
          <w:sz w:val="24"/>
          <w:szCs w:val="24"/>
          <w:u w:val="single" w:color="auto"/>
        </w:rPr>
        <w:t xml:space="preserve">      </w:t>
      </w:r>
      <w:r>
        <w:rPr>
          <w:rFonts w:ascii="宋体" w:hAnsi="宋体" w:eastAsia="宋体" w:cs="宋体"/>
          <w:sz w:val="24"/>
          <w:szCs w:val="24"/>
        </w:rPr>
        <w:t>（供应商名称</w:t>
      </w:r>
      <w:r>
        <w:rPr>
          <w:rFonts w:ascii="宋体" w:hAnsi="宋体" w:eastAsia="宋体" w:cs="宋体"/>
          <w:spacing w:val="-1"/>
          <w:sz w:val="24"/>
          <w:szCs w:val="24"/>
        </w:rPr>
        <w:t xml:space="preserve">）的法定代表人，现委托 </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5"/>
          <w:sz w:val="24"/>
          <w:szCs w:val="24"/>
        </w:rPr>
        <w:t>（姓名，职务）为我方代理人。代理人根据</w:t>
      </w:r>
      <w:r>
        <w:rPr>
          <w:rFonts w:ascii="宋体" w:hAnsi="宋体" w:eastAsia="宋体" w:cs="宋体"/>
          <w:spacing w:val="-6"/>
          <w:sz w:val="24"/>
          <w:szCs w:val="24"/>
        </w:rPr>
        <w:t>授权，以我方名义签署、澄清、说明、补正、</w:t>
      </w:r>
      <w:r>
        <w:rPr>
          <w:rFonts w:ascii="宋体" w:hAnsi="宋体" w:eastAsia="宋体" w:cs="宋体"/>
          <w:sz w:val="24"/>
          <w:szCs w:val="24"/>
        </w:rPr>
        <w:t xml:space="preserve"> </w:t>
      </w:r>
      <w:r>
        <w:rPr>
          <w:rFonts w:ascii="宋体" w:hAnsi="宋体" w:eastAsia="宋体" w:cs="宋体"/>
          <w:spacing w:val="-1"/>
          <w:sz w:val="24"/>
          <w:szCs w:val="24"/>
        </w:rPr>
        <w:t>递交、撤回、修改</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（项目名称）响应文件、签订</w:t>
      </w:r>
      <w:r>
        <w:rPr>
          <w:rFonts w:ascii="宋体" w:hAnsi="宋体" w:eastAsia="宋体" w:cs="宋体"/>
          <w:spacing w:val="-2"/>
          <w:sz w:val="24"/>
          <w:szCs w:val="24"/>
        </w:rPr>
        <w:t>合同和处理有关事宜，其法</w:t>
      </w:r>
    </w:p>
    <w:p>
      <w:pPr>
        <w:spacing w:line="219" w:lineRule="auto"/>
        <w:rPr>
          <w:rFonts w:ascii="宋体" w:hAnsi="宋体" w:eastAsia="宋体" w:cs="宋体"/>
          <w:sz w:val="24"/>
          <w:szCs w:val="24"/>
        </w:rPr>
      </w:pPr>
      <w:r>
        <w:rPr>
          <w:rFonts w:ascii="宋体" w:hAnsi="宋体" w:eastAsia="宋体" w:cs="宋体"/>
          <w:spacing w:val="-2"/>
          <w:sz w:val="24"/>
          <w:szCs w:val="24"/>
        </w:rPr>
        <w:t>律后果由我方承担。</w:t>
      </w:r>
    </w:p>
    <w:p>
      <w:pPr>
        <w:spacing w:before="235" w:line="399" w:lineRule="auto"/>
        <w:ind w:left="479"/>
        <w:rPr>
          <w:rFonts w:ascii="宋体" w:hAnsi="宋体" w:eastAsia="宋体" w:cs="宋体"/>
          <w:sz w:val="24"/>
          <w:szCs w:val="24"/>
        </w:rPr>
      </w:pPr>
      <w:r>
        <w:rPr>
          <w:rFonts w:ascii="宋体" w:hAnsi="宋体" w:eastAsia="宋体" w:cs="宋体"/>
          <w:spacing w:val="-1"/>
          <w:sz w:val="24"/>
          <w:szCs w:val="24"/>
        </w:rPr>
        <w:t>委托期限：</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pPr>
        <w:spacing w:line="219" w:lineRule="auto"/>
        <w:ind w:left="479"/>
        <w:rPr>
          <w:rFonts w:ascii="宋体" w:hAnsi="宋体" w:eastAsia="宋体" w:cs="宋体"/>
          <w:sz w:val="24"/>
          <w:szCs w:val="24"/>
        </w:rPr>
      </w:pPr>
      <w:r>
        <w:rPr>
          <w:rFonts w:ascii="宋体" w:hAnsi="宋体" w:eastAsia="宋体" w:cs="宋体"/>
          <w:spacing w:val="-1"/>
          <w:sz w:val="24"/>
          <w:szCs w:val="24"/>
        </w:rPr>
        <w:t>代理人无转委托权。</w:t>
      </w:r>
    </w:p>
    <w:p>
      <w:pPr>
        <w:tabs>
          <w:tab w:val="left" w:pos="8150"/>
        </w:tabs>
        <w:spacing w:before="234" w:line="400" w:lineRule="auto"/>
        <w:ind w:left="3000" w:right="996"/>
        <w:jc w:val="both"/>
        <w:rPr>
          <w:rFonts w:ascii="宋体" w:hAnsi="宋体" w:eastAsia="宋体" w:cs="宋体"/>
          <w:sz w:val="24"/>
          <w:szCs w:val="24"/>
        </w:rPr>
      </w:pPr>
      <w:r>
        <w:rPr>
          <w:rFonts w:ascii="宋体" w:hAnsi="宋体" w:eastAsia="宋体" w:cs="宋体"/>
          <w:spacing w:val="-2"/>
          <w:sz w:val="24"/>
          <w:szCs w:val="24"/>
        </w:rPr>
        <w:t>供应商（盖电子签章</w:t>
      </w:r>
      <w:r>
        <w:rPr>
          <w:rFonts w:ascii="宋体" w:hAnsi="宋体" w:eastAsia="宋体" w:cs="宋体"/>
          <w:spacing w:val="3"/>
          <w:sz w:val="24"/>
          <w:szCs w:val="24"/>
        </w:rPr>
        <w:t>）：</w:t>
      </w:r>
      <w:r>
        <w:rPr>
          <w:rFonts w:ascii="宋体" w:hAnsi="宋体" w:eastAsia="宋体" w:cs="宋体"/>
          <w:spacing w:val="1"/>
          <w:sz w:val="24"/>
          <w:szCs w:val="24"/>
        </w:rPr>
        <w:t xml:space="preserve"> </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rPr>
        <w:t>法定代表人（盖电子签章</w:t>
      </w:r>
      <w:r>
        <w:rPr>
          <w:rFonts w:ascii="宋体" w:hAnsi="宋体" w:eastAsia="宋体" w:cs="宋体"/>
          <w:sz w:val="24"/>
          <w:szCs w:val="24"/>
        </w:rPr>
        <w:t>）：</w:t>
      </w:r>
      <w:r>
        <w:rPr>
          <w:rFonts w:ascii="宋体" w:hAnsi="宋体" w:eastAsia="宋体" w:cs="宋体"/>
          <w:sz w:val="24"/>
          <w:szCs w:val="24"/>
          <w:u w:val="single" w:color="auto"/>
        </w:rPr>
        <w:t xml:space="preserve">                 </w:t>
      </w:r>
    </w:p>
    <w:p>
      <w:pPr>
        <w:spacing w:line="220" w:lineRule="auto"/>
        <w:ind w:left="3043"/>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p>
    <w:p>
      <w:pPr>
        <w:spacing w:before="183"/>
      </w:pPr>
    </w:p>
    <w:tbl>
      <w:tblPr>
        <w:tblStyle w:val="20"/>
        <w:tblW w:w="8987"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3" w:hRule="atLeast"/>
        </w:trPr>
        <w:tc>
          <w:tcPr>
            <w:tcW w:w="8987" w:type="dxa"/>
            <w:vAlign w:val="top"/>
          </w:tcPr>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22"/>
              <w:spacing w:before="78" w:line="219" w:lineRule="auto"/>
              <w:ind w:left="2700"/>
            </w:pPr>
            <w:r>
              <w:rPr>
                <w:spacing w:val="-1"/>
              </w:rPr>
              <w:t>法定代表人身份证复印件正、反面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8" w:hRule="atLeast"/>
        </w:trPr>
        <w:tc>
          <w:tcPr>
            <w:tcW w:w="8987"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22"/>
              <w:spacing w:before="78" w:line="219" w:lineRule="auto"/>
              <w:ind w:left="2220"/>
            </w:pPr>
            <w:r>
              <w:rPr>
                <w:spacing w:val="-1"/>
              </w:rPr>
              <w:t>法定代表人授权代表身份证复印件正、反面</w:t>
            </w:r>
          </w:p>
        </w:tc>
      </w:tr>
    </w:tbl>
    <w:p>
      <w:pPr>
        <w:pStyle w:val="2"/>
        <w:spacing w:line="324" w:lineRule="auto"/>
      </w:pPr>
    </w:p>
    <w:p>
      <w:pPr>
        <w:pStyle w:val="2"/>
        <w:spacing w:line="325" w:lineRule="auto"/>
      </w:pPr>
    </w:p>
    <w:p>
      <w:pPr>
        <w:spacing w:before="78" w:line="521" w:lineRule="exact"/>
        <w:ind w:left="120"/>
        <w:rPr>
          <w:rFonts w:ascii="宋体" w:hAnsi="宋体" w:eastAsia="宋体" w:cs="宋体"/>
          <w:sz w:val="24"/>
          <w:szCs w:val="24"/>
        </w:rPr>
      </w:pPr>
      <w:r>
        <w:rPr>
          <w:rFonts w:ascii="宋体" w:hAnsi="宋体" w:eastAsia="宋体" w:cs="宋体"/>
          <w:position w:val="21"/>
          <w:sz w:val="24"/>
          <w:szCs w:val="24"/>
          <w14:textOutline w14:w="4358" w14:cap="sq" w14:cmpd="sng">
            <w14:solidFill>
              <w14:srgbClr w14:val="000000"/>
            </w14:solidFill>
            <w14:prstDash w14:val="solid"/>
            <w14:bevel/>
          </w14:textOutline>
        </w:rPr>
        <w:t>注：1.授权委托书期限必须大于投标有效期；</w:t>
      </w:r>
    </w:p>
    <w:p>
      <w:pPr>
        <w:spacing w:line="219" w:lineRule="auto"/>
        <w:ind w:left="2"/>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2.如是法定代表人参与投标，此项只保留标题。</w:t>
      </w:r>
    </w:p>
    <w:p>
      <w:pPr>
        <w:spacing w:line="219" w:lineRule="auto"/>
        <w:rPr>
          <w:rFonts w:ascii="宋体" w:hAnsi="宋体" w:eastAsia="宋体" w:cs="宋体"/>
          <w:sz w:val="24"/>
          <w:szCs w:val="24"/>
        </w:rPr>
        <w:sectPr>
          <w:footerReference r:id="rId17" w:type="default"/>
          <w:pgSz w:w="11911" w:h="16839"/>
          <w:pgMar w:top="1431" w:right="1338" w:bottom="1015" w:left="1425" w:header="0" w:footer="850" w:gutter="0"/>
          <w:pgNumType w:fmt="decimal"/>
          <w:cols w:space="720" w:num="1"/>
        </w:sectPr>
      </w:pPr>
    </w:p>
    <w:p>
      <w:pPr>
        <w:pStyle w:val="2"/>
        <w:spacing w:line="349" w:lineRule="auto"/>
      </w:pPr>
    </w:p>
    <w:p>
      <w:pPr>
        <w:spacing w:before="101" w:line="225" w:lineRule="auto"/>
        <w:ind w:left="3253"/>
        <w:outlineLvl w:val="9"/>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三、资格审查资料</w:t>
      </w:r>
    </w:p>
    <w:p>
      <w:pPr>
        <w:spacing w:before="144" w:line="227" w:lineRule="auto"/>
        <w:ind w:left="9"/>
        <w:rPr>
          <w:rFonts w:ascii="宋体" w:hAnsi="宋体" w:eastAsia="宋体" w:cs="宋体"/>
          <w:sz w:val="20"/>
          <w:szCs w:val="20"/>
        </w:rPr>
      </w:pPr>
      <w:r>
        <w:rPr>
          <w:rFonts w:ascii="宋体" w:hAnsi="宋体" w:eastAsia="宋体" w:cs="宋体"/>
          <w:spacing w:val="8"/>
          <w:sz w:val="20"/>
          <w:szCs w:val="20"/>
        </w:rPr>
        <w:t>（一）投标人基本情况表</w:t>
      </w:r>
    </w:p>
    <w:p>
      <w:pPr>
        <w:pStyle w:val="2"/>
        <w:spacing w:line="310" w:lineRule="auto"/>
      </w:pPr>
    </w:p>
    <w:p>
      <w:pPr>
        <w:spacing w:before="65" w:line="228" w:lineRule="auto"/>
        <w:ind w:left="9"/>
        <w:rPr>
          <w:rFonts w:ascii="宋体" w:hAnsi="宋体" w:eastAsia="宋体" w:cs="宋体"/>
          <w:sz w:val="20"/>
          <w:szCs w:val="20"/>
        </w:rPr>
      </w:pPr>
      <w:r>
        <w:rPr>
          <w:rFonts w:ascii="宋体" w:hAnsi="宋体" w:eastAsia="宋体" w:cs="宋体"/>
          <w:spacing w:val="8"/>
          <w:sz w:val="20"/>
          <w:szCs w:val="20"/>
        </w:rPr>
        <w:t>（二）无财政部门不良行为承诺函</w:t>
      </w:r>
    </w:p>
    <w:p>
      <w:pPr>
        <w:pStyle w:val="2"/>
        <w:spacing w:line="310" w:lineRule="auto"/>
      </w:pPr>
    </w:p>
    <w:p>
      <w:pPr>
        <w:spacing w:before="65" w:line="624" w:lineRule="exact"/>
        <w:ind w:left="9"/>
        <w:rPr>
          <w:rFonts w:ascii="宋体" w:hAnsi="宋体" w:eastAsia="宋体" w:cs="宋体"/>
          <w:sz w:val="20"/>
          <w:szCs w:val="20"/>
        </w:rPr>
      </w:pPr>
      <w:r>
        <w:rPr>
          <w:rFonts w:ascii="宋体" w:hAnsi="宋体" w:eastAsia="宋体" w:cs="宋体"/>
          <w:spacing w:val="8"/>
          <w:position w:val="32"/>
          <w:sz w:val="20"/>
          <w:szCs w:val="20"/>
        </w:rPr>
        <w:t>（三）无行政或经济关联的书面声明</w:t>
      </w:r>
    </w:p>
    <w:p>
      <w:pPr>
        <w:spacing w:before="1" w:line="226" w:lineRule="auto"/>
        <w:ind w:left="9"/>
        <w:rPr>
          <w:rFonts w:ascii="宋体" w:hAnsi="宋体" w:eastAsia="宋体" w:cs="宋体"/>
          <w:sz w:val="20"/>
          <w:szCs w:val="20"/>
        </w:rPr>
      </w:pPr>
      <w:r>
        <w:rPr>
          <w:rFonts w:ascii="宋体" w:hAnsi="宋体" w:eastAsia="宋体" w:cs="宋体"/>
          <w:spacing w:val="8"/>
          <w:sz w:val="20"/>
          <w:szCs w:val="20"/>
        </w:rPr>
        <w:t>（四）无重大违法记录的书面声明</w:t>
      </w:r>
    </w:p>
    <w:p>
      <w:pPr>
        <w:pStyle w:val="2"/>
        <w:spacing w:line="310" w:lineRule="auto"/>
      </w:pPr>
    </w:p>
    <w:p>
      <w:pPr>
        <w:spacing w:before="66" w:line="228" w:lineRule="auto"/>
        <w:ind w:left="9"/>
        <w:rPr>
          <w:rFonts w:ascii="宋体" w:hAnsi="宋体" w:eastAsia="宋体" w:cs="宋体"/>
          <w:sz w:val="20"/>
          <w:szCs w:val="20"/>
        </w:rPr>
      </w:pPr>
      <w:r>
        <w:rPr>
          <w:rFonts w:ascii="宋体" w:hAnsi="宋体" w:eastAsia="宋体" w:cs="宋体"/>
          <w:spacing w:val="9"/>
          <w:sz w:val="20"/>
          <w:szCs w:val="20"/>
        </w:rPr>
        <w:t>（五）具备履行合同所必需的设备和专业技术能力的声明函</w:t>
      </w:r>
    </w:p>
    <w:p>
      <w:pPr>
        <w:pStyle w:val="2"/>
        <w:spacing w:line="310" w:lineRule="auto"/>
      </w:pPr>
    </w:p>
    <w:p>
      <w:pPr>
        <w:spacing w:before="65" w:line="624" w:lineRule="exact"/>
        <w:ind w:left="9"/>
        <w:rPr>
          <w:rFonts w:ascii="宋体" w:hAnsi="宋体" w:eastAsia="宋体" w:cs="宋体"/>
          <w:sz w:val="20"/>
          <w:szCs w:val="20"/>
        </w:rPr>
      </w:pPr>
      <w:r>
        <w:rPr>
          <w:rFonts w:ascii="宋体" w:hAnsi="宋体" w:eastAsia="宋体" w:cs="宋体"/>
          <w:spacing w:val="7"/>
          <w:position w:val="32"/>
          <w:sz w:val="20"/>
          <w:szCs w:val="20"/>
        </w:rPr>
        <w:t>（六）财务报告</w:t>
      </w:r>
    </w:p>
    <w:p>
      <w:pPr>
        <w:spacing w:before="1" w:line="226" w:lineRule="auto"/>
        <w:ind w:left="9"/>
        <w:rPr>
          <w:rFonts w:ascii="宋体" w:hAnsi="宋体" w:eastAsia="宋体" w:cs="宋体"/>
          <w:sz w:val="20"/>
          <w:szCs w:val="20"/>
        </w:rPr>
      </w:pPr>
      <w:r>
        <w:rPr>
          <w:rFonts w:ascii="宋体" w:hAnsi="宋体" w:eastAsia="宋体" w:cs="宋体"/>
          <w:spacing w:val="7"/>
          <w:sz w:val="20"/>
          <w:szCs w:val="20"/>
        </w:rPr>
        <w:t>（七）信誉要求</w:t>
      </w:r>
    </w:p>
    <w:p>
      <w:pPr>
        <w:pStyle w:val="2"/>
        <w:spacing w:line="311" w:lineRule="auto"/>
      </w:pPr>
    </w:p>
    <w:p>
      <w:pPr>
        <w:spacing w:before="66" w:line="228" w:lineRule="auto"/>
        <w:ind w:left="9"/>
        <w:rPr>
          <w:rFonts w:ascii="宋体" w:hAnsi="宋体" w:eastAsia="宋体" w:cs="宋体"/>
          <w:sz w:val="20"/>
          <w:szCs w:val="20"/>
        </w:rPr>
      </w:pPr>
      <w:r>
        <w:rPr>
          <w:rFonts w:ascii="宋体" w:hAnsi="宋体" w:eastAsia="宋体" w:cs="宋体"/>
          <w:spacing w:val="7"/>
          <w:sz w:val="20"/>
          <w:szCs w:val="20"/>
        </w:rPr>
        <w:t>（八）其他资料</w:t>
      </w:r>
    </w:p>
    <w:p>
      <w:pPr>
        <w:pStyle w:val="2"/>
        <w:spacing w:line="306" w:lineRule="auto"/>
      </w:pPr>
    </w:p>
    <w:p>
      <w:pPr>
        <w:pStyle w:val="2"/>
        <w:spacing w:line="306" w:lineRule="auto"/>
      </w:pPr>
    </w:p>
    <w:p>
      <w:pPr>
        <w:pStyle w:val="2"/>
        <w:spacing w:line="306" w:lineRule="auto"/>
      </w:pPr>
    </w:p>
    <w:p>
      <w:pPr>
        <w:spacing w:before="72" w:line="219" w:lineRule="auto"/>
        <w:rPr>
          <w:rFonts w:ascii="宋体" w:hAnsi="宋体" w:eastAsia="宋体" w:cs="宋体"/>
          <w:sz w:val="22"/>
          <w:szCs w:val="22"/>
          <w14:textOutline w14:w="4013" w14:cap="sq" w14:cmpd="sng">
            <w14:solidFill>
              <w14:srgbClr w14:val="000000"/>
            </w14:solidFill>
            <w14:prstDash w14:val="solid"/>
            <w14:bevel/>
          </w14:textOutline>
        </w:rPr>
      </w:pPr>
    </w:p>
    <w:p>
      <w:pPr>
        <w:spacing w:before="72" w:line="219" w:lineRule="auto"/>
        <w:rPr>
          <w:rFonts w:ascii="宋体" w:hAnsi="宋体" w:eastAsia="宋体" w:cs="宋体"/>
          <w:sz w:val="22"/>
          <w:szCs w:val="22"/>
          <w14:textOutline w14:w="4013" w14:cap="sq" w14:cmpd="sng">
            <w14:solidFill>
              <w14:srgbClr w14:val="000000"/>
            </w14:solidFill>
            <w14:prstDash w14:val="solid"/>
            <w14:bevel/>
          </w14:textOutline>
        </w:rPr>
      </w:pPr>
    </w:p>
    <w:p>
      <w:pPr>
        <w:spacing w:before="72" w:line="219" w:lineRule="auto"/>
        <w:rPr>
          <w:rFonts w:ascii="宋体" w:hAnsi="宋体" w:eastAsia="宋体" w:cs="宋体"/>
          <w:sz w:val="22"/>
          <w:szCs w:val="22"/>
          <w14:textOutline w14:w="4013" w14:cap="sq" w14:cmpd="sng">
            <w14:solidFill>
              <w14:srgbClr w14:val="000000"/>
            </w14:solidFill>
            <w14:prstDash w14:val="solid"/>
            <w14:bevel/>
          </w14:textOutline>
        </w:rPr>
      </w:pPr>
    </w:p>
    <w:p>
      <w:pPr>
        <w:spacing w:before="72" w:line="219" w:lineRule="auto"/>
        <w:rPr>
          <w:rFonts w:ascii="宋体" w:hAnsi="宋体" w:eastAsia="宋体" w:cs="宋体"/>
          <w:sz w:val="22"/>
          <w:szCs w:val="22"/>
          <w14:textOutline w14:w="4013" w14:cap="sq" w14:cmpd="sng">
            <w14:solidFill>
              <w14:srgbClr w14:val="000000"/>
            </w14:solidFill>
            <w14:prstDash w14:val="solid"/>
            <w14:bevel/>
          </w14:textOutline>
        </w:rPr>
      </w:pPr>
    </w:p>
    <w:p>
      <w:pPr>
        <w:spacing w:before="72" w:line="219" w:lineRule="auto"/>
        <w:rPr>
          <w:rFonts w:ascii="宋体" w:hAnsi="宋体" w:eastAsia="宋体" w:cs="宋体"/>
          <w:sz w:val="22"/>
          <w:szCs w:val="22"/>
          <w14:textOutline w14:w="4013" w14:cap="sq" w14:cmpd="sng">
            <w14:solidFill>
              <w14:srgbClr w14:val="000000"/>
            </w14:solidFill>
            <w14:prstDash w14:val="solid"/>
            <w14:bevel/>
          </w14:textOutline>
        </w:rPr>
      </w:pPr>
    </w:p>
    <w:p>
      <w:pPr>
        <w:spacing w:before="72" w:line="219" w:lineRule="auto"/>
        <w:rPr>
          <w:rFonts w:ascii="宋体" w:hAnsi="宋体" w:eastAsia="宋体" w:cs="宋体"/>
          <w:sz w:val="22"/>
          <w:szCs w:val="22"/>
          <w14:textOutline w14:w="4013" w14:cap="sq" w14:cmpd="sng">
            <w14:solidFill>
              <w14:srgbClr w14:val="000000"/>
            </w14:solidFill>
            <w14:prstDash w14:val="solid"/>
            <w14:bevel/>
          </w14:textOutline>
        </w:rPr>
      </w:pPr>
      <w:r>
        <w:rPr>
          <w:rFonts w:ascii="宋体" w:hAnsi="宋体" w:eastAsia="宋体" w:cs="宋体"/>
          <w:sz w:val="22"/>
          <w:szCs w:val="22"/>
          <w14:textOutline w14:w="4013" w14:cap="sq" w14:cmpd="sng">
            <w14:solidFill>
              <w14:srgbClr w14:val="000000"/>
            </w14:solidFill>
            <w14:prstDash w14:val="solid"/>
            <w14:bevel/>
          </w14:textOutline>
        </w:rPr>
        <w:t>注：1.资格审查资料以系统生成格式为准，如系统未规定规格请自拟。</w:t>
      </w:r>
    </w:p>
    <w:p>
      <w:pPr>
        <w:spacing w:before="72" w:line="219" w:lineRule="auto"/>
        <w:ind w:left="657" w:leftChars="208" w:hanging="220" w:hangingChars="100"/>
        <w:rPr>
          <w:rFonts w:ascii="宋体" w:hAnsi="宋体" w:eastAsia="宋体" w:cs="宋体"/>
          <w:sz w:val="22"/>
          <w:szCs w:val="22"/>
          <w14:textOutline w14:w="4013" w14:cap="sq" w14:cmpd="sng">
            <w14:solidFill>
              <w14:srgbClr w14:val="000000"/>
            </w14:solidFill>
            <w14:prstDash w14:val="solid"/>
            <w14:bevel/>
          </w14:textOutline>
        </w:rPr>
      </w:pPr>
      <w:r>
        <w:rPr>
          <w:rFonts w:ascii="宋体" w:hAnsi="宋体" w:eastAsia="宋体" w:cs="宋体"/>
          <w:sz w:val="22"/>
          <w:szCs w:val="22"/>
          <w14:textOutline w14:w="4013" w14:cap="sq" w14:cmpd="sng">
            <w14:solidFill>
              <w14:srgbClr w14:val="000000"/>
            </w14:solidFill>
            <w14:prstDash w14:val="solid"/>
            <w14:bevel/>
          </w14:textOutline>
        </w:rPr>
        <w:t xml:space="preserve">2.其他资格审查资料参照“第三章 </w:t>
      </w:r>
      <w:r>
        <w:rPr>
          <w:rFonts w:hint="eastAsia" w:ascii="宋体" w:hAnsi="宋体" w:eastAsia="宋体" w:cs="宋体"/>
          <w:sz w:val="22"/>
          <w:szCs w:val="22"/>
          <w:lang w:val="en-US" w:eastAsia="zh-CN"/>
          <w14:textOutline w14:w="4013" w14:cap="sq" w14:cmpd="sng">
            <w14:solidFill>
              <w14:srgbClr w14:val="000000"/>
            </w14:solidFill>
            <w14:prstDash w14:val="solid"/>
            <w14:bevel/>
          </w14:textOutline>
        </w:rPr>
        <w:t>评审办法（综合评分法）</w:t>
      </w:r>
      <w:r>
        <w:rPr>
          <w:rFonts w:ascii="宋体" w:hAnsi="宋体" w:eastAsia="宋体" w:cs="宋体"/>
          <w:sz w:val="22"/>
          <w:szCs w:val="22"/>
          <w14:textOutline w14:w="4013" w14:cap="sq" w14:cmpd="sng">
            <w14:solidFill>
              <w14:srgbClr w14:val="000000"/>
            </w14:solidFill>
            <w14:prstDash w14:val="solid"/>
            <w14:bevel/>
          </w14:textOutline>
        </w:rPr>
        <w:t>”资格审查部分的规定，附相关材料原件彩色扫描件彩色扫描件。</w:t>
      </w:r>
    </w:p>
    <w:p>
      <w:pPr>
        <w:spacing w:line="220" w:lineRule="auto"/>
        <w:rPr>
          <w:rFonts w:ascii="宋体" w:hAnsi="宋体" w:eastAsia="宋体" w:cs="宋体"/>
          <w:sz w:val="22"/>
          <w:szCs w:val="22"/>
        </w:rPr>
      </w:pPr>
    </w:p>
    <w:p>
      <w:pPr>
        <w:bidi w:val="0"/>
        <w:rPr>
          <w:rFonts w:ascii="Arial" w:hAnsi="Arial" w:eastAsia="Arial" w:cs="Arial"/>
          <w:snapToGrid w:val="0"/>
          <w:color w:val="000000"/>
          <w:kern w:val="0"/>
          <w:sz w:val="21"/>
          <w:szCs w:val="21"/>
          <w:lang w:val="en-US" w:eastAsia="en-US" w:bidi="ar-SA"/>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tabs>
          <w:tab w:val="center" w:pos="4531"/>
        </w:tabs>
        <w:bidi w:val="0"/>
        <w:jc w:val="left"/>
        <w:rPr>
          <w:rFonts w:hint="eastAsia" w:eastAsia="宋体"/>
          <w:lang w:val="en-US" w:eastAsia="zh-CN"/>
        </w:rPr>
      </w:pPr>
      <w:r>
        <w:rPr>
          <w:rFonts w:hint="eastAsia" w:eastAsia="宋体"/>
          <w:lang w:val="en-US" w:eastAsia="zh-CN"/>
        </w:rPr>
        <w:tab/>
      </w:r>
    </w:p>
    <w:p>
      <w:pPr>
        <w:tabs>
          <w:tab w:val="center" w:pos="4531"/>
        </w:tabs>
        <w:bidi w:val="0"/>
        <w:jc w:val="center"/>
        <w:rPr>
          <w:rFonts w:ascii="宋体" w:hAnsi="宋体" w:eastAsia="宋体" w:cs="宋体"/>
          <w:sz w:val="31"/>
          <w:szCs w:val="31"/>
        </w:rPr>
      </w:pPr>
      <w:r>
        <w:rPr>
          <w:rFonts w:ascii="宋体" w:hAnsi="宋体" w:eastAsia="宋体" w:cs="宋体"/>
          <w:spacing w:val="4"/>
          <w:sz w:val="31"/>
          <w:szCs w:val="31"/>
          <w14:textOutline w14:w="5793" w14:cap="sq" w14:cmpd="sng">
            <w14:solidFill>
              <w14:srgbClr w14:val="000000"/>
            </w14:solidFill>
            <w14:prstDash w14:val="solid"/>
            <w14:bevel/>
          </w14:textOutline>
        </w:rPr>
        <w:t>四、开标一览表</w:t>
      </w:r>
    </w:p>
    <w:p>
      <w:pPr>
        <w:pStyle w:val="2"/>
        <w:spacing w:line="249" w:lineRule="auto"/>
      </w:pPr>
    </w:p>
    <w:p>
      <w:pPr>
        <w:pStyle w:val="2"/>
        <w:spacing w:line="249" w:lineRule="auto"/>
      </w:pPr>
    </w:p>
    <w:p>
      <w:pPr>
        <w:spacing w:before="84" w:line="226" w:lineRule="auto"/>
        <w:ind w:left="2508"/>
        <w:rPr>
          <w:rFonts w:ascii="宋体" w:hAnsi="宋体" w:eastAsia="宋体" w:cs="宋体"/>
          <w:sz w:val="26"/>
          <w:szCs w:val="26"/>
        </w:rPr>
      </w:pPr>
      <w:r>
        <w:rPr>
          <w:rFonts w:ascii="宋体" w:hAnsi="宋体" w:eastAsia="宋体" w:cs="宋体"/>
          <w:spacing w:val="8"/>
          <w:sz w:val="26"/>
          <w:szCs w:val="26"/>
          <w14:textOutline w14:w="4885" w14:cap="sq" w14:cmpd="sng">
            <w14:solidFill>
              <w14:srgbClr w14:val="000000"/>
            </w14:solidFill>
            <w14:prstDash w14:val="solid"/>
            <w14:bevel/>
          </w14:textOutline>
        </w:rPr>
        <w:t>（最终格式以系统生成为准）</w:t>
      </w:r>
    </w:p>
    <w:p>
      <w:pPr>
        <w:spacing w:line="226" w:lineRule="auto"/>
        <w:rPr>
          <w:rFonts w:ascii="宋体" w:hAnsi="宋体" w:eastAsia="宋体" w:cs="宋体"/>
          <w:sz w:val="26"/>
          <w:szCs w:val="26"/>
        </w:rPr>
        <w:sectPr>
          <w:footerReference r:id="rId18" w:type="default"/>
          <w:pgSz w:w="11906" w:h="16839"/>
          <w:pgMar w:top="1431" w:right="1785" w:bottom="1014" w:left="1785" w:header="0" w:footer="850" w:gutter="0"/>
          <w:pgNumType w:fmt="decimal"/>
          <w:cols w:space="720" w:num="1"/>
        </w:sectPr>
      </w:pPr>
    </w:p>
    <w:p>
      <w:pPr>
        <w:spacing w:before="118" w:line="223" w:lineRule="auto"/>
        <w:ind w:left="2974"/>
        <w:rPr>
          <w:rFonts w:ascii="宋体" w:hAnsi="宋体" w:eastAsia="宋体" w:cs="宋体"/>
          <w:sz w:val="35"/>
          <w:szCs w:val="35"/>
        </w:rPr>
      </w:pPr>
      <w:r>
        <w:rPr>
          <w:rFonts w:ascii="宋体" w:hAnsi="宋体" w:eastAsia="宋体" w:cs="宋体"/>
          <w:spacing w:val="7"/>
          <w:sz w:val="30"/>
          <w:szCs w:val="30"/>
          <w14:textOutline w14:w="5448" w14:cap="sq" w14:cmpd="sng">
            <w14:solidFill>
              <w14:srgbClr w14:val="000000"/>
            </w14:solidFill>
            <w14:prstDash w14:val="solid"/>
            <w14:bevel/>
          </w14:textOutline>
        </w:rPr>
        <w:t>五、</w:t>
      </w:r>
      <w:r>
        <w:rPr>
          <w:rFonts w:ascii="宋体" w:hAnsi="宋体" w:eastAsia="宋体" w:cs="宋体"/>
          <w:spacing w:val="7"/>
          <w:sz w:val="35"/>
          <w:szCs w:val="35"/>
          <w14:textOutline w14:w="6537" w14:cap="sq" w14:cmpd="sng">
            <w14:solidFill>
              <w14:srgbClr w14:val="000000"/>
            </w14:solidFill>
            <w14:prstDash w14:val="solid"/>
            <w14:bevel/>
          </w14:textOutline>
        </w:rPr>
        <w:t>分项报价明细表</w:t>
      </w:r>
    </w:p>
    <w:p>
      <w:pPr>
        <w:spacing w:before="98"/>
      </w:pPr>
    </w:p>
    <w:p>
      <w:pPr>
        <w:spacing w:before="98"/>
      </w:pPr>
    </w:p>
    <w:tbl>
      <w:tblPr>
        <w:tblStyle w:val="20"/>
        <w:tblW w:w="8933" w:type="dxa"/>
        <w:tblInd w:w="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3"/>
        <w:gridCol w:w="1240"/>
        <w:gridCol w:w="836"/>
        <w:gridCol w:w="1506"/>
        <w:gridCol w:w="758"/>
        <w:gridCol w:w="816"/>
        <w:gridCol w:w="740"/>
        <w:gridCol w:w="740"/>
        <w:gridCol w:w="740"/>
        <w:gridCol w:w="8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753" w:type="dxa"/>
            <w:vAlign w:val="top"/>
          </w:tcPr>
          <w:p>
            <w:pPr>
              <w:spacing w:line="311" w:lineRule="auto"/>
              <w:rPr>
                <w:rFonts w:ascii="Arial"/>
                <w:sz w:val="21"/>
              </w:rPr>
            </w:pPr>
          </w:p>
          <w:p>
            <w:pPr>
              <w:pStyle w:val="22"/>
              <w:spacing w:before="65" w:line="229" w:lineRule="auto"/>
              <w:ind w:left="170"/>
              <w:rPr>
                <w:sz w:val="20"/>
                <w:szCs w:val="20"/>
              </w:rPr>
            </w:pPr>
            <w:r>
              <w:rPr>
                <w:spacing w:val="5"/>
                <w:sz w:val="20"/>
                <w:szCs w:val="20"/>
              </w:rPr>
              <w:t>序号</w:t>
            </w:r>
          </w:p>
        </w:tc>
        <w:tc>
          <w:tcPr>
            <w:tcW w:w="1240" w:type="dxa"/>
            <w:vAlign w:val="top"/>
          </w:tcPr>
          <w:p>
            <w:pPr>
              <w:spacing w:line="310" w:lineRule="auto"/>
              <w:rPr>
                <w:rFonts w:ascii="Arial"/>
                <w:sz w:val="21"/>
              </w:rPr>
            </w:pPr>
          </w:p>
          <w:p>
            <w:pPr>
              <w:pStyle w:val="22"/>
              <w:spacing w:before="65" w:line="230" w:lineRule="auto"/>
              <w:ind w:left="416"/>
              <w:rPr>
                <w:sz w:val="20"/>
                <w:szCs w:val="20"/>
              </w:rPr>
            </w:pPr>
            <w:r>
              <w:rPr>
                <w:spacing w:val="3"/>
                <w:sz w:val="20"/>
                <w:szCs w:val="20"/>
              </w:rPr>
              <w:t>名称</w:t>
            </w:r>
          </w:p>
        </w:tc>
        <w:tc>
          <w:tcPr>
            <w:tcW w:w="836" w:type="dxa"/>
            <w:vAlign w:val="top"/>
          </w:tcPr>
          <w:p>
            <w:pPr>
              <w:spacing w:line="310" w:lineRule="auto"/>
              <w:rPr>
                <w:rFonts w:ascii="Arial"/>
                <w:sz w:val="21"/>
              </w:rPr>
            </w:pPr>
          </w:p>
          <w:p>
            <w:pPr>
              <w:pStyle w:val="22"/>
              <w:spacing w:before="65" w:line="228" w:lineRule="auto"/>
              <w:ind w:left="213"/>
              <w:rPr>
                <w:sz w:val="20"/>
                <w:szCs w:val="20"/>
              </w:rPr>
            </w:pPr>
            <w:r>
              <w:rPr>
                <w:spacing w:val="4"/>
                <w:sz w:val="20"/>
                <w:szCs w:val="20"/>
              </w:rPr>
              <w:t>产地</w:t>
            </w:r>
          </w:p>
        </w:tc>
        <w:tc>
          <w:tcPr>
            <w:tcW w:w="1506" w:type="dxa"/>
            <w:vAlign w:val="top"/>
          </w:tcPr>
          <w:p>
            <w:pPr>
              <w:spacing w:line="311" w:lineRule="auto"/>
              <w:rPr>
                <w:rFonts w:ascii="Arial"/>
                <w:sz w:val="21"/>
              </w:rPr>
            </w:pPr>
          </w:p>
          <w:p>
            <w:pPr>
              <w:pStyle w:val="22"/>
              <w:spacing w:before="65" w:line="228" w:lineRule="auto"/>
              <w:ind w:left="234"/>
              <w:rPr>
                <w:sz w:val="20"/>
                <w:szCs w:val="20"/>
              </w:rPr>
            </w:pPr>
            <w:r>
              <w:rPr>
                <w:spacing w:val="7"/>
                <w:sz w:val="20"/>
                <w:szCs w:val="20"/>
              </w:rPr>
              <w:t>制造商名称</w:t>
            </w:r>
          </w:p>
        </w:tc>
        <w:tc>
          <w:tcPr>
            <w:tcW w:w="758" w:type="dxa"/>
            <w:vAlign w:val="top"/>
          </w:tcPr>
          <w:p>
            <w:pPr>
              <w:spacing w:line="311" w:lineRule="auto"/>
              <w:rPr>
                <w:rFonts w:ascii="Arial"/>
                <w:sz w:val="21"/>
              </w:rPr>
            </w:pPr>
          </w:p>
          <w:p>
            <w:pPr>
              <w:pStyle w:val="22"/>
              <w:spacing w:before="65" w:line="228" w:lineRule="auto"/>
              <w:ind w:left="177"/>
              <w:rPr>
                <w:sz w:val="20"/>
                <w:szCs w:val="20"/>
              </w:rPr>
            </w:pPr>
            <w:r>
              <w:rPr>
                <w:spacing w:val="3"/>
                <w:sz w:val="20"/>
                <w:szCs w:val="20"/>
              </w:rPr>
              <w:t>单位</w:t>
            </w:r>
          </w:p>
        </w:tc>
        <w:tc>
          <w:tcPr>
            <w:tcW w:w="816" w:type="dxa"/>
            <w:vAlign w:val="top"/>
          </w:tcPr>
          <w:p>
            <w:pPr>
              <w:spacing w:line="310" w:lineRule="auto"/>
              <w:rPr>
                <w:rFonts w:ascii="Arial"/>
                <w:sz w:val="21"/>
              </w:rPr>
            </w:pPr>
          </w:p>
          <w:p>
            <w:pPr>
              <w:pStyle w:val="22"/>
              <w:spacing w:before="65" w:line="228" w:lineRule="auto"/>
              <w:ind w:left="206"/>
              <w:rPr>
                <w:sz w:val="20"/>
                <w:szCs w:val="20"/>
              </w:rPr>
            </w:pPr>
            <w:r>
              <w:rPr>
                <w:spacing w:val="3"/>
                <w:sz w:val="20"/>
                <w:szCs w:val="20"/>
              </w:rPr>
              <w:t>数量</w:t>
            </w:r>
          </w:p>
        </w:tc>
        <w:tc>
          <w:tcPr>
            <w:tcW w:w="740" w:type="dxa"/>
            <w:vAlign w:val="top"/>
          </w:tcPr>
          <w:p>
            <w:pPr>
              <w:spacing w:line="310" w:lineRule="auto"/>
              <w:rPr>
                <w:rFonts w:ascii="Arial"/>
                <w:sz w:val="21"/>
              </w:rPr>
            </w:pPr>
          </w:p>
          <w:p>
            <w:pPr>
              <w:pStyle w:val="22"/>
              <w:spacing w:before="65" w:line="228" w:lineRule="auto"/>
              <w:ind w:left="68"/>
              <w:rPr>
                <w:sz w:val="20"/>
                <w:szCs w:val="20"/>
              </w:rPr>
            </w:pPr>
            <w:r>
              <w:rPr>
                <w:spacing w:val="5"/>
                <w:sz w:val="20"/>
                <w:szCs w:val="20"/>
              </w:rPr>
              <w:t>总数量</w:t>
            </w:r>
          </w:p>
        </w:tc>
        <w:tc>
          <w:tcPr>
            <w:tcW w:w="740" w:type="dxa"/>
            <w:vAlign w:val="top"/>
          </w:tcPr>
          <w:p>
            <w:pPr>
              <w:spacing w:line="311" w:lineRule="auto"/>
              <w:rPr>
                <w:rFonts w:ascii="Arial"/>
                <w:sz w:val="21"/>
              </w:rPr>
            </w:pPr>
          </w:p>
          <w:p>
            <w:pPr>
              <w:pStyle w:val="22"/>
              <w:spacing w:before="65" w:line="226" w:lineRule="auto"/>
              <w:ind w:left="169"/>
              <w:rPr>
                <w:sz w:val="20"/>
                <w:szCs w:val="20"/>
              </w:rPr>
            </w:pPr>
            <w:r>
              <w:rPr>
                <w:spacing w:val="3"/>
                <w:sz w:val="20"/>
                <w:szCs w:val="20"/>
              </w:rPr>
              <w:t>单价</w:t>
            </w:r>
          </w:p>
        </w:tc>
        <w:tc>
          <w:tcPr>
            <w:tcW w:w="740" w:type="dxa"/>
            <w:vAlign w:val="top"/>
          </w:tcPr>
          <w:p>
            <w:pPr>
              <w:spacing w:line="311" w:lineRule="auto"/>
              <w:rPr>
                <w:rFonts w:ascii="Arial"/>
                <w:sz w:val="21"/>
              </w:rPr>
            </w:pPr>
          </w:p>
          <w:p>
            <w:pPr>
              <w:pStyle w:val="22"/>
              <w:spacing w:before="65" w:line="226" w:lineRule="auto"/>
              <w:ind w:left="172"/>
              <w:rPr>
                <w:sz w:val="20"/>
                <w:szCs w:val="20"/>
              </w:rPr>
            </w:pPr>
            <w:r>
              <w:rPr>
                <w:spacing w:val="2"/>
                <w:sz w:val="20"/>
                <w:szCs w:val="20"/>
              </w:rPr>
              <w:t>总价</w:t>
            </w:r>
          </w:p>
        </w:tc>
        <w:tc>
          <w:tcPr>
            <w:tcW w:w="804" w:type="dxa"/>
            <w:vAlign w:val="top"/>
          </w:tcPr>
          <w:p>
            <w:pPr>
              <w:spacing w:line="311" w:lineRule="auto"/>
              <w:rPr>
                <w:rFonts w:ascii="Arial"/>
                <w:sz w:val="21"/>
              </w:rPr>
            </w:pPr>
          </w:p>
          <w:p>
            <w:pPr>
              <w:pStyle w:val="22"/>
              <w:spacing w:before="65" w:line="229" w:lineRule="auto"/>
              <w:ind w:left="199"/>
              <w:rPr>
                <w:sz w:val="20"/>
                <w:szCs w:val="20"/>
              </w:rPr>
            </w:pPr>
            <w:r>
              <w:rPr>
                <w:spacing w:val="3"/>
                <w:sz w:val="20"/>
                <w:szCs w:val="2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53" w:type="dxa"/>
            <w:vAlign w:val="top"/>
          </w:tcPr>
          <w:p>
            <w:pPr>
              <w:rPr>
                <w:rFonts w:ascii="Arial"/>
                <w:sz w:val="21"/>
              </w:rPr>
            </w:pPr>
          </w:p>
        </w:tc>
        <w:tc>
          <w:tcPr>
            <w:tcW w:w="1240" w:type="dxa"/>
            <w:vAlign w:val="top"/>
          </w:tcPr>
          <w:p>
            <w:pPr>
              <w:rPr>
                <w:rFonts w:ascii="Arial"/>
                <w:sz w:val="21"/>
              </w:rPr>
            </w:pPr>
          </w:p>
        </w:tc>
        <w:tc>
          <w:tcPr>
            <w:tcW w:w="836" w:type="dxa"/>
            <w:vAlign w:val="top"/>
          </w:tcPr>
          <w:p>
            <w:pPr>
              <w:rPr>
                <w:rFonts w:ascii="Arial"/>
                <w:sz w:val="21"/>
              </w:rPr>
            </w:pPr>
          </w:p>
        </w:tc>
        <w:tc>
          <w:tcPr>
            <w:tcW w:w="1506" w:type="dxa"/>
            <w:vAlign w:val="top"/>
          </w:tcPr>
          <w:p>
            <w:pPr>
              <w:rPr>
                <w:rFonts w:ascii="Arial"/>
                <w:sz w:val="21"/>
              </w:rPr>
            </w:pPr>
          </w:p>
        </w:tc>
        <w:tc>
          <w:tcPr>
            <w:tcW w:w="758" w:type="dxa"/>
            <w:vAlign w:val="top"/>
          </w:tcPr>
          <w:p>
            <w:pPr>
              <w:rPr>
                <w:rFonts w:ascii="Arial"/>
                <w:sz w:val="21"/>
              </w:rPr>
            </w:pPr>
          </w:p>
        </w:tc>
        <w:tc>
          <w:tcPr>
            <w:tcW w:w="816" w:type="dxa"/>
            <w:vAlign w:val="top"/>
          </w:tcPr>
          <w:p>
            <w:pPr>
              <w:rPr>
                <w:rFonts w:ascii="Arial"/>
                <w:sz w:val="21"/>
              </w:rPr>
            </w:pPr>
          </w:p>
        </w:tc>
        <w:tc>
          <w:tcPr>
            <w:tcW w:w="740" w:type="dxa"/>
            <w:vAlign w:val="top"/>
          </w:tcPr>
          <w:p>
            <w:pPr>
              <w:rPr>
                <w:rFonts w:ascii="Arial"/>
                <w:sz w:val="21"/>
              </w:rPr>
            </w:pPr>
          </w:p>
        </w:tc>
        <w:tc>
          <w:tcPr>
            <w:tcW w:w="740" w:type="dxa"/>
            <w:vAlign w:val="top"/>
          </w:tcPr>
          <w:p>
            <w:pPr>
              <w:rPr>
                <w:rFonts w:ascii="Arial"/>
                <w:sz w:val="21"/>
              </w:rPr>
            </w:pPr>
          </w:p>
        </w:tc>
        <w:tc>
          <w:tcPr>
            <w:tcW w:w="740" w:type="dxa"/>
            <w:vAlign w:val="top"/>
          </w:tcPr>
          <w:p>
            <w:pPr>
              <w:rPr>
                <w:rFonts w:ascii="Arial"/>
                <w:sz w:val="21"/>
              </w:rPr>
            </w:pPr>
          </w:p>
        </w:tc>
        <w:tc>
          <w:tcPr>
            <w:tcW w:w="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53" w:type="dxa"/>
            <w:vAlign w:val="top"/>
          </w:tcPr>
          <w:p>
            <w:pPr>
              <w:rPr>
                <w:rFonts w:ascii="Arial"/>
                <w:sz w:val="21"/>
              </w:rPr>
            </w:pPr>
          </w:p>
        </w:tc>
        <w:tc>
          <w:tcPr>
            <w:tcW w:w="1240" w:type="dxa"/>
            <w:vAlign w:val="top"/>
          </w:tcPr>
          <w:p>
            <w:pPr>
              <w:rPr>
                <w:rFonts w:ascii="Arial"/>
                <w:sz w:val="21"/>
              </w:rPr>
            </w:pPr>
          </w:p>
        </w:tc>
        <w:tc>
          <w:tcPr>
            <w:tcW w:w="836" w:type="dxa"/>
            <w:vAlign w:val="top"/>
          </w:tcPr>
          <w:p>
            <w:pPr>
              <w:rPr>
                <w:rFonts w:ascii="Arial"/>
                <w:sz w:val="21"/>
              </w:rPr>
            </w:pPr>
          </w:p>
        </w:tc>
        <w:tc>
          <w:tcPr>
            <w:tcW w:w="1506" w:type="dxa"/>
            <w:vAlign w:val="top"/>
          </w:tcPr>
          <w:p>
            <w:pPr>
              <w:rPr>
                <w:rFonts w:ascii="Arial"/>
                <w:sz w:val="21"/>
              </w:rPr>
            </w:pPr>
          </w:p>
        </w:tc>
        <w:tc>
          <w:tcPr>
            <w:tcW w:w="758" w:type="dxa"/>
            <w:vAlign w:val="top"/>
          </w:tcPr>
          <w:p>
            <w:pPr>
              <w:rPr>
                <w:rFonts w:ascii="Arial"/>
                <w:sz w:val="21"/>
              </w:rPr>
            </w:pPr>
          </w:p>
        </w:tc>
        <w:tc>
          <w:tcPr>
            <w:tcW w:w="816" w:type="dxa"/>
            <w:vAlign w:val="top"/>
          </w:tcPr>
          <w:p>
            <w:pPr>
              <w:rPr>
                <w:rFonts w:ascii="Arial"/>
                <w:sz w:val="21"/>
              </w:rPr>
            </w:pPr>
          </w:p>
        </w:tc>
        <w:tc>
          <w:tcPr>
            <w:tcW w:w="740" w:type="dxa"/>
            <w:vAlign w:val="top"/>
          </w:tcPr>
          <w:p>
            <w:pPr>
              <w:rPr>
                <w:rFonts w:ascii="Arial"/>
                <w:sz w:val="21"/>
              </w:rPr>
            </w:pPr>
          </w:p>
        </w:tc>
        <w:tc>
          <w:tcPr>
            <w:tcW w:w="740" w:type="dxa"/>
            <w:vAlign w:val="top"/>
          </w:tcPr>
          <w:p>
            <w:pPr>
              <w:rPr>
                <w:rFonts w:ascii="Arial"/>
                <w:sz w:val="21"/>
              </w:rPr>
            </w:pPr>
          </w:p>
        </w:tc>
        <w:tc>
          <w:tcPr>
            <w:tcW w:w="740" w:type="dxa"/>
            <w:vAlign w:val="top"/>
          </w:tcPr>
          <w:p>
            <w:pPr>
              <w:rPr>
                <w:rFonts w:ascii="Arial"/>
                <w:sz w:val="21"/>
              </w:rPr>
            </w:pPr>
          </w:p>
        </w:tc>
        <w:tc>
          <w:tcPr>
            <w:tcW w:w="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753" w:type="dxa"/>
            <w:vAlign w:val="top"/>
          </w:tcPr>
          <w:p>
            <w:pPr>
              <w:rPr>
                <w:rFonts w:ascii="Arial"/>
                <w:sz w:val="21"/>
              </w:rPr>
            </w:pPr>
          </w:p>
        </w:tc>
        <w:tc>
          <w:tcPr>
            <w:tcW w:w="1240" w:type="dxa"/>
            <w:vAlign w:val="top"/>
          </w:tcPr>
          <w:p>
            <w:pPr>
              <w:rPr>
                <w:rFonts w:ascii="Arial"/>
                <w:sz w:val="21"/>
              </w:rPr>
            </w:pPr>
          </w:p>
        </w:tc>
        <w:tc>
          <w:tcPr>
            <w:tcW w:w="836" w:type="dxa"/>
            <w:vAlign w:val="top"/>
          </w:tcPr>
          <w:p>
            <w:pPr>
              <w:rPr>
                <w:rFonts w:ascii="Arial"/>
                <w:sz w:val="21"/>
              </w:rPr>
            </w:pPr>
          </w:p>
        </w:tc>
        <w:tc>
          <w:tcPr>
            <w:tcW w:w="1506" w:type="dxa"/>
            <w:vAlign w:val="top"/>
          </w:tcPr>
          <w:p>
            <w:pPr>
              <w:rPr>
                <w:rFonts w:ascii="Arial"/>
                <w:sz w:val="21"/>
              </w:rPr>
            </w:pPr>
          </w:p>
        </w:tc>
        <w:tc>
          <w:tcPr>
            <w:tcW w:w="758" w:type="dxa"/>
            <w:vAlign w:val="top"/>
          </w:tcPr>
          <w:p>
            <w:pPr>
              <w:rPr>
                <w:rFonts w:ascii="Arial"/>
                <w:sz w:val="21"/>
              </w:rPr>
            </w:pPr>
          </w:p>
        </w:tc>
        <w:tc>
          <w:tcPr>
            <w:tcW w:w="816" w:type="dxa"/>
            <w:vAlign w:val="top"/>
          </w:tcPr>
          <w:p>
            <w:pPr>
              <w:rPr>
                <w:rFonts w:ascii="Arial"/>
                <w:sz w:val="21"/>
              </w:rPr>
            </w:pPr>
          </w:p>
        </w:tc>
        <w:tc>
          <w:tcPr>
            <w:tcW w:w="740" w:type="dxa"/>
            <w:vAlign w:val="top"/>
          </w:tcPr>
          <w:p>
            <w:pPr>
              <w:rPr>
                <w:rFonts w:ascii="Arial"/>
                <w:sz w:val="21"/>
              </w:rPr>
            </w:pPr>
          </w:p>
        </w:tc>
        <w:tc>
          <w:tcPr>
            <w:tcW w:w="740" w:type="dxa"/>
            <w:vAlign w:val="top"/>
          </w:tcPr>
          <w:p>
            <w:pPr>
              <w:rPr>
                <w:rFonts w:ascii="Arial"/>
                <w:sz w:val="21"/>
              </w:rPr>
            </w:pPr>
          </w:p>
        </w:tc>
        <w:tc>
          <w:tcPr>
            <w:tcW w:w="740" w:type="dxa"/>
            <w:vAlign w:val="top"/>
          </w:tcPr>
          <w:p>
            <w:pPr>
              <w:rPr>
                <w:rFonts w:ascii="Arial"/>
                <w:sz w:val="21"/>
              </w:rPr>
            </w:pPr>
          </w:p>
        </w:tc>
        <w:tc>
          <w:tcPr>
            <w:tcW w:w="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53" w:type="dxa"/>
            <w:vAlign w:val="top"/>
          </w:tcPr>
          <w:p>
            <w:pPr>
              <w:rPr>
                <w:rFonts w:ascii="Arial"/>
                <w:sz w:val="21"/>
              </w:rPr>
            </w:pPr>
          </w:p>
        </w:tc>
        <w:tc>
          <w:tcPr>
            <w:tcW w:w="1240" w:type="dxa"/>
            <w:vAlign w:val="top"/>
          </w:tcPr>
          <w:p>
            <w:pPr>
              <w:rPr>
                <w:rFonts w:ascii="Arial"/>
                <w:sz w:val="21"/>
              </w:rPr>
            </w:pPr>
          </w:p>
        </w:tc>
        <w:tc>
          <w:tcPr>
            <w:tcW w:w="836" w:type="dxa"/>
            <w:vAlign w:val="top"/>
          </w:tcPr>
          <w:p>
            <w:pPr>
              <w:rPr>
                <w:rFonts w:ascii="Arial"/>
                <w:sz w:val="21"/>
              </w:rPr>
            </w:pPr>
          </w:p>
        </w:tc>
        <w:tc>
          <w:tcPr>
            <w:tcW w:w="1506" w:type="dxa"/>
            <w:vAlign w:val="top"/>
          </w:tcPr>
          <w:p>
            <w:pPr>
              <w:rPr>
                <w:rFonts w:ascii="Arial"/>
                <w:sz w:val="21"/>
              </w:rPr>
            </w:pPr>
          </w:p>
        </w:tc>
        <w:tc>
          <w:tcPr>
            <w:tcW w:w="758" w:type="dxa"/>
            <w:vAlign w:val="top"/>
          </w:tcPr>
          <w:p>
            <w:pPr>
              <w:rPr>
                <w:rFonts w:ascii="Arial"/>
                <w:sz w:val="21"/>
              </w:rPr>
            </w:pPr>
          </w:p>
        </w:tc>
        <w:tc>
          <w:tcPr>
            <w:tcW w:w="816" w:type="dxa"/>
            <w:vAlign w:val="top"/>
          </w:tcPr>
          <w:p>
            <w:pPr>
              <w:rPr>
                <w:rFonts w:ascii="Arial"/>
                <w:sz w:val="21"/>
              </w:rPr>
            </w:pPr>
          </w:p>
        </w:tc>
        <w:tc>
          <w:tcPr>
            <w:tcW w:w="740" w:type="dxa"/>
            <w:vAlign w:val="top"/>
          </w:tcPr>
          <w:p>
            <w:pPr>
              <w:rPr>
                <w:rFonts w:ascii="Arial"/>
                <w:sz w:val="21"/>
              </w:rPr>
            </w:pPr>
          </w:p>
        </w:tc>
        <w:tc>
          <w:tcPr>
            <w:tcW w:w="740" w:type="dxa"/>
            <w:vAlign w:val="top"/>
          </w:tcPr>
          <w:p>
            <w:pPr>
              <w:rPr>
                <w:rFonts w:ascii="Arial"/>
                <w:sz w:val="21"/>
              </w:rPr>
            </w:pPr>
          </w:p>
        </w:tc>
        <w:tc>
          <w:tcPr>
            <w:tcW w:w="740" w:type="dxa"/>
            <w:vAlign w:val="top"/>
          </w:tcPr>
          <w:p>
            <w:pPr>
              <w:rPr>
                <w:rFonts w:ascii="Arial"/>
                <w:sz w:val="21"/>
              </w:rPr>
            </w:pPr>
          </w:p>
        </w:tc>
        <w:tc>
          <w:tcPr>
            <w:tcW w:w="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53" w:type="dxa"/>
            <w:vAlign w:val="top"/>
          </w:tcPr>
          <w:p>
            <w:pPr>
              <w:rPr>
                <w:rFonts w:ascii="Arial"/>
                <w:sz w:val="21"/>
              </w:rPr>
            </w:pPr>
          </w:p>
        </w:tc>
        <w:tc>
          <w:tcPr>
            <w:tcW w:w="1240" w:type="dxa"/>
            <w:vAlign w:val="top"/>
          </w:tcPr>
          <w:p>
            <w:pPr>
              <w:rPr>
                <w:rFonts w:ascii="Arial"/>
                <w:sz w:val="21"/>
              </w:rPr>
            </w:pPr>
          </w:p>
        </w:tc>
        <w:tc>
          <w:tcPr>
            <w:tcW w:w="836" w:type="dxa"/>
            <w:vAlign w:val="top"/>
          </w:tcPr>
          <w:p>
            <w:pPr>
              <w:rPr>
                <w:rFonts w:ascii="Arial"/>
                <w:sz w:val="21"/>
              </w:rPr>
            </w:pPr>
          </w:p>
        </w:tc>
        <w:tc>
          <w:tcPr>
            <w:tcW w:w="1506" w:type="dxa"/>
            <w:vAlign w:val="top"/>
          </w:tcPr>
          <w:p>
            <w:pPr>
              <w:rPr>
                <w:rFonts w:ascii="Arial"/>
                <w:sz w:val="21"/>
              </w:rPr>
            </w:pPr>
          </w:p>
        </w:tc>
        <w:tc>
          <w:tcPr>
            <w:tcW w:w="758" w:type="dxa"/>
            <w:vAlign w:val="top"/>
          </w:tcPr>
          <w:p>
            <w:pPr>
              <w:rPr>
                <w:rFonts w:ascii="Arial"/>
                <w:sz w:val="21"/>
              </w:rPr>
            </w:pPr>
          </w:p>
        </w:tc>
        <w:tc>
          <w:tcPr>
            <w:tcW w:w="816" w:type="dxa"/>
            <w:vAlign w:val="top"/>
          </w:tcPr>
          <w:p>
            <w:pPr>
              <w:rPr>
                <w:rFonts w:ascii="Arial"/>
                <w:sz w:val="21"/>
              </w:rPr>
            </w:pPr>
          </w:p>
        </w:tc>
        <w:tc>
          <w:tcPr>
            <w:tcW w:w="740" w:type="dxa"/>
            <w:vAlign w:val="top"/>
          </w:tcPr>
          <w:p>
            <w:pPr>
              <w:rPr>
                <w:rFonts w:ascii="Arial"/>
                <w:sz w:val="21"/>
              </w:rPr>
            </w:pPr>
          </w:p>
        </w:tc>
        <w:tc>
          <w:tcPr>
            <w:tcW w:w="740" w:type="dxa"/>
            <w:vAlign w:val="top"/>
          </w:tcPr>
          <w:p>
            <w:pPr>
              <w:rPr>
                <w:rFonts w:ascii="Arial"/>
                <w:sz w:val="21"/>
              </w:rPr>
            </w:pPr>
          </w:p>
        </w:tc>
        <w:tc>
          <w:tcPr>
            <w:tcW w:w="740" w:type="dxa"/>
            <w:vAlign w:val="top"/>
          </w:tcPr>
          <w:p>
            <w:pPr>
              <w:rPr>
                <w:rFonts w:ascii="Arial"/>
                <w:sz w:val="21"/>
              </w:rPr>
            </w:pPr>
          </w:p>
        </w:tc>
        <w:tc>
          <w:tcPr>
            <w:tcW w:w="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753" w:type="dxa"/>
            <w:vAlign w:val="top"/>
          </w:tcPr>
          <w:p>
            <w:pPr>
              <w:spacing w:line="256" w:lineRule="auto"/>
              <w:rPr>
                <w:rFonts w:ascii="Arial"/>
                <w:sz w:val="21"/>
              </w:rPr>
            </w:pPr>
          </w:p>
          <w:p>
            <w:pPr>
              <w:spacing w:before="61" w:line="77" w:lineRule="exact"/>
              <w:ind w:left="310"/>
              <w:rPr>
                <w:rFonts w:ascii="Calibri" w:hAnsi="Calibri" w:eastAsia="Calibri" w:cs="Calibri"/>
                <w:sz w:val="20"/>
                <w:szCs w:val="20"/>
              </w:rPr>
            </w:pPr>
            <w:r>
              <w:rPr>
                <w:rFonts w:ascii="Calibri" w:hAnsi="Calibri" w:eastAsia="Calibri" w:cs="Calibri"/>
                <w:spacing w:val="1"/>
                <w:position w:val="1"/>
                <w:sz w:val="20"/>
                <w:szCs w:val="20"/>
              </w:rPr>
              <w:t>...</w:t>
            </w:r>
          </w:p>
        </w:tc>
        <w:tc>
          <w:tcPr>
            <w:tcW w:w="1240" w:type="dxa"/>
            <w:vAlign w:val="top"/>
          </w:tcPr>
          <w:p>
            <w:pPr>
              <w:spacing w:line="256" w:lineRule="auto"/>
              <w:rPr>
                <w:rFonts w:ascii="Arial"/>
                <w:sz w:val="21"/>
              </w:rPr>
            </w:pPr>
          </w:p>
          <w:p>
            <w:pPr>
              <w:spacing w:before="61" w:line="77" w:lineRule="exact"/>
              <w:ind w:left="551"/>
              <w:rPr>
                <w:rFonts w:ascii="Calibri" w:hAnsi="Calibri" w:eastAsia="Calibri" w:cs="Calibri"/>
                <w:sz w:val="20"/>
                <w:szCs w:val="20"/>
              </w:rPr>
            </w:pPr>
            <w:r>
              <w:rPr>
                <w:rFonts w:ascii="Calibri" w:hAnsi="Calibri" w:eastAsia="Calibri" w:cs="Calibri"/>
                <w:spacing w:val="1"/>
                <w:position w:val="1"/>
                <w:sz w:val="20"/>
                <w:szCs w:val="20"/>
              </w:rPr>
              <w:t>...</w:t>
            </w:r>
          </w:p>
        </w:tc>
        <w:tc>
          <w:tcPr>
            <w:tcW w:w="836" w:type="dxa"/>
            <w:vAlign w:val="top"/>
          </w:tcPr>
          <w:p>
            <w:pPr>
              <w:spacing w:line="256" w:lineRule="auto"/>
              <w:rPr>
                <w:rFonts w:ascii="Arial"/>
                <w:sz w:val="21"/>
              </w:rPr>
            </w:pPr>
          </w:p>
          <w:p>
            <w:pPr>
              <w:spacing w:before="61" w:line="77" w:lineRule="exact"/>
              <w:ind w:left="350"/>
              <w:rPr>
                <w:rFonts w:ascii="Calibri" w:hAnsi="Calibri" w:eastAsia="Calibri" w:cs="Calibri"/>
                <w:sz w:val="20"/>
                <w:szCs w:val="20"/>
              </w:rPr>
            </w:pPr>
            <w:r>
              <w:rPr>
                <w:rFonts w:ascii="Calibri" w:hAnsi="Calibri" w:eastAsia="Calibri" w:cs="Calibri"/>
                <w:spacing w:val="1"/>
                <w:position w:val="1"/>
                <w:sz w:val="20"/>
                <w:szCs w:val="20"/>
              </w:rPr>
              <w:t>...</w:t>
            </w:r>
          </w:p>
        </w:tc>
        <w:tc>
          <w:tcPr>
            <w:tcW w:w="1506" w:type="dxa"/>
            <w:vAlign w:val="top"/>
          </w:tcPr>
          <w:p>
            <w:pPr>
              <w:spacing w:line="256" w:lineRule="auto"/>
              <w:rPr>
                <w:rFonts w:ascii="Arial"/>
                <w:sz w:val="21"/>
              </w:rPr>
            </w:pPr>
          </w:p>
          <w:p>
            <w:pPr>
              <w:spacing w:before="61" w:line="77" w:lineRule="exact"/>
              <w:ind w:left="687"/>
              <w:rPr>
                <w:rFonts w:ascii="Calibri" w:hAnsi="Calibri" w:eastAsia="Calibri" w:cs="Calibri"/>
                <w:sz w:val="20"/>
                <w:szCs w:val="20"/>
              </w:rPr>
            </w:pPr>
            <w:r>
              <w:rPr>
                <w:rFonts w:ascii="Calibri" w:hAnsi="Calibri" w:eastAsia="Calibri" w:cs="Calibri"/>
                <w:spacing w:val="1"/>
                <w:position w:val="1"/>
                <w:sz w:val="20"/>
                <w:szCs w:val="20"/>
              </w:rPr>
              <w:t>...</w:t>
            </w:r>
          </w:p>
        </w:tc>
        <w:tc>
          <w:tcPr>
            <w:tcW w:w="758" w:type="dxa"/>
            <w:vAlign w:val="top"/>
          </w:tcPr>
          <w:p>
            <w:pPr>
              <w:spacing w:line="256" w:lineRule="auto"/>
              <w:rPr>
                <w:rFonts w:ascii="Arial"/>
                <w:sz w:val="21"/>
              </w:rPr>
            </w:pPr>
          </w:p>
          <w:p>
            <w:pPr>
              <w:spacing w:before="61" w:line="77" w:lineRule="exact"/>
              <w:ind w:left="312"/>
              <w:rPr>
                <w:rFonts w:ascii="Calibri" w:hAnsi="Calibri" w:eastAsia="Calibri" w:cs="Calibri"/>
                <w:sz w:val="20"/>
                <w:szCs w:val="20"/>
              </w:rPr>
            </w:pPr>
            <w:r>
              <w:rPr>
                <w:rFonts w:ascii="Calibri" w:hAnsi="Calibri" w:eastAsia="Calibri" w:cs="Calibri"/>
                <w:spacing w:val="1"/>
                <w:position w:val="1"/>
                <w:sz w:val="20"/>
                <w:szCs w:val="20"/>
              </w:rPr>
              <w:t>...</w:t>
            </w:r>
          </w:p>
        </w:tc>
        <w:tc>
          <w:tcPr>
            <w:tcW w:w="816" w:type="dxa"/>
            <w:vAlign w:val="top"/>
          </w:tcPr>
          <w:p>
            <w:pPr>
              <w:rPr>
                <w:rFonts w:ascii="Arial"/>
                <w:sz w:val="21"/>
              </w:rPr>
            </w:pPr>
          </w:p>
        </w:tc>
        <w:tc>
          <w:tcPr>
            <w:tcW w:w="740" w:type="dxa"/>
            <w:vAlign w:val="top"/>
          </w:tcPr>
          <w:p>
            <w:pPr>
              <w:rPr>
                <w:rFonts w:ascii="Arial"/>
                <w:sz w:val="21"/>
              </w:rPr>
            </w:pPr>
          </w:p>
        </w:tc>
        <w:tc>
          <w:tcPr>
            <w:tcW w:w="740" w:type="dxa"/>
            <w:vAlign w:val="top"/>
          </w:tcPr>
          <w:p>
            <w:pPr>
              <w:spacing w:line="256" w:lineRule="auto"/>
              <w:rPr>
                <w:rFonts w:ascii="Arial"/>
                <w:sz w:val="21"/>
              </w:rPr>
            </w:pPr>
          </w:p>
          <w:p>
            <w:pPr>
              <w:spacing w:before="61" w:line="77" w:lineRule="exact"/>
              <w:ind w:left="304"/>
              <w:rPr>
                <w:rFonts w:ascii="Calibri" w:hAnsi="Calibri" w:eastAsia="Calibri" w:cs="Calibri"/>
                <w:sz w:val="20"/>
                <w:szCs w:val="20"/>
              </w:rPr>
            </w:pPr>
            <w:r>
              <w:rPr>
                <w:rFonts w:ascii="Calibri" w:hAnsi="Calibri" w:eastAsia="Calibri" w:cs="Calibri"/>
                <w:spacing w:val="1"/>
                <w:position w:val="1"/>
                <w:sz w:val="20"/>
                <w:szCs w:val="20"/>
              </w:rPr>
              <w:t>...</w:t>
            </w:r>
          </w:p>
        </w:tc>
        <w:tc>
          <w:tcPr>
            <w:tcW w:w="740" w:type="dxa"/>
            <w:vAlign w:val="top"/>
          </w:tcPr>
          <w:p>
            <w:pPr>
              <w:spacing w:line="256" w:lineRule="auto"/>
              <w:rPr>
                <w:rFonts w:ascii="Arial"/>
                <w:sz w:val="21"/>
              </w:rPr>
            </w:pPr>
          </w:p>
          <w:p>
            <w:pPr>
              <w:spacing w:before="61" w:line="77" w:lineRule="exact"/>
              <w:ind w:left="306"/>
              <w:rPr>
                <w:rFonts w:ascii="Calibri" w:hAnsi="Calibri" w:eastAsia="Calibri" w:cs="Calibri"/>
                <w:sz w:val="20"/>
                <w:szCs w:val="20"/>
              </w:rPr>
            </w:pPr>
            <w:r>
              <w:rPr>
                <w:rFonts w:ascii="Calibri" w:hAnsi="Calibri" w:eastAsia="Calibri" w:cs="Calibri"/>
                <w:spacing w:val="1"/>
                <w:position w:val="1"/>
                <w:sz w:val="20"/>
                <w:szCs w:val="20"/>
              </w:rPr>
              <w:t>...</w:t>
            </w:r>
          </w:p>
        </w:tc>
        <w:tc>
          <w:tcPr>
            <w:tcW w:w="804" w:type="dxa"/>
            <w:vAlign w:val="top"/>
          </w:tcPr>
          <w:p>
            <w:pPr>
              <w:spacing w:line="256" w:lineRule="auto"/>
              <w:rPr>
                <w:rFonts w:ascii="Arial"/>
                <w:sz w:val="21"/>
              </w:rPr>
            </w:pPr>
          </w:p>
          <w:p>
            <w:pPr>
              <w:spacing w:before="61" w:line="77" w:lineRule="exact"/>
              <w:ind w:left="334"/>
              <w:rPr>
                <w:rFonts w:ascii="Calibri" w:hAnsi="Calibri" w:eastAsia="Calibri" w:cs="Calibri"/>
                <w:sz w:val="20"/>
                <w:szCs w:val="20"/>
              </w:rPr>
            </w:pPr>
            <w:r>
              <w:rPr>
                <w:rFonts w:ascii="Calibri" w:hAnsi="Calibri" w:eastAsia="Calibri" w:cs="Calibri"/>
                <w:spacing w:val="1"/>
                <w:position w:val="1"/>
                <w:sz w:val="20"/>
                <w:szCs w:val="20"/>
              </w:rPr>
              <w:t>...</w:t>
            </w:r>
          </w:p>
        </w:tc>
      </w:tr>
    </w:tbl>
    <w:p>
      <w:pPr>
        <w:pStyle w:val="2"/>
        <w:spacing w:line="255" w:lineRule="auto"/>
      </w:pPr>
    </w:p>
    <w:p>
      <w:pPr>
        <w:pStyle w:val="2"/>
        <w:spacing w:line="255" w:lineRule="auto"/>
      </w:pPr>
    </w:p>
    <w:p>
      <w:pPr>
        <w:pStyle w:val="2"/>
        <w:spacing w:line="256" w:lineRule="auto"/>
      </w:pPr>
    </w:p>
    <w:p>
      <w:pPr>
        <w:pStyle w:val="2"/>
        <w:spacing w:line="256" w:lineRule="auto"/>
      </w:pPr>
    </w:p>
    <w:p>
      <w:pPr>
        <w:spacing w:before="65" w:line="418" w:lineRule="exact"/>
        <w:rPr>
          <w:rFonts w:ascii="宋体" w:hAnsi="宋体" w:eastAsia="宋体" w:cs="宋体"/>
          <w:sz w:val="20"/>
          <w:szCs w:val="20"/>
        </w:rPr>
      </w:pPr>
      <w:r>
        <w:rPr>
          <w:rFonts w:ascii="宋体" w:hAnsi="宋体" w:eastAsia="宋体" w:cs="宋体"/>
          <w:spacing w:val="7"/>
          <w:position w:val="16"/>
          <w:sz w:val="20"/>
          <w:szCs w:val="20"/>
        </w:rPr>
        <w:t>说明：</w:t>
      </w:r>
      <w:r>
        <w:rPr>
          <w:rFonts w:ascii="宋体" w:hAnsi="宋体" w:eastAsia="宋体" w:cs="宋体"/>
          <w:spacing w:val="35"/>
          <w:position w:val="16"/>
          <w:sz w:val="20"/>
          <w:szCs w:val="20"/>
        </w:rPr>
        <w:t xml:space="preserve"> </w:t>
      </w:r>
      <w:r>
        <w:rPr>
          <w:rFonts w:ascii="Calibri" w:hAnsi="Calibri" w:eastAsia="Calibri" w:cs="Calibri"/>
          <w:spacing w:val="7"/>
          <w:position w:val="16"/>
          <w:sz w:val="20"/>
          <w:szCs w:val="20"/>
        </w:rPr>
        <w:t>1</w:t>
      </w:r>
      <w:r>
        <w:rPr>
          <w:rFonts w:ascii="Calibri" w:hAnsi="Calibri" w:eastAsia="Calibri" w:cs="Calibri"/>
          <w:spacing w:val="-23"/>
          <w:position w:val="16"/>
          <w:sz w:val="20"/>
          <w:szCs w:val="20"/>
        </w:rPr>
        <w:t xml:space="preserve"> </w:t>
      </w:r>
      <w:r>
        <w:rPr>
          <w:rFonts w:ascii="宋体" w:hAnsi="宋体" w:eastAsia="宋体" w:cs="宋体"/>
          <w:spacing w:val="7"/>
          <w:position w:val="16"/>
          <w:sz w:val="20"/>
          <w:szCs w:val="20"/>
        </w:rPr>
        <w:t>、根据格式填报报价明细，表格不足时可自行添加。</w:t>
      </w:r>
    </w:p>
    <w:p>
      <w:pPr>
        <w:spacing w:line="226" w:lineRule="auto"/>
        <w:ind w:left="629" w:firstLine="214" w:firstLineChars="100"/>
        <w:rPr>
          <w:rFonts w:ascii="宋体" w:hAnsi="宋体" w:eastAsia="宋体" w:cs="宋体"/>
          <w:sz w:val="20"/>
          <w:szCs w:val="20"/>
        </w:rPr>
      </w:pPr>
      <w:r>
        <w:rPr>
          <w:rFonts w:ascii="Calibri" w:hAnsi="Calibri" w:eastAsia="Calibri" w:cs="Calibri"/>
          <w:spacing w:val="7"/>
          <w:sz w:val="20"/>
          <w:szCs w:val="20"/>
        </w:rPr>
        <w:t>2</w:t>
      </w:r>
      <w:r>
        <w:rPr>
          <w:rFonts w:ascii="Calibri" w:hAnsi="Calibri" w:eastAsia="Calibri" w:cs="Calibri"/>
          <w:spacing w:val="-6"/>
          <w:sz w:val="20"/>
          <w:szCs w:val="20"/>
        </w:rPr>
        <w:t xml:space="preserve"> </w:t>
      </w:r>
      <w:r>
        <w:rPr>
          <w:rFonts w:ascii="宋体" w:hAnsi="宋体" w:eastAsia="宋体" w:cs="宋体"/>
          <w:spacing w:val="7"/>
          <w:sz w:val="20"/>
          <w:szCs w:val="20"/>
        </w:rPr>
        <w:t>、合计金额应于投标函及附录中</w:t>
      </w:r>
      <w:r>
        <w:rPr>
          <w:rFonts w:hint="eastAsia" w:ascii="宋体" w:hAnsi="宋体" w:eastAsia="宋体" w:cs="宋体"/>
          <w:spacing w:val="7"/>
          <w:sz w:val="20"/>
          <w:szCs w:val="20"/>
          <w:lang w:val="en-US" w:eastAsia="zh-CN"/>
        </w:rPr>
        <w:t>磋商</w:t>
      </w:r>
      <w:r>
        <w:rPr>
          <w:rFonts w:ascii="宋体" w:hAnsi="宋体" w:eastAsia="宋体" w:cs="宋体"/>
          <w:spacing w:val="7"/>
          <w:sz w:val="20"/>
          <w:szCs w:val="20"/>
        </w:rPr>
        <w:t>总报价一致。</w:t>
      </w:r>
    </w:p>
    <w:p>
      <w:pPr>
        <w:pStyle w:val="2"/>
        <w:spacing w:line="332" w:lineRule="auto"/>
      </w:pPr>
    </w:p>
    <w:p>
      <w:pPr>
        <w:pStyle w:val="2"/>
        <w:spacing w:line="333" w:lineRule="auto"/>
      </w:pPr>
    </w:p>
    <w:p>
      <w:pPr>
        <w:spacing w:before="78" w:line="399" w:lineRule="auto"/>
        <w:ind w:left="2998"/>
        <w:rPr>
          <w:rFonts w:ascii="宋体" w:hAnsi="宋体" w:eastAsia="宋体" w:cs="宋体"/>
          <w:sz w:val="24"/>
          <w:szCs w:val="24"/>
        </w:rPr>
      </w:pPr>
      <w:r>
        <w:rPr>
          <w:rFonts w:ascii="宋体" w:hAnsi="宋体" w:eastAsia="宋体" w:cs="宋体"/>
          <w:spacing w:val="-2"/>
          <w:sz w:val="24"/>
          <w:szCs w:val="24"/>
        </w:rPr>
        <w:t>供应商（盖电子签章</w:t>
      </w:r>
      <w:r>
        <w:rPr>
          <w:rFonts w:ascii="宋体" w:hAnsi="宋体" w:eastAsia="宋体" w:cs="宋体"/>
          <w:spacing w:val="3"/>
          <w:sz w:val="24"/>
          <w:szCs w:val="24"/>
        </w:rPr>
        <w:t>）：</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p>
    <w:p>
      <w:pPr>
        <w:spacing w:before="1" w:line="218" w:lineRule="auto"/>
        <w:ind w:left="2999"/>
        <w:rPr>
          <w:rFonts w:ascii="宋体" w:hAnsi="宋体" w:eastAsia="宋体" w:cs="宋体"/>
          <w:sz w:val="24"/>
          <w:szCs w:val="24"/>
        </w:rPr>
      </w:pPr>
      <w:r>
        <w:rPr>
          <w:rFonts w:ascii="宋体" w:hAnsi="宋体" w:eastAsia="宋体" w:cs="宋体"/>
          <w:spacing w:val="-1"/>
          <w:sz w:val="24"/>
          <w:szCs w:val="24"/>
        </w:rPr>
        <w:t>法定代表人（盖电子签章）：</w:t>
      </w:r>
      <w:r>
        <w:rPr>
          <w:rFonts w:ascii="宋体" w:hAnsi="宋体" w:eastAsia="宋体" w:cs="宋体"/>
          <w:sz w:val="24"/>
          <w:szCs w:val="24"/>
          <w:u w:val="single" w:color="auto"/>
        </w:rPr>
        <w:t xml:space="preserve">                 </w:t>
      </w:r>
    </w:p>
    <w:p>
      <w:pPr>
        <w:spacing w:before="237" w:line="220" w:lineRule="auto"/>
        <w:ind w:left="3039"/>
        <w:outlineLvl w:val="9"/>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p>
    <w:p>
      <w:pPr>
        <w:spacing w:line="220" w:lineRule="auto"/>
        <w:outlineLvl w:val="9"/>
        <w:rPr>
          <w:rFonts w:ascii="宋体" w:hAnsi="宋体" w:eastAsia="宋体" w:cs="宋体"/>
          <w:sz w:val="24"/>
          <w:szCs w:val="24"/>
        </w:rPr>
        <w:sectPr>
          <w:footerReference r:id="rId19" w:type="default"/>
          <w:pgSz w:w="11906" w:h="16839"/>
          <w:pgMar w:top="1431" w:right="1484" w:bottom="1015" w:left="1429" w:header="0" w:footer="850" w:gutter="0"/>
          <w:pgNumType w:fmt="decimal"/>
          <w:cols w:space="720" w:num="1"/>
        </w:sectPr>
      </w:pPr>
    </w:p>
    <w:p>
      <w:pPr>
        <w:spacing w:before="60" w:line="219" w:lineRule="auto"/>
        <w:ind w:left="2670"/>
        <w:rPr>
          <w:rFonts w:ascii="宋体" w:hAnsi="宋体" w:eastAsia="宋体" w:cs="宋体"/>
          <w:sz w:val="30"/>
          <w:szCs w:val="30"/>
        </w:rPr>
      </w:pPr>
      <w:r>
        <w:rPr>
          <w:rFonts w:ascii="宋体" w:hAnsi="宋体" w:eastAsia="宋体" w:cs="宋体"/>
          <w:sz w:val="30"/>
          <w:szCs w:val="30"/>
          <w14:textOutline w14:w="5448" w14:cap="sq" w14:cmpd="sng">
            <w14:solidFill>
              <w14:srgbClr w14:val="000000"/>
            </w14:solidFill>
            <w14:prstDash w14:val="solid"/>
            <w14:bevel/>
          </w14:textOutline>
        </w:rPr>
        <w:t>六、技术性能参数的详细描述</w:t>
      </w:r>
    </w:p>
    <w:p>
      <w:pPr>
        <w:spacing w:before="61"/>
      </w:pPr>
    </w:p>
    <w:p>
      <w:pPr>
        <w:spacing w:before="60"/>
      </w:pPr>
    </w:p>
    <w:tbl>
      <w:tblPr>
        <w:tblStyle w:val="20"/>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3"/>
        <w:gridCol w:w="1081"/>
        <w:gridCol w:w="1550"/>
        <w:gridCol w:w="59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623" w:type="dxa"/>
            <w:vAlign w:val="top"/>
          </w:tcPr>
          <w:p>
            <w:pPr>
              <w:pStyle w:val="22"/>
              <w:spacing w:before="252" w:line="229" w:lineRule="auto"/>
              <w:ind w:left="105"/>
              <w:rPr>
                <w:sz w:val="20"/>
                <w:szCs w:val="20"/>
              </w:rPr>
            </w:pPr>
            <w:r>
              <w:rPr>
                <w:spacing w:val="6"/>
                <w:sz w:val="20"/>
                <w:szCs w:val="20"/>
                <w14:textOutline w14:w="3795" w14:cap="sq" w14:cmpd="sng">
                  <w14:solidFill>
                    <w14:srgbClr w14:val="000000"/>
                  </w14:solidFill>
                  <w14:prstDash w14:val="solid"/>
                  <w14:bevel/>
                </w14:textOutline>
              </w:rPr>
              <w:t>序号</w:t>
            </w:r>
          </w:p>
        </w:tc>
        <w:tc>
          <w:tcPr>
            <w:tcW w:w="1081" w:type="dxa"/>
            <w:vAlign w:val="top"/>
          </w:tcPr>
          <w:p>
            <w:pPr>
              <w:pStyle w:val="22"/>
              <w:spacing w:before="251" w:line="230" w:lineRule="auto"/>
              <w:ind w:left="335"/>
              <w:rPr>
                <w:sz w:val="20"/>
                <w:szCs w:val="20"/>
              </w:rPr>
            </w:pPr>
            <w:r>
              <w:rPr>
                <w:spacing w:val="4"/>
                <w:sz w:val="20"/>
                <w:szCs w:val="20"/>
                <w14:textOutline w14:w="3795" w14:cap="sq" w14:cmpd="sng">
                  <w14:solidFill>
                    <w14:srgbClr w14:val="000000"/>
                  </w14:solidFill>
                  <w14:prstDash w14:val="solid"/>
                  <w14:bevel/>
                </w14:textOutline>
              </w:rPr>
              <w:t>名称</w:t>
            </w:r>
          </w:p>
        </w:tc>
        <w:tc>
          <w:tcPr>
            <w:tcW w:w="1550" w:type="dxa"/>
            <w:vAlign w:val="top"/>
          </w:tcPr>
          <w:p>
            <w:pPr>
              <w:pStyle w:val="22"/>
              <w:spacing w:before="251" w:line="228" w:lineRule="auto"/>
              <w:ind w:left="269"/>
              <w:rPr>
                <w:sz w:val="20"/>
                <w:szCs w:val="20"/>
              </w:rPr>
            </w:pPr>
            <w:r>
              <w:rPr>
                <w:spacing w:val="5"/>
                <w:sz w:val="20"/>
                <w:szCs w:val="20"/>
                <w14:textOutline w14:w="3795" w14:cap="sq" w14:cmpd="sng">
                  <w14:solidFill>
                    <w14:srgbClr w14:val="000000"/>
                  </w14:solidFill>
                  <w14:prstDash w14:val="solid"/>
                  <w14:bevel/>
                </w14:textOutline>
              </w:rPr>
              <w:t>品牌及型号</w:t>
            </w:r>
          </w:p>
        </w:tc>
        <w:tc>
          <w:tcPr>
            <w:tcW w:w="5968" w:type="dxa"/>
            <w:vAlign w:val="top"/>
          </w:tcPr>
          <w:p>
            <w:pPr>
              <w:pStyle w:val="22"/>
              <w:spacing w:before="251" w:line="228" w:lineRule="auto"/>
              <w:ind w:left="2358"/>
              <w:rPr>
                <w:sz w:val="20"/>
                <w:szCs w:val="20"/>
              </w:rPr>
            </w:pPr>
            <w:r>
              <w:rPr>
                <w:spacing w:val="8"/>
                <w:sz w:val="20"/>
                <w:szCs w:val="20"/>
                <w14:textOutline w14:w="3795" w14:cap="sq" w14:cmpd="sng">
                  <w14:solidFill>
                    <w14:srgbClr w14:val="000000"/>
                  </w14:solidFill>
                  <w14:prstDash w14:val="solid"/>
                  <w14:bevel/>
                </w14:textOutline>
              </w:rPr>
              <w:t>详细技术参数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623" w:type="dxa"/>
            <w:vAlign w:val="top"/>
          </w:tcPr>
          <w:p>
            <w:pPr>
              <w:spacing w:line="447" w:lineRule="auto"/>
              <w:rPr>
                <w:rFonts w:ascii="Arial"/>
                <w:sz w:val="21"/>
              </w:rPr>
            </w:pPr>
          </w:p>
          <w:p>
            <w:pPr>
              <w:spacing w:before="61" w:line="185" w:lineRule="auto"/>
              <w:ind w:left="274"/>
              <w:rPr>
                <w:rFonts w:ascii="Calibri" w:hAnsi="Calibri" w:eastAsia="Calibri" w:cs="Calibri"/>
                <w:sz w:val="20"/>
                <w:szCs w:val="20"/>
              </w:rPr>
            </w:pPr>
            <w:r>
              <w:rPr>
                <w:rFonts w:ascii="Calibri" w:hAnsi="Calibri" w:eastAsia="Calibri" w:cs="Calibri"/>
                <w:sz w:val="20"/>
                <w:szCs w:val="20"/>
              </w:rPr>
              <w:t>1</w:t>
            </w:r>
          </w:p>
        </w:tc>
        <w:tc>
          <w:tcPr>
            <w:tcW w:w="1081" w:type="dxa"/>
            <w:vAlign w:val="top"/>
          </w:tcPr>
          <w:p>
            <w:pPr>
              <w:rPr>
                <w:rFonts w:ascii="Arial"/>
                <w:sz w:val="21"/>
              </w:rPr>
            </w:pPr>
          </w:p>
        </w:tc>
        <w:tc>
          <w:tcPr>
            <w:tcW w:w="1550" w:type="dxa"/>
            <w:vAlign w:val="top"/>
          </w:tcPr>
          <w:p>
            <w:pPr>
              <w:rPr>
                <w:rFonts w:ascii="Arial"/>
                <w:sz w:val="21"/>
              </w:rPr>
            </w:pPr>
          </w:p>
        </w:tc>
        <w:tc>
          <w:tcPr>
            <w:tcW w:w="59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623" w:type="dxa"/>
            <w:vAlign w:val="top"/>
          </w:tcPr>
          <w:p>
            <w:pPr>
              <w:spacing w:line="447" w:lineRule="auto"/>
              <w:rPr>
                <w:rFonts w:ascii="Arial"/>
                <w:sz w:val="21"/>
              </w:rPr>
            </w:pPr>
          </w:p>
          <w:p>
            <w:pPr>
              <w:spacing w:before="61" w:line="187" w:lineRule="auto"/>
              <w:ind w:left="268"/>
              <w:rPr>
                <w:rFonts w:ascii="Calibri" w:hAnsi="Calibri" w:eastAsia="Calibri" w:cs="Calibri"/>
                <w:sz w:val="20"/>
                <w:szCs w:val="20"/>
              </w:rPr>
            </w:pPr>
            <w:r>
              <w:rPr>
                <w:rFonts w:ascii="Calibri" w:hAnsi="Calibri" w:eastAsia="Calibri" w:cs="Calibri"/>
                <w:sz w:val="20"/>
                <w:szCs w:val="20"/>
              </w:rPr>
              <w:t>2</w:t>
            </w:r>
          </w:p>
        </w:tc>
        <w:tc>
          <w:tcPr>
            <w:tcW w:w="1081" w:type="dxa"/>
            <w:vAlign w:val="top"/>
          </w:tcPr>
          <w:p>
            <w:pPr>
              <w:rPr>
                <w:rFonts w:ascii="Arial"/>
                <w:sz w:val="21"/>
              </w:rPr>
            </w:pPr>
          </w:p>
        </w:tc>
        <w:tc>
          <w:tcPr>
            <w:tcW w:w="1550" w:type="dxa"/>
            <w:vAlign w:val="top"/>
          </w:tcPr>
          <w:p>
            <w:pPr>
              <w:rPr>
                <w:rFonts w:ascii="Arial"/>
                <w:sz w:val="21"/>
              </w:rPr>
            </w:pPr>
          </w:p>
        </w:tc>
        <w:tc>
          <w:tcPr>
            <w:tcW w:w="59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623" w:type="dxa"/>
            <w:vAlign w:val="top"/>
          </w:tcPr>
          <w:p>
            <w:pPr>
              <w:spacing w:line="282" w:lineRule="auto"/>
              <w:rPr>
                <w:rFonts w:ascii="Arial"/>
                <w:sz w:val="21"/>
              </w:rPr>
            </w:pPr>
          </w:p>
          <w:p>
            <w:pPr>
              <w:spacing w:line="283" w:lineRule="auto"/>
              <w:rPr>
                <w:rFonts w:ascii="Arial"/>
                <w:sz w:val="21"/>
              </w:rPr>
            </w:pPr>
          </w:p>
          <w:p>
            <w:pPr>
              <w:spacing w:before="61" w:line="77" w:lineRule="exact"/>
              <w:ind w:left="252"/>
              <w:rPr>
                <w:rFonts w:ascii="Calibri" w:hAnsi="Calibri" w:eastAsia="Calibri" w:cs="Calibri"/>
                <w:sz w:val="20"/>
                <w:szCs w:val="20"/>
              </w:rPr>
            </w:pPr>
            <w:r>
              <w:rPr>
                <w:rFonts w:ascii="Calibri" w:hAnsi="Calibri" w:eastAsia="Calibri" w:cs="Calibri"/>
                <w:position w:val="1"/>
                <w:sz w:val="20"/>
                <w:szCs w:val="20"/>
              </w:rPr>
              <w:t>…</w:t>
            </w:r>
          </w:p>
        </w:tc>
        <w:tc>
          <w:tcPr>
            <w:tcW w:w="1081" w:type="dxa"/>
            <w:vAlign w:val="top"/>
          </w:tcPr>
          <w:p>
            <w:pPr>
              <w:rPr>
                <w:rFonts w:ascii="Arial"/>
                <w:sz w:val="21"/>
              </w:rPr>
            </w:pPr>
          </w:p>
        </w:tc>
        <w:tc>
          <w:tcPr>
            <w:tcW w:w="1550" w:type="dxa"/>
            <w:vAlign w:val="top"/>
          </w:tcPr>
          <w:p>
            <w:pPr>
              <w:rPr>
                <w:rFonts w:ascii="Arial"/>
                <w:sz w:val="21"/>
              </w:rPr>
            </w:pPr>
          </w:p>
        </w:tc>
        <w:tc>
          <w:tcPr>
            <w:tcW w:w="5968" w:type="dxa"/>
            <w:vAlign w:val="top"/>
          </w:tcPr>
          <w:p>
            <w:pPr>
              <w:rPr>
                <w:rFonts w:ascii="Arial"/>
                <w:sz w:val="21"/>
              </w:rPr>
            </w:pPr>
          </w:p>
        </w:tc>
      </w:tr>
    </w:tbl>
    <w:p>
      <w:pPr>
        <w:spacing w:before="114" w:line="218" w:lineRule="auto"/>
        <w:ind w:left="91"/>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备注：如产品铭牌数据与检测报告实测数据不一致时，本表填写产品铭牌数据；如评审</w:t>
      </w:r>
    </w:p>
    <w:p>
      <w:pPr>
        <w:spacing w:before="117" w:line="218" w:lineRule="auto"/>
        <w:ind w:left="89"/>
        <w:outlineLvl w:val="9"/>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标准中将本参数做为加减分因素时，依据产品铭牌数据与检测报告实测数据中的最低值</w:t>
      </w:r>
    </w:p>
    <w:p>
      <w:pPr>
        <w:spacing w:before="115" w:line="220" w:lineRule="auto"/>
        <w:ind w:left="87"/>
        <w:outlineLvl w:val="9"/>
        <w:rPr>
          <w:rFonts w:ascii="宋体" w:hAnsi="宋体" w:eastAsia="宋体" w:cs="宋体"/>
          <w:sz w:val="24"/>
          <w:szCs w:val="24"/>
        </w:rPr>
      </w:pPr>
      <w:r>
        <w:rPr>
          <w:rFonts w:ascii="宋体" w:hAnsi="宋体" w:eastAsia="宋体" w:cs="宋体"/>
          <w:spacing w:val="-5"/>
          <w:sz w:val="24"/>
          <w:szCs w:val="24"/>
          <w14:textOutline w14:w="4358" w14:cap="sq" w14:cmpd="sng">
            <w14:solidFill>
              <w14:srgbClr w14:val="000000"/>
            </w14:solidFill>
            <w14:prstDash w14:val="solid"/>
            <w14:bevel/>
          </w14:textOutline>
        </w:rPr>
        <w:t>评分</w:t>
      </w:r>
    </w:p>
    <w:p>
      <w:pPr>
        <w:tabs>
          <w:tab w:val="left" w:pos="8237"/>
        </w:tabs>
        <w:spacing w:before="210" w:line="400" w:lineRule="auto"/>
        <w:ind w:left="3088" w:right="988"/>
        <w:jc w:val="both"/>
        <w:rPr>
          <w:rFonts w:ascii="宋体" w:hAnsi="宋体" w:eastAsia="宋体" w:cs="宋体"/>
          <w:sz w:val="24"/>
          <w:szCs w:val="24"/>
        </w:rPr>
      </w:pPr>
      <w:r>
        <w:rPr>
          <w:rFonts w:ascii="宋体" w:hAnsi="宋体" w:eastAsia="宋体" w:cs="宋体"/>
          <w:spacing w:val="-2"/>
          <w:sz w:val="24"/>
          <w:szCs w:val="24"/>
        </w:rPr>
        <w:t>供应商（盖电子签章</w:t>
      </w:r>
      <w:r>
        <w:rPr>
          <w:rFonts w:ascii="宋体" w:hAnsi="宋体" w:eastAsia="宋体" w:cs="宋体"/>
          <w:spacing w:val="3"/>
          <w:sz w:val="24"/>
          <w:szCs w:val="24"/>
        </w:rPr>
        <w:t>）：</w:t>
      </w:r>
      <w:r>
        <w:rPr>
          <w:rFonts w:ascii="宋体" w:hAnsi="宋体" w:eastAsia="宋体" w:cs="宋体"/>
          <w:spacing w:val="1"/>
          <w:sz w:val="24"/>
          <w:szCs w:val="24"/>
        </w:rPr>
        <w:t xml:space="preserve"> </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rPr>
        <w:t>法定代表人（盖电子签章）：</w:t>
      </w:r>
      <w:r>
        <w:rPr>
          <w:rFonts w:ascii="宋体" w:hAnsi="宋体" w:eastAsia="宋体" w:cs="宋体"/>
          <w:sz w:val="24"/>
          <w:szCs w:val="24"/>
          <w:u w:val="single" w:color="auto"/>
        </w:rPr>
        <w:t xml:space="preserve">                 </w:t>
      </w:r>
    </w:p>
    <w:p>
      <w:pPr>
        <w:spacing w:line="220" w:lineRule="auto"/>
        <w:ind w:left="3129"/>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p>
    <w:p>
      <w:pPr>
        <w:spacing w:line="220" w:lineRule="auto"/>
        <w:rPr>
          <w:rFonts w:ascii="宋体" w:hAnsi="宋体" w:eastAsia="宋体" w:cs="宋体"/>
          <w:sz w:val="24"/>
          <w:szCs w:val="24"/>
        </w:rPr>
        <w:sectPr>
          <w:footerReference r:id="rId20" w:type="default"/>
          <w:pgSz w:w="11906" w:h="16839"/>
          <w:pgMar w:top="1420" w:right="1339" w:bottom="1015" w:left="1339" w:header="0" w:footer="850" w:gutter="0"/>
          <w:pgNumType w:fmt="decimal"/>
          <w:cols w:space="720" w:num="1"/>
        </w:sectPr>
      </w:pPr>
    </w:p>
    <w:p>
      <w:pPr>
        <w:spacing w:before="60" w:line="219" w:lineRule="auto"/>
        <w:ind w:left="2646"/>
        <w:rPr>
          <w:rFonts w:ascii="宋体" w:hAnsi="宋体" w:eastAsia="宋体" w:cs="宋体"/>
          <w:sz w:val="30"/>
          <w:szCs w:val="30"/>
        </w:rPr>
      </w:pPr>
      <w:r>
        <w:rPr>
          <w:rFonts w:ascii="宋体" w:hAnsi="宋体" w:eastAsia="宋体" w:cs="宋体"/>
          <w:sz w:val="30"/>
          <w:szCs w:val="30"/>
          <w14:textOutline w14:w="5448" w14:cap="sq" w14:cmpd="sng">
            <w14:solidFill>
              <w14:srgbClr w14:val="000000"/>
            </w14:solidFill>
            <w14:prstDash w14:val="solid"/>
            <w14:bevel/>
          </w14:textOutline>
        </w:rPr>
        <w:t>七、技术规格和商务条款偏差表</w:t>
      </w:r>
    </w:p>
    <w:p>
      <w:pPr>
        <w:spacing w:before="139"/>
      </w:pPr>
    </w:p>
    <w:tbl>
      <w:tblPr>
        <w:tblStyle w:val="20"/>
        <w:tblW w:w="94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5"/>
        <w:gridCol w:w="3006"/>
        <w:gridCol w:w="2058"/>
        <w:gridCol w:w="2132"/>
        <w:gridCol w:w="17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505" w:type="dxa"/>
            <w:vMerge w:val="restart"/>
            <w:tcBorders>
              <w:bottom w:val="nil"/>
            </w:tcBorders>
            <w:vAlign w:val="top"/>
          </w:tcPr>
          <w:p>
            <w:pPr>
              <w:spacing w:line="277" w:lineRule="auto"/>
              <w:rPr>
                <w:rFonts w:ascii="Arial"/>
                <w:sz w:val="21"/>
              </w:rPr>
            </w:pPr>
          </w:p>
          <w:p>
            <w:pPr>
              <w:spacing w:line="277" w:lineRule="auto"/>
              <w:rPr>
                <w:rFonts w:ascii="Arial"/>
                <w:sz w:val="21"/>
              </w:rPr>
            </w:pPr>
          </w:p>
          <w:p>
            <w:pPr>
              <w:pStyle w:val="22"/>
              <w:spacing w:before="65" w:line="229" w:lineRule="auto"/>
              <w:ind w:left="45"/>
              <w:rPr>
                <w:sz w:val="20"/>
                <w:szCs w:val="20"/>
              </w:rPr>
            </w:pPr>
            <w:r>
              <w:rPr>
                <w:spacing w:val="5"/>
                <w:sz w:val="20"/>
                <w:szCs w:val="20"/>
              </w:rPr>
              <w:t>序号</w:t>
            </w:r>
          </w:p>
        </w:tc>
        <w:tc>
          <w:tcPr>
            <w:tcW w:w="3006" w:type="dxa"/>
            <w:vMerge w:val="restart"/>
            <w:tcBorders>
              <w:bottom w:val="nil"/>
            </w:tcBorders>
            <w:vAlign w:val="top"/>
          </w:tcPr>
          <w:p>
            <w:pPr>
              <w:spacing w:line="276" w:lineRule="auto"/>
              <w:rPr>
                <w:rFonts w:ascii="Arial"/>
                <w:sz w:val="21"/>
              </w:rPr>
            </w:pPr>
          </w:p>
          <w:p>
            <w:pPr>
              <w:spacing w:line="277" w:lineRule="auto"/>
              <w:rPr>
                <w:rFonts w:ascii="Arial"/>
                <w:sz w:val="21"/>
              </w:rPr>
            </w:pPr>
          </w:p>
          <w:p>
            <w:pPr>
              <w:pStyle w:val="22"/>
              <w:spacing w:before="65" w:line="227" w:lineRule="auto"/>
              <w:ind w:left="355"/>
              <w:rPr>
                <w:sz w:val="20"/>
                <w:szCs w:val="20"/>
              </w:rPr>
            </w:pPr>
            <w:r>
              <w:rPr>
                <w:spacing w:val="8"/>
                <w:sz w:val="20"/>
                <w:szCs w:val="20"/>
              </w:rPr>
              <w:t>投标货物技术及商务条款</w:t>
            </w:r>
          </w:p>
        </w:tc>
        <w:tc>
          <w:tcPr>
            <w:tcW w:w="4190" w:type="dxa"/>
            <w:gridSpan w:val="2"/>
            <w:vAlign w:val="top"/>
          </w:tcPr>
          <w:p>
            <w:pPr>
              <w:pStyle w:val="22"/>
              <w:spacing w:before="233" w:line="228" w:lineRule="auto"/>
              <w:ind w:left="1367"/>
              <w:rPr>
                <w:sz w:val="20"/>
                <w:szCs w:val="20"/>
              </w:rPr>
            </w:pPr>
            <w:r>
              <w:rPr>
                <w:spacing w:val="8"/>
                <w:sz w:val="20"/>
                <w:szCs w:val="20"/>
              </w:rPr>
              <w:t>技术参数及要求</w:t>
            </w:r>
          </w:p>
        </w:tc>
        <w:tc>
          <w:tcPr>
            <w:tcW w:w="1781" w:type="dxa"/>
            <w:vMerge w:val="restart"/>
            <w:tcBorders>
              <w:bottom w:val="nil"/>
            </w:tcBorders>
            <w:vAlign w:val="top"/>
          </w:tcPr>
          <w:p>
            <w:pPr>
              <w:spacing w:line="276" w:lineRule="auto"/>
              <w:rPr>
                <w:rFonts w:ascii="Arial"/>
                <w:sz w:val="21"/>
              </w:rPr>
            </w:pPr>
          </w:p>
          <w:p>
            <w:pPr>
              <w:spacing w:line="277" w:lineRule="auto"/>
              <w:rPr>
                <w:rFonts w:ascii="Arial"/>
                <w:sz w:val="21"/>
              </w:rPr>
            </w:pPr>
          </w:p>
          <w:p>
            <w:pPr>
              <w:pStyle w:val="22"/>
              <w:spacing w:before="65" w:line="228" w:lineRule="auto"/>
              <w:ind w:left="478"/>
              <w:rPr>
                <w:sz w:val="20"/>
                <w:szCs w:val="20"/>
              </w:rPr>
            </w:pPr>
            <w:r>
              <w:rPr>
                <w:spacing w:val="6"/>
                <w:sz w:val="20"/>
                <w:szCs w:val="20"/>
              </w:rPr>
              <w:t>符合程度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505" w:type="dxa"/>
            <w:vMerge w:val="continue"/>
            <w:tcBorders>
              <w:top w:val="nil"/>
            </w:tcBorders>
            <w:vAlign w:val="top"/>
          </w:tcPr>
          <w:p>
            <w:pPr>
              <w:rPr>
                <w:rFonts w:ascii="Arial"/>
                <w:sz w:val="21"/>
              </w:rPr>
            </w:pPr>
          </w:p>
        </w:tc>
        <w:tc>
          <w:tcPr>
            <w:tcW w:w="3006" w:type="dxa"/>
            <w:vMerge w:val="continue"/>
            <w:tcBorders>
              <w:top w:val="nil"/>
            </w:tcBorders>
            <w:vAlign w:val="top"/>
          </w:tcPr>
          <w:p>
            <w:pPr>
              <w:rPr>
                <w:rFonts w:ascii="Arial"/>
                <w:sz w:val="21"/>
              </w:rPr>
            </w:pPr>
          </w:p>
        </w:tc>
        <w:tc>
          <w:tcPr>
            <w:tcW w:w="2058" w:type="dxa"/>
            <w:vAlign w:val="top"/>
          </w:tcPr>
          <w:p>
            <w:pPr>
              <w:pStyle w:val="22"/>
              <w:spacing w:before="277" w:line="227" w:lineRule="auto"/>
              <w:ind w:left="719"/>
              <w:rPr>
                <w:sz w:val="20"/>
                <w:szCs w:val="20"/>
              </w:rPr>
            </w:pPr>
            <w:r>
              <w:rPr>
                <w:spacing w:val="6"/>
                <w:sz w:val="20"/>
                <w:szCs w:val="20"/>
              </w:rPr>
              <w:t>招标书</w:t>
            </w:r>
          </w:p>
        </w:tc>
        <w:tc>
          <w:tcPr>
            <w:tcW w:w="2132" w:type="dxa"/>
            <w:vAlign w:val="top"/>
          </w:tcPr>
          <w:p>
            <w:pPr>
              <w:pStyle w:val="22"/>
              <w:spacing w:before="277" w:line="227" w:lineRule="auto"/>
              <w:ind w:left="761"/>
              <w:rPr>
                <w:sz w:val="20"/>
                <w:szCs w:val="20"/>
              </w:rPr>
            </w:pPr>
            <w:r>
              <w:rPr>
                <w:spacing w:val="6"/>
                <w:sz w:val="20"/>
                <w:szCs w:val="20"/>
              </w:rPr>
              <w:t>投标书</w:t>
            </w:r>
          </w:p>
        </w:tc>
        <w:tc>
          <w:tcPr>
            <w:tcW w:w="178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505" w:type="dxa"/>
            <w:vAlign w:val="top"/>
          </w:tcPr>
          <w:p>
            <w:pPr>
              <w:spacing w:line="268" w:lineRule="auto"/>
              <w:rPr>
                <w:rFonts w:ascii="Arial"/>
                <w:sz w:val="21"/>
              </w:rPr>
            </w:pPr>
          </w:p>
          <w:p>
            <w:pPr>
              <w:spacing w:before="61" w:line="185" w:lineRule="auto"/>
              <w:ind w:left="214"/>
              <w:rPr>
                <w:rFonts w:ascii="Calibri" w:hAnsi="Calibri" w:eastAsia="Calibri" w:cs="Calibri"/>
                <w:sz w:val="20"/>
                <w:szCs w:val="20"/>
              </w:rPr>
            </w:pPr>
            <w:r>
              <w:rPr>
                <w:rFonts w:ascii="Calibri" w:hAnsi="Calibri" w:eastAsia="Calibri" w:cs="Calibri"/>
                <w:sz w:val="20"/>
                <w:szCs w:val="20"/>
              </w:rPr>
              <w:t>1</w:t>
            </w:r>
          </w:p>
        </w:tc>
        <w:tc>
          <w:tcPr>
            <w:tcW w:w="3006" w:type="dxa"/>
            <w:vAlign w:val="top"/>
          </w:tcPr>
          <w:p>
            <w:pPr>
              <w:rPr>
                <w:rFonts w:ascii="Arial"/>
                <w:sz w:val="21"/>
              </w:rPr>
            </w:pPr>
          </w:p>
        </w:tc>
        <w:tc>
          <w:tcPr>
            <w:tcW w:w="2058" w:type="dxa"/>
            <w:vAlign w:val="top"/>
          </w:tcPr>
          <w:p>
            <w:pPr>
              <w:rPr>
                <w:rFonts w:ascii="Arial"/>
                <w:sz w:val="21"/>
              </w:rPr>
            </w:pPr>
          </w:p>
        </w:tc>
        <w:tc>
          <w:tcPr>
            <w:tcW w:w="2132" w:type="dxa"/>
            <w:vAlign w:val="top"/>
          </w:tcPr>
          <w:p>
            <w:pPr>
              <w:rPr>
                <w:rFonts w:ascii="Arial"/>
                <w:sz w:val="21"/>
              </w:rPr>
            </w:pPr>
          </w:p>
        </w:tc>
        <w:tc>
          <w:tcPr>
            <w:tcW w:w="17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505" w:type="dxa"/>
            <w:vAlign w:val="top"/>
          </w:tcPr>
          <w:p>
            <w:pPr>
              <w:spacing w:line="256" w:lineRule="auto"/>
              <w:rPr>
                <w:rFonts w:ascii="Arial"/>
                <w:sz w:val="21"/>
              </w:rPr>
            </w:pPr>
          </w:p>
          <w:p>
            <w:pPr>
              <w:spacing w:before="61" w:line="187" w:lineRule="auto"/>
              <w:ind w:left="208"/>
              <w:rPr>
                <w:rFonts w:ascii="Calibri" w:hAnsi="Calibri" w:eastAsia="Calibri" w:cs="Calibri"/>
                <w:sz w:val="20"/>
                <w:szCs w:val="20"/>
              </w:rPr>
            </w:pPr>
            <w:r>
              <w:rPr>
                <w:rFonts w:ascii="Calibri" w:hAnsi="Calibri" w:eastAsia="Calibri" w:cs="Calibri"/>
                <w:sz w:val="20"/>
                <w:szCs w:val="20"/>
              </w:rPr>
              <w:t>2</w:t>
            </w:r>
          </w:p>
        </w:tc>
        <w:tc>
          <w:tcPr>
            <w:tcW w:w="3006" w:type="dxa"/>
            <w:vAlign w:val="top"/>
          </w:tcPr>
          <w:p>
            <w:pPr>
              <w:rPr>
                <w:rFonts w:ascii="Arial"/>
                <w:sz w:val="21"/>
              </w:rPr>
            </w:pPr>
          </w:p>
        </w:tc>
        <w:tc>
          <w:tcPr>
            <w:tcW w:w="2058" w:type="dxa"/>
            <w:vAlign w:val="top"/>
          </w:tcPr>
          <w:p>
            <w:pPr>
              <w:rPr>
                <w:rFonts w:ascii="Arial"/>
                <w:sz w:val="21"/>
              </w:rPr>
            </w:pPr>
          </w:p>
        </w:tc>
        <w:tc>
          <w:tcPr>
            <w:tcW w:w="2132" w:type="dxa"/>
            <w:vAlign w:val="top"/>
          </w:tcPr>
          <w:p>
            <w:pPr>
              <w:rPr>
                <w:rFonts w:ascii="Arial"/>
                <w:sz w:val="21"/>
              </w:rPr>
            </w:pPr>
          </w:p>
        </w:tc>
        <w:tc>
          <w:tcPr>
            <w:tcW w:w="17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505" w:type="dxa"/>
            <w:vAlign w:val="top"/>
          </w:tcPr>
          <w:p>
            <w:pPr>
              <w:spacing w:line="371" w:lineRule="auto"/>
              <w:rPr>
                <w:rFonts w:ascii="Arial"/>
                <w:sz w:val="21"/>
              </w:rPr>
            </w:pPr>
          </w:p>
          <w:p>
            <w:pPr>
              <w:spacing w:before="61" w:line="76" w:lineRule="exact"/>
              <w:ind w:left="193"/>
              <w:rPr>
                <w:rFonts w:ascii="Calibri" w:hAnsi="Calibri" w:eastAsia="Calibri" w:cs="Calibri"/>
                <w:sz w:val="20"/>
                <w:szCs w:val="20"/>
              </w:rPr>
            </w:pPr>
            <w:r>
              <w:rPr>
                <w:rFonts w:ascii="Calibri" w:hAnsi="Calibri" w:eastAsia="Calibri" w:cs="Calibri"/>
                <w:position w:val="1"/>
                <w:sz w:val="20"/>
                <w:szCs w:val="20"/>
              </w:rPr>
              <w:t>…</w:t>
            </w:r>
          </w:p>
        </w:tc>
        <w:tc>
          <w:tcPr>
            <w:tcW w:w="3006" w:type="dxa"/>
            <w:vAlign w:val="top"/>
          </w:tcPr>
          <w:p>
            <w:pPr>
              <w:rPr>
                <w:rFonts w:ascii="Arial"/>
                <w:sz w:val="21"/>
              </w:rPr>
            </w:pPr>
          </w:p>
        </w:tc>
        <w:tc>
          <w:tcPr>
            <w:tcW w:w="2058" w:type="dxa"/>
            <w:vAlign w:val="top"/>
          </w:tcPr>
          <w:p>
            <w:pPr>
              <w:rPr>
                <w:rFonts w:ascii="Arial"/>
                <w:sz w:val="21"/>
              </w:rPr>
            </w:pPr>
          </w:p>
        </w:tc>
        <w:tc>
          <w:tcPr>
            <w:tcW w:w="2132" w:type="dxa"/>
            <w:vAlign w:val="top"/>
          </w:tcPr>
          <w:p>
            <w:pPr>
              <w:rPr>
                <w:rFonts w:ascii="Arial"/>
                <w:sz w:val="21"/>
              </w:rPr>
            </w:pPr>
          </w:p>
        </w:tc>
        <w:tc>
          <w:tcPr>
            <w:tcW w:w="1781" w:type="dxa"/>
            <w:vAlign w:val="top"/>
          </w:tcPr>
          <w:p>
            <w:pPr>
              <w:rPr>
                <w:rFonts w:ascii="Arial"/>
                <w:sz w:val="21"/>
              </w:rPr>
            </w:pPr>
          </w:p>
        </w:tc>
      </w:tr>
    </w:tbl>
    <w:p>
      <w:pPr>
        <w:spacing w:before="51" w:line="278" w:lineRule="auto"/>
        <w:ind w:left="216" w:right="176"/>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注明：</w:t>
      </w:r>
      <w:r>
        <w:rPr>
          <w:rFonts w:ascii="Calibri" w:hAnsi="Calibri" w:eastAsia="Calibri" w:cs="Calibri"/>
          <w:spacing w:val="8"/>
          <w:sz w:val="20"/>
          <w:szCs w:val="20"/>
        </w:rPr>
        <w:t>1</w:t>
      </w:r>
      <w:r>
        <w:rPr>
          <w:rFonts w:ascii="Calibri" w:hAnsi="Calibri" w:eastAsia="Calibri" w:cs="Calibri"/>
          <w:spacing w:val="-6"/>
          <w:sz w:val="20"/>
          <w:szCs w:val="20"/>
        </w:rPr>
        <w:t xml:space="preserve"> </w:t>
      </w:r>
      <w:r>
        <w:rPr>
          <w:rFonts w:ascii="宋体" w:hAnsi="宋体" w:eastAsia="宋体" w:cs="宋体"/>
          <w:spacing w:val="8"/>
          <w:sz w:val="20"/>
          <w:szCs w:val="20"/>
        </w:rPr>
        <w:t>、投标货物技术及商务条款可逐项填写，也可只填写偏差项，必须将偏差项逐项如实填写。</w:t>
      </w:r>
      <w:r>
        <w:rPr>
          <w:rFonts w:ascii="宋体" w:hAnsi="宋体" w:eastAsia="宋体" w:cs="宋体"/>
          <w:sz w:val="20"/>
          <w:szCs w:val="20"/>
        </w:rPr>
        <w:t xml:space="preserve"> </w:t>
      </w:r>
      <w:r>
        <w:rPr>
          <w:rFonts w:ascii="宋体" w:hAnsi="宋体" w:eastAsia="宋体" w:cs="宋体"/>
          <w:spacing w:val="11"/>
          <w:sz w:val="20"/>
          <w:szCs w:val="20"/>
        </w:rPr>
        <w:t>若投标货物完全无偏差，本表可不填；若本表未填</w:t>
      </w:r>
      <w:r>
        <w:rPr>
          <w:rFonts w:ascii="宋体" w:hAnsi="宋体" w:eastAsia="宋体" w:cs="宋体"/>
          <w:spacing w:val="10"/>
          <w:sz w:val="20"/>
          <w:szCs w:val="20"/>
        </w:rPr>
        <w:t>写不满足项，但</w:t>
      </w:r>
      <w:r>
        <w:rPr>
          <w:rFonts w:ascii="Calibri" w:hAnsi="Calibri" w:eastAsia="Calibri" w:cs="Calibri"/>
          <w:spacing w:val="10"/>
          <w:sz w:val="20"/>
          <w:szCs w:val="20"/>
        </w:rPr>
        <w:t>“</w:t>
      </w:r>
      <w:r>
        <w:rPr>
          <w:rFonts w:ascii="宋体" w:hAnsi="宋体" w:eastAsia="宋体" w:cs="宋体"/>
          <w:spacing w:val="10"/>
          <w:sz w:val="20"/>
          <w:szCs w:val="20"/>
        </w:rPr>
        <w:t>技术性能参数的详细描述</w:t>
      </w:r>
      <w:r>
        <w:rPr>
          <w:rFonts w:ascii="Calibri" w:hAnsi="Calibri" w:eastAsia="Calibri" w:cs="Calibri"/>
          <w:spacing w:val="10"/>
          <w:sz w:val="20"/>
          <w:szCs w:val="20"/>
        </w:rPr>
        <w:t>”</w:t>
      </w:r>
      <w:r>
        <w:rPr>
          <w:rFonts w:ascii="Calibri" w:hAnsi="Calibri" w:eastAsia="Calibri" w:cs="Calibri"/>
          <w:spacing w:val="-16"/>
          <w:sz w:val="20"/>
          <w:szCs w:val="20"/>
        </w:rPr>
        <w:t xml:space="preserve"> </w:t>
      </w:r>
      <w:r>
        <w:rPr>
          <w:rFonts w:ascii="宋体" w:hAnsi="宋体" w:eastAsia="宋体" w:cs="宋体"/>
          <w:spacing w:val="10"/>
          <w:sz w:val="20"/>
          <w:szCs w:val="20"/>
        </w:rPr>
        <w:t>中列</w:t>
      </w:r>
      <w:r>
        <w:rPr>
          <w:rFonts w:ascii="宋体" w:hAnsi="宋体" w:eastAsia="宋体" w:cs="宋体"/>
          <w:sz w:val="20"/>
          <w:szCs w:val="20"/>
        </w:rPr>
        <w:t xml:space="preserve"> </w:t>
      </w:r>
      <w:r>
        <w:rPr>
          <w:rFonts w:ascii="宋体" w:hAnsi="宋体" w:eastAsia="宋体" w:cs="宋体"/>
          <w:spacing w:val="10"/>
          <w:sz w:val="20"/>
          <w:szCs w:val="20"/>
        </w:rPr>
        <w:t>出的技术规格参数和商务条款章节中确实出现不满足项的，视为虚假承</w:t>
      </w:r>
      <w:r>
        <w:rPr>
          <w:rFonts w:ascii="宋体" w:hAnsi="宋体" w:eastAsia="宋体" w:cs="宋体"/>
          <w:spacing w:val="9"/>
          <w:sz w:val="20"/>
          <w:szCs w:val="20"/>
        </w:rPr>
        <w:t>诺，</w:t>
      </w:r>
      <w:r>
        <w:rPr>
          <w:rFonts w:ascii="宋体" w:hAnsi="宋体" w:eastAsia="宋体" w:cs="宋体"/>
          <w:spacing w:val="-57"/>
          <w:sz w:val="20"/>
          <w:szCs w:val="20"/>
        </w:rPr>
        <w:t xml:space="preserve"> </w:t>
      </w:r>
      <w:r>
        <w:rPr>
          <w:rFonts w:ascii="宋体" w:hAnsi="宋体" w:eastAsia="宋体" w:cs="宋体"/>
          <w:spacing w:val="9"/>
          <w:sz w:val="20"/>
          <w:szCs w:val="20"/>
        </w:rPr>
        <w:t>由投标人自行承担其投</w:t>
      </w:r>
      <w:r>
        <w:rPr>
          <w:rFonts w:ascii="宋体" w:hAnsi="宋体" w:eastAsia="宋体" w:cs="宋体"/>
          <w:sz w:val="20"/>
          <w:szCs w:val="20"/>
        </w:rPr>
        <w:t xml:space="preserve"> </w:t>
      </w:r>
      <w:r>
        <w:rPr>
          <w:rFonts w:ascii="宋体" w:hAnsi="宋体" w:eastAsia="宋体" w:cs="宋体"/>
          <w:spacing w:val="10"/>
          <w:sz w:val="20"/>
          <w:szCs w:val="20"/>
        </w:rPr>
        <w:t>标文件被废标的风险；若投标人承诺的货物技术参</w:t>
      </w:r>
      <w:r>
        <w:rPr>
          <w:rFonts w:ascii="宋体" w:hAnsi="宋体" w:eastAsia="宋体" w:cs="宋体"/>
          <w:spacing w:val="9"/>
          <w:sz w:val="20"/>
          <w:szCs w:val="20"/>
        </w:rPr>
        <w:t>数与实物不符，</w:t>
      </w:r>
      <w:r>
        <w:rPr>
          <w:rFonts w:ascii="宋体" w:hAnsi="宋体" w:eastAsia="宋体" w:cs="宋体"/>
          <w:spacing w:val="-48"/>
          <w:sz w:val="20"/>
          <w:szCs w:val="20"/>
        </w:rPr>
        <w:t xml:space="preserve"> </w:t>
      </w:r>
      <w:r>
        <w:rPr>
          <w:rFonts w:ascii="宋体" w:hAnsi="宋体" w:eastAsia="宋体" w:cs="宋体"/>
          <w:spacing w:val="9"/>
          <w:sz w:val="20"/>
          <w:szCs w:val="20"/>
        </w:rPr>
        <w:t>自行承担《中华人民共和国政府</w:t>
      </w:r>
      <w:r>
        <w:rPr>
          <w:rFonts w:ascii="宋体" w:hAnsi="宋体" w:eastAsia="宋体" w:cs="宋体"/>
          <w:sz w:val="20"/>
          <w:szCs w:val="20"/>
        </w:rPr>
        <w:t xml:space="preserve"> </w:t>
      </w:r>
      <w:r>
        <w:rPr>
          <w:rFonts w:ascii="宋体" w:hAnsi="宋体" w:eastAsia="宋体" w:cs="宋体"/>
          <w:spacing w:val="10"/>
          <w:sz w:val="20"/>
          <w:szCs w:val="20"/>
        </w:rPr>
        <w:t>采购法》、《中华人民共和国政府采购法实施条例》、《政府采购货物和服务招标投标管理办法》</w:t>
      </w:r>
      <w:r>
        <w:rPr>
          <w:rFonts w:ascii="宋体" w:hAnsi="宋体" w:eastAsia="宋体" w:cs="宋体"/>
          <w:spacing w:val="18"/>
          <w:sz w:val="20"/>
          <w:szCs w:val="20"/>
        </w:rPr>
        <w:t xml:space="preserve"> </w:t>
      </w:r>
      <w:r>
        <w:rPr>
          <w:rFonts w:ascii="宋体" w:hAnsi="宋体" w:eastAsia="宋体" w:cs="宋体"/>
          <w:spacing w:val="6"/>
          <w:sz w:val="20"/>
          <w:szCs w:val="20"/>
        </w:rPr>
        <w:t>规定之责任。</w:t>
      </w:r>
    </w:p>
    <w:p>
      <w:pPr>
        <w:spacing w:before="65" w:line="228" w:lineRule="auto"/>
        <w:ind w:left="220"/>
        <w:rPr>
          <w:rFonts w:ascii="宋体" w:hAnsi="宋体" w:eastAsia="宋体" w:cs="宋体"/>
          <w:sz w:val="20"/>
          <w:szCs w:val="20"/>
        </w:rPr>
      </w:pPr>
      <w:r>
        <w:rPr>
          <w:rFonts w:ascii="Calibri" w:hAnsi="Calibri" w:eastAsia="Calibri" w:cs="Calibri"/>
          <w:spacing w:val="7"/>
          <w:sz w:val="20"/>
          <w:szCs w:val="20"/>
        </w:rPr>
        <w:t>2</w:t>
      </w:r>
      <w:r>
        <w:rPr>
          <w:rFonts w:ascii="Calibri" w:hAnsi="Calibri" w:eastAsia="Calibri" w:cs="Calibri"/>
          <w:spacing w:val="-19"/>
          <w:sz w:val="20"/>
          <w:szCs w:val="20"/>
        </w:rPr>
        <w:t xml:space="preserve"> </w:t>
      </w:r>
      <w:r>
        <w:rPr>
          <w:rFonts w:ascii="宋体" w:hAnsi="宋体" w:eastAsia="宋体" w:cs="宋体"/>
          <w:spacing w:val="7"/>
          <w:sz w:val="20"/>
          <w:szCs w:val="20"/>
        </w:rPr>
        <w:t>、表格不足时投标人可根据需要另行添加</w:t>
      </w:r>
      <w:r>
        <w:rPr>
          <w:rFonts w:ascii="Calibri" w:hAnsi="Calibri" w:eastAsia="Calibri" w:cs="Calibri"/>
          <w:spacing w:val="7"/>
          <w:sz w:val="20"/>
          <w:szCs w:val="20"/>
        </w:rPr>
        <w:t>.</w:t>
      </w:r>
      <w:r>
        <w:rPr>
          <w:rFonts w:ascii="宋体" w:hAnsi="宋体" w:eastAsia="宋体" w:cs="宋体"/>
          <w:spacing w:val="7"/>
          <w:sz w:val="20"/>
          <w:szCs w:val="20"/>
        </w:rPr>
        <w:t>。</w:t>
      </w:r>
    </w:p>
    <w:p>
      <w:pPr>
        <w:spacing w:before="163" w:line="227" w:lineRule="auto"/>
        <w:ind w:left="219"/>
        <w:rPr>
          <w:rFonts w:ascii="宋体" w:hAnsi="宋体" w:eastAsia="宋体" w:cs="宋体"/>
          <w:sz w:val="20"/>
          <w:szCs w:val="20"/>
        </w:rPr>
      </w:pPr>
      <w:r>
        <w:rPr>
          <w:rFonts w:ascii="Calibri" w:hAnsi="Calibri" w:eastAsia="Calibri" w:cs="Calibri"/>
          <w:spacing w:val="8"/>
          <w:sz w:val="20"/>
          <w:szCs w:val="20"/>
        </w:rPr>
        <w:t>3</w:t>
      </w:r>
      <w:r>
        <w:rPr>
          <w:rFonts w:ascii="Calibri" w:hAnsi="Calibri" w:eastAsia="Calibri" w:cs="Calibri"/>
          <w:spacing w:val="-15"/>
          <w:sz w:val="20"/>
          <w:szCs w:val="20"/>
        </w:rPr>
        <w:t xml:space="preserve"> </w:t>
      </w:r>
      <w:r>
        <w:rPr>
          <w:rFonts w:ascii="宋体" w:hAnsi="宋体" w:eastAsia="宋体" w:cs="宋体"/>
          <w:spacing w:val="8"/>
          <w:sz w:val="20"/>
          <w:szCs w:val="20"/>
        </w:rPr>
        <w:t>、偏差项必须按照投标货物的符合程度，如实填写</w:t>
      </w:r>
      <w:r>
        <w:rPr>
          <w:rFonts w:ascii="Calibri" w:hAnsi="Calibri" w:eastAsia="Calibri" w:cs="Calibri"/>
          <w:spacing w:val="8"/>
          <w:sz w:val="20"/>
          <w:szCs w:val="20"/>
        </w:rPr>
        <w:t>“</w:t>
      </w:r>
      <w:r>
        <w:rPr>
          <w:rFonts w:ascii="宋体" w:hAnsi="宋体" w:eastAsia="宋体" w:cs="宋体"/>
          <w:spacing w:val="8"/>
          <w:sz w:val="20"/>
          <w:szCs w:val="20"/>
        </w:rPr>
        <w:t>优于、满足、不满足</w:t>
      </w:r>
      <w:r>
        <w:rPr>
          <w:rFonts w:ascii="Calibri" w:hAnsi="Calibri" w:eastAsia="Calibri" w:cs="Calibri"/>
          <w:spacing w:val="8"/>
          <w:sz w:val="20"/>
          <w:szCs w:val="20"/>
        </w:rPr>
        <w:t>”</w:t>
      </w:r>
      <w:r>
        <w:rPr>
          <w:rFonts w:ascii="宋体" w:hAnsi="宋体" w:eastAsia="宋体" w:cs="宋体"/>
          <w:spacing w:val="8"/>
          <w:sz w:val="20"/>
          <w:szCs w:val="20"/>
        </w:rPr>
        <w:t>。</w:t>
      </w:r>
    </w:p>
    <w:p>
      <w:pPr>
        <w:tabs>
          <w:tab w:val="left" w:pos="8367"/>
        </w:tabs>
        <w:spacing w:before="204" w:line="400" w:lineRule="auto"/>
        <w:ind w:left="3218" w:right="1118"/>
        <w:jc w:val="both"/>
        <w:rPr>
          <w:rFonts w:ascii="宋体" w:hAnsi="宋体" w:eastAsia="宋体" w:cs="宋体"/>
          <w:sz w:val="24"/>
          <w:szCs w:val="24"/>
        </w:rPr>
      </w:pPr>
      <w:r>
        <w:rPr>
          <w:rFonts w:ascii="宋体" w:hAnsi="宋体" w:eastAsia="宋体" w:cs="宋体"/>
          <w:spacing w:val="-2"/>
          <w:sz w:val="24"/>
          <w:szCs w:val="24"/>
        </w:rPr>
        <w:t>供应商（盖电子签章</w:t>
      </w:r>
      <w:r>
        <w:rPr>
          <w:rFonts w:ascii="宋体" w:hAnsi="宋体" w:eastAsia="宋体" w:cs="宋体"/>
          <w:spacing w:val="3"/>
          <w:sz w:val="24"/>
          <w:szCs w:val="24"/>
        </w:rPr>
        <w:t>）：</w:t>
      </w:r>
      <w:r>
        <w:rPr>
          <w:rFonts w:ascii="宋体" w:hAnsi="宋体" w:eastAsia="宋体" w:cs="宋体"/>
          <w:spacing w:val="1"/>
          <w:sz w:val="24"/>
          <w:szCs w:val="24"/>
        </w:rPr>
        <w:t xml:space="preserve"> </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rPr>
        <w:t>法定代表人（盖电子签章）：</w:t>
      </w:r>
      <w:r>
        <w:rPr>
          <w:rFonts w:ascii="宋体" w:hAnsi="宋体" w:eastAsia="宋体" w:cs="宋体"/>
          <w:sz w:val="24"/>
          <w:szCs w:val="24"/>
          <w:u w:val="single" w:color="auto"/>
        </w:rPr>
        <w:t xml:space="preserve">                 </w:t>
      </w:r>
    </w:p>
    <w:p>
      <w:pPr>
        <w:spacing w:line="220" w:lineRule="auto"/>
        <w:ind w:left="3259"/>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p>
    <w:p>
      <w:pPr>
        <w:spacing w:line="220" w:lineRule="auto"/>
        <w:rPr>
          <w:rFonts w:ascii="宋体" w:hAnsi="宋体" w:eastAsia="宋体" w:cs="宋体"/>
          <w:sz w:val="24"/>
          <w:szCs w:val="24"/>
        </w:rPr>
        <w:sectPr>
          <w:footerReference r:id="rId21" w:type="default"/>
          <w:pgSz w:w="11906" w:h="16839"/>
          <w:pgMar w:top="1420" w:right="1209" w:bottom="1014" w:left="1209" w:header="0" w:footer="850" w:gutter="0"/>
          <w:pgNumType w:fmt="decimal"/>
          <w:cols w:space="720" w:num="1"/>
        </w:sectPr>
      </w:pPr>
    </w:p>
    <w:p>
      <w:pPr>
        <w:pStyle w:val="2"/>
        <w:spacing w:line="304" w:lineRule="auto"/>
      </w:pPr>
    </w:p>
    <w:p>
      <w:pPr>
        <w:spacing w:before="101" w:line="228" w:lineRule="auto"/>
        <w:ind w:left="3108"/>
        <w:outlineLvl w:val="9"/>
        <w:rPr>
          <w:rFonts w:ascii="黑体" w:hAnsi="黑体" w:eastAsia="黑体" w:cs="黑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八、</w:t>
      </w:r>
      <w:r>
        <w:rPr>
          <w:rFonts w:hint="eastAsia" w:ascii="宋体" w:hAnsi="宋体" w:eastAsia="宋体" w:cs="宋体"/>
          <w:b/>
          <w:bCs/>
          <w:color w:val="auto"/>
          <w:kern w:val="2"/>
          <w:sz w:val="28"/>
          <w:szCs w:val="28"/>
          <w:highlight w:val="none"/>
          <w:lang w:val="en-US" w:eastAsia="zh-CN" w:bidi="ar-SA"/>
        </w:rPr>
        <w:t>反商业贿赂承诺书</w:t>
      </w:r>
    </w:p>
    <w:p>
      <w:pPr>
        <w:pStyle w:val="2"/>
        <w:spacing w:line="408" w:lineRule="auto"/>
      </w:pP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我方承诺：</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（项目编号：  ）</w:t>
      </w:r>
      <w:r>
        <w:rPr>
          <w:rFonts w:hint="eastAsia" w:ascii="宋体" w:hAnsi="宋体" w:eastAsia="宋体" w:cs="宋体"/>
          <w:color w:val="auto"/>
          <w:sz w:val="21"/>
          <w:szCs w:val="21"/>
          <w:highlight w:val="none"/>
          <w:u w:val="none"/>
          <w:lang w:val="en-US" w:eastAsia="zh-CN"/>
        </w:rPr>
        <w:t>政府</w:t>
      </w:r>
      <w:r>
        <w:rPr>
          <w:rFonts w:hint="eastAsia" w:ascii="宋体" w:hAnsi="宋体" w:eastAsia="宋体" w:cs="宋体"/>
          <w:color w:val="auto"/>
          <w:sz w:val="21"/>
          <w:szCs w:val="21"/>
          <w:highlight w:val="none"/>
          <w:lang w:val="zh-CN"/>
        </w:rPr>
        <w:t>采购活动中，我方保证做到：</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一、公平竞争参加本次公开采购活动。</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三、若出现上述行为，我方及参与投标的工作人员愿意接受按照国家法律法规等有关规定给予的处罚。</w:t>
      </w:r>
    </w:p>
    <w:p>
      <w:pPr>
        <w:bidi w:val="0"/>
        <w:spacing w:line="360" w:lineRule="auto"/>
        <w:ind w:left="645"/>
        <w:outlineLvl w:val="9"/>
        <w:rPr>
          <w:rFonts w:hint="eastAsia" w:ascii="宋体" w:hAnsi="宋体" w:eastAsia="宋体" w:cs="宋体"/>
          <w:color w:val="auto"/>
          <w:sz w:val="21"/>
          <w:szCs w:val="21"/>
          <w:highlight w:val="none"/>
        </w:rPr>
      </w:pPr>
    </w:p>
    <w:p>
      <w:pPr>
        <w:bidi w:val="0"/>
        <w:spacing w:line="360" w:lineRule="auto"/>
        <w:ind w:left="645"/>
        <w:outlineLvl w:val="9"/>
        <w:rPr>
          <w:rFonts w:hint="eastAsia" w:ascii="宋体" w:hAnsi="宋体" w:eastAsia="宋体" w:cs="宋体"/>
          <w:color w:val="auto"/>
          <w:sz w:val="21"/>
          <w:szCs w:val="21"/>
          <w:highlight w:val="none"/>
        </w:rPr>
      </w:pPr>
    </w:p>
    <w:p>
      <w:pPr>
        <w:bidi w:val="0"/>
        <w:spacing w:line="360" w:lineRule="auto"/>
        <w:outlineLvl w:val="9"/>
        <w:rPr>
          <w:rFonts w:hint="eastAsia" w:ascii="宋体" w:hAnsi="宋体" w:eastAsia="宋体" w:cs="宋体"/>
          <w:color w:val="auto"/>
          <w:sz w:val="21"/>
          <w:szCs w:val="21"/>
          <w:highlight w:val="none"/>
        </w:rPr>
      </w:pPr>
    </w:p>
    <w:p>
      <w:pPr>
        <w:bidi w:val="0"/>
        <w:spacing w:line="360" w:lineRule="auto"/>
        <w:ind w:left="645"/>
        <w:outlineLvl w:val="9"/>
        <w:rPr>
          <w:rFonts w:hint="eastAsia" w:ascii="宋体" w:hAnsi="宋体" w:eastAsia="宋体" w:cs="宋体"/>
          <w:color w:val="auto"/>
          <w:sz w:val="21"/>
          <w:szCs w:val="21"/>
          <w:highlight w:val="none"/>
        </w:rPr>
      </w:pPr>
    </w:p>
    <w:p>
      <w:pPr>
        <w:bidi w:val="0"/>
        <w:spacing w:line="360" w:lineRule="auto"/>
        <w:ind w:left="64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供应商（单位电子签章）：　</w:t>
      </w:r>
    </w:p>
    <w:p>
      <w:pPr>
        <w:bidi w:val="0"/>
        <w:spacing w:line="360" w:lineRule="auto"/>
        <w:ind w:left="645"/>
        <w:outlineLvl w:val="9"/>
        <w:rPr>
          <w:rFonts w:hint="eastAsia" w:ascii="宋体" w:hAnsi="宋体" w:eastAsia="宋体" w:cs="宋体"/>
          <w:color w:val="auto"/>
          <w:sz w:val="21"/>
          <w:szCs w:val="21"/>
          <w:highlight w:val="none"/>
        </w:rPr>
      </w:pPr>
    </w:p>
    <w:p>
      <w:pPr>
        <w:bidi w:val="0"/>
        <w:spacing w:line="360" w:lineRule="auto"/>
        <w:ind w:left="64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法定代表人或其委托代理人（签字或盖章）：</w:t>
      </w:r>
    </w:p>
    <w:p>
      <w:pPr>
        <w:bidi w:val="0"/>
        <w:spacing w:line="360" w:lineRule="auto"/>
        <w:ind w:left="645"/>
        <w:outlineLvl w:val="9"/>
        <w:rPr>
          <w:rFonts w:hint="eastAsia" w:ascii="宋体" w:hAnsi="宋体" w:eastAsia="宋体" w:cs="宋体"/>
          <w:color w:val="auto"/>
          <w:sz w:val="21"/>
          <w:szCs w:val="21"/>
          <w:highlight w:val="none"/>
        </w:rPr>
      </w:pPr>
    </w:p>
    <w:p>
      <w:pPr>
        <w:bidi w:val="0"/>
        <w:spacing w:line="360" w:lineRule="auto"/>
        <w:ind w:left="64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before="149" w:line="226" w:lineRule="auto"/>
        <w:ind w:left="3062"/>
        <w:outlineLvl w:val="9"/>
        <w:rPr>
          <w:rFonts w:ascii="黑体" w:hAnsi="黑体" w:eastAsia="黑体" w:cs="黑体"/>
          <w:spacing w:val="7"/>
          <w:sz w:val="31"/>
          <w:szCs w:val="31"/>
          <w14:textOutline w14:w="5793" w14:cap="sq" w14:cmpd="sng">
            <w14:solidFill>
              <w14:srgbClr w14:val="000000"/>
            </w14:solidFill>
            <w14:prstDash w14:val="solid"/>
            <w14:bevel/>
          </w14:textOutline>
        </w:rPr>
      </w:pPr>
    </w:p>
    <w:p>
      <w:pPr>
        <w:spacing w:before="149" w:line="226" w:lineRule="auto"/>
        <w:ind w:left="3062"/>
        <w:outlineLvl w:val="9"/>
        <w:rPr>
          <w:rFonts w:ascii="黑体" w:hAnsi="黑体" w:eastAsia="黑体" w:cs="黑体"/>
          <w:spacing w:val="7"/>
          <w:sz w:val="31"/>
          <w:szCs w:val="31"/>
          <w14:textOutline w14:w="5793" w14:cap="sq" w14:cmpd="sng">
            <w14:solidFill>
              <w14:srgbClr w14:val="000000"/>
            </w14:solidFill>
            <w14:prstDash w14:val="solid"/>
            <w14:bevel/>
          </w14:textOutline>
        </w:rPr>
      </w:pPr>
    </w:p>
    <w:p>
      <w:pPr>
        <w:spacing w:before="149" w:line="226" w:lineRule="auto"/>
        <w:ind w:left="3062"/>
        <w:outlineLvl w:val="9"/>
        <w:rPr>
          <w:rFonts w:ascii="黑体" w:hAnsi="黑体" w:eastAsia="黑体" w:cs="黑体"/>
          <w:spacing w:val="7"/>
          <w:sz w:val="31"/>
          <w:szCs w:val="31"/>
          <w14:textOutline w14:w="5793" w14:cap="sq" w14:cmpd="sng">
            <w14:solidFill>
              <w14:srgbClr w14:val="000000"/>
            </w14:solidFill>
            <w14:prstDash w14:val="solid"/>
            <w14:bevel/>
          </w14:textOutline>
        </w:rPr>
      </w:pPr>
    </w:p>
    <w:p>
      <w:pPr>
        <w:spacing w:before="149" w:line="226" w:lineRule="auto"/>
        <w:ind w:left="3062"/>
        <w:outlineLvl w:val="9"/>
        <w:rPr>
          <w:rFonts w:ascii="黑体" w:hAnsi="黑体" w:eastAsia="黑体" w:cs="黑体"/>
          <w:spacing w:val="7"/>
          <w:sz w:val="31"/>
          <w:szCs w:val="31"/>
          <w14:textOutline w14:w="5793" w14:cap="sq" w14:cmpd="sng">
            <w14:solidFill>
              <w14:srgbClr w14:val="000000"/>
            </w14:solidFill>
            <w14:prstDash w14:val="solid"/>
            <w14:bevel/>
          </w14:textOutline>
        </w:rPr>
      </w:pPr>
    </w:p>
    <w:p>
      <w:pPr>
        <w:spacing w:before="149" w:line="226" w:lineRule="auto"/>
        <w:ind w:left="3062"/>
        <w:outlineLvl w:val="9"/>
        <w:rPr>
          <w:rFonts w:ascii="黑体" w:hAnsi="黑体" w:eastAsia="黑体" w:cs="黑体"/>
          <w:spacing w:val="7"/>
          <w:sz w:val="31"/>
          <w:szCs w:val="31"/>
          <w14:textOutline w14:w="5793" w14:cap="sq" w14:cmpd="sng">
            <w14:solidFill>
              <w14:srgbClr w14:val="000000"/>
            </w14:solidFill>
            <w14:prstDash w14:val="solid"/>
            <w14:bevel/>
          </w14:textOutline>
        </w:rPr>
      </w:pPr>
    </w:p>
    <w:p>
      <w:pPr>
        <w:spacing w:before="149" w:line="226" w:lineRule="auto"/>
        <w:ind w:left="3062"/>
        <w:outlineLvl w:val="9"/>
        <w:rPr>
          <w:rFonts w:ascii="黑体" w:hAnsi="黑体" w:eastAsia="黑体" w:cs="黑体"/>
          <w:spacing w:val="7"/>
          <w:sz w:val="31"/>
          <w:szCs w:val="31"/>
          <w14:textOutline w14:w="5793" w14:cap="sq" w14:cmpd="sng">
            <w14:solidFill>
              <w14:srgbClr w14:val="000000"/>
            </w14:solidFill>
            <w14:prstDash w14:val="solid"/>
            <w14:bevel/>
          </w14:textOutline>
        </w:rPr>
      </w:pPr>
    </w:p>
    <w:p>
      <w:pPr>
        <w:spacing w:before="149" w:line="226" w:lineRule="auto"/>
        <w:ind w:left="3062"/>
        <w:outlineLvl w:val="9"/>
        <w:rPr>
          <w:rFonts w:ascii="黑体" w:hAnsi="黑体" w:eastAsia="黑体" w:cs="黑体"/>
          <w:spacing w:val="7"/>
          <w:sz w:val="31"/>
          <w:szCs w:val="31"/>
          <w14:textOutline w14:w="5793" w14:cap="sq" w14:cmpd="sng">
            <w14:solidFill>
              <w14:srgbClr w14:val="000000"/>
            </w14:solidFill>
            <w14:prstDash w14:val="solid"/>
            <w14:bevel/>
          </w14:textOutline>
        </w:rPr>
      </w:pPr>
    </w:p>
    <w:p>
      <w:pPr>
        <w:spacing w:before="149" w:line="226" w:lineRule="auto"/>
        <w:ind w:left="3062"/>
        <w:outlineLvl w:val="9"/>
        <w:rPr>
          <w:rFonts w:ascii="黑体" w:hAnsi="黑体" w:eastAsia="黑体" w:cs="黑体"/>
          <w:spacing w:val="7"/>
          <w:sz w:val="31"/>
          <w:szCs w:val="31"/>
          <w14:textOutline w14:w="5793" w14:cap="sq" w14:cmpd="sng">
            <w14:solidFill>
              <w14:srgbClr w14:val="000000"/>
            </w14:solidFill>
            <w14:prstDash w14:val="solid"/>
            <w14:bevel/>
          </w14:textOutline>
        </w:rPr>
      </w:pPr>
    </w:p>
    <w:p>
      <w:pPr>
        <w:spacing w:before="149" w:line="226" w:lineRule="auto"/>
        <w:ind w:left="3062"/>
        <w:outlineLvl w:val="9"/>
        <w:rPr>
          <w:rFonts w:ascii="黑体" w:hAnsi="黑体" w:eastAsia="黑体" w:cs="黑体"/>
          <w:spacing w:val="7"/>
          <w:sz w:val="31"/>
          <w:szCs w:val="31"/>
          <w14:textOutline w14:w="5793" w14:cap="sq" w14:cmpd="sng">
            <w14:solidFill>
              <w14:srgbClr w14:val="000000"/>
            </w14:solidFill>
            <w14:prstDash w14:val="solid"/>
            <w14:bevel/>
          </w14:textOutline>
        </w:rPr>
      </w:pPr>
    </w:p>
    <w:p>
      <w:pPr>
        <w:spacing w:before="149" w:line="226" w:lineRule="auto"/>
        <w:ind w:left="3062"/>
        <w:outlineLvl w:val="9"/>
        <w:rPr>
          <w:rFonts w:ascii="黑体" w:hAnsi="黑体" w:eastAsia="黑体" w:cs="黑体"/>
          <w:spacing w:val="7"/>
          <w:sz w:val="31"/>
          <w:szCs w:val="31"/>
          <w14:textOutline w14:w="5793" w14:cap="sq" w14:cmpd="sng">
            <w14:solidFill>
              <w14:srgbClr w14:val="000000"/>
            </w14:solidFill>
            <w14:prstDash w14:val="solid"/>
            <w14:bevel/>
          </w14:textOutline>
        </w:rPr>
      </w:pPr>
    </w:p>
    <w:p>
      <w:pPr>
        <w:spacing w:before="149" w:line="226" w:lineRule="auto"/>
        <w:ind w:left="3062"/>
        <w:outlineLvl w:val="9"/>
        <w:rPr>
          <w:rFonts w:ascii="黑体" w:hAnsi="黑体" w:eastAsia="黑体" w:cs="黑体"/>
          <w:sz w:val="31"/>
          <w:szCs w:val="31"/>
        </w:rPr>
      </w:pPr>
      <w:r>
        <w:rPr>
          <w:rFonts w:ascii="黑体" w:hAnsi="黑体" w:eastAsia="黑体" w:cs="黑体"/>
          <w:spacing w:val="7"/>
          <w:sz w:val="31"/>
          <w:szCs w:val="31"/>
          <w14:textOutline w14:w="5793" w14:cap="sq" w14:cmpd="sng">
            <w14:solidFill>
              <w14:srgbClr w14:val="000000"/>
            </w14:solidFill>
            <w14:prstDash w14:val="solid"/>
            <w14:bevel/>
          </w14:textOutline>
        </w:rPr>
        <w:t>九、</w:t>
      </w:r>
      <w:r>
        <w:rPr>
          <w:rFonts w:hint="eastAsia" w:ascii="黑体" w:hAnsi="黑体" w:eastAsia="黑体" w:cs="黑体"/>
          <w:spacing w:val="7"/>
          <w:sz w:val="31"/>
          <w:szCs w:val="31"/>
          <w:lang w:val="en-US" w:eastAsia="zh-CN"/>
          <w14:textOutline w14:w="5793" w14:cap="sq" w14:cmpd="sng">
            <w14:solidFill>
              <w14:srgbClr w14:val="000000"/>
            </w14:solidFill>
            <w14:prstDash w14:val="solid"/>
            <w14:bevel/>
          </w14:textOutline>
        </w:rPr>
        <w:t>售后</w:t>
      </w:r>
      <w:r>
        <w:rPr>
          <w:rFonts w:ascii="黑体" w:hAnsi="黑体" w:eastAsia="黑体" w:cs="黑体"/>
          <w:spacing w:val="7"/>
          <w:sz w:val="31"/>
          <w:szCs w:val="31"/>
          <w14:textOutline w14:w="5793" w14:cap="sq" w14:cmpd="sng">
            <w14:solidFill>
              <w14:srgbClr w14:val="000000"/>
            </w14:solidFill>
            <w14:prstDash w14:val="solid"/>
            <w14:bevel/>
          </w14:textOutline>
        </w:rPr>
        <w:t>服务承诺书</w:t>
      </w:r>
    </w:p>
    <w:p>
      <w:pPr>
        <w:pStyle w:val="2"/>
        <w:spacing w:line="276" w:lineRule="auto"/>
        <w:outlineLvl w:val="9"/>
      </w:pPr>
    </w:p>
    <w:p>
      <w:pPr>
        <w:pStyle w:val="2"/>
        <w:spacing w:line="276" w:lineRule="auto"/>
      </w:pPr>
    </w:p>
    <w:p>
      <w:pPr>
        <w:spacing w:before="78" w:line="219" w:lineRule="auto"/>
        <w:ind w:left="1927"/>
        <w:rPr>
          <w:rFonts w:hint="eastAsia" w:ascii="宋体" w:hAnsi="宋体" w:eastAsia="宋体" w:cs="宋体"/>
          <w:sz w:val="24"/>
          <w:szCs w:val="24"/>
        </w:rPr>
      </w:pPr>
      <w:r>
        <w:rPr>
          <w:rFonts w:hint="eastAsia" w:ascii="宋体" w:hAnsi="宋体" w:eastAsia="宋体" w:cs="宋体"/>
          <w:b/>
          <w:bCs/>
          <w:spacing w:val="-13"/>
          <w:sz w:val="24"/>
          <w:szCs w:val="24"/>
        </w:rPr>
        <w:t>&lt;</w:t>
      </w:r>
      <w:r>
        <w:rPr>
          <w:rFonts w:hint="eastAsia" w:ascii="宋体" w:hAnsi="宋体" w:eastAsia="宋体" w:cs="宋体"/>
          <w:b/>
          <w:bCs/>
          <w:spacing w:val="-9"/>
          <w:sz w:val="24"/>
          <w:szCs w:val="24"/>
        </w:rPr>
        <w:t xml:space="preserve"> </w:t>
      </w:r>
      <w:r>
        <w:rPr>
          <w:rFonts w:hint="eastAsia" w:ascii="宋体" w:hAnsi="宋体" w:eastAsia="宋体" w:cs="宋体"/>
          <w:spacing w:val="-13"/>
          <w:sz w:val="24"/>
          <w:szCs w:val="24"/>
          <w14:textOutline w14:w="4358" w14:cap="sq" w14:cmpd="sng">
            <w14:solidFill>
              <w14:srgbClr w14:val="000000"/>
            </w14:solidFill>
            <w14:prstDash w14:val="solid"/>
            <w14:bevel/>
          </w14:textOutline>
        </w:rPr>
        <w:t>响</w:t>
      </w:r>
      <w:r>
        <w:rPr>
          <w:rFonts w:hint="eastAsia" w:ascii="宋体" w:hAnsi="宋体" w:eastAsia="宋体" w:cs="宋体"/>
          <w:spacing w:val="-70"/>
          <w:sz w:val="24"/>
          <w:szCs w:val="24"/>
        </w:rPr>
        <w:t xml:space="preserve"> </w:t>
      </w:r>
      <w:r>
        <w:rPr>
          <w:rFonts w:hint="eastAsia" w:ascii="宋体" w:hAnsi="宋体" w:eastAsia="宋体" w:cs="宋体"/>
          <w:spacing w:val="-13"/>
          <w:sz w:val="24"/>
          <w:szCs w:val="24"/>
          <w14:textOutline w14:w="4358" w14:cap="sq" w14:cmpd="sng">
            <w14:solidFill>
              <w14:srgbClr w14:val="000000"/>
            </w14:solidFill>
            <w14:prstDash w14:val="solid"/>
            <w14:bevel/>
          </w14:textOutline>
        </w:rPr>
        <w:t>应</w:t>
      </w:r>
      <w:r>
        <w:rPr>
          <w:rFonts w:hint="eastAsia" w:ascii="宋体" w:hAnsi="宋体" w:eastAsia="宋体" w:cs="宋体"/>
          <w:spacing w:val="-68"/>
          <w:sz w:val="24"/>
          <w:szCs w:val="24"/>
        </w:rPr>
        <w:t xml:space="preserve"> </w:t>
      </w:r>
      <w:r>
        <w:rPr>
          <w:rFonts w:hint="eastAsia" w:ascii="宋体" w:hAnsi="宋体" w:eastAsia="宋体" w:cs="宋体"/>
          <w:spacing w:val="-13"/>
          <w:sz w:val="24"/>
          <w:szCs w:val="24"/>
          <w14:textOutline w14:w="4358" w14:cap="sq" w14:cmpd="sng">
            <w14:solidFill>
              <w14:srgbClr w14:val="000000"/>
            </w14:solidFill>
            <w14:prstDash w14:val="solid"/>
            <w14:bevel/>
          </w14:textOutline>
        </w:rPr>
        <w:t>人</w:t>
      </w:r>
      <w:r>
        <w:rPr>
          <w:rFonts w:hint="eastAsia" w:ascii="宋体" w:hAnsi="宋体" w:eastAsia="宋体" w:cs="宋体"/>
          <w:spacing w:val="-69"/>
          <w:sz w:val="24"/>
          <w:szCs w:val="24"/>
        </w:rPr>
        <w:t xml:space="preserve"> </w:t>
      </w:r>
      <w:r>
        <w:rPr>
          <w:rFonts w:hint="eastAsia" w:ascii="宋体" w:hAnsi="宋体" w:eastAsia="宋体" w:cs="宋体"/>
          <w:spacing w:val="-13"/>
          <w:sz w:val="24"/>
          <w:szCs w:val="24"/>
          <w14:textOutline w14:w="4358" w14:cap="sq" w14:cmpd="sng">
            <w14:solidFill>
              <w14:srgbClr w14:val="000000"/>
            </w14:solidFill>
            <w14:prstDash w14:val="solid"/>
            <w14:bevel/>
          </w14:textOutline>
        </w:rPr>
        <w:t>根</w:t>
      </w:r>
      <w:r>
        <w:rPr>
          <w:rFonts w:hint="eastAsia" w:ascii="宋体" w:hAnsi="宋体" w:eastAsia="宋体" w:cs="宋体"/>
          <w:spacing w:val="-71"/>
          <w:sz w:val="24"/>
          <w:szCs w:val="24"/>
        </w:rPr>
        <w:t xml:space="preserve"> </w:t>
      </w:r>
      <w:r>
        <w:rPr>
          <w:rFonts w:hint="eastAsia" w:ascii="宋体" w:hAnsi="宋体" w:eastAsia="宋体" w:cs="宋体"/>
          <w:spacing w:val="-13"/>
          <w:sz w:val="24"/>
          <w:szCs w:val="24"/>
          <w14:textOutline w14:w="4358" w14:cap="sq" w14:cmpd="sng">
            <w14:solidFill>
              <w14:srgbClr w14:val="000000"/>
            </w14:solidFill>
            <w14:prstDash w14:val="solid"/>
            <w14:bevel/>
          </w14:textOutline>
        </w:rPr>
        <w:t>据</w:t>
      </w:r>
      <w:r>
        <w:rPr>
          <w:rFonts w:hint="eastAsia" w:ascii="宋体" w:hAnsi="宋体" w:eastAsia="宋体" w:cs="宋体"/>
          <w:spacing w:val="-71"/>
          <w:sz w:val="24"/>
          <w:szCs w:val="24"/>
        </w:rPr>
        <w:t xml:space="preserve"> </w:t>
      </w:r>
      <w:r>
        <w:rPr>
          <w:rFonts w:hint="eastAsia" w:ascii="宋体" w:hAnsi="宋体" w:eastAsia="宋体" w:cs="宋体"/>
          <w:spacing w:val="-13"/>
          <w:sz w:val="24"/>
          <w:szCs w:val="24"/>
          <w14:textOutline w14:w="4358" w14:cap="sq" w14:cmpd="sng">
            <w14:solidFill>
              <w14:srgbClr w14:val="000000"/>
            </w14:solidFill>
            <w14:prstDash w14:val="solid"/>
            <w14:bevel/>
          </w14:textOutline>
        </w:rPr>
        <w:t>磋</w:t>
      </w:r>
      <w:r>
        <w:rPr>
          <w:rFonts w:hint="eastAsia" w:ascii="宋体" w:hAnsi="宋体" w:eastAsia="宋体" w:cs="宋体"/>
          <w:spacing w:val="-65"/>
          <w:sz w:val="24"/>
          <w:szCs w:val="24"/>
        </w:rPr>
        <w:t xml:space="preserve"> </w:t>
      </w:r>
      <w:r>
        <w:rPr>
          <w:rFonts w:hint="eastAsia" w:ascii="宋体" w:hAnsi="宋体" w:eastAsia="宋体" w:cs="宋体"/>
          <w:spacing w:val="-13"/>
          <w:sz w:val="24"/>
          <w:szCs w:val="24"/>
          <w14:textOutline w14:w="4358" w14:cap="sq" w14:cmpd="sng">
            <w14:solidFill>
              <w14:srgbClr w14:val="000000"/>
            </w14:solidFill>
            <w14:prstDash w14:val="solid"/>
            <w14:bevel/>
          </w14:textOutline>
        </w:rPr>
        <w:t>商</w:t>
      </w:r>
      <w:r>
        <w:rPr>
          <w:rFonts w:hint="eastAsia" w:ascii="宋体" w:hAnsi="宋体" w:eastAsia="宋体" w:cs="宋体"/>
          <w:spacing w:val="-68"/>
          <w:sz w:val="24"/>
          <w:szCs w:val="24"/>
        </w:rPr>
        <w:t xml:space="preserve"> </w:t>
      </w:r>
      <w:r>
        <w:rPr>
          <w:rFonts w:hint="eastAsia" w:ascii="宋体" w:hAnsi="宋体" w:eastAsia="宋体" w:cs="宋体"/>
          <w:spacing w:val="-13"/>
          <w:sz w:val="24"/>
          <w:szCs w:val="24"/>
          <w14:textOutline w14:w="4358" w14:cap="sq" w14:cmpd="sng">
            <w14:solidFill>
              <w14:srgbClr w14:val="000000"/>
            </w14:solidFill>
            <w14:prstDash w14:val="solid"/>
            <w14:bevel/>
          </w14:textOutline>
        </w:rPr>
        <w:t>文</w:t>
      </w:r>
      <w:r>
        <w:rPr>
          <w:rFonts w:hint="eastAsia" w:ascii="宋体" w:hAnsi="宋体" w:eastAsia="宋体" w:cs="宋体"/>
          <w:spacing w:val="-71"/>
          <w:sz w:val="24"/>
          <w:szCs w:val="24"/>
        </w:rPr>
        <w:t xml:space="preserve"> </w:t>
      </w:r>
      <w:r>
        <w:rPr>
          <w:rFonts w:hint="eastAsia" w:ascii="宋体" w:hAnsi="宋体" w:eastAsia="宋体" w:cs="宋体"/>
          <w:spacing w:val="-13"/>
          <w:sz w:val="24"/>
          <w:szCs w:val="24"/>
          <w14:textOutline w14:w="4358" w14:cap="sq" w14:cmpd="sng">
            <w14:solidFill>
              <w14:srgbClr w14:val="000000"/>
            </w14:solidFill>
            <w14:prstDash w14:val="solid"/>
            <w14:bevel/>
          </w14:textOutline>
        </w:rPr>
        <w:t>件</w:t>
      </w:r>
      <w:r>
        <w:rPr>
          <w:rFonts w:hint="eastAsia" w:ascii="宋体" w:hAnsi="宋体" w:eastAsia="宋体" w:cs="宋体"/>
          <w:spacing w:val="-66"/>
          <w:sz w:val="24"/>
          <w:szCs w:val="24"/>
        </w:rPr>
        <w:t xml:space="preserve"> </w:t>
      </w:r>
      <w:r>
        <w:rPr>
          <w:rFonts w:hint="eastAsia" w:ascii="宋体" w:hAnsi="宋体" w:eastAsia="宋体" w:cs="宋体"/>
          <w:spacing w:val="-13"/>
          <w:sz w:val="24"/>
          <w:szCs w:val="24"/>
          <w14:textOutline w14:w="4358" w14:cap="sq" w14:cmpd="sng">
            <w14:solidFill>
              <w14:srgbClr w14:val="000000"/>
            </w14:solidFill>
            <w14:prstDash w14:val="solid"/>
            <w14:bevel/>
          </w14:textOutline>
        </w:rPr>
        <w:t>要</w:t>
      </w:r>
      <w:r>
        <w:rPr>
          <w:rFonts w:hint="eastAsia" w:ascii="宋体" w:hAnsi="宋体" w:eastAsia="宋体" w:cs="宋体"/>
          <w:spacing w:val="-68"/>
          <w:sz w:val="24"/>
          <w:szCs w:val="24"/>
        </w:rPr>
        <w:t xml:space="preserve"> </w:t>
      </w:r>
      <w:r>
        <w:rPr>
          <w:rFonts w:hint="eastAsia" w:ascii="宋体" w:hAnsi="宋体" w:eastAsia="宋体" w:cs="宋体"/>
          <w:spacing w:val="-13"/>
          <w:sz w:val="24"/>
          <w:szCs w:val="24"/>
          <w14:textOutline w14:w="4358" w14:cap="sq" w14:cmpd="sng">
            <w14:solidFill>
              <w14:srgbClr w14:val="000000"/>
            </w14:solidFill>
            <w14:prstDash w14:val="solid"/>
            <w14:bevel/>
          </w14:textOutline>
        </w:rPr>
        <w:t>求</w:t>
      </w:r>
      <w:r>
        <w:rPr>
          <w:rFonts w:hint="eastAsia" w:ascii="宋体" w:hAnsi="宋体" w:eastAsia="宋体" w:cs="宋体"/>
          <w:spacing w:val="-31"/>
          <w:sz w:val="24"/>
          <w:szCs w:val="24"/>
        </w:rPr>
        <w:t xml:space="preserve"> </w:t>
      </w:r>
      <w:r>
        <w:rPr>
          <w:rFonts w:hint="eastAsia" w:ascii="宋体" w:hAnsi="宋体" w:eastAsia="宋体" w:cs="宋体"/>
          <w:spacing w:val="-13"/>
          <w:sz w:val="24"/>
          <w:szCs w:val="24"/>
          <w14:textOutline w14:w="4358" w14:cap="sq" w14:cmpd="sng">
            <w14:solidFill>
              <w14:srgbClr w14:val="000000"/>
            </w14:solidFill>
            <w14:prstDash w14:val="solid"/>
            <w14:bevel/>
          </w14:textOutline>
        </w:rPr>
        <w:t>自</w:t>
      </w:r>
      <w:r>
        <w:rPr>
          <w:rFonts w:hint="eastAsia" w:ascii="宋体" w:hAnsi="宋体" w:eastAsia="宋体" w:cs="宋体"/>
          <w:spacing w:val="-66"/>
          <w:sz w:val="24"/>
          <w:szCs w:val="24"/>
        </w:rPr>
        <w:t xml:space="preserve"> </w:t>
      </w:r>
      <w:r>
        <w:rPr>
          <w:rFonts w:hint="eastAsia" w:ascii="宋体" w:hAnsi="宋体" w:eastAsia="宋体" w:cs="宋体"/>
          <w:spacing w:val="-13"/>
          <w:sz w:val="24"/>
          <w:szCs w:val="24"/>
          <w14:textOutline w14:w="4358" w14:cap="sq" w14:cmpd="sng">
            <w14:solidFill>
              <w14:srgbClr w14:val="000000"/>
            </w14:solidFill>
            <w14:prstDash w14:val="solid"/>
            <w14:bevel/>
          </w14:textOutline>
        </w:rPr>
        <w:t>行</w:t>
      </w:r>
      <w:r>
        <w:rPr>
          <w:rFonts w:hint="eastAsia" w:ascii="宋体" w:hAnsi="宋体" w:eastAsia="宋体" w:cs="宋体"/>
          <w:spacing w:val="-68"/>
          <w:sz w:val="24"/>
          <w:szCs w:val="24"/>
        </w:rPr>
        <w:t xml:space="preserve"> </w:t>
      </w:r>
      <w:r>
        <w:rPr>
          <w:rFonts w:hint="eastAsia" w:ascii="宋体" w:hAnsi="宋体" w:eastAsia="宋体" w:cs="宋体"/>
          <w:spacing w:val="-13"/>
          <w:sz w:val="24"/>
          <w:szCs w:val="24"/>
          <w14:textOutline w14:w="4358" w14:cap="sq" w14:cmpd="sng">
            <w14:solidFill>
              <w14:srgbClr w14:val="000000"/>
            </w14:solidFill>
            <w14:prstDash w14:val="solid"/>
            <w14:bevel/>
          </w14:textOutline>
        </w:rPr>
        <w:t>编</w:t>
      </w:r>
      <w:r>
        <w:rPr>
          <w:rFonts w:hint="eastAsia" w:ascii="宋体" w:hAnsi="宋体" w:eastAsia="宋体" w:cs="宋体"/>
          <w:spacing w:val="-68"/>
          <w:sz w:val="24"/>
          <w:szCs w:val="24"/>
        </w:rPr>
        <w:t xml:space="preserve"> </w:t>
      </w:r>
      <w:r>
        <w:rPr>
          <w:rFonts w:hint="eastAsia" w:ascii="宋体" w:hAnsi="宋体" w:eastAsia="宋体" w:cs="宋体"/>
          <w:spacing w:val="-13"/>
          <w:sz w:val="24"/>
          <w:szCs w:val="24"/>
          <w14:textOutline w14:w="4358" w14:cap="sq" w14:cmpd="sng">
            <w14:solidFill>
              <w14:srgbClr w14:val="000000"/>
            </w14:solidFill>
            <w14:prstDash w14:val="solid"/>
            <w14:bevel/>
          </w14:textOutline>
        </w:rPr>
        <w:t>制</w:t>
      </w:r>
      <w:r>
        <w:rPr>
          <w:rFonts w:hint="eastAsia" w:ascii="宋体" w:hAnsi="宋体" w:eastAsia="宋体" w:cs="宋体"/>
          <w:spacing w:val="-68"/>
          <w:sz w:val="24"/>
          <w:szCs w:val="24"/>
        </w:rPr>
        <w:t xml:space="preserve"> </w:t>
      </w:r>
      <w:r>
        <w:rPr>
          <w:rFonts w:hint="eastAsia" w:ascii="宋体" w:hAnsi="宋体" w:eastAsia="宋体" w:cs="宋体"/>
          <w:b/>
          <w:bCs/>
          <w:spacing w:val="-13"/>
          <w:sz w:val="24"/>
          <w:szCs w:val="24"/>
        </w:rPr>
        <w:t>&gt;</w:t>
      </w:r>
    </w:p>
    <w:p>
      <w:pPr>
        <w:pStyle w:val="2"/>
        <w:spacing w:line="242" w:lineRule="auto"/>
        <w:outlineLvl w:val="9"/>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78" w:line="219" w:lineRule="auto"/>
        <w:ind w:left="2913"/>
        <w:rPr>
          <w:rFonts w:ascii="宋体" w:hAnsi="宋体" w:eastAsia="宋体" w:cs="宋体"/>
          <w:sz w:val="24"/>
          <w:szCs w:val="24"/>
        </w:rPr>
      </w:pPr>
      <w:r>
        <w:rPr>
          <w:rFonts w:ascii="宋体" w:hAnsi="宋体" w:eastAsia="宋体" w:cs="宋体"/>
          <w:spacing w:val="-2"/>
          <w:sz w:val="24"/>
          <w:szCs w:val="24"/>
        </w:rPr>
        <w:t>供应商（盖电子签章</w:t>
      </w:r>
      <w:r>
        <w:rPr>
          <w:rFonts w:ascii="宋体" w:hAnsi="宋体" w:eastAsia="宋体" w:cs="宋体"/>
          <w:spacing w:val="3"/>
          <w:sz w:val="24"/>
          <w:szCs w:val="24"/>
        </w:rPr>
        <w:t>）：</w:t>
      </w:r>
      <w:r>
        <w:rPr>
          <w:rFonts w:ascii="宋体" w:hAnsi="宋体" w:eastAsia="宋体" w:cs="宋体"/>
          <w:sz w:val="24"/>
          <w:szCs w:val="24"/>
          <w:u w:val="single" w:color="auto"/>
        </w:rPr>
        <w:t xml:space="preserve">                           </w:t>
      </w:r>
    </w:p>
    <w:p>
      <w:pPr>
        <w:pStyle w:val="2"/>
        <w:spacing w:line="433" w:lineRule="auto"/>
      </w:pPr>
    </w:p>
    <w:p>
      <w:pPr>
        <w:spacing w:before="78" w:line="219" w:lineRule="auto"/>
        <w:ind w:left="2856"/>
        <w:rPr>
          <w:rFonts w:ascii="宋体" w:hAnsi="宋体" w:eastAsia="宋体" w:cs="宋体"/>
          <w:sz w:val="24"/>
          <w:szCs w:val="24"/>
        </w:rPr>
      </w:pPr>
      <w:r>
        <w:rPr>
          <w:rFonts w:ascii="宋体" w:hAnsi="宋体" w:eastAsia="宋体" w:cs="宋体"/>
          <w:spacing w:val="-1"/>
          <w:sz w:val="24"/>
          <w:szCs w:val="24"/>
        </w:rPr>
        <w:t>法定代表人（盖电子签章</w:t>
      </w:r>
      <w:r>
        <w:rPr>
          <w:rFonts w:ascii="宋体" w:hAnsi="宋体" w:eastAsia="宋体" w:cs="宋体"/>
          <w:sz w:val="24"/>
          <w:szCs w:val="24"/>
        </w:rPr>
        <w:t>）：</w:t>
      </w:r>
      <w:r>
        <w:rPr>
          <w:rFonts w:ascii="宋体" w:hAnsi="宋体" w:eastAsia="宋体" w:cs="宋体"/>
          <w:sz w:val="24"/>
          <w:szCs w:val="24"/>
          <w:u w:val="single" w:color="auto"/>
        </w:rPr>
        <w:t xml:space="preserve">            </w:t>
      </w:r>
    </w:p>
    <w:p>
      <w:pPr>
        <w:pStyle w:val="2"/>
        <w:spacing w:line="275" w:lineRule="auto"/>
      </w:pPr>
    </w:p>
    <w:p>
      <w:pPr>
        <w:pStyle w:val="2"/>
        <w:spacing w:line="276" w:lineRule="auto"/>
      </w:pPr>
    </w:p>
    <w:p>
      <w:pPr>
        <w:spacing w:before="78" w:line="220" w:lineRule="auto"/>
        <w:ind w:left="2923"/>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p>
    <w:p>
      <w:pPr>
        <w:spacing w:line="220" w:lineRule="auto"/>
        <w:rPr>
          <w:rFonts w:ascii="宋体" w:hAnsi="宋体" w:eastAsia="宋体" w:cs="宋体"/>
          <w:sz w:val="24"/>
          <w:szCs w:val="24"/>
        </w:rPr>
        <w:sectPr>
          <w:footerReference r:id="rId22" w:type="default"/>
          <w:pgSz w:w="11906" w:h="16839"/>
          <w:pgMar w:top="1431" w:right="1417" w:bottom="1157" w:left="1785" w:header="0" w:footer="992" w:gutter="0"/>
          <w:pgNumType w:fmt="decimal"/>
          <w:cols w:space="720" w:num="1"/>
        </w:sectPr>
      </w:pPr>
    </w:p>
    <w:p>
      <w:pPr>
        <w:spacing w:before="149" w:line="226" w:lineRule="auto"/>
        <w:ind w:left="3099"/>
        <w:outlineLvl w:val="9"/>
        <w:rPr>
          <w:rFonts w:ascii="黑体" w:hAnsi="黑体" w:eastAsia="黑体" w:cs="黑体"/>
          <w:sz w:val="31"/>
          <w:szCs w:val="31"/>
        </w:rPr>
      </w:pPr>
      <w:r>
        <w:rPr>
          <w:rFonts w:ascii="黑体" w:hAnsi="黑体" w:eastAsia="黑体" w:cs="黑体"/>
          <w:spacing w:val="9"/>
          <w:sz w:val="31"/>
          <w:szCs w:val="31"/>
          <w14:textOutline w14:w="5793" w14:cap="sq" w14:cmpd="sng">
            <w14:solidFill>
              <w14:srgbClr w14:val="000000"/>
            </w14:solidFill>
            <w14:prstDash w14:val="solid"/>
            <w14:bevel/>
          </w14:textOutline>
        </w:rPr>
        <w:t>十、中小企业声明函</w:t>
      </w:r>
    </w:p>
    <w:p>
      <w:pPr>
        <w:pStyle w:val="2"/>
        <w:spacing w:line="401" w:lineRule="auto"/>
      </w:pPr>
    </w:p>
    <w:p>
      <w:pPr>
        <w:spacing w:before="78" w:line="370" w:lineRule="auto"/>
        <w:ind w:left="2" w:right="18" w:firstLine="480"/>
        <w:rPr>
          <w:rFonts w:ascii="宋体" w:hAnsi="宋体" w:eastAsia="宋体" w:cs="宋体"/>
          <w:sz w:val="24"/>
          <w:szCs w:val="24"/>
        </w:rPr>
      </w:pPr>
      <w:r>
        <w:rPr>
          <w:rFonts w:ascii="宋体" w:hAnsi="宋体" w:eastAsia="宋体" w:cs="宋体"/>
          <w:spacing w:val="-2"/>
          <w:sz w:val="24"/>
          <w:szCs w:val="24"/>
        </w:rPr>
        <w:t>本公司（联合体）郑重声明，根据《政府采购促进中小企业发展管理办法》（财库</w:t>
      </w:r>
      <w:r>
        <w:rPr>
          <w:rFonts w:ascii="宋体" w:hAnsi="宋体" w:eastAsia="宋体" w:cs="宋体"/>
          <w:spacing w:val="12"/>
          <w:sz w:val="24"/>
          <w:szCs w:val="24"/>
        </w:rPr>
        <w:t xml:space="preserve"> </w:t>
      </w:r>
      <w:r>
        <w:rPr>
          <w:rFonts w:ascii="宋体" w:hAnsi="宋体" w:eastAsia="宋体" w:cs="宋体"/>
          <w:spacing w:val="-7"/>
          <w:sz w:val="24"/>
          <w:szCs w:val="24"/>
        </w:rPr>
        <w:t>﹝2020﹞46</w:t>
      </w:r>
      <w:r>
        <w:rPr>
          <w:rFonts w:ascii="宋体" w:hAnsi="宋体" w:eastAsia="宋体" w:cs="宋体"/>
          <w:spacing w:val="-45"/>
          <w:sz w:val="24"/>
          <w:szCs w:val="24"/>
        </w:rPr>
        <w:t xml:space="preserve"> </w:t>
      </w:r>
      <w:r>
        <w:rPr>
          <w:rFonts w:ascii="宋体" w:hAnsi="宋体" w:eastAsia="宋体" w:cs="宋体"/>
          <w:spacing w:val="-7"/>
          <w:sz w:val="24"/>
          <w:szCs w:val="24"/>
        </w:rPr>
        <w:t>号）的规定，本公司（联合体）参</w:t>
      </w:r>
      <w:r>
        <w:rPr>
          <w:rFonts w:ascii="宋体" w:hAnsi="宋体" w:eastAsia="宋体" w:cs="宋体"/>
          <w:spacing w:val="-8"/>
          <w:sz w:val="24"/>
          <w:szCs w:val="24"/>
        </w:rPr>
        <w:t>加</w:t>
      </w:r>
      <w:r>
        <w:rPr>
          <w:rFonts w:ascii="宋体" w:hAnsi="宋体" w:eastAsia="宋体" w:cs="宋体"/>
          <w:spacing w:val="-8"/>
          <w:sz w:val="24"/>
          <w:szCs w:val="24"/>
          <w:u w:val="single" w:color="auto"/>
        </w:rPr>
        <w:t>（单位名称）</w:t>
      </w:r>
      <w:r>
        <w:rPr>
          <w:rFonts w:ascii="宋体" w:hAnsi="宋体" w:eastAsia="宋体" w:cs="宋体"/>
          <w:spacing w:val="-8"/>
          <w:sz w:val="24"/>
          <w:szCs w:val="24"/>
        </w:rPr>
        <w:t>的</w:t>
      </w:r>
      <w:r>
        <w:rPr>
          <w:rFonts w:ascii="宋体" w:hAnsi="宋体" w:eastAsia="宋体" w:cs="宋体"/>
          <w:spacing w:val="-8"/>
          <w:sz w:val="24"/>
          <w:szCs w:val="24"/>
          <w:u w:val="single" w:color="auto"/>
        </w:rPr>
        <w:t>（项目名称）</w:t>
      </w:r>
      <w:r>
        <w:rPr>
          <w:rFonts w:ascii="宋体" w:hAnsi="宋体" w:eastAsia="宋体" w:cs="宋体"/>
          <w:spacing w:val="-8"/>
          <w:sz w:val="24"/>
          <w:szCs w:val="24"/>
        </w:rPr>
        <w:t>采购活动，</w:t>
      </w:r>
      <w:r>
        <w:rPr>
          <w:rFonts w:ascii="宋体" w:hAnsi="宋体" w:eastAsia="宋体" w:cs="宋体"/>
          <w:sz w:val="24"/>
          <w:szCs w:val="24"/>
        </w:rPr>
        <w:t xml:space="preserve"> 提供的货物全部由符合政策要求的中小企业制造。相关企业</w:t>
      </w:r>
      <w:r>
        <w:rPr>
          <w:rFonts w:ascii="宋体" w:hAnsi="宋体" w:eastAsia="宋体" w:cs="宋体"/>
          <w:spacing w:val="-1"/>
          <w:sz w:val="24"/>
          <w:szCs w:val="24"/>
        </w:rPr>
        <w:t>（含联合体中的中小企业、</w:t>
      </w:r>
    </w:p>
    <w:p>
      <w:pPr>
        <w:spacing w:line="220" w:lineRule="auto"/>
        <w:ind w:left="1"/>
        <w:rPr>
          <w:rFonts w:ascii="宋体" w:hAnsi="宋体" w:eastAsia="宋体" w:cs="宋体"/>
          <w:sz w:val="24"/>
          <w:szCs w:val="24"/>
        </w:rPr>
      </w:pPr>
      <w:r>
        <w:rPr>
          <w:rFonts w:ascii="宋体" w:hAnsi="宋体" w:eastAsia="宋体" w:cs="宋体"/>
          <w:spacing w:val="-1"/>
          <w:sz w:val="24"/>
          <w:szCs w:val="24"/>
        </w:rPr>
        <w:t>签订分包意向协议的中小企业）的具体情况如下：</w:t>
      </w:r>
    </w:p>
    <w:p>
      <w:pPr>
        <w:spacing w:before="196" w:line="370" w:lineRule="auto"/>
        <w:ind w:left="4" w:firstLine="494"/>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color="auto"/>
        </w:rPr>
        <w:t xml:space="preserve"> （标的名称</w:t>
      </w:r>
      <w:r>
        <w:rPr>
          <w:rFonts w:ascii="宋体" w:hAnsi="宋体" w:eastAsia="宋体" w:cs="宋体"/>
          <w:spacing w:val="-6"/>
          <w:sz w:val="24"/>
          <w:szCs w:val="24"/>
          <w:u w:val="single" w:color="auto"/>
        </w:rPr>
        <w:t>）</w:t>
      </w:r>
      <w:r>
        <w:rPr>
          <w:rFonts w:ascii="宋体" w:hAnsi="宋体" w:eastAsia="宋体" w:cs="宋体"/>
          <w:spacing w:val="33"/>
          <w:sz w:val="24"/>
          <w:szCs w:val="24"/>
        </w:rPr>
        <w:t xml:space="preserve"> </w:t>
      </w:r>
      <w:r>
        <w:rPr>
          <w:rFonts w:ascii="宋体" w:hAnsi="宋体" w:eastAsia="宋体" w:cs="宋体"/>
          <w:spacing w:val="-6"/>
          <w:sz w:val="24"/>
          <w:szCs w:val="24"/>
        </w:rPr>
        <w:t>，</w:t>
      </w:r>
      <w:r>
        <w:rPr>
          <w:rFonts w:ascii="宋体" w:hAnsi="宋体" w:eastAsia="宋体" w:cs="宋体"/>
          <w:sz w:val="24"/>
          <w:szCs w:val="24"/>
        </w:rPr>
        <w:t>属于</w:t>
      </w:r>
      <w:r>
        <w:rPr>
          <w:rFonts w:ascii="宋体" w:hAnsi="宋体" w:eastAsia="宋体" w:cs="宋体"/>
          <w:sz w:val="24"/>
          <w:szCs w:val="24"/>
          <w:u w:val="single" w:color="auto"/>
        </w:rPr>
        <w:t xml:space="preserve">（采购文件中明确的所属行业） </w:t>
      </w:r>
      <w:r>
        <w:rPr>
          <w:rFonts w:ascii="宋体" w:hAnsi="宋体" w:eastAsia="宋体" w:cs="宋体"/>
          <w:spacing w:val="-106"/>
          <w:sz w:val="24"/>
          <w:szCs w:val="24"/>
        </w:rPr>
        <w:t xml:space="preserve"> </w:t>
      </w:r>
      <w:r>
        <w:rPr>
          <w:rFonts w:ascii="宋体" w:hAnsi="宋体" w:eastAsia="宋体" w:cs="宋体"/>
          <w:spacing w:val="-1"/>
          <w:sz w:val="24"/>
          <w:szCs w:val="24"/>
        </w:rPr>
        <w:t>行业；制造商为</w:t>
      </w:r>
      <w:r>
        <w:rPr>
          <w:rFonts w:ascii="宋体" w:hAnsi="宋体" w:eastAsia="宋体" w:cs="宋体"/>
          <w:spacing w:val="-1"/>
          <w:sz w:val="24"/>
          <w:szCs w:val="24"/>
          <w:u w:val="single" w:color="auto"/>
        </w:rPr>
        <w:t>（企业</w:t>
      </w:r>
      <w:r>
        <w:rPr>
          <w:rFonts w:ascii="宋体" w:hAnsi="宋体" w:eastAsia="宋体" w:cs="宋体"/>
          <w:spacing w:val="-1"/>
          <w:sz w:val="24"/>
          <w:szCs w:val="24"/>
        </w:rPr>
        <w:t xml:space="preserve"> </w:t>
      </w:r>
      <w:r>
        <w:rPr>
          <w:rFonts w:ascii="宋体" w:hAnsi="宋体" w:eastAsia="宋体" w:cs="宋体"/>
          <w:spacing w:val="-3"/>
          <w:sz w:val="24"/>
          <w:szCs w:val="24"/>
          <w:u w:val="single" w:color="auto"/>
        </w:rPr>
        <w:t>名称</w:t>
      </w:r>
      <w:r>
        <w:rPr>
          <w:rFonts w:ascii="宋体" w:hAnsi="宋体" w:eastAsia="宋体" w:cs="宋体"/>
          <w:spacing w:val="-1"/>
          <w:sz w:val="24"/>
          <w:szCs w:val="24"/>
          <w:u w:val="single" w:color="auto"/>
        </w:rPr>
        <w:t>）</w:t>
      </w:r>
      <w:r>
        <w:rPr>
          <w:rFonts w:ascii="宋体" w:hAnsi="宋体" w:eastAsia="宋体" w:cs="宋体"/>
          <w:spacing w:val="-1"/>
          <w:sz w:val="24"/>
          <w:szCs w:val="24"/>
        </w:rPr>
        <w:t>，</w:t>
      </w:r>
      <w:r>
        <w:rPr>
          <w:rFonts w:ascii="宋体" w:hAnsi="宋体" w:eastAsia="宋体" w:cs="宋体"/>
          <w:spacing w:val="-3"/>
          <w:sz w:val="24"/>
          <w:szCs w:val="24"/>
        </w:rPr>
        <w:t>从业人员</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人，营业收入为</w:t>
      </w:r>
      <w:r>
        <w:rPr>
          <w:rFonts w:ascii="宋体" w:hAnsi="宋体" w:eastAsia="宋体" w:cs="宋体"/>
          <w:spacing w:val="-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万元，</w:t>
      </w:r>
      <w:r>
        <w:rPr>
          <w:rFonts w:ascii="宋体" w:hAnsi="宋体" w:eastAsia="宋体" w:cs="宋体"/>
          <w:spacing w:val="-4"/>
          <w:sz w:val="24"/>
          <w:szCs w:val="24"/>
        </w:rPr>
        <w:t>资产总额为</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万元，属于</w:t>
      </w:r>
      <w:r>
        <w:rPr>
          <w:rFonts w:ascii="宋体" w:hAnsi="宋体" w:eastAsia="宋体" w:cs="宋体"/>
          <w:spacing w:val="-4"/>
          <w:sz w:val="24"/>
          <w:szCs w:val="24"/>
          <w:u w:val="single" w:color="auto"/>
        </w:rPr>
        <w:t>（中型企业、</w:t>
      </w:r>
    </w:p>
    <w:p>
      <w:pPr>
        <w:spacing w:line="219" w:lineRule="auto"/>
        <w:ind w:left="7"/>
        <w:rPr>
          <w:rFonts w:ascii="宋体" w:hAnsi="宋体" w:eastAsia="宋体" w:cs="宋体"/>
          <w:sz w:val="24"/>
          <w:szCs w:val="24"/>
        </w:rPr>
      </w:pPr>
      <w:r>
        <w:rPr>
          <w:rFonts w:ascii="宋体" w:hAnsi="宋体" w:eastAsia="宋体" w:cs="宋体"/>
          <w:spacing w:val="-2"/>
          <w:sz w:val="24"/>
          <w:szCs w:val="24"/>
          <w:u w:val="single" w:color="auto"/>
        </w:rPr>
        <w:t>小型企业、微型企业</w:t>
      </w:r>
      <w:r>
        <w:rPr>
          <w:rFonts w:ascii="宋体" w:hAnsi="宋体" w:eastAsia="宋体" w:cs="宋体"/>
          <w:sz w:val="24"/>
          <w:szCs w:val="24"/>
          <w:u w:val="single" w:color="auto"/>
        </w:rPr>
        <w:t>）</w:t>
      </w:r>
      <w:r>
        <w:rPr>
          <w:rFonts w:ascii="宋体" w:hAnsi="宋体" w:eastAsia="宋体" w:cs="宋体"/>
          <w:sz w:val="24"/>
          <w:szCs w:val="24"/>
        </w:rPr>
        <w:t>；</w:t>
      </w:r>
    </w:p>
    <w:p>
      <w:pPr>
        <w:spacing w:before="197" w:line="370" w:lineRule="auto"/>
        <w:ind w:left="4" w:firstLine="480"/>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color="auto"/>
        </w:rPr>
        <w:t xml:space="preserve"> （标的名称</w:t>
      </w:r>
      <w:r>
        <w:rPr>
          <w:rFonts w:ascii="宋体" w:hAnsi="宋体" w:eastAsia="宋体" w:cs="宋体"/>
          <w:spacing w:val="-4"/>
          <w:sz w:val="24"/>
          <w:szCs w:val="24"/>
          <w:u w:val="single" w:color="auto"/>
        </w:rPr>
        <w:t>）</w:t>
      </w:r>
      <w:r>
        <w:rPr>
          <w:rFonts w:ascii="宋体" w:hAnsi="宋体" w:eastAsia="宋体" w:cs="宋体"/>
          <w:spacing w:val="32"/>
          <w:sz w:val="24"/>
          <w:szCs w:val="24"/>
        </w:rPr>
        <w:t xml:space="preserve"> </w:t>
      </w:r>
      <w:r>
        <w:rPr>
          <w:rFonts w:ascii="宋体" w:hAnsi="宋体" w:eastAsia="宋体" w:cs="宋体"/>
          <w:spacing w:val="-4"/>
          <w:sz w:val="24"/>
          <w:szCs w:val="24"/>
        </w:rPr>
        <w:t>，</w:t>
      </w:r>
      <w:r>
        <w:rPr>
          <w:rFonts w:ascii="宋体" w:hAnsi="宋体" w:eastAsia="宋体" w:cs="宋体"/>
          <w:sz w:val="24"/>
          <w:szCs w:val="24"/>
        </w:rPr>
        <w:t>属于</w:t>
      </w:r>
      <w:r>
        <w:rPr>
          <w:rFonts w:ascii="宋体" w:hAnsi="宋体" w:eastAsia="宋体" w:cs="宋体"/>
          <w:sz w:val="24"/>
          <w:szCs w:val="24"/>
          <w:u w:val="single" w:color="auto"/>
        </w:rPr>
        <w:t xml:space="preserve">（采购文件中明确的所属行业） </w:t>
      </w:r>
      <w:r>
        <w:rPr>
          <w:rFonts w:ascii="宋体" w:hAnsi="宋体" w:eastAsia="宋体" w:cs="宋体"/>
          <w:spacing w:val="-106"/>
          <w:sz w:val="24"/>
          <w:szCs w:val="24"/>
        </w:rPr>
        <w:t xml:space="preserve"> </w:t>
      </w:r>
      <w:r>
        <w:rPr>
          <w:rFonts w:ascii="宋体" w:hAnsi="宋体" w:eastAsia="宋体" w:cs="宋体"/>
          <w:sz w:val="24"/>
          <w:szCs w:val="24"/>
        </w:rPr>
        <w:t>行业；制造商为</w:t>
      </w:r>
      <w:r>
        <w:rPr>
          <w:rFonts w:ascii="宋体" w:hAnsi="宋体" w:eastAsia="宋体" w:cs="宋体"/>
          <w:sz w:val="24"/>
          <w:szCs w:val="24"/>
          <w:u w:val="single" w:color="auto"/>
        </w:rPr>
        <w:t>（企业</w:t>
      </w:r>
      <w:r>
        <w:rPr>
          <w:rFonts w:ascii="宋体" w:hAnsi="宋体" w:eastAsia="宋体" w:cs="宋体"/>
          <w:sz w:val="24"/>
          <w:szCs w:val="24"/>
        </w:rPr>
        <w:t xml:space="preserve"> </w:t>
      </w:r>
      <w:r>
        <w:rPr>
          <w:rFonts w:ascii="宋体" w:hAnsi="宋体" w:eastAsia="宋体" w:cs="宋体"/>
          <w:spacing w:val="-3"/>
          <w:sz w:val="24"/>
          <w:szCs w:val="24"/>
          <w:u w:val="single" w:color="auto"/>
        </w:rPr>
        <w:t>名称</w:t>
      </w:r>
      <w:r>
        <w:rPr>
          <w:rFonts w:ascii="宋体" w:hAnsi="宋体" w:eastAsia="宋体" w:cs="宋体"/>
          <w:spacing w:val="-1"/>
          <w:sz w:val="24"/>
          <w:szCs w:val="24"/>
          <w:u w:val="single" w:color="auto"/>
        </w:rPr>
        <w:t>）</w:t>
      </w:r>
      <w:r>
        <w:rPr>
          <w:rFonts w:ascii="宋体" w:hAnsi="宋体" w:eastAsia="宋体" w:cs="宋体"/>
          <w:spacing w:val="-1"/>
          <w:sz w:val="24"/>
          <w:szCs w:val="24"/>
        </w:rPr>
        <w:t>，</w:t>
      </w:r>
      <w:r>
        <w:rPr>
          <w:rFonts w:ascii="宋体" w:hAnsi="宋体" w:eastAsia="宋体" w:cs="宋体"/>
          <w:spacing w:val="-3"/>
          <w:sz w:val="24"/>
          <w:szCs w:val="24"/>
        </w:rPr>
        <w:t>从业人员</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人，营业收入为</w:t>
      </w:r>
      <w:r>
        <w:rPr>
          <w:rFonts w:ascii="宋体" w:hAnsi="宋体" w:eastAsia="宋体" w:cs="宋体"/>
          <w:spacing w:val="-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万元，</w:t>
      </w:r>
      <w:r>
        <w:rPr>
          <w:rFonts w:ascii="宋体" w:hAnsi="宋体" w:eastAsia="宋体" w:cs="宋体"/>
          <w:spacing w:val="-4"/>
          <w:sz w:val="24"/>
          <w:szCs w:val="24"/>
        </w:rPr>
        <w:t>资产总额为</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万元，属于</w:t>
      </w:r>
      <w:r>
        <w:rPr>
          <w:rFonts w:ascii="宋体" w:hAnsi="宋体" w:eastAsia="宋体" w:cs="宋体"/>
          <w:spacing w:val="-4"/>
          <w:sz w:val="24"/>
          <w:szCs w:val="24"/>
          <w:u w:val="single" w:color="auto"/>
        </w:rPr>
        <w:t>（中型企业、</w:t>
      </w:r>
    </w:p>
    <w:p>
      <w:pPr>
        <w:spacing w:line="219" w:lineRule="auto"/>
        <w:ind w:left="7"/>
        <w:rPr>
          <w:rFonts w:ascii="宋体" w:hAnsi="宋体" w:eastAsia="宋体" w:cs="宋体"/>
          <w:sz w:val="24"/>
          <w:szCs w:val="24"/>
        </w:rPr>
      </w:pPr>
      <w:r>
        <w:rPr>
          <w:rFonts w:ascii="宋体" w:hAnsi="宋体" w:eastAsia="宋体" w:cs="宋体"/>
          <w:spacing w:val="-2"/>
          <w:sz w:val="24"/>
          <w:szCs w:val="24"/>
          <w:u w:val="single" w:color="auto"/>
        </w:rPr>
        <w:t>小型企业、微型企业</w:t>
      </w:r>
      <w:r>
        <w:rPr>
          <w:rFonts w:ascii="宋体" w:hAnsi="宋体" w:eastAsia="宋体" w:cs="宋体"/>
          <w:sz w:val="24"/>
          <w:szCs w:val="24"/>
          <w:u w:val="single" w:color="auto"/>
        </w:rPr>
        <w:t>）</w:t>
      </w:r>
      <w:r>
        <w:rPr>
          <w:rFonts w:ascii="宋体" w:hAnsi="宋体" w:eastAsia="宋体" w:cs="宋体"/>
          <w:sz w:val="24"/>
          <w:szCs w:val="24"/>
        </w:rPr>
        <w:t>；</w:t>
      </w:r>
    </w:p>
    <w:p>
      <w:pPr>
        <w:spacing w:before="197" w:line="378" w:lineRule="exact"/>
        <w:ind w:left="496"/>
        <w:rPr>
          <w:rFonts w:ascii="宋体" w:hAnsi="宋体" w:eastAsia="宋体" w:cs="宋体"/>
          <w:sz w:val="24"/>
          <w:szCs w:val="24"/>
        </w:rPr>
      </w:pPr>
      <w:r>
        <w:rPr>
          <w:rFonts w:ascii="宋体" w:hAnsi="宋体" w:eastAsia="宋体" w:cs="宋体"/>
          <w:spacing w:val="-13"/>
          <w:position w:val="3"/>
          <w:sz w:val="24"/>
          <w:szCs w:val="24"/>
        </w:rPr>
        <w:t>……</w:t>
      </w:r>
    </w:p>
    <w:p>
      <w:pPr>
        <w:spacing w:before="102" w:line="483" w:lineRule="exact"/>
        <w:ind w:left="508"/>
        <w:rPr>
          <w:rFonts w:ascii="宋体" w:hAnsi="宋体" w:eastAsia="宋体" w:cs="宋体"/>
          <w:sz w:val="24"/>
          <w:szCs w:val="24"/>
        </w:rPr>
      </w:pPr>
      <w:r>
        <w:rPr>
          <w:rFonts w:ascii="宋体" w:hAnsi="宋体" w:eastAsia="宋体" w:cs="宋体"/>
          <w:spacing w:val="-2"/>
          <w:position w:val="18"/>
          <w:sz w:val="24"/>
          <w:szCs w:val="24"/>
        </w:rPr>
        <w:t>以上企业，不属于大企业的分支机构，不存在控股</w:t>
      </w:r>
      <w:r>
        <w:rPr>
          <w:rFonts w:ascii="宋体" w:hAnsi="宋体" w:eastAsia="宋体" w:cs="宋体"/>
          <w:spacing w:val="-3"/>
          <w:position w:val="18"/>
          <w:sz w:val="24"/>
          <w:szCs w:val="24"/>
        </w:rPr>
        <w:t>股东为大企业的情形，也不存在</w:t>
      </w:r>
    </w:p>
    <w:p>
      <w:pPr>
        <w:spacing w:line="219" w:lineRule="auto"/>
        <w:ind w:left="6"/>
        <w:rPr>
          <w:rFonts w:ascii="宋体" w:hAnsi="宋体" w:eastAsia="宋体" w:cs="宋体"/>
          <w:sz w:val="24"/>
          <w:szCs w:val="24"/>
        </w:rPr>
      </w:pPr>
      <w:r>
        <w:rPr>
          <w:rFonts w:ascii="宋体" w:hAnsi="宋体" w:eastAsia="宋体" w:cs="宋体"/>
          <w:spacing w:val="-1"/>
          <w:sz w:val="24"/>
          <w:szCs w:val="24"/>
        </w:rPr>
        <w:t>与大企业的负责人为同一人的情形。</w:t>
      </w:r>
    </w:p>
    <w:p>
      <w:pPr>
        <w:spacing w:before="195" w:line="219" w:lineRule="auto"/>
        <w:ind w:left="482"/>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pPr>
        <w:pStyle w:val="2"/>
        <w:spacing w:line="299" w:lineRule="auto"/>
      </w:pPr>
    </w:p>
    <w:p>
      <w:pPr>
        <w:pStyle w:val="2"/>
        <w:spacing w:line="299" w:lineRule="auto"/>
      </w:pPr>
    </w:p>
    <w:p>
      <w:pPr>
        <w:spacing w:before="78" w:line="219" w:lineRule="auto"/>
        <w:ind w:left="5285"/>
        <w:rPr>
          <w:rFonts w:ascii="宋体" w:hAnsi="宋体" w:eastAsia="宋体" w:cs="宋体"/>
          <w:sz w:val="24"/>
          <w:szCs w:val="24"/>
        </w:rPr>
      </w:pPr>
      <w:r>
        <w:rPr>
          <w:rFonts w:ascii="宋体" w:hAnsi="宋体" w:eastAsia="宋体" w:cs="宋体"/>
          <w:spacing w:val="-2"/>
          <w:sz w:val="24"/>
          <w:szCs w:val="24"/>
        </w:rPr>
        <w:t>企业名称（盖电子签章</w:t>
      </w:r>
      <w:r>
        <w:rPr>
          <w:rFonts w:ascii="宋体" w:hAnsi="宋体" w:eastAsia="宋体" w:cs="宋体"/>
          <w:spacing w:val="2"/>
          <w:sz w:val="24"/>
          <w:szCs w:val="24"/>
        </w:rPr>
        <w:t>）：</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p>
    <w:p>
      <w:pPr>
        <w:spacing w:before="196" w:line="220" w:lineRule="auto"/>
        <w:ind w:left="5322"/>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r>
        <w:rPr>
          <w:rFonts w:ascii="宋体" w:hAnsi="宋体" w:eastAsia="宋体" w:cs="宋体"/>
          <w:sz w:val="24"/>
          <w:szCs w:val="24"/>
          <w:u w:val="single" w:color="auto"/>
        </w:rPr>
        <w:t xml:space="preserve">            </w:t>
      </w:r>
    </w:p>
    <w:p>
      <w:pPr>
        <w:pStyle w:val="2"/>
        <w:spacing w:line="261" w:lineRule="auto"/>
      </w:pPr>
    </w:p>
    <w:p>
      <w:pPr>
        <w:spacing w:before="86" w:line="482" w:lineRule="exact"/>
        <w:rPr>
          <w:rFonts w:ascii="宋体" w:hAnsi="宋体" w:eastAsia="宋体" w:cs="宋体"/>
          <w:sz w:val="22"/>
          <w:szCs w:val="22"/>
        </w:rPr>
      </w:pPr>
      <w:r>
        <w:rPr>
          <w:rFonts w:ascii="宋体" w:hAnsi="宋体" w:eastAsia="宋体" w:cs="宋体"/>
          <w:position w:val="20"/>
          <w:sz w:val="20"/>
          <w:szCs w:val="20"/>
          <w14:textOutline w14:w="3795" w14:cap="sq" w14:cmpd="sng">
            <w14:solidFill>
              <w14:srgbClr w14:val="000000"/>
            </w14:solidFill>
            <w14:prstDash w14:val="solid"/>
            <w14:bevel/>
          </w14:textOutline>
        </w:rPr>
        <w:t>注：</w:t>
      </w:r>
      <w:r>
        <w:rPr>
          <w:rFonts w:ascii="微软雅黑" w:hAnsi="微软雅黑" w:eastAsia="微软雅黑" w:cs="微软雅黑"/>
          <w:b/>
          <w:bCs/>
          <w:position w:val="20"/>
          <w:sz w:val="20"/>
          <w:szCs w:val="20"/>
        </w:rPr>
        <w:t>1</w:t>
      </w:r>
      <w:r>
        <w:rPr>
          <w:rFonts w:ascii="宋体" w:hAnsi="宋体" w:eastAsia="宋体" w:cs="宋体"/>
          <w:position w:val="20"/>
          <w:sz w:val="20"/>
          <w:szCs w:val="20"/>
          <w14:textOutline w14:w="3795" w14:cap="sq" w14:cmpd="sng">
            <w14:solidFill>
              <w14:srgbClr w14:val="000000"/>
            </w14:solidFill>
            <w14:prstDash w14:val="solid"/>
            <w14:bevel/>
          </w14:textOutline>
        </w:rPr>
        <w:t>、</w:t>
      </w:r>
      <w:r>
        <w:rPr>
          <w:rFonts w:ascii="宋体" w:hAnsi="宋体" w:eastAsia="宋体" w:cs="宋体"/>
          <w:position w:val="20"/>
          <w:sz w:val="22"/>
          <w:szCs w:val="22"/>
          <w14:textOutline w14:w="4013" w14:cap="sq" w14:cmpd="sng">
            <w14:solidFill>
              <w14:srgbClr w14:val="000000"/>
            </w14:solidFill>
            <w14:prstDash w14:val="solid"/>
            <w14:bevel/>
          </w14:textOutline>
        </w:rPr>
        <w:t>从业人员、营业收入、资产总额填报上</w:t>
      </w:r>
      <w:r>
        <w:rPr>
          <w:rFonts w:ascii="宋体" w:hAnsi="宋体" w:eastAsia="宋体" w:cs="宋体"/>
          <w:spacing w:val="-1"/>
          <w:position w:val="20"/>
          <w:sz w:val="22"/>
          <w:szCs w:val="22"/>
          <w14:textOutline w14:w="4013" w14:cap="sq" w14:cmpd="sng">
            <w14:solidFill>
              <w14:srgbClr w14:val="000000"/>
            </w14:solidFill>
            <w14:prstDash w14:val="solid"/>
            <w14:bevel/>
          </w14:textOutline>
        </w:rPr>
        <w:t>一年度数据，无上一年度数据的新成立企业可不</w:t>
      </w:r>
    </w:p>
    <w:p>
      <w:pPr>
        <w:spacing w:line="206" w:lineRule="auto"/>
        <w:ind w:left="2"/>
        <w:rPr>
          <w:rFonts w:ascii="宋体" w:hAnsi="宋体" w:eastAsia="宋体" w:cs="宋体"/>
          <w:sz w:val="24"/>
          <w:szCs w:val="24"/>
        </w:rPr>
      </w:pPr>
      <w:r>
        <w:rPr>
          <w:rFonts w:ascii="宋体" w:hAnsi="宋体" w:eastAsia="宋体" w:cs="宋体"/>
          <w:spacing w:val="-3"/>
          <w:sz w:val="22"/>
          <w:szCs w:val="22"/>
          <w14:textOutline w14:w="4013" w14:cap="sq" w14:cmpd="sng">
            <w14:solidFill>
              <w14:srgbClr w14:val="000000"/>
            </w14:solidFill>
            <w14:prstDash w14:val="solid"/>
            <w14:bevel/>
          </w14:textOutline>
        </w:rPr>
        <w:t>填报</w:t>
      </w:r>
      <w:r>
        <w:rPr>
          <w:rFonts w:ascii="宋体" w:hAnsi="宋体" w:eastAsia="宋体" w:cs="宋体"/>
          <w:spacing w:val="-3"/>
          <w:sz w:val="24"/>
          <w:szCs w:val="24"/>
        </w:rPr>
        <w:t>。</w:t>
      </w:r>
    </w:p>
    <w:p>
      <w:pPr>
        <w:spacing w:before="191" w:line="385" w:lineRule="auto"/>
        <w:ind w:left="1" w:right="80" w:firstLine="480"/>
        <w:jc w:val="both"/>
        <w:rPr>
          <w:rFonts w:ascii="宋体" w:hAnsi="宋体" w:eastAsia="宋体" w:cs="宋体"/>
          <w:sz w:val="24"/>
          <w:szCs w:val="24"/>
        </w:rPr>
      </w:pPr>
      <w:r>
        <w:rPr>
          <w:rFonts w:ascii="Calibri" w:hAnsi="Calibri" w:eastAsia="Calibri" w:cs="Calibri"/>
          <w:b/>
          <w:bCs/>
          <w:spacing w:val="1"/>
          <w:sz w:val="24"/>
          <w:szCs w:val="24"/>
        </w:rPr>
        <w:t>2</w:t>
      </w:r>
      <w:r>
        <w:rPr>
          <w:rFonts w:ascii="Calibri" w:hAnsi="Calibri" w:eastAsia="Calibri" w:cs="Calibri"/>
          <w:b/>
          <w:bCs/>
          <w:spacing w:val="-27"/>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、在政府采购活动中，供应商提供的货物由中小企业制造，即货物由</w:t>
      </w:r>
      <w:r>
        <w:rPr>
          <w:rFonts w:ascii="宋体" w:hAnsi="宋体" w:eastAsia="宋体" w:cs="宋体"/>
          <w:sz w:val="24"/>
          <w:szCs w:val="24"/>
          <w14:textOutline w14:w="4358" w14:cap="sq" w14:cmpd="sng">
            <w14:solidFill>
              <w14:srgbClr w14:val="000000"/>
            </w14:solidFill>
            <w14:prstDash w14:val="solid"/>
            <w14:bevel/>
          </w14:textOutline>
        </w:rPr>
        <w:t>中小企业生</w:t>
      </w:r>
      <w:r>
        <w:rPr>
          <w:rFonts w:ascii="宋体" w:hAnsi="宋体" w:eastAsia="宋体" w:cs="宋体"/>
          <w:sz w:val="24"/>
          <w:szCs w:val="24"/>
        </w:rPr>
        <w:t xml:space="preserve"> </w:t>
      </w:r>
      <w:r>
        <w:rPr>
          <w:rFonts w:ascii="宋体" w:hAnsi="宋体" w:eastAsia="宋体" w:cs="宋体"/>
          <w:spacing w:val="-2"/>
          <w:sz w:val="24"/>
          <w:szCs w:val="24"/>
          <w14:textOutline w14:w="4358" w14:cap="sq" w14:cmpd="sng">
            <w14:solidFill>
              <w14:srgbClr w14:val="000000"/>
            </w14:solidFill>
            <w14:prstDash w14:val="solid"/>
            <w14:bevel/>
          </w14:textOutline>
        </w:rPr>
        <w:t>产且使用该中小企业商号或者注册商标的，才能享受享受政府采购促进中小企业发展管</w:t>
      </w:r>
      <w:r>
        <w:rPr>
          <w:rFonts w:ascii="宋体" w:hAnsi="宋体" w:eastAsia="宋体" w:cs="宋体"/>
          <w:spacing w:val="17"/>
          <w:sz w:val="24"/>
          <w:szCs w:val="24"/>
        </w:rPr>
        <w:t xml:space="preserve"> </w:t>
      </w:r>
      <w:r>
        <w:rPr>
          <w:rFonts w:ascii="宋体" w:hAnsi="宋体" w:eastAsia="宋体" w:cs="宋体"/>
          <w:spacing w:val="-2"/>
          <w:sz w:val="24"/>
          <w:szCs w:val="24"/>
          <w14:textOutline w14:w="4358" w14:cap="sq" w14:cmpd="sng">
            <w14:solidFill>
              <w14:srgbClr w14:val="000000"/>
            </w14:solidFill>
            <w14:prstDash w14:val="solid"/>
            <w14:bevel/>
          </w14:textOutline>
        </w:rPr>
        <w:t>理办法规定的中小企业扶持政策。供应商提供的货物既有中小企业制造货物，也有大型</w:t>
      </w:r>
      <w:r>
        <w:rPr>
          <w:rFonts w:ascii="宋体" w:hAnsi="宋体" w:eastAsia="宋体" w:cs="宋体"/>
          <w:spacing w:val="17"/>
          <w:sz w:val="24"/>
          <w:szCs w:val="24"/>
        </w:rPr>
        <w:t xml:space="preserve"> </w:t>
      </w:r>
      <w:r>
        <w:rPr>
          <w:rFonts w:ascii="宋体" w:hAnsi="宋体" w:eastAsia="宋体" w:cs="宋体"/>
          <w:spacing w:val="5"/>
          <w:sz w:val="24"/>
          <w:szCs w:val="24"/>
          <w14:textOutline w14:w="4358" w14:cap="sq" w14:cmpd="sng">
            <w14:solidFill>
              <w14:srgbClr w14:val="000000"/>
            </w14:solidFill>
            <w14:prstDash w14:val="solid"/>
            <w14:bevel/>
          </w14:textOutline>
        </w:rPr>
        <w:t>企业制造货物的，不享受政府采购促进中小企业发展管理办法规定的中</w:t>
      </w:r>
      <w:r>
        <w:rPr>
          <w:rFonts w:ascii="宋体" w:hAnsi="宋体" w:eastAsia="宋体" w:cs="宋体"/>
          <w:spacing w:val="4"/>
          <w:sz w:val="24"/>
          <w:szCs w:val="24"/>
          <w14:textOutline w14:w="4358" w14:cap="sq" w14:cmpd="sng">
            <w14:solidFill>
              <w14:srgbClr w14:val="000000"/>
            </w14:solidFill>
            <w14:prstDash w14:val="solid"/>
            <w14:bevel/>
          </w14:textOutline>
        </w:rPr>
        <w:t>小企业扶持政</w:t>
      </w:r>
    </w:p>
    <w:p>
      <w:pPr>
        <w:spacing w:line="220" w:lineRule="auto"/>
        <w:ind w:left="3"/>
        <w:rPr>
          <w:rFonts w:ascii="宋体" w:hAnsi="宋体" w:eastAsia="宋体" w:cs="宋体"/>
          <w:sz w:val="24"/>
          <w:szCs w:val="24"/>
        </w:rPr>
      </w:pPr>
      <w:r>
        <w:rPr>
          <w:rFonts w:ascii="宋体" w:hAnsi="宋体" w:eastAsia="宋体" w:cs="宋体"/>
          <w:spacing w:val="-6"/>
          <w:sz w:val="24"/>
          <w:szCs w:val="24"/>
          <w14:textOutline w14:w="4358" w14:cap="sq" w14:cmpd="sng">
            <w14:solidFill>
              <w14:srgbClr w14:val="000000"/>
            </w14:solidFill>
            <w14:prstDash w14:val="solid"/>
            <w14:bevel/>
          </w14:textOutline>
        </w:rPr>
        <w:t>策。</w:t>
      </w:r>
    </w:p>
    <w:p>
      <w:pPr>
        <w:spacing w:before="240" w:line="482" w:lineRule="exact"/>
        <w:ind w:left="427"/>
        <w:rPr>
          <w:rFonts w:ascii="宋体" w:hAnsi="宋体" w:eastAsia="宋体" w:cs="宋体"/>
          <w:sz w:val="20"/>
          <w:szCs w:val="20"/>
        </w:rPr>
      </w:pPr>
      <w:r>
        <w:rPr>
          <w:rFonts w:ascii="微软雅黑" w:hAnsi="微软雅黑" w:eastAsia="微软雅黑" w:cs="微软雅黑"/>
          <w:b/>
          <w:bCs/>
          <w:spacing w:val="9"/>
          <w:position w:val="21"/>
          <w:sz w:val="20"/>
          <w:szCs w:val="20"/>
        </w:rPr>
        <w:t>3</w:t>
      </w:r>
      <w:r>
        <w:rPr>
          <w:rFonts w:ascii="宋体" w:hAnsi="宋体" w:eastAsia="宋体" w:cs="宋体"/>
          <w:spacing w:val="9"/>
          <w:position w:val="21"/>
          <w:sz w:val="20"/>
          <w:szCs w:val="20"/>
          <w14:textOutline w14:w="3795" w14:cap="sq" w14:cmpd="sng">
            <w14:solidFill>
              <w14:srgbClr w14:val="000000"/>
            </w14:solidFill>
            <w14:prstDash w14:val="solid"/>
            <w14:bevel/>
          </w14:textOutline>
        </w:rPr>
        <w:t>、非中小企业，请删除以上声明内容，该项只保留标题；</w:t>
      </w:r>
    </w:p>
    <w:p>
      <w:pPr>
        <w:spacing w:before="1" w:line="195" w:lineRule="auto"/>
        <w:ind w:left="415"/>
        <w:rPr>
          <w:rFonts w:ascii="宋体" w:hAnsi="宋体" w:eastAsia="宋体" w:cs="宋体"/>
          <w:sz w:val="20"/>
          <w:szCs w:val="20"/>
        </w:rPr>
      </w:pPr>
      <w:r>
        <w:rPr>
          <w:rFonts w:ascii="微软雅黑" w:hAnsi="微软雅黑" w:eastAsia="微软雅黑" w:cs="微软雅黑"/>
          <w:b/>
          <w:bCs/>
          <w:spacing w:val="9"/>
          <w:sz w:val="20"/>
          <w:szCs w:val="20"/>
        </w:rPr>
        <w:t>4</w:t>
      </w:r>
      <w:r>
        <w:rPr>
          <w:rFonts w:ascii="宋体" w:hAnsi="宋体" w:eastAsia="宋体" w:cs="宋体"/>
          <w:spacing w:val="9"/>
          <w:sz w:val="20"/>
          <w:szCs w:val="20"/>
          <w14:textOutline w14:w="3795" w14:cap="sq" w14:cmpd="sng">
            <w14:solidFill>
              <w14:srgbClr w14:val="000000"/>
            </w14:solidFill>
            <w14:prstDash w14:val="solid"/>
            <w14:bevel/>
          </w14:textOutline>
        </w:rPr>
        <w:t>、提供承诺函的同时即承担相应责任。</w:t>
      </w:r>
    </w:p>
    <w:p>
      <w:pPr>
        <w:spacing w:line="195" w:lineRule="auto"/>
        <w:rPr>
          <w:rFonts w:ascii="宋体" w:hAnsi="宋体" w:eastAsia="宋体" w:cs="宋体"/>
          <w:sz w:val="20"/>
          <w:szCs w:val="20"/>
        </w:rPr>
        <w:sectPr>
          <w:footerReference r:id="rId23" w:type="default"/>
          <w:pgSz w:w="11906" w:h="16839"/>
          <w:pgMar w:top="1431" w:right="1337" w:bottom="1155" w:left="1424" w:header="0" w:footer="992" w:gutter="0"/>
          <w:pgNumType w:fmt="decimal"/>
          <w:cols w:space="720" w:num="1"/>
        </w:sectPr>
      </w:pPr>
    </w:p>
    <w:p>
      <w:pPr>
        <w:spacing w:before="166" w:line="220" w:lineRule="auto"/>
        <w:ind w:left="2997"/>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统计上大中小微型企业划分标准</w:t>
      </w:r>
    </w:p>
    <w:p>
      <w:pPr>
        <w:spacing w:before="283" w:line="439" w:lineRule="exact"/>
        <w:ind w:left="645"/>
        <w:rPr>
          <w:rFonts w:ascii="宋体" w:hAnsi="宋体" w:eastAsia="宋体" w:cs="宋体"/>
          <w:sz w:val="22"/>
          <w:szCs w:val="22"/>
        </w:rPr>
      </w:pPr>
      <w:r>
        <w:rPr>
          <w:rFonts w:ascii="宋体" w:hAnsi="宋体" w:eastAsia="宋体" w:cs="宋体"/>
          <w:spacing w:val="13"/>
          <w:position w:val="16"/>
          <w:sz w:val="22"/>
          <w:szCs w:val="22"/>
        </w:rPr>
        <w:t>依据国家统计局颁布的《统计上大中小微型企业划分办法》</w:t>
      </w:r>
      <w:r>
        <w:rPr>
          <w:rFonts w:ascii="宋体" w:hAnsi="宋体" w:eastAsia="宋体" w:cs="宋体"/>
          <w:spacing w:val="12"/>
          <w:position w:val="16"/>
          <w:sz w:val="22"/>
          <w:szCs w:val="22"/>
        </w:rPr>
        <w:t>，现将划分标准及相关要</w:t>
      </w:r>
    </w:p>
    <w:p>
      <w:pPr>
        <w:spacing w:before="1" w:line="226" w:lineRule="auto"/>
        <w:ind w:left="196"/>
        <w:rPr>
          <w:rFonts w:ascii="宋体" w:hAnsi="宋体" w:eastAsia="宋体" w:cs="宋体"/>
          <w:sz w:val="22"/>
          <w:szCs w:val="22"/>
        </w:rPr>
      </w:pPr>
      <w:r>
        <w:rPr>
          <w:rFonts w:ascii="宋体" w:hAnsi="宋体" w:eastAsia="宋体" w:cs="宋体"/>
          <w:spacing w:val="6"/>
          <w:sz w:val="22"/>
          <w:szCs w:val="22"/>
        </w:rPr>
        <w:t>求公布如下：</w:t>
      </w:r>
    </w:p>
    <w:p>
      <w:pPr>
        <w:spacing w:line="144" w:lineRule="auto"/>
        <w:rPr>
          <w:rFonts w:ascii="Arial"/>
          <w:sz w:val="2"/>
        </w:rPr>
      </w:pPr>
    </w:p>
    <w:tbl>
      <w:tblPr>
        <w:tblStyle w:val="20"/>
        <w:tblW w:w="9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7"/>
        <w:gridCol w:w="1368"/>
        <w:gridCol w:w="709"/>
        <w:gridCol w:w="1124"/>
        <w:gridCol w:w="1700"/>
        <w:gridCol w:w="1425"/>
        <w:gridCol w:w="9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2117" w:type="dxa"/>
            <w:vAlign w:val="top"/>
          </w:tcPr>
          <w:p>
            <w:pPr>
              <w:pStyle w:val="22"/>
              <w:spacing w:before="156" w:line="177" w:lineRule="auto"/>
              <w:ind w:left="704"/>
              <w:rPr>
                <w:sz w:val="18"/>
                <w:szCs w:val="18"/>
              </w:rPr>
            </w:pPr>
            <w:r>
              <w:rPr>
                <w:spacing w:val="-2"/>
                <w:sz w:val="18"/>
                <w:szCs w:val="18"/>
                <w14:textOutline w14:w="3268" w14:cap="sq" w14:cmpd="sng">
                  <w14:solidFill>
                    <w14:srgbClr w14:val="000000"/>
                  </w14:solidFill>
                  <w14:prstDash w14:val="solid"/>
                  <w14:bevel/>
                </w14:textOutline>
              </w:rPr>
              <w:t>行业名称</w:t>
            </w:r>
          </w:p>
        </w:tc>
        <w:tc>
          <w:tcPr>
            <w:tcW w:w="1368" w:type="dxa"/>
            <w:vAlign w:val="top"/>
          </w:tcPr>
          <w:p>
            <w:pPr>
              <w:pStyle w:val="22"/>
              <w:spacing w:before="156" w:line="177" w:lineRule="auto"/>
              <w:ind w:left="328"/>
              <w:rPr>
                <w:sz w:val="18"/>
                <w:szCs w:val="18"/>
              </w:rPr>
            </w:pPr>
            <w:r>
              <w:rPr>
                <w:spacing w:val="-2"/>
                <w:sz w:val="18"/>
                <w:szCs w:val="18"/>
                <w14:textOutline w14:w="3268" w14:cap="sq" w14:cmpd="sng">
                  <w14:solidFill>
                    <w14:srgbClr w14:val="000000"/>
                  </w14:solidFill>
                  <w14:prstDash w14:val="solid"/>
                  <w14:bevel/>
                </w14:textOutline>
              </w:rPr>
              <w:t>指标名称</w:t>
            </w:r>
          </w:p>
        </w:tc>
        <w:tc>
          <w:tcPr>
            <w:tcW w:w="709" w:type="dxa"/>
            <w:vAlign w:val="top"/>
          </w:tcPr>
          <w:p>
            <w:pPr>
              <w:pStyle w:val="22"/>
              <w:spacing w:before="156" w:line="177" w:lineRule="auto"/>
              <w:ind w:left="177"/>
              <w:rPr>
                <w:sz w:val="18"/>
                <w:szCs w:val="18"/>
              </w:rPr>
            </w:pPr>
            <w:r>
              <w:rPr>
                <w:spacing w:val="-4"/>
                <w:sz w:val="18"/>
                <w:szCs w:val="18"/>
                <w14:textOutline w14:w="3268" w14:cap="sq" w14:cmpd="sng">
                  <w14:solidFill>
                    <w14:srgbClr w14:val="000000"/>
                  </w14:solidFill>
                  <w14:prstDash w14:val="solid"/>
                  <w14:bevel/>
                </w14:textOutline>
              </w:rPr>
              <w:t>计量</w:t>
            </w:r>
          </w:p>
        </w:tc>
        <w:tc>
          <w:tcPr>
            <w:tcW w:w="1124" w:type="dxa"/>
            <w:vAlign w:val="top"/>
          </w:tcPr>
          <w:p>
            <w:pPr>
              <w:pStyle w:val="22"/>
              <w:spacing w:before="156" w:line="177" w:lineRule="auto"/>
              <w:ind w:left="387"/>
              <w:rPr>
                <w:sz w:val="18"/>
                <w:szCs w:val="18"/>
              </w:rPr>
            </w:pPr>
            <w:r>
              <w:rPr>
                <w:spacing w:val="-5"/>
                <w:sz w:val="18"/>
                <w:szCs w:val="18"/>
                <w14:textOutline w14:w="3268" w14:cap="sq" w14:cmpd="sng">
                  <w14:solidFill>
                    <w14:srgbClr w14:val="000000"/>
                  </w14:solidFill>
                  <w14:prstDash w14:val="solid"/>
                  <w14:bevel/>
                </w14:textOutline>
              </w:rPr>
              <w:t>大型</w:t>
            </w:r>
          </w:p>
        </w:tc>
        <w:tc>
          <w:tcPr>
            <w:tcW w:w="1700" w:type="dxa"/>
            <w:vAlign w:val="top"/>
          </w:tcPr>
          <w:p>
            <w:pPr>
              <w:pStyle w:val="22"/>
              <w:spacing w:before="156" w:line="177" w:lineRule="auto"/>
              <w:ind w:left="692"/>
              <w:rPr>
                <w:sz w:val="18"/>
                <w:szCs w:val="18"/>
              </w:rPr>
            </w:pPr>
            <w:r>
              <w:rPr>
                <w:spacing w:val="-12"/>
                <w:sz w:val="18"/>
                <w:szCs w:val="18"/>
                <w14:textOutline w14:w="3268" w14:cap="sq" w14:cmpd="sng">
                  <w14:solidFill>
                    <w14:srgbClr w14:val="000000"/>
                  </w14:solidFill>
                  <w14:prstDash w14:val="solid"/>
                  <w14:bevel/>
                </w14:textOutline>
              </w:rPr>
              <w:t>中型</w:t>
            </w:r>
          </w:p>
        </w:tc>
        <w:tc>
          <w:tcPr>
            <w:tcW w:w="1425" w:type="dxa"/>
            <w:vAlign w:val="top"/>
          </w:tcPr>
          <w:p>
            <w:pPr>
              <w:pStyle w:val="22"/>
              <w:spacing w:before="156" w:line="177" w:lineRule="auto"/>
              <w:ind w:left="542"/>
              <w:rPr>
                <w:sz w:val="18"/>
                <w:szCs w:val="18"/>
              </w:rPr>
            </w:pPr>
            <w:r>
              <w:rPr>
                <w:spacing w:val="-6"/>
                <w:sz w:val="18"/>
                <w:szCs w:val="18"/>
                <w14:textOutline w14:w="3268" w14:cap="sq" w14:cmpd="sng">
                  <w14:solidFill>
                    <w14:srgbClr w14:val="000000"/>
                  </w14:solidFill>
                  <w14:prstDash w14:val="solid"/>
                  <w14:bevel/>
                </w14:textOutline>
              </w:rPr>
              <w:t>小型</w:t>
            </w:r>
          </w:p>
        </w:tc>
        <w:tc>
          <w:tcPr>
            <w:tcW w:w="996" w:type="dxa"/>
            <w:vAlign w:val="top"/>
          </w:tcPr>
          <w:p>
            <w:pPr>
              <w:pStyle w:val="22"/>
              <w:spacing w:before="156" w:line="177" w:lineRule="auto"/>
              <w:ind w:left="322"/>
              <w:rPr>
                <w:sz w:val="18"/>
                <w:szCs w:val="18"/>
              </w:rPr>
            </w:pPr>
            <w:r>
              <w:rPr>
                <w:spacing w:val="-4"/>
                <w:sz w:val="18"/>
                <w:szCs w:val="18"/>
                <w14:textOutline w14:w="3268" w14:cap="sq" w14:cmpd="sng">
                  <w14:solidFill>
                    <w14:srgbClr w14:val="000000"/>
                  </w14:solidFill>
                  <w14:prstDash w14:val="solid"/>
                  <w14:bevel/>
                </w14:textOutline>
              </w:rPr>
              <w:t>微型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Align w:val="top"/>
          </w:tcPr>
          <w:p>
            <w:pPr>
              <w:pStyle w:val="22"/>
              <w:spacing w:before="151" w:line="178" w:lineRule="auto"/>
              <w:ind w:left="115"/>
              <w:rPr>
                <w:sz w:val="18"/>
                <w:szCs w:val="18"/>
              </w:rPr>
            </w:pPr>
            <w:r>
              <w:rPr>
                <w:spacing w:val="-1"/>
                <w:sz w:val="18"/>
                <w:szCs w:val="18"/>
              </w:rPr>
              <w:t>农、林、牧、渔业</w:t>
            </w:r>
          </w:p>
        </w:tc>
        <w:tc>
          <w:tcPr>
            <w:tcW w:w="1368" w:type="dxa"/>
            <w:vAlign w:val="top"/>
          </w:tcPr>
          <w:p>
            <w:pPr>
              <w:pStyle w:val="22"/>
              <w:spacing w:before="151" w:line="178" w:lineRule="auto"/>
              <w:ind w:left="198"/>
              <w:rPr>
                <w:sz w:val="18"/>
                <w:szCs w:val="18"/>
              </w:rPr>
            </w:pPr>
            <w:r>
              <w:rPr>
                <w:spacing w:val="-2"/>
                <w:sz w:val="18"/>
                <w:szCs w:val="18"/>
              </w:rPr>
              <w:t>营业收入(Y)</w:t>
            </w:r>
          </w:p>
        </w:tc>
        <w:tc>
          <w:tcPr>
            <w:tcW w:w="709" w:type="dxa"/>
            <w:vAlign w:val="top"/>
          </w:tcPr>
          <w:p>
            <w:pPr>
              <w:pStyle w:val="22"/>
              <w:spacing w:before="151" w:line="178" w:lineRule="auto"/>
              <w:ind w:left="182"/>
              <w:rPr>
                <w:sz w:val="18"/>
                <w:szCs w:val="18"/>
              </w:rPr>
            </w:pPr>
            <w:r>
              <w:rPr>
                <w:spacing w:val="-6"/>
                <w:sz w:val="18"/>
                <w:szCs w:val="18"/>
              </w:rPr>
              <w:t>万元</w:t>
            </w:r>
          </w:p>
        </w:tc>
        <w:tc>
          <w:tcPr>
            <w:tcW w:w="1124" w:type="dxa"/>
            <w:vAlign w:val="top"/>
          </w:tcPr>
          <w:p>
            <w:pPr>
              <w:pStyle w:val="22"/>
              <w:spacing w:before="151" w:line="178" w:lineRule="auto"/>
              <w:ind w:left="202"/>
              <w:rPr>
                <w:sz w:val="18"/>
                <w:szCs w:val="18"/>
              </w:rPr>
            </w:pPr>
            <w:r>
              <w:rPr>
                <w:spacing w:val="-1"/>
                <w:sz w:val="18"/>
                <w:szCs w:val="18"/>
              </w:rPr>
              <w:t>Y≥20000</w:t>
            </w:r>
          </w:p>
        </w:tc>
        <w:tc>
          <w:tcPr>
            <w:tcW w:w="1700" w:type="dxa"/>
            <w:vAlign w:val="top"/>
          </w:tcPr>
          <w:p>
            <w:pPr>
              <w:pStyle w:val="22"/>
              <w:spacing w:before="151" w:line="178" w:lineRule="auto"/>
              <w:ind w:left="319"/>
              <w:rPr>
                <w:sz w:val="18"/>
                <w:szCs w:val="18"/>
              </w:rPr>
            </w:pPr>
            <w:r>
              <w:rPr>
                <w:spacing w:val="-1"/>
                <w:sz w:val="18"/>
                <w:szCs w:val="18"/>
              </w:rPr>
              <w:t>500≤Y＜20000</w:t>
            </w:r>
          </w:p>
        </w:tc>
        <w:tc>
          <w:tcPr>
            <w:tcW w:w="1425" w:type="dxa"/>
            <w:vAlign w:val="top"/>
          </w:tcPr>
          <w:p>
            <w:pPr>
              <w:pStyle w:val="22"/>
              <w:spacing w:before="151" w:line="178" w:lineRule="auto"/>
              <w:ind w:left="318"/>
              <w:rPr>
                <w:sz w:val="18"/>
                <w:szCs w:val="18"/>
              </w:rPr>
            </w:pPr>
            <w:r>
              <w:rPr>
                <w:spacing w:val="-2"/>
                <w:sz w:val="18"/>
                <w:szCs w:val="18"/>
              </w:rPr>
              <w:t>50≤Y＜500</w:t>
            </w:r>
          </w:p>
        </w:tc>
        <w:tc>
          <w:tcPr>
            <w:tcW w:w="996" w:type="dxa"/>
            <w:vAlign w:val="top"/>
          </w:tcPr>
          <w:p>
            <w:pPr>
              <w:pStyle w:val="22"/>
              <w:spacing w:before="151" w:line="178" w:lineRule="auto"/>
              <w:ind w:left="273"/>
              <w:rPr>
                <w:sz w:val="18"/>
                <w:szCs w:val="18"/>
              </w:rPr>
            </w:pPr>
            <w:r>
              <w:rPr>
                <w:spacing w:val="-1"/>
                <w:sz w:val="18"/>
                <w:szCs w:val="18"/>
              </w:rPr>
              <w:t>Y＜50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117" w:type="dxa"/>
            <w:vAlign w:val="top"/>
          </w:tcPr>
          <w:p>
            <w:pPr>
              <w:pStyle w:val="22"/>
              <w:spacing w:before="245" w:line="232" w:lineRule="auto"/>
              <w:ind w:left="117"/>
              <w:rPr>
                <w:sz w:val="18"/>
                <w:szCs w:val="18"/>
              </w:rPr>
            </w:pPr>
            <w:r>
              <w:rPr>
                <w:spacing w:val="-4"/>
                <w:sz w:val="18"/>
                <w:szCs w:val="18"/>
              </w:rPr>
              <w:t>工业</w:t>
            </w:r>
            <w:r>
              <w:rPr>
                <w:spacing w:val="6"/>
                <w:sz w:val="18"/>
                <w:szCs w:val="18"/>
              </w:rPr>
              <w:t xml:space="preserve"> </w:t>
            </w:r>
            <w:r>
              <w:rPr>
                <w:spacing w:val="-4"/>
                <w:sz w:val="18"/>
                <w:szCs w:val="18"/>
              </w:rPr>
              <w:t>*</w:t>
            </w:r>
          </w:p>
        </w:tc>
        <w:tc>
          <w:tcPr>
            <w:tcW w:w="1368" w:type="dxa"/>
            <w:vAlign w:val="top"/>
          </w:tcPr>
          <w:p>
            <w:pPr>
              <w:pStyle w:val="22"/>
              <w:spacing w:before="151" w:line="263" w:lineRule="auto"/>
              <w:ind w:left="197" w:right="187" w:hanging="3"/>
              <w:rPr>
                <w:sz w:val="18"/>
                <w:szCs w:val="18"/>
              </w:rPr>
            </w:pPr>
            <w:r>
              <w:rPr>
                <w:spacing w:val="-2"/>
                <w:sz w:val="18"/>
                <w:szCs w:val="18"/>
              </w:rPr>
              <w:t>从业人员(X)</w:t>
            </w:r>
            <w:r>
              <w:rPr>
                <w:spacing w:val="3"/>
                <w:sz w:val="18"/>
                <w:szCs w:val="18"/>
              </w:rPr>
              <w:t xml:space="preserve"> </w:t>
            </w:r>
            <w:r>
              <w:rPr>
                <w:spacing w:val="-2"/>
                <w:sz w:val="18"/>
                <w:szCs w:val="18"/>
              </w:rPr>
              <w:t>营业收入(Y)</w:t>
            </w:r>
          </w:p>
        </w:tc>
        <w:tc>
          <w:tcPr>
            <w:tcW w:w="709" w:type="dxa"/>
            <w:vAlign w:val="top"/>
          </w:tcPr>
          <w:p>
            <w:pPr>
              <w:pStyle w:val="22"/>
              <w:spacing w:before="151" w:line="336" w:lineRule="exact"/>
              <w:ind w:left="268"/>
              <w:rPr>
                <w:sz w:val="18"/>
                <w:szCs w:val="18"/>
              </w:rPr>
            </w:pPr>
            <w:r>
              <w:rPr>
                <w:position w:val="11"/>
                <w:sz w:val="18"/>
                <w:szCs w:val="18"/>
              </w:rPr>
              <w:t>人</w:t>
            </w:r>
          </w:p>
          <w:p>
            <w:pPr>
              <w:pStyle w:val="22"/>
              <w:spacing w:line="181" w:lineRule="auto"/>
              <w:ind w:left="182"/>
              <w:rPr>
                <w:sz w:val="18"/>
                <w:szCs w:val="18"/>
              </w:rPr>
            </w:pPr>
            <w:r>
              <w:rPr>
                <w:spacing w:val="-6"/>
                <w:sz w:val="18"/>
                <w:szCs w:val="18"/>
              </w:rPr>
              <w:t>万元</w:t>
            </w:r>
          </w:p>
        </w:tc>
        <w:tc>
          <w:tcPr>
            <w:tcW w:w="1124" w:type="dxa"/>
            <w:vAlign w:val="top"/>
          </w:tcPr>
          <w:p>
            <w:pPr>
              <w:pStyle w:val="22"/>
              <w:spacing w:before="151" w:line="263" w:lineRule="auto"/>
              <w:ind w:left="202" w:right="201" w:firstLine="46"/>
              <w:rPr>
                <w:sz w:val="18"/>
                <w:szCs w:val="18"/>
              </w:rPr>
            </w:pPr>
            <w:r>
              <w:rPr>
                <w:spacing w:val="-1"/>
                <w:sz w:val="18"/>
                <w:szCs w:val="18"/>
              </w:rPr>
              <w:t>X≥1000</w:t>
            </w:r>
            <w:r>
              <w:rPr>
                <w:sz w:val="18"/>
                <w:szCs w:val="18"/>
              </w:rPr>
              <w:t xml:space="preserve"> </w:t>
            </w:r>
            <w:r>
              <w:rPr>
                <w:spacing w:val="-1"/>
                <w:sz w:val="18"/>
                <w:szCs w:val="18"/>
              </w:rPr>
              <w:t>Y≥40000</w:t>
            </w:r>
          </w:p>
        </w:tc>
        <w:tc>
          <w:tcPr>
            <w:tcW w:w="1700" w:type="dxa"/>
            <w:vAlign w:val="top"/>
          </w:tcPr>
          <w:p>
            <w:pPr>
              <w:pStyle w:val="22"/>
              <w:spacing w:before="151" w:line="263" w:lineRule="auto"/>
              <w:ind w:left="226" w:right="216" w:firstLine="92"/>
              <w:rPr>
                <w:sz w:val="18"/>
                <w:szCs w:val="18"/>
              </w:rPr>
            </w:pPr>
            <w:r>
              <w:rPr>
                <w:spacing w:val="-1"/>
                <w:sz w:val="18"/>
                <w:szCs w:val="18"/>
              </w:rPr>
              <w:t>300≤X＜1000</w:t>
            </w:r>
            <w:r>
              <w:rPr>
                <w:sz w:val="18"/>
                <w:szCs w:val="18"/>
              </w:rPr>
              <w:t xml:space="preserve">  </w:t>
            </w:r>
            <w:r>
              <w:rPr>
                <w:spacing w:val="-1"/>
                <w:sz w:val="18"/>
                <w:szCs w:val="18"/>
              </w:rPr>
              <w:t>2000≤Y＜40000</w:t>
            </w:r>
          </w:p>
        </w:tc>
        <w:tc>
          <w:tcPr>
            <w:tcW w:w="1425" w:type="dxa"/>
            <w:vAlign w:val="top"/>
          </w:tcPr>
          <w:p>
            <w:pPr>
              <w:pStyle w:val="22"/>
              <w:spacing w:before="151" w:line="263" w:lineRule="auto"/>
              <w:ind w:left="227" w:right="122" w:firstLine="89"/>
              <w:rPr>
                <w:sz w:val="18"/>
                <w:szCs w:val="18"/>
              </w:rPr>
            </w:pPr>
            <w:r>
              <w:rPr>
                <w:spacing w:val="-2"/>
                <w:sz w:val="18"/>
                <w:szCs w:val="18"/>
              </w:rPr>
              <w:t>20≤X＜300</w:t>
            </w:r>
            <w:r>
              <w:rPr>
                <w:spacing w:val="2"/>
                <w:sz w:val="18"/>
                <w:szCs w:val="18"/>
              </w:rPr>
              <w:t xml:space="preserve">  </w:t>
            </w:r>
            <w:r>
              <w:rPr>
                <w:spacing w:val="-1"/>
                <w:sz w:val="18"/>
                <w:szCs w:val="18"/>
              </w:rPr>
              <w:t>300≤Y＜2000</w:t>
            </w:r>
          </w:p>
        </w:tc>
        <w:tc>
          <w:tcPr>
            <w:tcW w:w="996" w:type="dxa"/>
            <w:vAlign w:val="top"/>
          </w:tcPr>
          <w:p>
            <w:pPr>
              <w:pStyle w:val="22"/>
              <w:spacing w:before="151" w:line="336" w:lineRule="exact"/>
              <w:ind w:left="274"/>
              <w:rPr>
                <w:sz w:val="18"/>
                <w:szCs w:val="18"/>
              </w:rPr>
            </w:pPr>
            <w:r>
              <w:rPr>
                <w:spacing w:val="-1"/>
                <w:position w:val="12"/>
                <w:sz w:val="18"/>
                <w:szCs w:val="18"/>
              </w:rPr>
              <w:t>X＜20</w:t>
            </w:r>
          </w:p>
          <w:p>
            <w:pPr>
              <w:pStyle w:val="22"/>
              <w:spacing w:line="181" w:lineRule="auto"/>
              <w:ind w:left="230"/>
              <w:rPr>
                <w:sz w:val="18"/>
                <w:szCs w:val="18"/>
              </w:rPr>
            </w:pPr>
            <w:r>
              <w:rPr>
                <w:spacing w:val="-1"/>
                <w:sz w:val="18"/>
                <w:szCs w:val="18"/>
              </w:rPr>
              <w:t>Y＜300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117" w:type="dxa"/>
            <w:vAlign w:val="top"/>
          </w:tcPr>
          <w:p>
            <w:pPr>
              <w:pStyle w:val="22"/>
              <w:spacing w:before="248" w:line="220" w:lineRule="auto"/>
              <w:ind w:left="117"/>
              <w:rPr>
                <w:sz w:val="18"/>
                <w:szCs w:val="18"/>
              </w:rPr>
            </w:pPr>
            <w:r>
              <w:rPr>
                <w:spacing w:val="-4"/>
                <w:sz w:val="18"/>
                <w:szCs w:val="18"/>
              </w:rPr>
              <w:t>建筑业</w:t>
            </w:r>
          </w:p>
        </w:tc>
        <w:tc>
          <w:tcPr>
            <w:tcW w:w="1368" w:type="dxa"/>
            <w:vAlign w:val="top"/>
          </w:tcPr>
          <w:p>
            <w:pPr>
              <w:pStyle w:val="22"/>
              <w:spacing w:before="153" w:line="262" w:lineRule="auto"/>
              <w:ind w:left="200" w:right="187" w:hanging="2"/>
              <w:rPr>
                <w:sz w:val="18"/>
                <w:szCs w:val="18"/>
              </w:rPr>
            </w:pPr>
            <w:r>
              <w:rPr>
                <w:spacing w:val="-2"/>
                <w:sz w:val="18"/>
                <w:szCs w:val="18"/>
              </w:rPr>
              <w:t>营业收入(Y)</w:t>
            </w:r>
            <w:r>
              <w:rPr>
                <w:sz w:val="18"/>
                <w:szCs w:val="18"/>
              </w:rPr>
              <w:t xml:space="preserve"> </w:t>
            </w:r>
            <w:r>
              <w:rPr>
                <w:spacing w:val="-3"/>
                <w:sz w:val="18"/>
                <w:szCs w:val="18"/>
              </w:rPr>
              <w:t>资产总额(Z)</w:t>
            </w:r>
          </w:p>
        </w:tc>
        <w:tc>
          <w:tcPr>
            <w:tcW w:w="709" w:type="dxa"/>
            <w:vAlign w:val="top"/>
          </w:tcPr>
          <w:p>
            <w:pPr>
              <w:pStyle w:val="22"/>
              <w:spacing w:before="152" w:line="335" w:lineRule="exact"/>
              <w:ind w:left="182"/>
              <w:rPr>
                <w:sz w:val="18"/>
                <w:szCs w:val="18"/>
              </w:rPr>
            </w:pPr>
            <w:r>
              <w:rPr>
                <w:spacing w:val="-6"/>
                <w:position w:val="12"/>
                <w:sz w:val="18"/>
                <w:szCs w:val="18"/>
              </w:rPr>
              <w:t>万元</w:t>
            </w:r>
          </w:p>
          <w:p>
            <w:pPr>
              <w:pStyle w:val="22"/>
              <w:spacing w:line="181" w:lineRule="auto"/>
              <w:ind w:left="182"/>
              <w:rPr>
                <w:sz w:val="18"/>
                <w:szCs w:val="18"/>
              </w:rPr>
            </w:pPr>
            <w:r>
              <w:rPr>
                <w:spacing w:val="-6"/>
                <w:sz w:val="18"/>
                <w:szCs w:val="18"/>
              </w:rPr>
              <w:t>万元</w:t>
            </w:r>
          </w:p>
        </w:tc>
        <w:tc>
          <w:tcPr>
            <w:tcW w:w="1124" w:type="dxa"/>
            <w:vAlign w:val="top"/>
          </w:tcPr>
          <w:p>
            <w:pPr>
              <w:pStyle w:val="22"/>
              <w:spacing w:before="153" w:line="262" w:lineRule="auto"/>
              <w:ind w:left="204" w:right="201" w:hanging="2"/>
              <w:rPr>
                <w:sz w:val="18"/>
                <w:szCs w:val="18"/>
              </w:rPr>
            </w:pPr>
            <w:r>
              <w:rPr>
                <w:spacing w:val="-1"/>
                <w:sz w:val="18"/>
                <w:szCs w:val="18"/>
              </w:rPr>
              <w:t>Y≥80000</w:t>
            </w:r>
            <w:r>
              <w:rPr>
                <w:sz w:val="18"/>
                <w:szCs w:val="18"/>
              </w:rPr>
              <w:t xml:space="preserve"> </w:t>
            </w:r>
            <w:r>
              <w:rPr>
                <w:spacing w:val="-2"/>
                <w:sz w:val="18"/>
                <w:szCs w:val="18"/>
              </w:rPr>
              <w:t>Z≥80000</w:t>
            </w:r>
          </w:p>
        </w:tc>
        <w:tc>
          <w:tcPr>
            <w:tcW w:w="1700" w:type="dxa"/>
            <w:vAlign w:val="top"/>
          </w:tcPr>
          <w:p>
            <w:pPr>
              <w:pStyle w:val="22"/>
              <w:spacing w:before="153" w:line="262" w:lineRule="auto"/>
              <w:ind w:left="227" w:right="216" w:hanging="2"/>
              <w:rPr>
                <w:sz w:val="18"/>
                <w:szCs w:val="18"/>
              </w:rPr>
            </w:pPr>
            <w:r>
              <w:rPr>
                <w:spacing w:val="-1"/>
                <w:sz w:val="18"/>
                <w:szCs w:val="18"/>
              </w:rPr>
              <w:t>6000≤Y＜80000</w:t>
            </w:r>
            <w:r>
              <w:rPr>
                <w:spacing w:val="3"/>
                <w:sz w:val="18"/>
                <w:szCs w:val="18"/>
              </w:rPr>
              <w:t xml:space="preserve"> </w:t>
            </w:r>
            <w:r>
              <w:rPr>
                <w:spacing w:val="-1"/>
                <w:sz w:val="18"/>
                <w:szCs w:val="18"/>
              </w:rPr>
              <w:t>5000≤Z＜80000</w:t>
            </w:r>
          </w:p>
        </w:tc>
        <w:tc>
          <w:tcPr>
            <w:tcW w:w="1425" w:type="dxa"/>
            <w:vAlign w:val="top"/>
          </w:tcPr>
          <w:p>
            <w:pPr>
              <w:pStyle w:val="22"/>
              <w:spacing w:before="153" w:line="262" w:lineRule="auto"/>
              <w:ind w:left="227" w:right="122"/>
              <w:rPr>
                <w:sz w:val="18"/>
                <w:szCs w:val="18"/>
              </w:rPr>
            </w:pPr>
            <w:r>
              <w:rPr>
                <w:spacing w:val="-1"/>
                <w:sz w:val="18"/>
                <w:szCs w:val="18"/>
              </w:rPr>
              <w:t>300≤Y＜6000</w:t>
            </w:r>
            <w:r>
              <w:rPr>
                <w:sz w:val="18"/>
                <w:szCs w:val="18"/>
              </w:rPr>
              <w:t xml:space="preserve"> </w:t>
            </w:r>
            <w:r>
              <w:rPr>
                <w:spacing w:val="-1"/>
                <w:sz w:val="18"/>
                <w:szCs w:val="18"/>
              </w:rPr>
              <w:t>300≤Z＜5000</w:t>
            </w:r>
          </w:p>
        </w:tc>
        <w:tc>
          <w:tcPr>
            <w:tcW w:w="996" w:type="dxa"/>
            <w:vAlign w:val="top"/>
          </w:tcPr>
          <w:p>
            <w:pPr>
              <w:pStyle w:val="22"/>
              <w:spacing w:before="152" w:line="335" w:lineRule="exact"/>
              <w:ind w:left="230"/>
              <w:rPr>
                <w:sz w:val="18"/>
                <w:szCs w:val="18"/>
              </w:rPr>
            </w:pPr>
            <w:r>
              <w:rPr>
                <w:spacing w:val="-1"/>
                <w:position w:val="12"/>
                <w:sz w:val="18"/>
                <w:szCs w:val="18"/>
              </w:rPr>
              <w:t>Y＜300</w:t>
            </w:r>
          </w:p>
          <w:p>
            <w:pPr>
              <w:pStyle w:val="22"/>
              <w:spacing w:line="181" w:lineRule="auto"/>
              <w:ind w:left="232"/>
              <w:rPr>
                <w:sz w:val="18"/>
                <w:szCs w:val="18"/>
              </w:rPr>
            </w:pPr>
            <w:r>
              <w:rPr>
                <w:spacing w:val="-2"/>
                <w:sz w:val="18"/>
                <w:szCs w:val="18"/>
              </w:rPr>
              <w:t>Z＜300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117" w:type="dxa"/>
            <w:vAlign w:val="top"/>
          </w:tcPr>
          <w:p>
            <w:pPr>
              <w:pStyle w:val="22"/>
              <w:spacing w:before="248" w:line="220" w:lineRule="auto"/>
              <w:ind w:left="115"/>
              <w:rPr>
                <w:sz w:val="18"/>
                <w:szCs w:val="18"/>
              </w:rPr>
            </w:pPr>
            <w:r>
              <w:rPr>
                <w:spacing w:val="-3"/>
                <w:sz w:val="18"/>
                <w:szCs w:val="18"/>
              </w:rPr>
              <w:t>批发业</w:t>
            </w:r>
          </w:p>
        </w:tc>
        <w:tc>
          <w:tcPr>
            <w:tcW w:w="1368" w:type="dxa"/>
            <w:vAlign w:val="top"/>
          </w:tcPr>
          <w:p>
            <w:pPr>
              <w:pStyle w:val="22"/>
              <w:spacing w:before="155" w:line="261" w:lineRule="auto"/>
              <w:ind w:left="197" w:right="187" w:hanging="3"/>
              <w:rPr>
                <w:sz w:val="18"/>
                <w:szCs w:val="18"/>
              </w:rPr>
            </w:pPr>
            <w:r>
              <w:rPr>
                <w:spacing w:val="-2"/>
                <w:sz w:val="18"/>
                <w:szCs w:val="18"/>
              </w:rPr>
              <w:t>从业人员(X)</w:t>
            </w:r>
            <w:r>
              <w:rPr>
                <w:spacing w:val="3"/>
                <w:sz w:val="18"/>
                <w:szCs w:val="18"/>
              </w:rPr>
              <w:t xml:space="preserve"> </w:t>
            </w:r>
            <w:r>
              <w:rPr>
                <w:spacing w:val="-2"/>
                <w:sz w:val="18"/>
                <w:szCs w:val="18"/>
              </w:rPr>
              <w:t>营业收入(Y)</w:t>
            </w:r>
          </w:p>
        </w:tc>
        <w:tc>
          <w:tcPr>
            <w:tcW w:w="709" w:type="dxa"/>
            <w:vAlign w:val="top"/>
          </w:tcPr>
          <w:p>
            <w:pPr>
              <w:pStyle w:val="22"/>
              <w:spacing w:before="154" w:line="333" w:lineRule="exact"/>
              <w:ind w:left="268"/>
              <w:rPr>
                <w:sz w:val="18"/>
                <w:szCs w:val="18"/>
              </w:rPr>
            </w:pPr>
            <w:r>
              <w:rPr>
                <w:position w:val="11"/>
                <w:sz w:val="18"/>
                <w:szCs w:val="18"/>
              </w:rPr>
              <w:t>人</w:t>
            </w:r>
          </w:p>
          <w:p>
            <w:pPr>
              <w:pStyle w:val="22"/>
              <w:spacing w:line="181" w:lineRule="auto"/>
              <w:ind w:left="182"/>
              <w:rPr>
                <w:sz w:val="18"/>
                <w:szCs w:val="18"/>
              </w:rPr>
            </w:pPr>
            <w:r>
              <w:rPr>
                <w:spacing w:val="-6"/>
                <w:sz w:val="18"/>
                <w:szCs w:val="18"/>
              </w:rPr>
              <w:t>万元</w:t>
            </w:r>
          </w:p>
        </w:tc>
        <w:tc>
          <w:tcPr>
            <w:tcW w:w="1124" w:type="dxa"/>
            <w:vAlign w:val="top"/>
          </w:tcPr>
          <w:p>
            <w:pPr>
              <w:pStyle w:val="22"/>
              <w:spacing w:before="155" w:line="261" w:lineRule="auto"/>
              <w:ind w:left="202" w:right="201" w:firstLine="89"/>
              <w:rPr>
                <w:sz w:val="18"/>
                <w:szCs w:val="18"/>
              </w:rPr>
            </w:pPr>
            <w:r>
              <w:rPr>
                <w:spacing w:val="-1"/>
                <w:sz w:val="18"/>
                <w:szCs w:val="18"/>
              </w:rPr>
              <w:t>X≥200</w:t>
            </w:r>
            <w:r>
              <w:rPr>
                <w:sz w:val="18"/>
                <w:szCs w:val="18"/>
              </w:rPr>
              <w:t xml:space="preserve">  </w:t>
            </w:r>
            <w:r>
              <w:rPr>
                <w:spacing w:val="-1"/>
                <w:sz w:val="18"/>
                <w:szCs w:val="18"/>
              </w:rPr>
              <w:t>Y≥40000</w:t>
            </w:r>
          </w:p>
        </w:tc>
        <w:tc>
          <w:tcPr>
            <w:tcW w:w="1700" w:type="dxa"/>
            <w:vAlign w:val="top"/>
          </w:tcPr>
          <w:p>
            <w:pPr>
              <w:pStyle w:val="22"/>
              <w:spacing w:before="154" w:line="236" w:lineRule="auto"/>
              <w:ind w:left="406"/>
              <w:rPr>
                <w:sz w:val="18"/>
                <w:szCs w:val="18"/>
              </w:rPr>
            </w:pPr>
            <w:r>
              <w:rPr>
                <w:spacing w:val="-1"/>
                <w:sz w:val="18"/>
                <w:szCs w:val="18"/>
              </w:rPr>
              <w:t>20≤X＜200</w:t>
            </w:r>
          </w:p>
          <w:p>
            <w:pPr>
              <w:pStyle w:val="22"/>
              <w:spacing w:before="108" w:line="175" w:lineRule="auto"/>
              <w:ind w:left="227"/>
              <w:rPr>
                <w:sz w:val="18"/>
                <w:szCs w:val="18"/>
              </w:rPr>
            </w:pPr>
            <w:r>
              <w:rPr>
                <w:spacing w:val="-1"/>
                <w:sz w:val="18"/>
                <w:szCs w:val="18"/>
              </w:rPr>
              <w:t>5000≤Y＜40000</w:t>
            </w:r>
          </w:p>
        </w:tc>
        <w:tc>
          <w:tcPr>
            <w:tcW w:w="1425" w:type="dxa"/>
            <w:vAlign w:val="top"/>
          </w:tcPr>
          <w:p>
            <w:pPr>
              <w:pStyle w:val="22"/>
              <w:spacing w:before="154" w:line="236" w:lineRule="auto"/>
              <w:ind w:left="407"/>
              <w:rPr>
                <w:sz w:val="18"/>
                <w:szCs w:val="18"/>
              </w:rPr>
            </w:pPr>
            <w:r>
              <w:rPr>
                <w:spacing w:val="-2"/>
                <w:sz w:val="18"/>
                <w:szCs w:val="18"/>
              </w:rPr>
              <w:t>5≤X＜20</w:t>
            </w:r>
          </w:p>
          <w:p>
            <w:pPr>
              <w:pStyle w:val="22"/>
              <w:spacing w:before="108" w:line="175" w:lineRule="auto"/>
              <w:ind w:left="145"/>
              <w:rPr>
                <w:sz w:val="18"/>
                <w:szCs w:val="18"/>
              </w:rPr>
            </w:pPr>
            <w:r>
              <w:rPr>
                <w:spacing w:val="-2"/>
                <w:sz w:val="18"/>
                <w:szCs w:val="18"/>
              </w:rPr>
              <w:t>1000≤Y＜5000</w:t>
            </w:r>
          </w:p>
        </w:tc>
        <w:tc>
          <w:tcPr>
            <w:tcW w:w="996" w:type="dxa"/>
            <w:vAlign w:val="top"/>
          </w:tcPr>
          <w:p>
            <w:pPr>
              <w:pStyle w:val="22"/>
              <w:spacing w:before="155" w:line="261" w:lineRule="auto"/>
              <w:ind w:left="185" w:right="180" w:firstLine="135"/>
              <w:rPr>
                <w:sz w:val="18"/>
                <w:szCs w:val="18"/>
              </w:rPr>
            </w:pPr>
            <w:r>
              <w:rPr>
                <w:spacing w:val="-2"/>
                <w:sz w:val="18"/>
                <w:szCs w:val="18"/>
              </w:rPr>
              <w:t>X＜5</w:t>
            </w:r>
            <w:r>
              <w:rPr>
                <w:sz w:val="18"/>
                <w:szCs w:val="18"/>
              </w:rPr>
              <w:t xml:space="preserve">  </w:t>
            </w:r>
            <w:r>
              <w:rPr>
                <w:spacing w:val="-1"/>
                <w:sz w:val="18"/>
                <w:szCs w:val="18"/>
              </w:rPr>
              <w:t>Y＜1000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117" w:type="dxa"/>
            <w:vAlign w:val="top"/>
          </w:tcPr>
          <w:p>
            <w:pPr>
              <w:pStyle w:val="22"/>
              <w:spacing w:before="248" w:line="219" w:lineRule="auto"/>
              <w:ind w:left="116"/>
              <w:rPr>
                <w:sz w:val="18"/>
                <w:szCs w:val="18"/>
              </w:rPr>
            </w:pPr>
            <w:r>
              <w:rPr>
                <w:spacing w:val="-3"/>
                <w:sz w:val="18"/>
                <w:szCs w:val="18"/>
              </w:rPr>
              <w:t>零售业</w:t>
            </w:r>
          </w:p>
        </w:tc>
        <w:tc>
          <w:tcPr>
            <w:tcW w:w="1368" w:type="dxa"/>
            <w:vAlign w:val="top"/>
          </w:tcPr>
          <w:p>
            <w:pPr>
              <w:pStyle w:val="22"/>
              <w:spacing w:before="155" w:line="261" w:lineRule="auto"/>
              <w:ind w:left="197" w:right="187" w:hanging="3"/>
              <w:rPr>
                <w:sz w:val="18"/>
                <w:szCs w:val="18"/>
              </w:rPr>
            </w:pPr>
            <w:r>
              <w:rPr>
                <w:spacing w:val="-2"/>
                <w:sz w:val="18"/>
                <w:szCs w:val="18"/>
              </w:rPr>
              <w:t>从业人员(X)</w:t>
            </w:r>
            <w:r>
              <w:rPr>
                <w:spacing w:val="3"/>
                <w:sz w:val="18"/>
                <w:szCs w:val="18"/>
              </w:rPr>
              <w:t xml:space="preserve"> </w:t>
            </w:r>
            <w:r>
              <w:rPr>
                <w:spacing w:val="-2"/>
                <w:sz w:val="18"/>
                <w:szCs w:val="18"/>
              </w:rPr>
              <w:t>营业收入(Y)</w:t>
            </w:r>
          </w:p>
        </w:tc>
        <w:tc>
          <w:tcPr>
            <w:tcW w:w="709" w:type="dxa"/>
            <w:vAlign w:val="top"/>
          </w:tcPr>
          <w:p>
            <w:pPr>
              <w:pStyle w:val="22"/>
              <w:spacing w:before="154" w:line="334" w:lineRule="exact"/>
              <w:ind w:left="268"/>
              <w:rPr>
                <w:sz w:val="18"/>
                <w:szCs w:val="18"/>
              </w:rPr>
            </w:pPr>
            <w:r>
              <w:rPr>
                <w:position w:val="11"/>
                <w:sz w:val="18"/>
                <w:szCs w:val="18"/>
              </w:rPr>
              <w:t>人</w:t>
            </w:r>
          </w:p>
          <w:p>
            <w:pPr>
              <w:pStyle w:val="22"/>
              <w:spacing w:line="180" w:lineRule="auto"/>
              <w:ind w:left="182"/>
              <w:rPr>
                <w:sz w:val="18"/>
                <w:szCs w:val="18"/>
              </w:rPr>
            </w:pPr>
            <w:r>
              <w:rPr>
                <w:spacing w:val="-6"/>
                <w:sz w:val="18"/>
                <w:szCs w:val="18"/>
              </w:rPr>
              <w:t>万元</w:t>
            </w:r>
          </w:p>
        </w:tc>
        <w:tc>
          <w:tcPr>
            <w:tcW w:w="1124" w:type="dxa"/>
            <w:vAlign w:val="top"/>
          </w:tcPr>
          <w:p>
            <w:pPr>
              <w:pStyle w:val="22"/>
              <w:spacing w:before="155" w:line="261" w:lineRule="auto"/>
              <w:ind w:left="202" w:right="201" w:firstLine="89"/>
              <w:rPr>
                <w:sz w:val="18"/>
                <w:szCs w:val="18"/>
              </w:rPr>
            </w:pPr>
            <w:r>
              <w:rPr>
                <w:spacing w:val="-1"/>
                <w:sz w:val="18"/>
                <w:szCs w:val="18"/>
              </w:rPr>
              <w:t>X≥300</w:t>
            </w:r>
            <w:r>
              <w:rPr>
                <w:sz w:val="18"/>
                <w:szCs w:val="18"/>
              </w:rPr>
              <w:t xml:space="preserve">  </w:t>
            </w:r>
            <w:r>
              <w:rPr>
                <w:spacing w:val="-1"/>
                <w:sz w:val="18"/>
                <w:szCs w:val="18"/>
              </w:rPr>
              <w:t>Y≥20000</w:t>
            </w:r>
          </w:p>
        </w:tc>
        <w:tc>
          <w:tcPr>
            <w:tcW w:w="1700" w:type="dxa"/>
            <w:vAlign w:val="top"/>
          </w:tcPr>
          <w:p>
            <w:pPr>
              <w:pStyle w:val="22"/>
              <w:spacing w:before="154" w:line="236" w:lineRule="auto"/>
              <w:ind w:left="407"/>
              <w:rPr>
                <w:sz w:val="18"/>
                <w:szCs w:val="18"/>
              </w:rPr>
            </w:pPr>
            <w:r>
              <w:rPr>
                <w:spacing w:val="-2"/>
                <w:sz w:val="18"/>
                <w:szCs w:val="18"/>
              </w:rPr>
              <w:t>50≤X＜300</w:t>
            </w:r>
          </w:p>
          <w:p>
            <w:pPr>
              <w:pStyle w:val="22"/>
              <w:spacing w:before="110" w:line="173" w:lineRule="auto"/>
              <w:ind w:left="319"/>
              <w:rPr>
                <w:sz w:val="18"/>
                <w:szCs w:val="18"/>
              </w:rPr>
            </w:pPr>
            <w:r>
              <w:rPr>
                <w:spacing w:val="-1"/>
                <w:sz w:val="18"/>
                <w:szCs w:val="18"/>
              </w:rPr>
              <w:t>500≤Y＜20000</w:t>
            </w:r>
          </w:p>
        </w:tc>
        <w:tc>
          <w:tcPr>
            <w:tcW w:w="1425" w:type="dxa"/>
            <w:vAlign w:val="top"/>
          </w:tcPr>
          <w:p>
            <w:pPr>
              <w:pStyle w:val="22"/>
              <w:spacing w:before="155" w:line="261" w:lineRule="auto"/>
              <w:ind w:left="236" w:right="213" w:firstLine="88"/>
              <w:rPr>
                <w:sz w:val="18"/>
                <w:szCs w:val="18"/>
              </w:rPr>
            </w:pPr>
            <w:r>
              <w:rPr>
                <w:spacing w:val="-3"/>
                <w:sz w:val="18"/>
                <w:szCs w:val="18"/>
              </w:rPr>
              <w:t>10≤X＜50</w:t>
            </w:r>
            <w:r>
              <w:rPr>
                <w:spacing w:val="1"/>
                <w:sz w:val="18"/>
                <w:szCs w:val="18"/>
              </w:rPr>
              <w:t xml:space="preserve">  </w:t>
            </w:r>
            <w:r>
              <w:rPr>
                <w:spacing w:val="-3"/>
                <w:sz w:val="18"/>
                <w:szCs w:val="18"/>
              </w:rPr>
              <w:t>100≤Y＜500</w:t>
            </w:r>
          </w:p>
        </w:tc>
        <w:tc>
          <w:tcPr>
            <w:tcW w:w="996" w:type="dxa"/>
            <w:vAlign w:val="top"/>
          </w:tcPr>
          <w:p>
            <w:pPr>
              <w:pStyle w:val="22"/>
              <w:spacing w:before="154" w:line="334" w:lineRule="exact"/>
              <w:ind w:left="274"/>
              <w:rPr>
                <w:sz w:val="18"/>
                <w:szCs w:val="18"/>
              </w:rPr>
            </w:pPr>
            <w:r>
              <w:rPr>
                <w:spacing w:val="-1"/>
                <w:position w:val="12"/>
                <w:sz w:val="18"/>
                <w:szCs w:val="18"/>
              </w:rPr>
              <w:t>X＜10</w:t>
            </w:r>
          </w:p>
          <w:p>
            <w:pPr>
              <w:pStyle w:val="22"/>
              <w:spacing w:line="180" w:lineRule="auto"/>
              <w:ind w:left="230"/>
              <w:rPr>
                <w:sz w:val="18"/>
                <w:szCs w:val="18"/>
              </w:rPr>
            </w:pPr>
            <w:r>
              <w:rPr>
                <w:spacing w:val="-1"/>
                <w:sz w:val="18"/>
                <w:szCs w:val="18"/>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117" w:type="dxa"/>
            <w:vAlign w:val="top"/>
          </w:tcPr>
          <w:p>
            <w:pPr>
              <w:pStyle w:val="22"/>
              <w:spacing w:before="251" w:line="219" w:lineRule="auto"/>
              <w:ind w:left="119"/>
              <w:rPr>
                <w:sz w:val="18"/>
                <w:szCs w:val="18"/>
              </w:rPr>
            </w:pPr>
            <w:r>
              <w:rPr>
                <w:spacing w:val="-1"/>
                <w:sz w:val="18"/>
                <w:szCs w:val="18"/>
              </w:rPr>
              <w:t>交通运输业 *</w:t>
            </w:r>
          </w:p>
        </w:tc>
        <w:tc>
          <w:tcPr>
            <w:tcW w:w="1368" w:type="dxa"/>
            <w:vAlign w:val="top"/>
          </w:tcPr>
          <w:p>
            <w:pPr>
              <w:pStyle w:val="22"/>
              <w:spacing w:before="156" w:line="261" w:lineRule="auto"/>
              <w:ind w:left="197" w:right="187" w:hanging="3"/>
              <w:rPr>
                <w:sz w:val="18"/>
                <w:szCs w:val="18"/>
              </w:rPr>
            </w:pPr>
            <w:r>
              <w:rPr>
                <w:spacing w:val="-2"/>
                <w:sz w:val="18"/>
                <w:szCs w:val="18"/>
              </w:rPr>
              <w:t>从业人员(X)</w:t>
            </w:r>
            <w:r>
              <w:rPr>
                <w:spacing w:val="3"/>
                <w:sz w:val="18"/>
                <w:szCs w:val="18"/>
              </w:rPr>
              <w:t xml:space="preserve"> </w:t>
            </w:r>
            <w:r>
              <w:rPr>
                <w:spacing w:val="-2"/>
                <w:sz w:val="18"/>
                <w:szCs w:val="18"/>
              </w:rPr>
              <w:t>营业收入(Y)</w:t>
            </w:r>
          </w:p>
        </w:tc>
        <w:tc>
          <w:tcPr>
            <w:tcW w:w="709" w:type="dxa"/>
            <w:vAlign w:val="top"/>
          </w:tcPr>
          <w:p>
            <w:pPr>
              <w:pStyle w:val="22"/>
              <w:spacing w:before="155" w:line="333" w:lineRule="exact"/>
              <w:ind w:left="268"/>
              <w:rPr>
                <w:sz w:val="18"/>
                <w:szCs w:val="18"/>
              </w:rPr>
            </w:pPr>
            <w:r>
              <w:rPr>
                <w:position w:val="11"/>
                <w:sz w:val="18"/>
                <w:szCs w:val="18"/>
              </w:rPr>
              <w:t>人</w:t>
            </w:r>
          </w:p>
          <w:p>
            <w:pPr>
              <w:pStyle w:val="22"/>
              <w:spacing w:line="180" w:lineRule="auto"/>
              <w:ind w:left="182"/>
              <w:rPr>
                <w:sz w:val="18"/>
                <w:szCs w:val="18"/>
              </w:rPr>
            </w:pPr>
            <w:r>
              <w:rPr>
                <w:spacing w:val="-6"/>
                <w:sz w:val="18"/>
                <w:szCs w:val="18"/>
              </w:rPr>
              <w:t>万元</w:t>
            </w:r>
          </w:p>
        </w:tc>
        <w:tc>
          <w:tcPr>
            <w:tcW w:w="1124" w:type="dxa"/>
            <w:vAlign w:val="top"/>
          </w:tcPr>
          <w:p>
            <w:pPr>
              <w:pStyle w:val="22"/>
              <w:spacing w:before="156" w:line="261" w:lineRule="auto"/>
              <w:ind w:left="202" w:right="201" w:firstLine="46"/>
              <w:rPr>
                <w:sz w:val="18"/>
                <w:szCs w:val="18"/>
              </w:rPr>
            </w:pPr>
            <w:r>
              <w:rPr>
                <w:spacing w:val="-1"/>
                <w:sz w:val="18"/>
                <w:szCs w:val="18"/>
              </w:rPr>
              <w:t>X≥1000</w:t>
            </w:r>
            <w:r>
              <w:rPr>
                <w:sz w:val="18"/>
                <w:szCs w:val="18"/>
              </w:rPr>
              <w:t xml:space="preserve"> </w:t>
            </w:r>
            <w:r>
              <w:rPr>
                <w:spacing w:val="-1"/>
                <w:sz w:val="18"/>
                <w:szCs w:val="18"/>
              </w:rPr>
              <w:t>Y≥30000</w:t>
            </w:r>
          </w:p>
        </w:tc>
        <w:tc>
          <w:tcPr>
            <w:tcW w:w="1700" w:type="dxa"/>
            <w:vAlign w:val="top"/>
          </w:tcPr>
          <w:p>
            <w:pPr>
              <w:pStyle w:val="22"/>
              <w:spacing w:before="156" w:line="261" w:lineRule="auto"/>
              <w:ind w:left="227" w:right="216" w:firstLine="91"/>
              <w:rPr>
                <w:sz w:val="18"/>
                <w:szCs w:val="18"/>
              </w:rPr>
            </w:pPr>
            <w:r>
              <w:rPr>
                <w:spacing w:val="-1"/>
                <w:sz w:val="18"/>
                <w:szCs w:val="18"/>
              </w:rPr>
              <w:t>300≤X＜1000</w:t>
            </w:r>
            <w:r>
              <w:rPr>
                <w:sz w:val="18"/>
                <w:szCs w:val="18"/>
              </w:rPr>
              <w:t xml:space="preserve">  </w:t>
            </w:r>
            <w:r>
              <w:rPr>
                <w:spacing w:val="-1"/>
                <w:sz w:val="18"/>
                <w:szCs w:val="18"/>
              </w:rPr>
              <w:t>3000≤Y＜30000</w:t>
            </w:r>
          </w:p>
        </w:tc>
        <w:tc>
          <w:tcPr>
            <w:tcW w:w="1425" w:type="dxa"/>
            <w:vAlign w:val="top"/>
          </w:tcPr>
          <w:p>
            <w:pPr>
              <w:pStyle w:val="22"/>
              <w:spacing w:before="156" w:line="261" w:lineRule="auto"/>
              <w:ind w:left="225" w:right="122" w:firstLine="91"/>
              <w:rPr>
                <w:sz w:val="18"/>
                <w:szCs w:val="18"/>
              </w:rPr>
            </w:pPr>
            <w:r>
              <w:rPr>
                <w:spacing w:val="-2"/>
                <w:sz w:val="18"/>
                <w:szCs w:val="18"/>
              </w:rPr>
              <w:t>20≤X＜300</w:t>
            </w:r>
            <w:r>
              <w:rPr>
                <w:spacing w:val="2"/>
                <w:sz w:val="18"/>
                <w:szCs w:val="18"/>
              </w:rPr>
              <w:t xml:space="preserve">  </w:t>
            </w:r>
            <w:r>
              <w:rPr>
                <w:spacing w:val="-1"/>
                <w:sz w:val="18"/>
                <w:szCs w:val="18"/>
              </w:rPr>
              <w:t>200≤Y＜3000</w:t>
            </w:r>
          </w:p>
        </w:tc>
        <w:tc>
          <w:tcPr>
            <w:tcW w:w="996" w:type="dxa"/>
            <w:vAlign w:val="top"/>
          </w:tcPr>
          <w:p>
            <w:pPr>
              <w:pStyle w:val="22"/>
              <w:spacing w:before="155" w:line="333" w:lineRule="exact"/>
              <w:ind w:left="274"/>
              <w:rPr>
                <w:sz w:val="18"/>
                <w:szCs w:val="18"/>
              </w:rPr>
            </w:pPr>
            <w:r>
              <w:rPr>
                <w:spacing w:val="-1"/>
                <w:position w:val="12"/>
                <w:sz w:val="18"/>
                <w:szCs w:val="18"/>
              </w:rPr>
              <w:t>X＜20</w:t>
            </w:r>
          </w:p>
          <w:p>
            <w:pPr>
              <w:pStyle w:val="22"/>
              <w:spacing w:line="180" w:lineRule="auto"/>
              <w:ind w:left="230"/>
              <w:rPr>
                <w:sz w:val="18"/>
                <w:szCs w:val="18"/>
              </w:rPr>
            </w:pPr>
            <w:r>
              <w:rPr>
                <w:spacing w:val="-1"/>
                <w:sz w:val="18"/>
                <w:szCs w:val="18"/>
              </w:rPr>
              <w:t>Y＜200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117" w:type="dxa"/>
            <w:vAlign w:val="top"/>
          </w:tcPr>
          <w:p>
            <w:pPr>
              <w:pStyle w:val="22"/>
              <w:spacing w:before="250" w:line="220" w:lineRule="auto"/>
              <w:ind w:left="115"/>
              <w:rPr>
                <w:sz w:val="18"/>
                <w:szCs w:val="18"/>
              </w:rPr>
            </w:pPr>
            <w:r>
              <w:rPr>
                <w:spacing w:val="-2"/>
                <w:sz w:val="18"/>
                <w:szCs w:val="18"/>
              </w:rPr>
              <w:t>仓储业*</w:t>
            </w:r>
          </w:p>
        </w:tc>
        <w:tc>
          <w:tcPr>
            <w:tcW w:w="1368" w:type="dxa"/>
            <w:vAlign w:val="top"/>
          </w:tcPr>
          <w:p>
            <w:pPr>
              <w:pStyle w:val="22"/>
              <w:spacing w:before="156" w:line="261" w:lineRule="auto"/>
              <w:ind w:left="197" w:right="187" w:hanging="3"/>
              <w:rPr>
                <w:sz w:val="18"/>
                <w:szCs w:val="18"/>
              </w:rPr>
            </w:pPr>
            <w:r>
              <w:rPr>
                <w:spacing w:val="-2"/>
                <w:sz w:val="18"/>
                <w:szCs w:val="18"/>
              </w:rPr>
              <w:t>从业人员(X)</w:t>
            </w:r>
            <w:r>
              <w:rPr>
                <w:spacing w:val="3"/>
                <w:sz w:val="18"/>
                <w:szCs w:val="18"/>
              </w:rPr>
              <w:t xml:space="preserve"> </w:t>
            </w:r>
            <w:r>
              <w:rPr>
                <w:spacing w:val="-2"/>
                <w:sz w:val="18"/>
                <w:szCs w:val="18"/>
              </w:rPr>
              <w:t>营业收入(Y)</w:t>
            </w:r>
          </w:p>
        </w:tc>
        <w:tc>
          <w:tcPr>
            <w:tcW w:w="709" w:type="dxa"/>
            <w:vAlign w:val="top"/>
          </w:tcPr>
          <w:p>
            <w:pPr>
              <w:pStyle w:val="22"/>
              <w:spacing w:before="156" w:line="332" w:lineRule="exact"/>
              <w:ind w:left="268"/>
              <w:rPr>
                <w:sz w:val="18"/>
                <w:szCs w:val="18"/>
              </w:rPr>
            </w:pPr>
            <w:r>
              <w:rPr>
                <w:position w:val="11"/>
                <w:sz w:val="18"/>
                <w:szCs w:val="18"/>
              </w:rPr>
              <w:t>人</w:t>
            </w:r>
          </w:p>
          <w:p>
            <w:pPr>
              <w:pStyle w:val="22"/>
              <w:spacing w:line="180" w:lineRule="auto"/>
              <w:ind w:left="182"/>
              <w:rPr>
                <w:sz w:val="18"/>
                <w:szCs w:val="18"/>
              </w:rPr>
            </w:pPr>
            <w:r>
              <w:rPr>
                <w:spacing w:val="-6"/>
                <w:sz w:val="18"/>
                <w:szCs w:val="18"/>
              </w:rPr>
              <w:t>万元</w:t>
            </w:r>
          </w:p>
        </w:tc>
        <w:tc>
          <w:tcPr>
            <w:tcW w:w="1124" w:type="dxa"/>
            <w:vAlign w:val="top"/>
          </w:tcPr>
          <w:p>
            <w:pPr>
              <w:pStyle w:val="22"/>
              <w:spacing w:before="156" w:line="261" w:lineRule="auto"/>
              <w:ind w:left="202" w:right="201" w:firstLine="89"/>
              <w:rPr>
                <w:sz w:val="18"/>
                <w:szCs w:val="18"/>
              </w:rPr>
            </w:pPr>
            <w:r>
              <w:rPr>
                <w:spacing w:val="-1"/>
                <w:sz w:val="18"/>
                <w:szCs w:val="18"/>
              </w:rPr>
              <w:t>X≥200</w:t>
            </w:r>
            <w:r>
              <w:rPr>
                <w:sz w:val="18"/>
                <w:szCs w:val="18"/>
              </w:rPr>
              <w:t xml:space="preserve">  </w:t>
            </w:r>
            <w:r>
              <w:rPr>
                <w:spacing w:val="-1"/>
                <w:sz w:val="18"/>
                <w:szCs w:val="18"/>
              </w:rPr>
              <w:t>Y≥30000</w:t>
            </w:r>
          </w:p>
        </w:tc>
        <w:tc>
          <w:tcPr>
            <w:tcW w:w="1700" w:type="dxa"/>
            <w:vAlign w:val="top"/>
          </w:tcPr>
          <w:p>
            <w:pPr>
              <w:pStyle w:val="22"/>
              <w:spacing w:before="156" w:line="236" w:lineRule="auto"/>
              <w:ind w:left="319"/>
              <w:rPr>
                <w:sz w:val="18"/>
                <w:szCs w:val="18"/>
              </w:rPr>
            </w:pPr>
            <w:r>
              <w:rPr>
                <w:spacing w:val="-3"/>
                <w:sz w:val="18"/>
                <w:szCs w:val="18"/>
              </w:rPr>
              <w:t>100≤X＜200</w:t>
            </w:r>
          </w:p>
          <w:p>
            <w:pPr>
              <w:pStyle w:val="22"/>
              <w:spacing w:before="108" w:line="174" w:lineRule="auto"/>
              <w:ind w:left="237"/>
              <w:rPr>
                <w:sz w:val="18"/>
                <w:szCs w:val="18"/>
              </w:rPr>
            </w:pPr>
            <w:r>
              <w:rPr>
                <w:spacing w:val="-2"/>
                <w:sz w:val="18"/>
                <w:szCs w:val="18"/>
              </w:rPr>
              <w:t>1000≤Y＜30000</w:t>
            </w:r>
          </w:p>
        </w:tc>
        <w:tc>
          <w:tcPr>
            <w:tcW w:w="1425" w:type="dxa"/>
            <w:vAlign w:val="top"/>
          </w:tcPr>
          <w:p>
            <w:pPr>
              <w:pStyle w:val="22"/>
              <w:spacing w:before="156" w:line="261" w:lineRule="auto"/>
              <w:ind w:left="236" w:right="122" w:firstLine="80"/>
              <w:rPr>
                <w:sz w:val="18"/>
                <w:szCs w:val="18"/>
              </w:rPr>
            </w:pPr>
            <w:r>
              <w:rPr>
                <w:spacing w:val="-2"/>
                <w:sz w:val="18"/>
                <w:szCs w:val="18"/>
              </w:rPr>
              <w:t>20≤X＜100</w:t>
            </w:r>
            <w:r>
              <w:rPr>
                <w:spacing w:val="2"/>
                <w:sz w:val="18"/>
                <w:szCs w:val="18"/>
              </w:rPr>
              <w:t xml:space="preserve">  </w:t>
            </w:r>
            <w:r>
              <w:rPr>
                <w:spacing w:val="-2"/>
                <w:sz w:val="18"/>
                <w:szCs w:val="18"/>
              </w:rPr>
              <w:t>100≤Y＜1000</w:t>
            </w:r>
          </w:p>
        </w:tc>
        <w:tc>
          <w:tcPr>
            <w:tcW w:w="996" w:type="dxa"/>
            <w:vAlign w:val="top"/>
          </w:tcPr>
          <w:p>
            <w:pPr>
              <w:pStyle w:val="22"/>
              <w:spacing w:before="156" w:line="332" w:lineRule="exact"/>
              <w:ind w:left="274"/>
              <w:rPr>
                <w:sz w:val="18"/>
                <w:szCs w:val="18"/>
              </w:rPr>
            </w:pPr>
            <w:r>
              <w:rPr>
                <w:spacing w:val="-1"/>
                <w:position w:val="11"/>
                <w:sz w:val="18"/>
                <w:szCs w:val="18"/>
              </w:rPr>
              <w:t>X＜20</w:t>
            </w:r>
          </w:p>
          <w:p>
            <w:pPr>
              <w:pStyle w:val="22"/>
              <w:spacing w:line="180" w:lineRule="auto"/>
              <w:ind w:left="230"/>
              <w:rPr>
                <w:sz w:val="18"/>
                <w:szCs w:val="18"/>
              </w:rPr>
            </w:pPr>
            <w:r>
              <w:rPr>
                <w:spacing w:val="-1"/>
                <w:sz w:val="18"/>
                <w:szCs w:val="18"/>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117" w:type="dxa"/>
            <w:vAlign w:val="top"/>
          </w:tcPr>
          <w:p>
            <w:pPr>
              <w:pStyle w:val="22"/>
              <w:spacing w:before="249" w:line="221" w:lineRule="auto"/>
              <w:ind w:left="129"/>
              <w:rPr>
                <w:sz w:val="18"/>
                <w:szCs w:val="18"/>
              </w:rPr>
            </w:pPr>
            <w:r>
              <w:rPr>
                <w:spacing w:val="-7"/>
                <w:sz w:val="18"/>
                <w:szCs w:val="18"/>
              </w:rPr>
              <w:t>邮政业</w:t>
            </w:r>
          </w:p>
        </w:tc>
        <w:tc>
          <w:tcPr>
            <w:tcW w:w="1368" w:type="dxa"/>
            <w:vAlign w:val="top"/>
          </w:tcPr>
          <w:p>
            <w:pPr>
              <w:pStyle w:val="22"/>
              <w:spacing w:before="156" w:line="261" w:lineRule="auto"/>
              <w:ind w:left="197" w:right="187" w:hanging="3"/>
              <w:rPr>
                <w:sz w:val="18"/>
                <w:szCs w:val="18"/>
              </w:rPr>
            </w:pPr>
            <w:r>
              <w:rPr>
                <w:spacing w:val="-2"/>
                <w:sz w:val="18"/>
                <w:szCs w:val="18"/>
              </w:rPr>
              <w:t>从业人员(X)</w:t>
            </w:r>
            <w:r>
              <w:rPr>
                <w:spacing w:val="3"/>
                <w:sz w:val="18"/>
                <w:szCs w:val="18"/>
              </w:rPr>
              <w:t xml:space="preserve"> </w:t>
            </w:r>
            <w:r>
              <w:rPr>
                <w:spacing w:val="-2"/>
                <w:sz w:val="18"/>
                <w:szCs w:val="18"/>
              </w:rPr>
              <w:t>营业收入(Y)</w:t>
            </w:r>
          </w:p>
        </w:tc>
        <w:tc>
          <w:tcPr>
            <w:tcW w:w="709" w:type="dxa"/>
            <w:vAlign w:val="top"/>
          </w:tcPr>
          <w:p>
            <w:pPr>
              <w:pStyle w:val="22"/>
              <w:spacing w:before="155" w:line="334" w:lineRule="exact"/>
              <w:ind w:left="268"/>
              <w:rPr>
                <w:sz w:val="18"/>
                <w:szCs w:val="18"/>
              </w:rPr>
            </w:pPr>
            <w:r>
              <w:rPr>
                <w:position w:val="11"/>
                <w:sz w:val="18"/>
                <w:szCs w:val="18"/>
              </w:rPr>
              <w:t>人</w:t>
            </w:r>
          </w:p>
          <w:p>
            <w:pPr>
              <w:pStyle w:val="22"/>
              <w:spacing w:line="180" w:lineRule="auto"/>
              <w:ind w:left="182"/>
              <w:rPr>
                <w:sz w:val="18"/>
                <w:szCs w:val="18"/>
              </w:rPr>
            </w:pPr>
            <w:r>
              <w:rPr>
                <w:spacing w:val="-6"/>
                <w:sz w:val="18"/>
                <w:szCs w:val="18"/>
              </w:rPr>
              <w:t>万元</w:t>
            </w:r>
          </w:p>
        </w:tc>
        <w:tc>
          <w:tcPr>
            <w:tcW w:w="1124" w:type="dxa"/>
            <w:vAlign w:val="top"/>
          </w:tcPr>
          <w:p>
            <w:pPr>
              <w:pStyle w:val="22"/>
              <w:spacing w:before="156" w:line="261" w:lineRule="auto"/>
              <w:ind w:left="202" w:right="201" w:firstLine="46"/>
              <w:rPr>
                <w:sz w:val="18"/>
                <w:szCs w:val="18"/>
              </w:rPr>
            </w:pPr>
            <w:r>
              <w:rPr>
                <w:spacing w:val="-1"/>
                <w:sz w:val="18"/>
                <w:szCs w:val="18"/>
              </w:rPr>
              <w:t>X≥1000</w:t>
            </w:r>
            <w:r>
              <w:rPr>
                <w:sz w:val="18"/>
                <w:szCs w:val="18"/>
              </w:rPr>
              <w:t xml:space="preserve"> </w:t>
            </w:r>
            <w:r>
              <w:rPr>
                <w:spacing w:val="-1"/>
                <w:sz w:val="18"/>
                <w:szCs w:val="18"/>
              </w:rPr>
              <w:t>Y≥30000</w:t>
            </w:r>
          </w:p>
        </w:tc>
        <w:tc>
          <w:tcPr>
            <w:tcW w:w="1700" w:type="dxa"/>
            <w:vAlign w:val="top"/>
          </w:tcPr>
          <w:p>
            <w:pPr>
              <w:pStyle w:val="22"/>
              <w:spacing w:before="156" w:line="261" w:lineRule="auto"/>
              <w:ind w:left="226" w:right="216" w:firstLine="92"/>
              <w:rPr>
                <w:sz w:val="18"/>
                <w:szCs w:val="18"/>
              </w:rPr>
            </w:pPr>
            <w:r>
              <w:rPr>
                <w:spacing w:val="-1"/>
                <w:sz w:val="18"/>
                <w:szCs w:val="18"/>
              </w:rPr>
              <w:t>300≤X＜1000</w:t>
            </w:r>
            <w:r>
              <w:rPr>
                <w:sz w:val="18"/>
                <w:szCs w:val="18"/>
              </w:rPr>
              <w:t xml:space="preserve">  </w:t>
            </w:r>
            <w:r>
              <w:rPr>
                <w:spacing w:val="-1"/>
                <w:sz w:val="18"/>
                <w:szCs w:val="18"/>
              </w:rPr>
              <w:t>2000≤Y＜30000</w:t>
            </w:r>
          </w:p>
        </w:tc>
        <w:tc>
          <w:tcPr>
            <w:tcW w:w="1425" w:type="dxa"/>
            <w:vAlign w:val="top"/>
          </w:tcPr>
          <w:p>
            <w:pPr>
              <w:pStyle w:val="22"/>
              <w:spacing w:before="156" w:line="261" w:lineRule="auto"/>
              <w:ind w:left="236" w:right="122" w:firstLine="80"/>
              <w:rPr>
                <w:sz w:val="18"/>
                <w:szCs w:val="18"/>
              </w:rPr>
            </w:pPr>
            <w:r>
              <w:rPr>
                <w:spacing w:val="-2"/>
                <w:sz w:val="18"/>
                <w:szCs w:val="18"/>
              </w:rPr>
              <w:t>20≤X＜300</w:t>
            </w:r>
            <w:r>
              <w:rPr>
                <w:spacing w:val="2"/>
                <w:sz w:val="18"/>
                <w:szCs w:val="18"/>
              </w:rPr>
              <w:t xml:space="preserve">  </w:t>
            </w:r>
            <w:r>
              <w:rPr>
                <w:spacing w:val="-2"/>
                <w:sz w:val="18"/>
                <w:szCs w:val="18"/>
              </w:rPr>
              <w:t>100≤Y＜2000</w:t>
            </w:r>
          </w:p>
        </w:tc>
        <w:tc>
          <w:tcPr>
            <w:tcW w:w="996" w:type="dxa"/>
            <w:vAlign w:val="top"/>
          </w:tcPr>
          <w:p>
            <w:pPr>
              <w:pStyle w:val="22"/>
              <w:spacing w:before="155" w:line="334" w:lineRule="exact"/>
              <w:ind w:left="274"/>
              <w:rPr>
                <w:sz w:val="18"/>
                <w:szCs w:val="18"/>
              </w:rPr>
            </w:pPr>
            <w:r>
              <w:rPr>
                <w:spacing w:val="-1"/>
                <w:position w:val="12"/>
                <w:sz w:val="18"/>
                <w:szCs w:val="18"/>
              </w:rPr>
              <w:t>X＜20</w:t>
            </w:r>
          </w:p>
          <w:p>
            <w:pPr>
              <w:pStyle w:val="22"/>
              <w:spacing w:line="180" w:lineRule="auto"/>
              <w:ind w:left="230"/>
              <w:rPr>
                <w:sz w:val="18"/>
                <w:szCs w:val="18"/>
              </w:rPr>
            </w:pPr>
            <w:r>
              <w:rPr>
                <w:spacing w:val="-1"/>
                <w:sz w:val="18"/>
                <w:szCs w:val="18"/>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117" w:type="dxa"/>
            <w:vAlign w:val="top"/>
          </w:tcPr>
          <w:p>
            <w:pPr>
              <w:pStyle w:val="22"/>
              <w:spacing w:before="251" w:line="219" w:lineRule="auto"/>
              <w:ind w:left="115"/>
              <w:rPr>
                <w:sz w:val="18"/>
                <w:szCs w:val="18"/>
              </w:rPr>
            </w:pPr>
            <w:r>
              <w:rPr>
                <w:spacing w:val="-3"/>
                <w:sz w:val="18"/>
                <w:szCs w:val="18"/>
              </w:rPr>
              <w:t>住宿业</w:t>
            </w:r>
          </w:p>
        </w:tc>
        <w:tc>
          <w:tcPr>
            <w:tcW w:w="1368" w:type="dxa"/>
            <w:vAlign w:val="top"/>
          </w:tcPr>
          <w:p>
            <w:pPr>
              <w:pStyle w:val="22"/>
              <w:spacing w:before="156" w:line="261" w:lineRule="auto"/>
              <w:ind w:left="197" w:right="187" w:hanging="3"/>
              <w:rPr>
                <w:sz w:val="18"/>
                <w:szCs w:val="18"/>
              </w:rPr>
            </w:pPr>
            <w:r>
              <w:rPr>
                <w:spacing w:val="-2"/>
                <w:sz w:val="18"/>
                <w:szCs w:val="18"/>
              </w:rPr>
              <w:t>从业人员(X)</w:t>
            </w:r>
            <w:r>
              <w:rPr>
                <w:spacing w:val="3"/>
                <w:sz w:val="18"/>
                <w:szCs w:val="18"/>
              </w:rPr>
              <w:t xml:space="preserve"> </w:t>
            </w:r>
            <w:r>
              <w:rPr>
                <w:spacing w:val="-2"/>
                <w:sz w:val="18"/>
                <w:szCs w:val="18"/>
              </w:rPr>
              <w:t>营业收入(Y)</w:t>
            </w:r>
          </w:p>
        </w:tc>
        <w:tc>
          <w:tcPr>
            <w:tcW w:w="709" w:type="dxa"/>
            <w:vAlign w:val="top"/>
          </w:tcPr>
          <w:p>
            <w:pPr>
              <w:pStyle w:val="22"/>
              <w:spacing w:before="155" w:line="333" w:lineRule="exact"/>
              <w:ind w:left="268"/>
              <w:rPr>
                <w:sz w:val="18"/>
                <w:szCs w:val="18"/>
              </w:rPr>
            </w:pPr>
            <w:r>
              <w:rPr>
                <w:position w:val="11"/>
                <w:sz w:val="18"/>
                <w:szCs w:val="18"/>
              </w:rPr>
              <w:t>人</w:t>
            </w:r>
          </w:p>
          <w:p>
            <w:pPr>
              <w:pStyle w:val="22"/>
              <w:spacing w:line="180" w:lineRule="auto"/>
              <w:ind w:left="182"/>
              <w:rPr>
                <w:sz w:val="18"/>
                <w:szCs w:val="18"/>
              </w:rPr>
            </w:pPr>
            <w:r>
              <w:rPr>
                <w:spacing w:val="-6"/>
                <w:sz w:val="18"/>
                <w:szCs w:val="18"/>
              </w:rPr>
              <w:t>万元</w:t>
            </w:r>
          </w:p>
        </w:tc>
        <w:tc>
          <w:tcPr>
            <w:tcW w:w="1124" w:type="dxa"/>
            <w:vAlign w:val="top"/>
          </w:tcPr>
          <w:p>
            <w:pPr>
              <w:pStyle w:val="22"/>
              <w:spacing w:before="156" w:line="261" w:lineRule="auto"/>
              <w:ind w:left="202" w:right="201" w:firstLine="89"/>
              <w:rPr>
                <w:sz w:val="18"/>
                <w:szCs w:val="18"/>
              </w:rPr>
            </w:pPr>
            <w:r>
              <w:rPr>
                <w:spacing w:val="-1"/>
                <w:sz w:val="18"/>
                <w:szCs w:val="18"/>
              </w:rPr>
              <w:t>X≥300</w:t>
            </w:r>
            <w:r>
              <w:rPr>
                <w:sz w:val="18"/>
                <w:szCs w:val="18"/>
              </w:rPr>
              <w:t xml:space="preserve">  </w:t>
            </w:r>
            <w:r>
              <w:rPr>
                <w:spacing w:val="-1"/>
                <w:sz w:val="18"/>
                <w:szCs w:val="18"/>
              </w:rPr>
              <w:t>Y≥10000</w:t>
            </w:r>
          </w:p>
        </w:tc>
        <w:tc>
          <w:tcPr>
            <w:tcW w:w="1700" w:type="dxa"/>
            <w:vAlign w:val="top"/>
          </w:tcPr>
          <w:p>
            <w:pPr>
              <w:pStyle w:val="22"/>
              <w:spacing w:before="155" w:line="236" w:lineRule="auto"/>
              <w:ind w:left="319"/>
              <w:rPr>
                <w:sz w:val="18"/>
                <w:szCs w:val="18"/>
              </w:rPr>
            </w:pPr>
            <w:r>
              <w:rPr>
                <w:spacing w:val="-3"/>
                <w:sz w:val="18"/>
                <w:szCs w:val="18"/>
              </w:rPr>
              <w:t>100≤X＜300</w:t>
            </w:r>
          </w:p>
          <w:p>
            <w:pPr>
              <w:pStyle w:val="22"/>
              <w:spacing w:before="111" w:line="173" w:lineRule="auto"/>
              <w:ind w:left="226"/>
              <w:rPr>
                <w:sz w:val="18"/>
                <w:szCs w:val="18"/>
              </w:rPr>
            </w:pPr>
            <w:r>
              <w:rPr>
                <w:spacing w:val="-1"/>
                <w:sz w:val="18"/>
                <w:szCs w:val="18"/>
              </w:rPr>
              <w:t>2000≤Y＜10000</w:t>
            </w:r>
          </w:p>
        </w:tc>
        <w:tc>
          <w:tcPr>
            <w:tcW w:w="1425" w:type="dxa"/>
            <w:vAlign w:val="top"/>
          </w:tcPr>
          <w:p>
            <w:pPr>
              <w:pStyle w:val="22"/>
              <w:spacing w:before="156" w:line="261" w:lineRule="auto"/>
              <w:ind w:left="236" w:right="122" w:firstLine="91"/>
              <w:rPr>
                <w:sz w:val="18"/>
                <w:szCs w:val="18"/>
              </w:rPr>
            </w:pPr>
            <w:r>
              <w:rPr>
                <w:spacing w:val="-3"/>
                <w:sz w:val="18"/>
                <w:szCs w:val="18"/>
              </w:rPr>
              <w:t>10≤X＜100</w:t>
            </w:r>
            <w:r>
              <w:rPr>
                <w:sz w:val="18"/>
                <w:szCs w:val="18"/>
              </w:rPr>
              <w:t xml:space="preserve">  </w:t>
            </w:r>
            <w:r>
              <w:rPr>
                <w:spacing w:val="-2"/>
                <w:sz w:val="18"/>
                <w:szCs w:val="18"/>
              </w:rPr>
              <w:t>100≤Y＜2000</w:t>
            </w:r>
          </w:p>
        </w:tc>
        <w:tc>
          <w:tcPr>
            <w:tcW w:w="996" w:type="dxa"/>
            <w:vAlign w:val="top"/>
          </w:tcPr>
          <w:p>
            <w:pPr>
              <w:pStyle w:val="22"/>
              <w:spacing w:before="155" w:line="333" w:lineRule="exact"/>
              <w:ind w:left="274"/>
              <w:rPr>
                <w:sz w:val="18"/>
                <w:szCs w:val="18"/>
              </w:rPr>
            </w:pPr>
            <w:r>
              <w:rPr>
                <w:spacing w:val="-1"/>
                <w:position w:val="12"/>
                <w:sz w:val="18"/>
                <w:szCs w:val="18"/>
              </w:rPr>
              <w:t>X＜10</w:t>
            </w:r>
          </w:p>
          <w:p>
            <w:pPr>
              <w:pStyle w:val="22"/>
              <w:spacing w:line="180" w:lineRule="auto"/>
              <w:ind w:left="230"/>
              <w:rPr>
                <w:sz w:val="18"/>
                <w:szCs w:val="18"/>
              </w:rPr>
            </w:pPr>
            <w:r>
              <w:rPr>
                <w:spacing w:val="-1"/>
                <w:sz w:val="18"/>
                <w:szCs w:val="18"/>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117" w:type="dxa"/>
            <w:vAlign w:val="top"/>
          </w:tcPr>
          <w:p>
            <w:pPr>
              <w:pStyle w:val="22"/>
              <w:spacing w:before="250" w:line="219" w:lineRule="auto"/>
              <w:ind w:left="117"/>
              <w:rPr>
                <w:sz w:val="18"/>
                <w:szCs w:val="18"/>
              </w:rPr>
            </w:pPr>
            <w:r>
              <w:rPr>
                <w:spacing w:val="-3"/>
                <w:sz w:val="18"/>
                <w:szCs w:val="18"/>
              </w:rPr>
              <w:t>餐饮业</w:t>
            </w:r>
          </w:p>
        </w:tc>
        <w:tc>
          <w:tcPr>
            <w:tcW w:w="1368" w:type="dxa"/>
            <w:vAlign w:val="top"/>
          </w:tcPr>
          <w:p>
            <w:pPr>
              <w:pStyle w:val="22"/>
              <w:spacing w:before="156" w:line="261" w:lineRule="auto"/>
              <w:ind w:left="197" w:right="187" w:hanging="3"/>
              <w:rPr>
                <w:sz w:val="18"/>
                <w:szCs w:val="18"/>
              </w:rPr>
            </w:pPr>
            <w:r>
              <w:rPr>
                <w:spacing w:val="-2"/>
                <w:sz w:val="18"/>
                <w:szCs w:val="18"/>
              </w:rPr>
              <w:t>从业人员(X)</w:t>
            </w:r>
            <w:r>
              <w:rPr>
                <w:spacing w:val="3"/>
                <w:sz w:val="18"/>
                <w:szCs w:val="18"/>
              </w:rPr>
              <w:t xml:space="preserve"> </w:t>
            </w:r>
            <w:r>
              <w:rPr>
                <w:spacing w:val="-2"/>
                <w:sz w:val="18"/>
                <w:szCs w:val="18"/>
              </w:rPr>
              <w:t>营业收入(Y)</w:t>
            </w:r>
          </w:p>
        </w:tc>
        <w:tc>
          <w:tcPr>
            <w:tcW w:w="709" w:type="dxa"/>
            <w:vAlign w:val="top"/>
          </w:tcPr>
          <w:p>
            <w:pPr>
              <w:pStyle w:val="22"/>
              <w:spacing w:before="156" w:line="332" w:lineRule="exact"/>
              <w:ind w:left="268"/>
              <w:rPr>
                <w:sz w:val="18"/>
                <w:szCs w:val="18"/>
              </w:rPr>
            </w:pPr>
            <w:r>
              <w:rPr>
                <w:position w:val="11"/>
                <w:sz w:val="18"/>
                <w:szCs w:val="18"/>
              </w:rPr>
              <w:t>人</w:t>
            </w:r>
          </w:p>
          <w:p>
            <w:pPr>
              <w:pStyle w:val="22"/>
              <w:spacing w:line="180" w:lineRule="auto"/>
              <w:ind w:left="182"/>
              <w:rPr>
                <w:sz w:val="18"/>
                <w:szCs w:val="18"/>
              </w:rPr>
            </w:pPr>
            <w:r>
              <w:rPr>
                <w:spacing w:val="-6"/>
                <w:sz w:val="18"/>
                <w:szCs w:val="18"/>
              </w:rPr>
              <w:t>万元</w:t>
            </w:r>
          </w:p>
        </w:tc>
        <w:tc>
          <w:tcPr>
            <w:tcW w:w="1124" w:type="dxa"/>
            <w:vAlign w:val="top"/>
          </w:tcPr>
          <w:p>
            <w:pPr>
              <w:pStyle w:val="22"/>
              <w:spacing w:before="156" w:line="261" w:lineRule="auto"/>
              <w:ind w:left="202" w:right="201" w:firstLine="89"/>
              <w:rPr>
                <w:sz w:val="18"/>
                <w:szCs w:val="18"/>
              </w:rPr>
            </w:pPr>
            <w:r>
              <w:rPr>
                <w:spacing w:val="-1"/>
                <w:sz w:val="18"/>
                <w:szCs w:val="18"/>
              </w:rPr>
              <w:t>X≥300</w:t>
            </w:r>
            <w:r>
              <w:rPr>
                <w:sz w:val="18"/>
                <w:szCs w:val="18"/>
              </w:rPr>
              <w:t xml:space="preserve">  </w:t>
            </w:r>
            <w:r>
              <w:rPr>
                <w:spacing w:val="-1"/>
                <w:sz w:val="18"/>
                <w:szCs w:val="18"/>
              </w:rPr>
              <w:t>Y≥10000</w:t>
            </w:r>
          </w:p>
        </w:tc>
        <w:tc>
          <w:tcPr>
            <w:tcW w:w="1700" w:type="dxa"/>
            <w:vAlign w:val="top"/>
          </w:tcPr>
          <w:p>
            <w:pPr>
              <w:pStyle w:val="22"/>
              <w:spacing w:before="156" w:line="236" w:lineRule="auto"/>
              <w:ind w:left="319"/>
              <w:rPr>
                <w:sz w:val="18"/>
                <w:szCs w:val="18"/>
              </w:rPr>
            </w:pPr>
            <w:r>
              <w:rPr>
                <w:spacing w:val="-3"/>
                <w:sz w:val="18"/>
                <w:szCs w:val="18"/>
              </w:rPr>
              <w:t>100≤X＜300</w:t>
            </w:r>
          </w:p>
          <w:p>
            <w:pPr>
              <w:pStyle w:val="22"/>
              <w:spacing w:before="108" w:line="174" w:lineRule="auto"/>
              <w:ind w:left="226"/>
              <w:rPr>
                <w:sz w:val="18"/>
                <w:szCs w:val="18"/>
              </w:rPr>
            </w:pPr>
            <w:r>
              <w:rPr>
                <w:spacing w:val="-1"/>
                <w:sz w:val="18"/>
                <w:szCs w:val="18"/>
              </w:rPr>
              <w:t>2000≤Y＜10000</w:t>
            </w:r>
          </w:p>
        </w:tc>
        <w:tc>
          <w:tcPr>
            <w:tcW w:w="1425" w:type="dxa"/>
            <w:vAlign w:val="top"/>
          </w:tcPr>
          <w:p>
            <w:pPr>
              <w:pStyle w:val="22"/>
              <w:spacing w:before="156" w:line="261" w:lineRule="auto"/>
              <w:ind w:left="236" w:right="122" w:firstLine="91"/>
              <w:rPr>
                <w:sz w:val="18"/>
                <w:szCs w:val="18"/>
              </w:rPr>
            </w:pPr>
            <w:r>
              <w:rPr>
                <w:spacing w:val="-3"/>
                <w:sz w:val="18"/>
                <w:szCs w:val="18"/>
              </w:rPr>
              <w:t>10≤X＜100</w:t>
            </w:r>
            <w:r>
              <w:rPr>
                <w:sz w:val="18"/>
                <w:szCs w:val="18"/>
              </w:rPr>
              <w:t xml:space="preserve">  </w:t>
            </w:r>
            <w:r>
              <w:rPr>
                <w:spacing w:val="-2"/>
                <w:sz w:val="18"/>
                <w:szCs w:val="18"/>
              </w:rPr>
              <w:t>100≤Y＜2000</w:t>
            </w:r>
          </w:p>
        </w:tc>
        <w:tc>
          <w:tcPr>
            <w:tcW w:w="996" w:type="dxa"/>
            <w:vAlign w:val="top"/>
          </w:tcPr>
          <w:p>
            <w:pPr>
              <w:pStyle w:val="22"/>
              <w:spacing w:before="156" w:line="332" w:lineRule="exact"/>
              <w:ind w:left="274"/>
              <w:rPr>
                <w:sz w:val="18"/>
                <w:szCs w:val="18"/>
              </w:rPr>
            </w:pPr>
            <w:r>
              <w:rPr>
                <w:spacing w:val="-1"/>
                <w:position w:val="11"/>
                <w:sz w:val="18"/>
                <w:szCs w:val="18"/>
              </w:rPr>
              <w:t>X＜10</w:t>
            </w:r>
          </w:p>
          <w:p>
            <w:pPr>
              <w:pStyle w:val="22"/>
              <w:spacing w:line="180" w:lineRule="auto"/>
              <w:ind w:left="230"/>
              <w:rPr>
                <w:sz w:val="18"/>
                <w:szCs w:val="18"/>
              </w:rPr>
            </w:pPr>
            <w:r>
              <w:rPr>
                <w:spacing w:val="-1"/>
                <w:sz w:val="18"/>
                <w:szCs w:val="18"/>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117" w:type="dxa"/>
            <w:vAlign w:val="top"/>
          </w:tcPr>
          <w:p>
            <w:pPr>
              <w:pStyle w:val="22"/>
              <w:spacing w:before="249" w:line="219" w:lineRule="auto"/>
              <w:ind w:left="115"/>
              <w:rPr>
                <w:sz w:val="18"/>
                <w:szCs w:val="18"/>
              </w:rPr>
            </w:pPr>
            <w:r>
              <w:rPr>
                <w:spacing w:val="-1"/>
                <w:sz w:val="18"/>
                <w:szCs w:val="18"/>
              </w:rPr>
              <w:t>信息传输业 *</w:t>
            </w:r>
          </w:p>
        </w:tc>
        <w:tc>
          <w:tcPr>
            <w:tcW w:w="1368" w:type="dxa"/>
            <w:vAlign w:val="top"/>
          </w:tcPr>
          <w:p>
            <w:pPr>
              <w:pStyle w:val="22"/>
              <w:spacing w:before="156" w:line="261" w:lineRule="auto"/>
              <w:ind w:left="197" w:right="187" w:hanging="3"/>
              <w:rPr>
                <w:sz w:val="18"/>
                <w:szCs w:val="18"/>
              </w:rPr>
            </w:pPr>
            <w:r>
              <w:rPr>
                <w:spacing w:val="-2"/>
                <w:sz w:val="18"/>
                <w:szCs w:val="18"/>
              </w:rPr>
              <w:t>从业人员(X)</w:t>
            </w:r>
            <w:r>
              <w:rPr>
                <w:spacing w:val="3"/>
                <w:sz w:val="18"/>
                <w:szCs w:val="18"/>
              </w:rPr>
              <w:t xml:space="preserve"> </w:t>
            </w:r>
            <w:r>
              <w:rPr>
                <w:spacing w:val="-2"/>
                <w:sz w:val="18"/>
                <w:szCs w:val="18"/>
              </w:rPr>
              <w:t>营业收入(Y)</w:t>
            </w:r>
          </w:p>
        </w:tc>
        <w:tc>
          <w:tcPr>
            <w:tcW w:w="709" w:type="dxa"/>
            <w:vAlign w:val="top"/>
          </w:tcPr>
          <w:p>
            <w:pPr>
              <w:pStyle w:val="22"/>
              <w:spacing w:before="155" w:line="334" w:lineRule="exact"/>
              <w:ind w:left="268"/>
              <w:rPr>
                <w:sz w:val="18"/>
                <w:szCs w:val="18"/>
              </w:rPr>
            </w:pPr>
            <w:r>
              <w:rPr>
                <w:position w:val="11"/>
                <w:sz w:val="18"/>
                <w:szCs w:val="18"/>
              </w:rPr>
              <w:t>人</w:t>
            </w:r>
          </w:p>
          <w:p>
            <w:pPr>
              <w:pStyle w:val="22"/>
              <w:spacing w:line="180" w:lineRule="auto"/>
              <w:ind w:left="182"/>
              <w:rPr>
                <w:sz w:val="18"/>
                <w:szCs w:val="18"/>
              </w:rPr>
            </w:pPr>
            <w:r>
              <w:rPr>
                <w:spacing w:val="-6"/>
                <w:sz w:val="18"/>
                <w:szCs w:val="18"/>
              </w:rPr>
              <w:t>万元</w:t>
            </w:r>
          </w:p>
        </w:tc>
        <w:tc>
          <w:tcPr>
            <w:tcW w:w="1124" w:type="dxa"/>
            <w:vAlign w:val="top"/>
          </w:tcPr>
          <w:p>
            <w:pPr>
              <w:pStyle w:val="22"/>
              <w:spacing w:before="156" w:line="261" w:lineRule="auto"/>
              <w:ind w:left="157" w:right="153" w:firstLine="91"/>
              <w:rPr>
                <w:sz w:val="18"/>
                <w:szCs w:val="18"/>
              </w:rPr>
            </w:pPr>
            <w:r>
              <w:rPr>
                <w:spacing w:val="-1"/>
                <w:sz w:val="18"/>
                <w:szCs w:val="18"/>
              </w:rPr>
              <w:t>X≥2000</w:t>
            </w:r>
            <w:r>
              <w:rPr>
                <w:sz w:val="18"/>
                <w:szCs w:val="18"/>
              </w:rPr>
              <w:t xml:space="preserve">  </w:t>
            </w:r>
            <w:r>
              <w:rPr>
                <w:spacing w:val="-1"/>
                <w:sz w:val="18"/>
                <w:szCs w:val="18"/>
              </w:rPr>
              <w:t>Y≥100000</w:t>
            </w:r>
          </w:p>
        </w:tc>
        <w:tc>
          <w:tcPr>
            <w:tcW w:w="1700" w:type="dxa"/>
            <w:vAlign w:val="top"/>
          </w:tcPr>
          <w:p>
            <w:pPr>
              <w:pStyle w:val="22"/>
              <w:spacing w:before="155" w:line="236" w:lineRule="auto"/>
              <w:ind w:left="328"/>
              <w:rPr>
                <w:sz w:val="18"/>
                <w:szCs w:val="18"/>
              </w:rPr>
            </w:pPr>
            <w:r>
              <w:rPr>
                <w:spacing w:val="-2"/>
                <w:sz w:val="18"/>
                <w:szCs w:val="18"/>
              </w:rPr>
              <w:t>100≤X＜2000</w:t>
            </w:r>
          </w:p>
          <w:p>
            <w:pPr>
              <w:pStyle w:val="22"/>
              <w:spacing w:before="110" w:line="173" w:lineRule="auto"/>
              <w:ind w:left="237"/>
              <w:rPr>
                <w:sz w:val="18"/>
                <w:szCs w:val="18"/>
              </w:rPr>
            </w:pPr>
            <w:r>
              <w:rPr>
                <w:spacing w:val="-2"/>
                <w:sz w:val="18"/>
                <w:szCs w:val="18"/>
              </w:rPr>
              <w:t>1000≤Y＜100000</w:t>
            </w:r>
          </w:p>
        </w:tc>
        <w:tc>
          <w:tcPr>
            <w:tcW w:w="1425" w:type="dxa"/>
            <w:vAlign w:val="top"/>
          </w:tcPr>
          <w:p>
            <w:pPr>
              <w:pStyle w:val="22"/>
              <w:spacing w:before="156" w:line="261" w:lineRule="auto"/>
              <w:ind w:left="236" w:right="122" w:firstLine="91"/>
              <w:rPr>
                <w:sz w:val="18"/>
                <w:szCs w:val="18"/>
              </w:rPr>
            </w:pPr>
            <w:r>
              <w:rPr>
                <w:spacing w:val="-3"/>
                <w:sz w:val="18"/>
                <w:szCs w:val="18"/>
              </w:rPr>
              <w:t>10≤X＜100</w:t>
            </w:r>
            <w:r>
              <w:rPr>
                <w:sz w:val="18"/>
                <w:szCs w:val="18"/>
              </w:rPr>
              <w:t xml:space="preserve">  </w:t>
            </w:r>
            <w:r>
              <w:rPr>
                <w:spacing w:val="-2"/>
                <w:sz w:val="18"/>
                <w:szCs w:val="18"/>
              </w:rPr>
              <w:t>100≤Y＜1000</w:t>
            </w:r>
          </w:p>
        </w:tc>
        <w:tc>
          <w:tcPr>
            <w:tcW w:w="996" w:type="dxa"/>
            <w:vAlign w:val="top"/>
          </w:tcPr>
          <w:p>
            <w:pPr>
              <w:pStyle w:val="22"/>
              <w:spacing w:before="155" w:line="334" w:lineRule="exact"/>
              <w:ind w:left="274"/>
              <w:rPr>
                <w:sz w:val="18"/>
                <w:szCs w:val="18"/>
              </w:rPr>
            </w:pPr>
            <w:r>
              <w:rPr>
                <w:spacing w:val="-1"/>
                <w:position w:val="12"/>
                <w:sz w:val="18"/>
                <w:szCs w:val="18"/>
              </w:rPr>
              <w:t>X＜10</w:t>
            </w:r>
          </w:p>
          <w:p>
            <w:pPr>
              <w:pStyle w:val="22"/>
              <w:spacing w:line="180" w:lineRule="auto"/>
              <w:ind w:left="230"/>
              <w:rPr>
                <w:sz w:val="18"/>
                <w:szCs w:val="18"/>
              </w:rPr>
            </w:pPr>
            <w:r>
              <w:rPr>
                <w:spacing w:val="-1"/>
                <w:sz w:val="18"/>
                <w:szCs w:val="18"/>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117" w:type="dxa"/>
            <w:vAlign w:val="top"/>
          </w:tcPr>
          <w:p>
            <w:pPr>
              <w:pStyle w:val="22"/>
              <w:spacing w:before="251" w:line="219" w:lineRule="auto"/>
              <w:ind w:left="117"/>
              <w:rPr>
                <w:sz w:val="18"/>
                <w:szCs w:val="18"/>
              </w:rPr>
            </w:pPr>
            <w:r>
              <w:rPr>
                <w:spacing w:val="-15"/>
                <w:w w:val="97"/>
                <w:sz w:val="18"/>
                <w:szCs w:val="18"/>
              </w:rPr>
              <w:t>软件和信息技术服务业</w:t>
            </w:r>
          </w:p>
        </w:tc>
        <w:tc>
          <w:tcPr>
            <w:tcW w:w="1368" w:type="dxa"/>
            <w:vAlign w:val="top"/>
          </w:tcPr>
          <w:p>
            <w:pPr>
              <w:pStyle w:val="22"/>
              <w:spacing w:before="156" w:line="261" w:lineRule="auto"/>
              <w:ind w:left="197" w:right="187" w:hanging="3"/>
              <w:rPr>
                <w:sz w:val="18"/>
                <w:szCs w:val="18"/>
              </w:rPr>
            </w:pPr>
            <w:r>
              <w:rPr>
                <w:spacing w:val="-2"/>
                <w:sz w:val="18"/>
                <w:szCs w:val="18"/>
              </w:rPr>
              <w:t>从业人员(X)</w:t>
            </w:r>
            <w:r>
              <w:rPr>
                <w:spacing w:val="3"/>
                <w:sz w:val="18"/>
                <w:szCs w:val="18"/>
              </w:rPr>
              <w:t xml:space="preserve"> </w:t>
            </w:r>
            <w:r>
              <w:rPr>
                <w:spacing w:val="-2"/>
                <w:sz w:val="18"/>
                <w:szCs w:val="18"/>
              </w:rPr>
              <w:t>营业收入(Y)</w:t>
            </w:r>
          </w:p>
        </w:tc>
        <w:tc>
          <w:tcPr>
            <w:tcW w:w="709" w:type="dxa"/>
            <w:vAlign w:val="top"/>
          </w:tcPr>
          <w:p>
            <w:pPr>
              <w:pStyle w:val="22"/>
              <w:spacing w:before="155" w:line="333" w:lineRule="exact"/>
              <w:ind w:left="268"/>
              <w:rPr>
                <w:sz w:val="18"/>
                <w:szCs w:val="18"/>
              </w:rPr>
            </w:pPr>
            <w:r>
              <w:rPr>
                <w:position w:val="11"/>
                <w:sz w:val="18"/>
                <w:szCs w:val="18"/>
              </w:rPr>
              <w:t>人</w:t>
            </w:r>
          </w:p>
          <w:p>
            <w:pPr>
              <w:pStyle w:val="22"/>
              <w:spacing w:line="180" w:lineRule="auto"/>
              <w:ind w:left="182"/>
              <w:rPr>
                <w:sz w:val="18"/>
                <w:szCs w:val="18"/>
              </w:rPr>
            </w:pPr>
            <w:r>
              <w:rPr>
                <w:spacing w:val="-6"/>
                <w:sz w:val="18"/>
                <w:szCs w:val="18"/>
              </w:rPr>
              <w:t>万元</w:t>
            </w:r>
          </w:p>
        </w:tc>
        <w:tc>
          <w:tcPr>
            <w:tcW w:w="1124" w:type="dxa"/>
            <w:vAlign w:val="top"/>
          </w:tcPr>
          <w:p>
            <w:pPr>
              <w:pStyle w:val="22"/>
              <w:spacing w:before="156" w:line="261" w:lineRule="auto"/>
              <w:ind w:left="202" w:right="201" w:firstLine="89"/>
              <w:rPr>
                <w:sz w:val="18"/>
                <w:szCs w:val="18"/>
              </w:rPr>
            </w:pPr>
            <w:r>
              <w:rPr>
                <w:spacing w:val="-1"/>
                <w:sz w:val="18"/>
                <w:szCs w:val="18"/>
              </w:rPr>
              <w:t>X≥300</w:t>
            </w:r>
            <w:r>
              <w:rPr>
                <w:sz w:val="18"/>
                <w:szCs w:val="18"/>
              </w:rPr>
              <w:t xml:space="preserve">  </w:t>
            </w:r>
            <w:r>
              <w:rPr>
                <w:spacing w:val="-1"/>
                <w:sz w:val="18"/>
                <w:szCs w:val="18"/>
              </w:rPr>
              <w:t>Y≥10000</w:t>
            </w:r>
          </w:p>
        </w:tc>
        <w:tc>
          <w:tcPr>
            <w:tcW w:w="1700" w:type="dxa"/>
            <w:vAlign w:val="top"/>
          </w:tcPr>
          <w:p>
            <w:pPr>
              <w:pStyle w:val="22"/>
              <w:spacing w:before="155" w:line="236" w:lineRule="auto"/>
              <w:ind w:left="319"/>
              <w:rPr>
                <w:sz w:val="18"/>
                <w:szCs w:val="18"/>
              </w:rPr>
            </w:pPr>
            <w:r>
              <w:rPr>
                <w:spacing w:val="-3"/>
                <w:sz w:val="18"/>
                <w:szCs w:val="18"/>
              </w:rPr>
              <w:t>100≤X＜300</w:t>
            </w:r>
          </w:p>
          <w:p>
            <w:pPr>
              <w:pStyle w:val="22"/>
              <w:spacing w:before="111" w:line="173" w:lineRule="auto"/>
              <w:ind w:left="237"/>
              <w:rPr>
                <w:sz w:val="18"/>
                <w:szCs w:val="18"/>
              </w:rPr>
            </w:pPr>
            <w:r>
              <w:rPr>
                <w:spacing w:val="-2"/>
                <w:sz w:val="18"/>
                <w:szCs w:val="18"/>
              </w:rPr>
              <w:t>1000≤Y＜10000</w:t>
            </w:r>
          </w:p>
        </w:tc>
        <w:tc>
          <w:tcPr>
            <w:tcW w:w="1425" w:type="dxa"/>
            <w:vAlign w:val="top"/>
          </w:tcPr>
          <w:p>
            <w:pPr>
              <w:pStyle w:val="22"/>
              <w:spacing w:before="156" w:line="261" w:lineRule="auto"/>
              <w:ind w:left="318" w:right="122" w:firstLine="9"/>
              <w:rPr>
                <w:sz w:val="18"/>
                <w:szCs w:val="18"/>
              </w:rPr>
            </w:pPr>
            <w:r>
              <w:rPr>
                <w:spacing w:val="-3"/>
                <w:sz w:val="18"/>
                <w:szCs w:val="18"/>
              </w:rPr>
              <w:t>10≤X＜100</w:t>
            </w:r>
            <w:r>
              <w:rPr>
                <w:sz w:val="18"/>
                <w:szCs w:val="18"/>
              </w:rPr>
              <w:t xml:space="preserve">  </w:t>
            </w:r>
            <w:r>
              <w:rPr>
                <w:spacing w:val="-2"/>
                <w:sz w:val="18"/>
                <w:szCs w:val="18"/>
              </w:rPr>
              <w:t>50≤Y＜1000</w:t>
            </w:r>
          </w:p>
        </w:tc>
        <w:tc>
          <w:tcPr>
            <w:tcW w:w="996" w:type="dxa"/>
            <w:vAlign w:val="top"/>
          </w:tcPr>
          <w:p>
            <w:pPr>
              <w:pStyle w:val="22"/>
              <w:spacing w:before="155" w:line="333" w:lineRule="exact"/>
              <w:ind w:left="274"/>
              <w:rPr>
                <w:sz w:val="18"/>
                <w:szCs w:val="18"/>
              </w:rPr>
            </w:pPr>
            <w:r>
              <w:rPr>
                <w:spacing w:val="-1"/>
                <w:position w:val="12"/>
                <w:sz w:val="18"/>
                <w:szCs w:val="18"/>
              </w:rPr>
              <w:t>X＜10</w:t>
            </w:r>
          </w:p>
          <w:p>
            <w:pPr>
              <w:pStyle w:val="22"/>
              <w:spacing w:line="180" w:lineRule="auto"/>
              <w:ind w:left="273"/>
              <w:rPr>
                <w:sz w:val="18"/>
                <w:szCs w:val="18"/>
              </w:rPr>
            </w:pPr>
            <w:r>
              <w:rPr>
                <w:spacing w:val="-1"/>
                <w:sz w:val="18"/>
                <w:szCs w:val="18"/>
              </w:rPr>
              <w:t>Y＜50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117" w:type="dxa"/>
            <w:vAlign w:val="top"/>
          </w:tcPr>
          <w:p>
            <w:pPr>
              <w:pStyle w:val="22"/>
              <w:spacing w:before="250" w:line="219" w:lineRule="auto"/>
              <w:ind w:left="116"/>
              <w:rPr>
                <w:sz w:val="18"/>
                <w:szCs w:val="18"/>
              </w:rPr>
            </w:pPr>
            <w:r>
              <w:rPr>
                <w:spacing w:val="-2"/>
                <w:sz w:val="18"/>
                <w:szCs w:val="18"/>
              </w:rPr>
              <w:t>房地产开发经营</w:t>
            </w:r>
          </w:p>
        </w:tc>
        <w:tc>
          <w:tcPr>
            <w:tcW w:w="1368" w:type="dxa"/>
            <w:vAlign w:val="top"/>
          </w:tcPr>
          <w:p>
            <w:pPr>
              <w:pStyle w:val="22"/>
              <w:spacing w:before="156" w:line="261" w:lineRule="auto"/>
              <w:ind w:left="200" w:right="187" w:hanging="2"/>
              <w:rPr>
                <w:sz w:val="18"/>
                <w:szCs w:val="18"/>
              </w:rPr>
            </w:pPr>
            <w:r>
              <w:rPr>
                <w:spacing w:val="-2"/>
                <w:sz w:val="18"/>
                <w:szCs w:val="18"/>
              </w:rPr>
              <w:t>营业收入(Y)</w:t>
            </w:r>
            <w:r>
              <w:rPr>
                <w:sz w:val="18"/>
                <w:szCs w:val="18"/>
              </w:rPr>
              <w:t xml:space="preserve"> </w:t>
            </w:r>
            <w:r>
              <w:rPr>
                <w:spacing w:val="-3"/>
                <w:sz w:val="18"/>
                <w:szCs w:val="18"/>
              </w:rPr>
              <w:t>资产总额(Z)</w:t>
            </w:r>
          </w:p>
        </w:tc>
        <w:tc>
          <w:tcPr>
            <w:tcW w:w="709" w:type="dxa"/>
            <w:vAlign w:val="top"/>
          </w:tcPr>
          <w:p>
            <w:pPr>
              <w:pStyle w:val="22"/>
              <w:spacing w:before="156" w:line="332" w:lineRule="exact"/>
              <w:ind w:left="182"/>
              <w:rPr>
                <w:sz w:val="18"/>
                <w:szCs w:val="18"/>
              </w:rPr>
            </w:pPr>
            <w:r>
              <w:rPr>
                <w:spacing w:val="-6"/>
                <w:position w:val="12"/>
                <w:sz w:val="18"/>
                <w:szCs w:val="18"/>
              </w:rPr>
              <w:t>万元</w:t>
            </w:r>
          </w:p>
          <w:p>
            <w:pPr>
              <w:pStyle w:val="22"/>
              <w:spacing w:line="180" w:lineRule="auto"/>
              <w:ind w:left="182"/>
              <w:rPr>
                <w:sz w:val="18"/>
                <w:szCs w:val="18"/>
              </w:rPr>
            </w:pPr>
            <w:r>
              <w:rPr>
                <w:spacing w:val="-6"/>
                <w:sz w:val="18"/>
                <w:szCs w:val="18"/>
              </w:rPr>
              <w:t>万元</w:t>
            </w:r>
          </w:p>
        </w:tc>
        <w:tc>
          <w:tcPr>
            <w:tcW w:w="1124" w:type="dxa"/>
            <w:vAlign w:val="top"/>
          </w:tcPr>
          <w:p>
            <w:pPr>
              <w:pStyle w:val="22"/>
              <w:spacing w:before="156" w:line="261" w:lineRule="auto"/>
              <w:ind w:left="204" w:right="153" w:hanging="47"/>
              <w:rPr>
                <w:sz w:val="18"/>
                <w:szCs w:val="18"/>
              </w:rPr>
            </w:pPr>
            <w:r>
              <w:rPr>
                <w:spacing w:val="-1"/>
                <w:sz w:val="18"/>
                <w:szCs w:val="18"/>
              </w:rPr>
              <w:t>Y≥200000</w:t>
            </w:r>
            <w:r>
              <w:rPr>
                <w:spacing w:val="5"/>
                <w:sz w:val="18"/>
                <w:szCs w:val="18"/>
              </w:rPr>
              <w:t xml:space="preserve"> </w:t>
            </w:r>
            <w:r>
              <w:rPr>
                <w:spacing w:val="-1"/>
                <w:sz w:val="18"/>
                <w:szCs w:val="18"/>
              </w:rPr>
              <w:t>Z≥10000</w:t>
            </w:r>
          </w:p>
        </w:tc>
        <w:tc>
          <w:tcPr>
            <w:tcW w:w="1700" w:type="dxa"/>
            <w:vAlign w:val="top"/>
          </w:tcPr>
          <w:p>
            <w:pPr>
              <w:pStyle w:val="22"/>
              <w:spacing w:before="156" w:line="261" w:lineRule="auto"/>
              <w:ind w:left="227" w:right="125" w:firstLine="9"/>
              <w:rPr>
                <w:sz w:val="18"/>
                <w:szCs w:val="18"/>
              </w:rPr>
            </w:pPr>
            <w:r>
              <w:rPr>
                <w:spacing w:val="-2"/>
                <w:sz w:val="18"/>
                <w:szCs w:val="18"/>
              </w:rPr>
              <w:t>1000≤Y＜200000</w:t>
            </w:r>
            <w:r>
              <w:rPr>
                <w:spacing w:val="7"/>
                <w:sz w:val="18"/>
                <w:szCs w:val="18"/>
              </w:rPr>
              <w:t xml:space="preserve"> </w:t>
            </w:r>
            <w:r>
              <w:rPr>
                <w:spacing w:val="-1"/>
                <w:sz w:val="18"/>
                <w:szCs w:val="18"/>
              </w:rPr>
              <w:t>5000≤Z＜10000</w:t>
            </w:r>
          </w:p>
        </w:tc>
        <w:tc>
          <w:tcPr>
            <w:tcW w:w="1425" w:type="dxa"/>
            <w:vAlign w:val="top"/>
          </w:tcPr>
          <w:p>
            <w:pPr>
              <w:pStyle w:val="22"/>
              <w:spacing w:before="156" w:line="261" w:lineRule="auto"/>
              <w:ind w:left="136" w:right="122" w:firstLine="99"/>
              <w:rPr>
                <w:sz w:val="18"/>
                <w:szCs w:val="18"/>
              </w:rPr>
            </w:pPr>
            <w:r>
              <w:rPr>
                <w:spacing w:val="-2"/>
                <w:sz w:val="18"/>
                <w:szCs w:val="18"/>
              </w:rPr>
              <w:t>100≤Y＜1000</w:t>
            </w:r>
            <w:r>
              <w:rPr>
                <w:sz w:val="18"/>
                <w:szCs w:val="18"/>
              </w:rPr>
              <w:t xml:space="preserve"> </w:t>
            </w:r>
            <w:r>
              <w:rPr>
                <w:spacing w:val="-1"/>
                <w:sz w:val="18"/>
                <w:szCs w:val="18"/>
              </w:rPr>
              <w:t>2000≤Z＜5000</w:t>
            </w:r>
          </w:p>
        </w:tc>
        <w:tc>
          <w:tcPr>
            <w:tcW w:w="996" w:type="dxa"/>
            <w:vAlign w:val="top"/>
          </w:tcPr>
          <w:p>
            <w:pPr>
              <w:pStyle w:val="22"/>
              <w:spacing w:before="156" w:line="261" w:lineRule="auto"/>
              <w:ind w:left="187" w:right="180" w:firstLine="43"/>
              <w:rPr>
                <w:sz w:val="18"/>
                <w:szCs w:val="18"/>
              </w:rPr>
            </w:pPr>
            <w:r>
              <w:rPr>
                <w:spacing w:val="-2"/>
                <w:sz w:val="18"/>
                <w:szCs w:val="18"/>
              </w:rPr>
              <w:t>Y＜100</w:t>
            </w:r>
            <w:r>
              <w:rPr>
                <w:spacing w:val="3"/>
                <w:sz w:val="18"/>
                <w:szCs w:val="18"/>
              </w:rPr>
              <w:t xml:space="preserve"> </w:t>
            </w:r>
            <w:r>
              <w:rPr>
                <w:spacing w:val="-2"/>
                <w:sz w:val="18"/>
                <w:szCs w:val="18"/>
              </w:rPr>
              <w:t>Z＜2000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117" w:type="dxa"/>
            <w:vAlign w:val="top"/>
          </w:tcPr>
          <w:p>
            <w:pPr>
              <w:pStyle w:val="22"/>
              <w:spacing w:before="249" w:line="219" w:lineRule="auto"/>
              <w:ind w:left="115"/>
              <w:rPr>
                <w:sz w:val="18"/>
                <w:szCs w:val="18"/>
              </w:rPr>
            </w:pPr>
            <w:r>
              <w:rPr>
                <w:spacing w:val="-2"/>
                <w:sz w:val="18"/>
                <w:szCs w:val="18"/>
              </w:rPr>
              <w:t>物业管理</w:t>
            </w:r>
          </w:p>
        </w:tc>
        <w:tc>
          <w:tcPr>
            <w:tcW w:w="1368" w:type="dxa"/>
            <w:vAlign w:val="top"/>
          </w:tcPr>
          <w:p>
            <w:pPr>
              <w:pStyle w:val="22"/>
              <w:spacing w:before="156" w:line="261" w:lineRule="auto"/>
              <w:ind w:left="197" w:right="187" w:hanging="3"/>
              <w:rPr>
                <w:sz w:val="18"/>
                <w:szCs w:val="18"/>
              </w:rPr>
            </w:pPr>
            <w:r>
              <w:rPr>
                <w:spacing w:val="-2"/>
                <w:sz w:val="18"/>
                <w:szCs w:val="18"/>
              </w:rPr>
              <w:t>从业人员(X)</w:t>
            </w:r>
            <w:r>
              <w:rPr>
                <w:spacing w:val="3"/>
                <w:sz w:val="18"/>
                <w:szCs w:val="18"/>
              </w:rPr>
              <w:t xml:space="preserve"> </w:t>
            </w:r>
            <w:r>
              <w:rPr>
                <w:spacing w:val="-2"/>
                <w:sz w:val="18"/>
                <w:szCs w:val="18"/>
              </w:rPr>
              <w:t>营业收入(Y)</w:t>
            </w:r>
          </w:p>
        </w:tc>
        <w:tc>
          <w:tcPr>
            <w:tcW w:w="709" w:type="dxa"/>
            <w:vAlign w:val="top"/>
          </w:tcPr>
          <w:p>
            <w:pPr>
              <w:pStyle w:val="22"/>
              <w:spacing w:before="155" w:line="334" w:lineRule="exact"/>
              <w:ind w:left="268"/>
              <w:rPr>
                <w:sz w:val="18"/>
                <w:szCs w:val="18"/>
              </w:rPr>
            </w:pPr>
            <w:r>
              <w:rPr>
                <w:position w:val="11"/>
                <w:sz w:val="18"/>
                <w:szCs w:val="18"/>
              </w:rPr>
              <w:t>人</w:t>
            </w:r>
          </w:p>
          <w:p>
            <w:pPr>
              <w:pStyle w:val="22"/>
              <w:spacing w:line="180" w:lineRule="auto"/>
              <w:ind w:left="182"/>
              <w:rPr>
                <w:sz w:val="18"/>
                <w:szCs w:val="18"/>
              </w:rPr>
            </w:pPr>
            <w:r>
              <w:rPr>
                <w:spacing w:val="-6"/>
                <w:sz w:val="18"/>
                <w:szCs w:val="18"/>
              </w:rPr>
              <w:t>万元</w:t>
            </w:r>
          </w:p>
        </w:tc>
        <w:tc>
          <w:tcPr>
            <w:tcW w:w="1124" w:type="dxa"/>
            <w:vAlign w:val="top"/>
          </w:tcPr>
          <w:p>
            <w:pPr>
              <w:pStyle w:val="22"/>
              <w:spacing w:before="155" w:line="334" w:lineRule="exact"/>
              <w:ind w:left="249"/>
              <w:rPr>
                <w:sz w:val="18"/>
                <w:szCs w:val="18"/>
              </w:rPr>
            </w:pPr>
            <w:r>
              <w:rPr>
                <w:spacing w:val="-1"/>
                <w:position w:val="11"/>
                <w:sz w:val="18"/>
                <w:szCs w:val="18"/>
              </w:rPr>
              <w:t>X≥1000</w:t>
            </w:r>
          </w:p>
          <w:p>
            <w:pPr>
              <w:pStyle w:val="22"/>
              <w:spacing w:line="180" w:lineRule="auto"/>
              <w:ind w:left="248"/>
              <w:rPr>
                <w:sz w:val="18"/>
                <w:szCs w:val="18"/>
              </w:rPr>
            </w:pPr>
            <w:r>
              <w:rPr>
                <w:spacing w:val="-1"/>
                <w:sz w:val="18"/>
                <w:szCs w:val="18"/>
              </w:rPr>
              <w:t>Y≥5000</w:t>
            </w:r>
          </w:p>
        </w:tc>
        <w:tc>
          <w:tcPr>
            <w:tcW w:w="1700" w:type="dxa"/>
            <w:vAlign w:val="top"/>
          </w:tcPr>
          <w:p>
            <w:pPr>
              <w:pStyle w:val="22"/>
              <w:spacing w:before="156" w:line="261" w:lineRule="auto"/>
              <w:ind w:left="230" w:right="305" w:firstLine="88"/>
              <w:rPr>
                <w:sz w:val="18"/>
                <w:szCs w:val="18"/>
              </w:rPr>
            </w:pPr>
            <w:r>
              <w:rPr>
                <w:spacing w:val="-1"/>
                <w:sz w:val="18"/>
                <w:szCs w:val="18"/>
              </w:rPr>
              <w:t>300≤X＜1000</w:t>
            </w:r>
            <w:r>
              <w:rPr>
                <w:sz w:val="18"/>
                <w:szCs w:val="18"/>
              </w:rPr>
              <w:t xml:space="preserve"> </w:t>
            </w:r>
            <w:r>
              <w:rPr>
                <w:spacing w:val="-2"/>
                <w:sz w:val="18"/>
                <w:szCs w:val="18"/>
              </w:rPr>
              <w:t>1000≤Y＜5000</w:t>
            </w:r>
          </w:p>
        </w:tc>
        <w:tc>
          <w:tcPr>
            <w:tcW w:w="1425" w:type="dxa"/>
            <w:vAlign w:val="top"/>
          </w:tcPr>
          <w:p>
            <w:pPr>
              <w:pStyle w:val="22"/>
              <w:spacing w:before="156" w:line="261" w:lineRule="auto"/>
              <w:ind w:left="227" w:right="122" w:firstLine="9"/>
              <w:rPr>
                <w:sz w:val="18"/>
                <w:szCs w:val="18"/>
              </w:rPr>
            </w:pPr>
            <w:r>
              <w:rPr>
                <w:spacing w:val="-3"/>
                <w:sz w:val="18"/>
                <w:szCs w:val="18"/>
              </w:rPr>
              <w:t>100≤X＜300</w:t>
            </w:r>
            <w:r>
              <w:rPr>
                <w:spacing w:val="2"/>
                <w:sz w:val="18"/>
                <w:szCs w:val="18"/>
              </w:rPr>
              <w:t xml:space="preserve">  </w:t>
            </w:r>
            <w:r>
              <w:rPr>
                <w:spacing w:val="-1"/>
                <w:sz w:val="18"/>
                <w:szCs w:val="18"/>
              </w:rPr>
              <w:t>500≤Y＜1000</w:t>
            </w:r>
          </w:p>
        </w:tc>
        <w:tc>
          <w:tcPr>
            <w:tcW w:w="996" w:type="dxa"/>
            <w:vAlign w:val="top"/>
          </w:tcPr>
          <w:p>
            <w:pPr>
              <w:pStyle w:val="22"/>
              <w:spacing w:before="155" w:line="334" w:lineRule="exact"/>
              <w:ind w:left="231"/>
              <w:rPr>
                <w:sz w:val="18"/>
                <w:szCs w:val="18"/>
              </w:rPr>
            </w:pPr>
            <w:r>
              <w:rPr>
                <w:spacing w:val="-1"/>
                <w:position w:val="12"/>
                <w:sz w:val="18"/>
                <w:szCs w:val="18"/>
              </w:rPr>
              <w:t>X＜100</w:t>
            </w:r>
          </w:p>
          <w:p>
            <w:pPr>
              <w:pStyle w:val="22"/>
              <w:spacing w:line="180" w:lineRule="auto"/>
              <w:ind w:left="230"/>
              <w:rPr>
                <w:sz w:val="18"/>
                <w:szCs w:val="18"/>
              </w:rPr>
            </w:pPr>
            <w:r>
              <w:rPr>
                <w:spacing w:val="-1"/>
                <w:sz w:val="18"/>
                <w:szCs w:val="18"/>
              </w:rPr>
              <w:t>Y＜500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117" w:type="dxa"/>
            <w:vAlign w:val="top"/>
          </w:tcPr>
          <w:p>
            <w:pPr>
              <w:pStyle w:val="22"/>
              <w:spacing w:before="251" w:line="219" w:lineRule="auto"/>
              <w:ind w:left="117"/>
              <w:rPr>
                <w:sz w:val="18"/>
                <w:szCs w:val="18"/>
              </w:rPr>
            </w:pPr>
            <w:r>
              <w:rPr>
                <w:spacing w:val="-2"/>
                <w:sz w:val="18"/>
                <w:szCs w:val="18"/>
              </w:rPr>
              <w:t>租赁和商务服务业</w:t>
            </w:r>
          </w:p>
        </w:tc>
        <w:tc>
          <w:tcPr>
            <w:tcW w:w="1368" w:type="dxa"/>
            <w:vAlign w:val="top"/>
          </w:tcPr>
          <w:p>
            <w:pPr>
              <w:pStyle w:val="22"/>
              <w:spacing w:before="156" w:line="261" w:lineRule="auto"/>
              <w:ind w:left="199" w:right="187" w:hanging="5"/>
              <w:rPr>
                <w:sz w:val="18"/>
                <w:szCs w:val="18"/>
              </w:rPr>
            </w:pPr>
            <w:r>
              <w:rPr>
                <w:spacing w:val="-2"/>
                <w:sz w:val="18"/>
                <w:szCs w:val="18"/>
              </w:rPr>
              <w:t>从业人员(X)</w:t>
            </w:r>
            <w:r>
              <w:rPr>
                <w:spacing w:val="3"/>
                <w:sz w:val="18"/>
                <w:szCs w:val="18"/>
              </w:rPr>
              <w:t xml:space="preserve"> </w:t>
            </w:r>
            <w:r>
              <w:rPr>
                <w:spacing w:val="-3"/>
                <w:sz w:val="18"/>
                <w:szCs w:val="18"/>
              </w:rPr>
              <w:t>资产总额(Z)</w:t>
            </w:r>
          </w:p>
        </w:tc>
        <w:tc>
          <w:tcPr>
            <w:tcW w:w="709" w:type="dxa"/>
            <w:vAlign w:val="top"/>
          </w:tcPr>
          <w:p>
            <w:pPr>
              <w:pStyle w:val="22"/>
              <w:spacing w:before="155" w:line="333" w:lineRule="exact"/>
              <w:ind w:left="268"/>
              <w:rPr>
                <w:sz w:val="18"/>
                <w:szCs w:val="18"/>
              </w:rPr>
            </w:pPr>
            <w:r>
              <w:rPr>
                <w:position w:val="11"/>
                <w:sz w:val="18"/>
                <w:szCs w:val="18"/>
              </w:rPr>
              <w:t>人</w:t>
            </w:r>
          </w:p>
          <w:p>
            <w:pPr>
              <w:pStyle w:val="22"/>
              <w:spacing w:line="180" w:lineRule="auto"/>
              <w:ind w:left="182"/>
              <w:rPr>
                <w:sz w:val="18"/>
                <w:szCs w:val="18"/>
              </w:rPr>
            </w:pPr>
            <w:r>
              <w:rPr>
                <w:spacing w:val="-6"/>
                <w:sz w:val="18"/>
                <w:szCs w:val="18"/>
              </w:rPr>
              <w:t>万元</w:t>
            </w:r>
          </w:p>
        </w:tc>
        <w:tc>
          <w:tcPr>
            <w:tcW w:w="1124" w:type="dxa"/>
            <w:vAlign w:val="top"/>
          </w:tcPr>
          <w:p>
            <w:pPr>
              <w:pStyle w:val="22"/>
              <w:spacing w:before="156" w:line="261" w:lineRule="auto"/>
              <w:ind w:left="159" w:right="153" w:firstLine="132"/>
              <w:rPr>
                <w:sz w:val="18"/>
                <w:szCs w:val="18"/>
              </w:rPr>
            </w:pPr>
            <w:r>
              <w:rPr>
                <w:spacing w:val="-1"/>
                <w:sz w:val="18"/>
                <w:szCs w:val="18"/>
              </w:rPr>
              <w:t>X≥300</w:t>
            </w:r>
            <w:r>
              <w:rPr>
                <w:sz w:val="18"/>
                <w:szCs w:val="18"/>
              </w:rPr>
              <w:t xml:space="preserve">  </w:t>
            </w:r>
            <w:r>
              <w:rPr>
                <w:spacing w:val="-1"/>
                <w:sz w:val="18"/>
                <w:szCs w:val="18"/>
              </w:rPr>
              <w:t>Z≥120000</w:t>
            </w:r>
          </w:p>
        </w:tc>
        <w:tc>
          <w:tcPr>
            <w:tcW w:w="1700" w:type="dxa"/>
            <w:vAlign w:val="top"/>
          </w:tcPr>
          <w:p>
            <w:pPr>
              <w:pStyle w:val="22"/>
              <w:spacing w:before="155" w:line="236" w:lineRule="auto"/>
              <w:ind w:left="319"/>
              <w:rPr>
                <w:sz w:val="18"/>
                <w:szCs w:val="18"/>
              </w:rPr>
            </w:pPr>
            <w:r>
              <w:rPr>
                <w:spacing w:val="-3"/>
                <w:sz w:val="18"/>
                <w:szCs w:val="18"/>
              </w:rPr>
              <w:t>100≤X＜300</w:t>
            </w:r>
          </w:p>
          <w:p>
            <w:pPr>
              <w:pStyle w:val="22"/>
              <w:spacing w:before="111" w:line="173" w:lineRule="auto"/>
              <w:ind w:left="224"/>
              <w:rPr>
                <w:sz w:val="18"/>
                <w:szCs w:val="18"/>
              </w:rPr>
            </w:pPr>
            <w:r>
              <w:rPr>
                <w:spacing w:val="-1"/>
                <w:sz w:val="18"/>
                <w:szCs w:val="18"/>
              </w:rPr>
              <w:t>8000≤Z＜120000</w:t>
            </w:r>
          </w:p>
        </w:tc>
        <w:tc>
          <w:tcPr>
            <w:tcW w:w="1425" w:type="dxa"/>
            <w:vAlign w:val="top"/>
          </w:tcPr>
          <w:p>
            <w:pPr>
              <w:pStyle w:val="22"/>
              <w:spacing w:before="156" w:line="261" w:lineRule="auto"/>
              <w:ind w:left="236" w:right="122" w:firstLine="91"/>
              <w:rPr>
                <w:sz w:val="18"/>
                <w:szCs w:val="18"/>
              </w:rPr>
            </w:pPr>
            <w:r>
              <w:rPr>
                <w:spacing w:val="-3"/>
                <w:sz w:val="18"/>
                <w:szCs w:val="18"/>
              </w:rPr>
              <w:t>10≤X＜100</w:t>
            </w:r>
            <w:r>
              <w:rPr>
                <w:sz w:val="18"/>
                <w:szCs w:val="18"/>
              </w:rPr>
              <w:t xml:space="preserve">  </w:t>
            </w:r>
            <w:r>
              <w:rPr>
                <w:spacing w:val="-2"/>
                <w:sz w:val="18"/>
                <w:szCs w:val="18"/>
              </w:rPr>
              <w:t>100≤Z＜8000</w:t>
            </w:r>
          </w:p>
        </w:tc>
        <w:tc>
          <w:tcPr>
            <w:tcW w:w="996" w:type="dxa"/>
            <w:vAlign w:val="top"/>
          </w:tcPr>
          <w:p>
            <w:pPr>
              <w:pStyle w:val="22"/>
              <w:spacing w:before="155" w:line="333" w:lineRule="exact"/>
              <w:ind w:left="274"/>
              <w:rPr>
                <w:sz w:val="18"/>
                <w:szCs w:val="18"/>
              </w:rPr>
            </w:pPr>
            <w:r>
              <w:rPr>
                <w:spacing w:val="-1"/>
                <w:position w:val="12"/>
                <w:sz w:val="18"/>
                <w:szCs w:val="18"/>
              </w:rPr>
              <w:t>X＜10</w:t>
            </w:r>
          </w:p>
          <w:p>
            <w:pPr>
              <w:pStyle w:val="22"/>
              <w:spacing w:line="180" w:lineRule="auto"/>
              <w:ind w:left="232"/>
              <w:rPr>
                <w:sz w:val="18"/>
                <w:szCs w:val="18"/>
              </w:rPr>
            </w:pPr>
            <w:r>
              <w:rPr>
                <w:spacing w:val="-2"/>
                <w:sz w:val="18"/>
                <w:szCs w:val="18"/>
              </w:rPr>
              <w:t>Z＜100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2117" w:type="dxa"/>
            <w:vAlign w:val="top"/>
          </w:tcPr>
          <w:p>
            <w:pPr>
              <w:pStyle w:val="22"/>
              <w:spacing w:before="156" w:line="177" w:lineRule="auto"/>
              <w:ind w:left="116"/>
              <w:rPr>
                <w:sz w:val="18"/>
                <w:szCs w:val="18"/>
              </w:rPr>
            </w:pPr>
            <w:r>
              <w:rPr>
                <w:spacing w:val="-1"/>
                <w:sz w:val="18"/>
                <w:szCs w:val="18"/>
              </w:rPr>
              <w:t>其他未列明行业 *</w:t>
            </w:r>
          </w:p>
        </w:tc>
        <w:tc>
          <w:tcPr>
            <w:tcW w:w="1368" w:type="dxa"/>
            <w:vAlign w:val="top"/>
          </w:tcPr>
          <w:p>
            <w:pPr>
              <w:pStyle w:val="22"/>
              <w:spacing w:before="156" w:line="177" w:lineRule="auto"/>
              <w:ind w:left="194"/>
              <w:rPr>
                <w:sz w:val="18"/>
                <w:szCs w:val="18"/>
              </w:rPr>
            </w:pPr>
            <w:r>
              <w:rPr>
                <w:spacing w:val="-2"/>
                <w:sz w:val="18"/>
                <w:szCs w:val="18"/>
              </w:rPr>
              <w:t>从业人员(X)</w:t>
            </w:r>
          </w:p>
        </w:tc>
        <w:tc>
          <w:tcPr>
            <w:tcW w:w="709" w:type="dxa"/>
            <w:vAlign w:val="top"/>
          </w:tcPr>
          <w:p>
            <w:pPr>
              <w:pStyle w:val="22"/>
              <w:spacing w:before="156" w:line="177" w:lineRule="auto"/>
              <w:ind w:left="268"/>
              <w:rPr>
                <w:sz w:val="18"/>
                <w:szCs w:val="18"/>
              </w:rPr>
            </w:pPr>
            <w:r>
              <w:rPr>
                <w:sz w:val="18"/>
                <w:szCs w:val="18"/>
              </w:rPr>
              <w:t>人</w:t>
            </w:r>
          </w:p>
        </w:tc>
        <w:tc>
          <w:tcPr>
            <w:tcW w:w="1124" w:type="dxa"/>
            <w:vAlign w:val="top"/>
          </w:tcPr>
          <w:p>
            <w:pPr>
              <w:pStyle w:val="22"/>
              <w:spacing w:before="156" w:line="177" w:lineRule="auto"/>
              <w:ind w:left="292"/>
              <w:rPr>
                <w:sz w:val="18"/>
                <w:szCs w:val="18"/>
              </w:rPr>
            </w:pPr>
            <w:r>
              <w:rPr>
                <w:spacing w:val="-1"/>
                <w:sz w:val="18"/>
                <w:szCs w:val="18"/>
              </w:rPr>
              <w:t>X≥300</w:t>
            </w:r>
          </w:p>
        </w:tc>
        <w:tc>
          <w:tcPr>
            <w:tcW w:w="1700" w:type="dxa"/>
            <w:vAlign w:val="top"/>
          </w:tcPr>
          <w:p>
            <w:pPr>
              <w:pStyle w:val="22"/>
              <w:spacing w:before="156" w:line="177" w:lineRule="auto"/>
              <w:ind w:left="319"/>
              <w:rPr>
                <w:sz w:val="18"/>
                <w:szCs w:val="18"/>
              </w:rPr>
            </w:pPr>
            <w:r>
              <w:rPr>
                <w:spacing w:val="-3"/>
                <w:sz w:val="18"/>
                <w:szCs w:val="18"/>
              </w:rPr>
              <w:t>100≤X＜300</w:t>
            </w:r>
          </w:p>
        </w:tc>
        <w:tc>
          <w:tcPr>
            <w:tcW w:w="1425" w:type="dxa"/>
            <w:vAlign w:val="top"/>
          </w:tcPr>
          <w:p>
            <w:pPr>
              <w:pStyle w:val="22"/>
              <w:spacing w:before="156" w:line="177" w:lineRule="auto"/>
              <w:ind w:left="327"/>
              <w:rPr>
                <w:sz w:val="18"/>
                <w:szCs w:val="18"/>
              </w:rPr>
            </w:pPr>
            <w:r>
              <w:rPr>
                <w:spacing w:val="-3"/>
                <w:sz w:val="18"/>
                <w:szCs w:val="18"/>
              </w:rPr>
              <w:t>10≤X＜100</w:t>
            </w:r>
          </w:p>
        </w:tc>
        <w:tc>
          <w:tcPr>
            <w:tcW w:w="996" w:type="dxa"/>
            <w:vAlign w:val="top"/>
          </w:tcPr>
          <w:p>
            <w:pPr>
              <w:pStyle w:val="22"/>
              <w:spacing w:before="156" w:line="177" w:lineRule="auto"/>
              <w:ind w:left="274"/>
              <w:rPr>
                <w:sz w:val="18"/>
                <w:szCs w:val="18"/>
              </w:rPr>
            </w:pPr>
            <w:r>
              <w:rPr>
                <w:spacing w:val="-1"/>
                <w:sz w:val="18"/>
                <w:szCs w:val="18"/>
              </w:rPr>
              <w:t>X＜10</w:t>
            </w:r>
          </w:p>
        </w:tc>
      </w:tr>
    </w:tbl>
    <w:p>
      <w:pPr>
        <w:pStyle w:val="2"/>
      </w:pPr>
    </w:p>
    <w:p>
      <w:pPr>
        <w:sectPr>
          <w:footerReference r:id="rId24" w:type="default"/>
          <w:pgSz w:w="11906" w:h="16839"/>
          <w:pgMar w:top="1431" w:right="1231" w:bottom="1157" w:left="1230" w:header="0" w:footer="992" w:gutter="0"/>
          <w:pgNumType w:fmt="decimal"/>
          <w:cols w:space="720" w:num="1"/>
        </w:sectPr>
      </w:pPr>
    </w:p>
    <w:p>
      <w:pPr>
        <w:spacing w:before="111" w:line="228" w:lineRule="auto"/>
        <w:ind w:left="4"/>
        <w:rPr>
          <w:rFonts w:ascii="宋体" w:hAnsi="宋体" w:eastAsia="宋体" w:cs="宋体"/>
          <w:sz w:val="22"/>
          <w:szCs w:val="22"/>
        </w:rPr>
      </w:pPr>
      <w:r>
        <w:rPr>
          <w:rFonts w:ascii="宋体" w:hAnsi="宋体" w:eastAsia="宋体" w:cs="宋体"/>
          <w:spacing w:val="2"/>
          <w:sz w:val="22"/>
          <w:szCs w:val="22"/>
        </w:rPr>
        <w:t>说明：</w:t>
      </w:r>
    </w:p>
    <w:p>
      <w:pPr>
        <w:spacing w:before="208" w:line="483" w:lineRule="exact"/>
        <w:ind w:right="2"/>
        <w:jc w:val="right"/>
        <w:rPr>
          <w:rFonts w:ascii="宋体" w:hAnsi="宋体" w:eastAsia="宋体" w:cs="宋体"/>
          <w:sz w:val="22"/>
          <w:szCs w:val="22"/>
        </w:rPr>
      </w:pPr>
      <w:r>
        <w:rPr>
          <w:rFonts w:ascii="宋体" w:hAnsi="宋体" w:eastAsia="宋体" w:cs="宋体"/>
          <w:spacing w:val="9"/>
          <w:position w:val="19"/>
          <w:sz w:val="22"/>
          <w:szCs w:val="22"/>
        </w:rPr>
        <w:t>1、大型、中型和小型企业须同时满足所列指标的下限，否则下划</w:t>
      </w:r>
      <w:r>
        <w:rPr>
          <w:rFonts w:ascii="宋体" w:hAnsi="宋体" w:eastAsia="宋体" w:cs="宋体"/>
          <w:spacing w:val="8"/>
          <w:position w:val="19"/>
          <w:sz w:val="22"/>
          <w:szCs w:val="22"/>
        </w:rPr>
        <w:t>一档；微型企业只须</w:t>
      </w:r>
    </w:p>
    <w:p>
      <w:pPr>
        <w:spacing w:line="227" w:lineRule="auto"/>
        <w:ind w:left="1"/>
        <w:rPr>
          <w:rFonts w:ascii="宋体" w:hAnsi="宋体" w:eastAsia="宋体" w:cs="宋体"/>
          <w:sz w:val="22"/>
          <w:szCs w:val="22"/>
        </w:rPr>
      </w:pPr>
      <w:r>
        <w:rPr>
          <w:rFonts w:ascii="宋体" w:hAnsi="宋体" w:eastAsia="宋体" w:cs="宋体"/>
          <w:spacing w:val="8"/>
          <w:sz w:val="22"/>
          <w:szCs w:val="22"/>
        </w:rPr>
        <w:t>满足所列指标中的一项即可。</w:t>
      </w:r>
    </w:p>
    <w:p>
      <w:pPr>
        <w:spacing w:before="210" w:line="404" w:lineRule="auto"/>
        <w:ind w:firstLine="465"/>
        <w:rPr>
          <w:rFonts w:ascii="宋体" w:hAnsi="宋体" w:eastAsia="宋体" w:cs="宋体"/>
          <w:sz w:val="22"/>
          <w:szCs w:val="22"/>
        </w:rPr>
      </w:pPr>
      <w:r>
        <w:rPr>
          <w:rFonts w:ascii="宋体" w:hAnsi="宋体" w:eastAsia="宋体" w:cs="宋体"/>
          <w:spacing w:val="8"/>
          <w:sz w:val="22"/>
          <w:szCs w:val="22"/>
        </w:rPr>
        <w:t>2、附表中各行业的范围以《国民经济行业分类》（</w:t>
      </w:r>
      <w:r>
        <w:rPr>
          <w:rFonts w:ascii="宋体" w:hAnsi="宋体" w:eastAsia="宋体" w:cs="宋体"/>
          <w:sz w:val="22"/>
          <w:szCs w:val="22"/>
        </w:rPr>
        <w:t>GB</w:t>
      </w:r>
      <w:r>
        <w:rPr>
          <w:rFonts w:ascii="宋体" w:hAnsi="宋体" w:eastAsia="宋体" w:cs="宋体"/>
          <w:spacing w:val="8"/>
          <w:sz w:val="22"/>
          <w:szCs w:val="22"/>
        </w:rPr>
        <w:t>/T4754-2017）为准。带*的项为</w:t>
      </w:r>
      <w:r>
        <w:rPr>
          <w:rFonts w:ascii="宋体" w:hAnsi="宋体" w:eastAsia="宋体" w:cs="宋体"/>
          <w:spacing w:val="6"/>
          <w:sz w:val="22"/>
          <w:szCs w:val="22"/>
        </w:rPr>
        <w:t xml:space="preserve"> </w:t>
      </w:r>
      <w:r>
        <w:rPr>
          <w:rFonts w:ascii="宋体" w:hAnsi="宋体" w:eastAsia="宋体" w:cs="宋体"/>
          <w:spacing w:val="11"/>
          <w:sz w:val="22"/>
          <w:szCs w:val="22"/>
        </w:rPr>
        <w:t>行业组合类别，其中，工业包括采矿业，制造业，</w:t>
      </w:r>
      <w:r>
        <w:rPr>
          <w:rFonts w:ascii="宋体" w:hAnsi="宋体" w:eastAsia="宋体" w:cs="宋体"/>
          <w:spacing w:val="-64"/>
          <w:sz w:val="22"/>
          <w:szCs w:val="22"/>
        </w:rPr>
        <w:t xml:space="preserve"> </w:t>
      </w:r>
      <w:r>
        <w:rPr>
          <w:rFonts w:ascii="宋体" w:hAnsi="宋体" w:eastAsia="宋体" w:cs="宋体"/>
          <w:spacing w:val="11"/>
          <w:sz w:val="22"/>
          <w:szCs w:val="22"/>
        </w:rPr>
        <w:t>电力、热力、燃气及水生产</w:t>
      </w:r>
      <w:r>
        <w:rPr>
          <w:rFonts w:ascii="宋体" w:hAnsi="宋体" w:eastAsia="宋体" w:cs="宋体"/>
          <w:spacing w:val="10"/>
          <w:sz w:val="22"/>
          <w:szCs w:val="22"/>
        </w:rPr>
        <w:t>和供应业；</w:t>
      </w:r>
      <w:r>
        <w:rPr>
          <w:rFonts w:ascii="宋体" w:hAnsi="宋体" w:eastAsia="宋体" w:cs="宋体"/>
          <w:sz w:val="22"/>
          <w:szCs w:val="22"/>
        </w:rPr>
        <w:t xml:space="preserve"> </w:t>
      </w:r>
      <w:r>
        <w:rPr>
          <w:rFonts w:ascii="宋体" w:hAnsi="宋体" w:eastAsia="宋体" w:cs="宋体"/>
          <w:spacing w:val="12"/>
          <w:sz w:val="22"/>
          <w:szCs w:val="22"/>
        </w:rPr>
        <w:t>交通运输业包括道路运输业，水上运输业，航空运输业，管道运输业，多式联运和运输代</w:t>
      </w:r>
      <w:r>
        <w:rPr>
          <w:rFonts w:ascii="宋体" w:hAnsi="宋体" w:eastAsia="宋体" w:cs="宋体"/>
          <w:spacing w:val="15"/>
          <w:sz w:val="22"/>
          <w:szCs w:val="22"/>
        </w:rPr>
        <w:t xml:space="preserve"> </w:t>
      </w:r>
      <w:r>
        <w:rPr>
          <w:rFonts w:ascii="宋体" w:hAnsi="宋体" w:eastAsia="宋体" w:cs="宋体"/>
          <w:spacing w:val="12"/>
          <w:sz w:val="22"/>
          <w:szCs w:val="22"/>
        </w:rPr>
        <w:t>理业、装卸搬运，不包括铁路运输业；仓储业包括通用仓储，低温仓储，危险品仓储，谷</w:t>
      </w:r>
      <w:r>
        <w:rPr>
          <w:rFonts w:ascii="宋体" w:hAnsi="宋体" w:eastAsia="宋体" w:cs="宋体"/>
          <w:spacing w:val="15"/>
          <w:sz w:val="22"/>
          <w:szCs w:val="22"/>
        </w:rPr>
        <w:t xml:space="preserve"> </w:t>
      </w:r>
      <w:r>
        <w:rPr>
          <w:rFonts w:ascii="宋体" w:hAnsi="宋体" w:eastAsia="宋体" w:cs="宋体"/>
          <w:spacing w:val="8"/>
          <w:sz w:val="22"/>
          <w:szCs w:val="22"/>
        </w:rPr>
        <w:t>物、棉花等农产品仓储，中药材仓储和其他仓储业</w:t>
      </w:r>
      <w:r>
        <w:rPr>
          <w:rFonts w:ascii="宋体" w:hAnsi="宋体" w:eastAsia="宋体" w:cs="宋体"/>
          <w:spacing w:val="-55"/>
          <w:sz w:val="22"/>
          <w:szCs w:val="22"/>
        </w:rPr>
        <w:t xml:space="preserve"> </w:t>
      </w:r>
      <w:r>
        <w:rPr>
          <w:rFonts w:ascii="宋体" w:hAnsi="宋体" w:eastAsia="宋体" w:cs="宋体"/>
          <w:spacing w:val="8"/>
          <w:sz w:val="22"/>
          <w:szCs w:val="22"/>
        </w:rPr>
        <w:t>;信息传输业包括电信、广播电视和卫星</w:t>
      </w:r>
      <w:r>
        <w:rPr>
          <w:rFonts w:ascii="宋体" w:hAnsi="宋体" w:eastAsia="宋体" w:cs="宋体"/>
          <w:sz w:val="22"/>
          <w:szCs w:val="22"/>
        </w:rPr>
        <w:t xml:space="preserve"> </w:t>
      </w:r>
      <w:r>
        <w:rPr>
          <w:rFonts w:ascii="宋体" w:hAnsi="宋体" w:eastAsia="宋体" w:cs="宋体"/>
          <w:spacing w:val="12"/>
          <w:sz w:val="22"/>
          <w:szCs w:val="22"/>
        </w:rPr>
        <w:t>传输服务，互联网和相关服务；其他未列明行业包括科学研究和技术服务业，水利、环境</w:t>
      </w:r>
      <w:r>
        <w:rPr>
          <w:rFonts w:ascii="宋体" w:hAnsi="宋体" w:eastAsia="宋体" w:cs="宋体"/>
          <w:spacing w:val="15"/>
          <w:sz w:val="22"/>
          <w:szCs w:val="22"/>
        </w:rPr>
        <w:t xml:space="preserve"> </w:t>
      </w:r>
      <w:r>
        <w:rPr>
          <w:rFonts w:ascii="宋体" w:hAnsi="宋体" w:eastAsia="宋体" w:cs="宋体"/>
          <w:spacing w:val="11"/>
          <w:sz w:val="22"/>
          <w:szCs w:val="22"/>
        </w:rPr>
        <w:t>和公共设施管理业，居民服务、修理和其他服务业，社会工作，文化、体育和娱乐业，</w:t>
      </w:r>
      <w:r>
        <w:rPr>
          <w:rFonts w:ascii="宋体" w:hAnsi="宋体" w:eastAsia="宋体" w:cs="宋体"/>
          <w:spacing w:val="-56"/>
          <w:sz w:val="22"/>
          <w:szCs w:val="22"/>
        </w:rPr>
        <w:t xml:space="preserve"> </w:t>
      </w:r>
      <w:r>
        <w:rPr>
          <w:rFonts w:ascii="宋体" w:hAnsi="宋体" w:eastAsia="宋体" w:cs="宋体"/>
          <w:spacing w:val="11"/>
          <w:sz w:val="22"/>
          <w:szCs w:val="22"/>
        </w:rPr>
        <w:t>以</w:t>
      </w:r>
    </w:p>
    <w:p>
      <w:pPr>
        <w:spacing w:before="1" w:line="226" w:lineRule="auto"/>
        <w:rPr>
          <w:rFonts w:ascii="宋体" w:hAnsi="宋体" w:eastAsia="宋体" w:cs="宋体"/>
          <w:sz w:val="22"/>
          <w:szCs w:val="22"/>
        </w:rPr>
      </w:pPr>
      <w:r>
        <w:rPr>
          <w:rFonts w:ascii="宋体" w:hAnsi="宋体" w:eastAsia="宋体" w:cs="宋体"/>
          <w:spacing w:val="9"/>
          <w:sz w:val="22"/>
          <w:szCs w:val="22"/>
        </w:rPr>
        <w:t>及房地产中介服务，其他房地产业等，不包括自有房地产经营活动。</w:t>
      </w:r>
    </w:p>
    <w:p>
      <w:pPr>
        <w:spacing w:before="212" w:line="404" w:lineRule="auto"/>
        <w:ind w:firstLine="471"/>
        <w:rPr>
          <w:rFonts w:ascii="宋体" w:hAnsi="宋体" w:eastAsia="宋体" w:cs="宋体"/>
          <w:sz w:val="22"/>
          <w:szCs w:val="22"/>
        </w:rPr>
      </w:pPr>
      <w:r>
        <w:rPr>
          <w:rFonts w:ascii="宋体" w:hAnsi="宋体" w:eastAsia="宋体" w:cs="宋体"/>
          <w:spacing w:val="12"/>
          <w:sz w:val="22"/>
          <w:szCs w:val="22"/>
        </w:rPr>
        <w:t>3、企业划分指标以现行统计制度为准。（1）从业人员，是指期末从业人员数</w:t>
      </w:r>
      <w:r>
        <w:rPr>
          <w:rFonts w:ascii="宋体" w:hAnsi="宋体" w:eastAsia="宋体" w:cs="宋体"/>
          <w:spacing w:val="11"/>
          <w:sz w:val="22"/>
          <w:szCs w:val="22"/>
        </w:rPr>
        <w:t>，没有</w:t>
      </w:r>
      <w:r>
        <w:rPr>
          <w:rFonts w:ascii="宋体" w:hAnsi="宋体" w:eastAsia="宋体" w:cs="宋体"/>
          <w:sz w:val="22"/>
          <w:szCs w:val="22"/>
        </w:rPr>
        <w:t xml:space="preserve"> </w:t>
      </w:r>
      <w:r>
        <w:rPr>
          <w:rFonts w:ascii="宋体" w:hAnsi="宋体" w:eastAsia="宋体" w:cs="宋体"/>
          <w:spacing w:val="9"/>
          <w:sz w:val="22"/>
          <w:szCs w:val="22"/>
        </w:rPr>
        <w:t>期末从业人员数的，采用全年平均人员数代替。（2）营业收入，工业、建筑业、限额以上</w:t>
      </w:r>
      <w:r>
        <w:rPr>
          <w:rFonts w:ascii="宋体" w:hAnsi="宋体" w:eastAsia="宋体" w:cs="宋体"/>
          <w:spacing w:val="12"/>
          <w:sz w:val="22"/>
          <w:szCs w:val="22"/>
        </w:rPr>
        <w:t xml:space="preserve"> 批发和零售业、限额以上住宿和餐饮业以及其他设置主营业务收入指标的行业，采用主营</w:t>
      </w:r>
      <w:r>
        <w:rPr>
          <w:rFonts w:ascii="宋体" w:hAnsi="宋体" w:eastAsia="宋体" w:cs="宋体"/>
          <w:spacing w:val="14"/>
          <w:sz w:val="22"/>
          <w:szCs w:val="22"/>
        </w:rPr>
        <w:t xml:space="preserve"> </w:t>
      </w:r>
      <w:r>
        <w:rPr>
          <w:rFonts w:ascii="宋体" w:hAnsi="宋体" w:eastAsia="宋体" w:cs="宋体"/>
          <w:spacing w:val="12"/>
          <w:sz w:val="22"/>
          <w:szCs w:val="22"/>
        </w:rPr>
        <w:t>业务收入；限额以下批发与零售业企业采用商品销售额代替；限额以下住宿与餐饮业企业</w:t>
      </w:r>
      <w:r>
        <w:rPr>
          <w:rFonts w:ascii="宋体" w:hAnsi="宋体" w:eastAsia="宋体" w:cs="宋体"/>
          <w:spacing w:val="14"/>
          <w:sz w:val="22"/>
          <w:szCs w:val="22"/>
        </w:rPr>
        <w:t xml:space="preserve"> </w:t>
      </w:r>
      <w:r>
        <w:rPr>
          <w:rFonts w:ascii="宋体" w:hAnsi="宋体" w:eastAsia="宋体" w:cs="宋体"/>
          <w:spacing w:val="12"/>
          <w:sz w:val="22"/>
          <w:szCs w:val="22"/>
        </w:rPr>
        <w:t>采用营业额代替；农、林、牧、渔业企业采用营业总收入代替；其他未设置主营业务收入</w:t>
      </w:r>
    </w:p>
    <w:p>
      <w:pPr>
        <w:spacing w:before="1" w:line="226" w:lineRule="auto"/>
        <w:ind w:left="20"/>
        <w:rPr>
          <w:rFonts w:ascii="宋体" w:hAnsi="宋体" w:eastAsia="宋体" w:cs="宋体"/>
          <w:sz w:val="22"/>
          <w:szCs w:val="22"/>
        </w:rPr>
      </w:pPr>
      <w:r>
        <w:rPr>
          <w:rFonts w:ascii="宋体" w:hAnsi="宋体" w:eastAsia="宋体" w:cs="宋体"/>
          <w:spacing w:val="8"/>
          <w:sz w:val="22"/>
          <w:szCs w:val="22"/>
        </w:rPr>
        <w:t>的行业，采用营业收入指标。（3）资产总额，采用资产总计代替。</w:t>
      </w:r>
    </w:p>
    <w:p>
      <w:pPr>
        <w:spacing w:line="226" w:lineRule="auto"/>
        <w:rPr>
          <w:rFonts w:ascii="宋体" w:hAnsi="宋体" w:eastAsia="宋体" w:cs="宋体"/>
          <w:sz w:val="22"/>
          <w:szCs w:val="22"/>
        </w:rPr>
        <w:sectPr>
          <w:footerReference r:id="rId25" w:type="default"/>
          <w:pgSz w:w="11906" w:h="16839"/>
          <w:pgMar w:top="1431" w:right="1416" w:bottom="1157" w:left="1423" w:header="0" w:footer="992" w:gutter="0"/>
          <w:pgNumType w:fmt="decimal"/>
          <w:cols w:space="720" w:num="1"/>
        </w:sectPr>
      </w:pPr>
    </w:p>
    <w:p>
      <w:pPr>
        <w:spacing w:before="148" w:line="222" w:lineRule="auto"/>
        <w:ind w:left="2295"/>
        <w:outlineLvl w:val="9"/>
        <w:rPr>
          <w:rFonts w:ascii="黑体" w:hAnsi="黑体" w:eastAsia="黑体" w:cs="黑体"/>
          <w:sz w:val="31"/>
          <w:szCs w:val="31"/>
        </w:rPr>
      </w:pPr>
      <w:r>
        <w:rPr>
          <w:rFonts w:ascii="黑体" w:hAnsi="黑体" w:eastAsia="黑体" w:cs="黑体"/>
          <w:spacing w:val="9"/>
          <w:sz w:val="31"/>
          <w:szCs w:val="31"/>
          <w14:textOutline w14:w="5793" w14:cap="sq" w14:cmpd="sng">
            <w14:solidFill>
              <w14:srgbClr w14:val="000000"/>
            </w14:solidFill>
            <w14:prstDash w14:val="solid"/>
            <w14:bevel/>
          </w14:textOutline>
        </w:rPr>
        <w:t>十一、残疾人福利性单位声明函</w:t>
      </w:r>
    </w:p>
    <w:p>
      <w:pPr>
        <w:pStyle w:val="2"/>
        <w:spacing w:line="295" w:lineRule="auto"/>
        <w:outlineLvl w:val="9"/>
      </w:pPr>
    </w:p>
    <w:p>
      <w:pPr>
        <w:pStyle w:val="2"/>
        <w:spacing w:line="295" w:lineRule="auto"/>
      </w:pPr>
    </w:p>
    <w:p>
      <w:pPr>
        <w:pStyle w:val="2"/>
        <w:spacing w:line="296" w:lineRule="auto"/>
      </w:pPr>
    </w:p>
    <w:p>
      <w:pPr>
        <w:spacing w:before="78" w:line="370" w:lineRule="auto"/>
        <w:ind w:firstLine="481"/>
        <w:jc w:val="both"/>
        <w:rPr>
          <w:rFonts w:ascii="宋体" w:hAnsi="宋体" w:eastAsia="宋体" w:cs="宋体"/>
          <w:sz w:val="24"/>
          <w:szCs w:val="24"/>
        </w:rPr>
      </w:pPr>
      <w:r>
        <w:rPr>
          <w:rFonts w:ascii="宋体" w:hAnsi="宋体" w:eastAsia="宋体" w:cs="宋体"/>
          <w:spacing w:val="-4"/>
          <w:sz w:val="24"/>
          <w:szCs w:val="24"/>
        </w:rPr>
        <w:t>本单位郑重声明，根据《财政部</w:t>
      </w:r>
      <w:r>
        <w:rPr>
          <w:rFonts w:ascii="宋体" w:hAnsi="宋体" w:eastAsia="宋体" w:cs="宋体"/>
          <w:spacing w:val="48"/>
          <w:sz w:val="24"/>
          <w:szCs w:val="24"/>
        </w:rPr>
        <w:t xml:space="preserve"> </w:t>
      </w:r>
      <w:r>
        <w:rPr>
          <w:rFonts w:ascii="宋体" w:hAnsi="宋体" w:eastAsia="宋体" w:cs="宋体"/>
          <w:spacing w:val="-4"/>
          <w:sz w:val="24"/>
          <w:szCs w:val="24"/>
        </w:rPr>
        <w:t>民政部</w:t>
      </w:r>
      <w:r>
        <w:rPr>
          <w:rFonts w:ascii="宋体" w:hAnsi="宋体" w:eastAsia="宋体" w:cs="宋体"/>
          <w:spacing w:val="32"/>
          <w:sz w:val="24"/>
          <w:szCs w:val="24"/>
        </w:rPr>
        <w:t xml:space="preserve"> </w:t>
      </w:r>
      <w:r>
        <w:rPr>
          <w:rFonts w:ascii="宋体" w:hAnsi="宋体" w:eastAsia="宋体" w:cs="宋体"/>
          <w:spacing w:val="-4"/>
          <w:sz w:val="24"/>
          <w:szCs w:val="24"/>
        </w:rPr>
        <w:t>中国残疾人联合会关于促进残疾人就业政</w:t>
      </w:r>
      <w:r>
        <w:rPr>
          <w:rFonts w:ascii="宋体" w:hAnsi="宋体" w:eastAsia="宋体" w:cs="宋体"/>
          <w:sz w:val="24"/>
          <w:szCs w:val="24"/>
        </w:rPr>
        <w:t xml:space="preserve"> 府采购政策的通知》（财库〔2017〕141</w:t>
      </w:r>
      <w:r>
        <w:rPr>
          <w:rFonts w:ascii="宋体" w:hAnsi="宋体" w:eastAsia="宋体" w:cs="宋体"/>
          <w:spacing w:val="-45"/>
          <w:sz w:val="24"/>
          <w:szCs w:val="24"/>
        </w:rPr>
        <w:t xml:space="preserve"> </w:t>
      </w:r>
      <w:r>
        <w:rPr>
          <w:rFonts w:ascii="宋体" w:hAnsi="宋体" w:eastAsia="宋体" w:cs="宋体"/>
          <w:sz w:val="24"/>
          <w:szCs w:val="24"/>
        </w:rPr>
        <w:t>号）的规定，本</w:t>
      </w:r>
      <w:r>
        <w:rPr>
          <w:rFonts w:ascii="宋体" w:hAnsi="宋体" w:eastAsia="宋体" w:cs="宋体"/>
          <w:spacing w:val="-1"/>
          <w:sz w:val="24"/>
          <w:szCs w:val="24"/>
        </w:rPr>
        <w:t>单位为符合条件的残疾人福利</w:t>
      </w:r>
      <w:r>
        <w:rPr>
          <w:rFonts w:ascii="宋体" w:hAnsi="宋体" w:eastAsia="宋体" w:cs="宋体"/>
          <w:sz w:val="24"/>
          <w:szCs w:val="24"/>
        </w:rPr>
        <w:t>性单位，且本单位参加</w:t>
      </w:r>
      <w:r>
        <w:rPr>
          <w:rFonts w:ascii="宋体" w:hAnsi="宋体" w:eastAsia="宋体" w:cs="宋体"/>
          <w:spacing w:val="-114"/>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z w:val="24"/>
          <w:szCs w:val="24"/>
        </w:rPr>
        <w:t>单位的</w:t>
      </w:r>
      <w:r>
        <w:rPr>
          <w:rFonts w:ascii="宋体" w:hAnsi="宋体" w:eastAsia="宋体" w:cs="宋体"/>
          <w:spacing w:val="-119"/>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z w:val="24"/>
          <w:szCs w:val="24"/>
        </w:rPr>
        <w:t xml:space="preserve">项目采购活动提供本单位制造的货 </w:t>
      </w:r>
      <w:r>
        <w:rPr>
          <w:rFonts w:ascii="宋体" w:hAnsi="宋体" w:eastAsia="宋体" w:cs="宋体"/>
          <w:spacing w:val="1"/>
          <w:sz w:val="24"/>
          <w:szCs w:val="24"/>
        </w:rPr>
        <w:t>物（由本单位承担工程/提供服务</w:t>
      </w:r>
      <w:r>
        <w:rPr>
          <w:rFonts w:ascii="宋体" w:hAnsi="宋体" w:eastAsia="宋体" w:cs="宋体"/>
          <w:spacing w:val="13"/>
          <w:sz w:val="24"/>
          <w:szCs w:val="24"/>
        </w:rPr>
        <w:t>），</w:t>
      </w:r>
      <w:r>
        <w:rPr>
          <w:rFonts w:ascii="宋体" w:hAnsi="宋体" w:eastAsia="宋体" w:cs="宋体"/>
          <w:spacing w:val="1"/>
          <w:sz w:val="24"/>
          <w:szCs w:val="24"/>
        </w:rPr>
        <w:t>或者提供其他残疾人福利性单位制造的货物（不</w:t>
      </w:r>
    </w:p>
    <w:p>
      <w:pPr>
        <w:spacing w:line="218" w:lineRule="auto"/>
        <w:ind w:left="1"/>
        <w:rPr>
          <w:rFonts w:ascii="宋体" w:hAnsi="宋体" w:eastAsia="宋体" w:cs="宋体"/>
          <w:sz w:val="24"/>
          <w:szCs w:val="24"/>
        </w:rPr>
      </w:pPr>
      <w:r>
        <w:rPr>
          <w:rFonts w:ascii="宋体" w:hAnsi="宋体" w:eastAsia="宋体" w:cs="宋体"/>
          <w:spacing w:val="-1"/>
          <w:sz w:val="24"/>
          <w:szCs w:val="24"/>
        </w:rPr>
        <w:t>包括使用非残疾人福利性单位注册商标的货物）。</w:t>
      </w:r>
    </w:p>
    <w:p>
      <w:pPr>
        <w:spacing w:before="197" w:line="219" w:lineRule="auto"/>
        <w:ind w:left="482"/>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pPr>
        <w:pStyle w:val="2"/>
        <w:spacing w:line="277" w:lineRule="auto"/>
      </w:pPr>
    </w:p>
    <w:p>
      <w:pPr>
        <w:pStyle w:val="2"/>
        <w:spacing w:line="277" w:lineRule="auto"/>
      </w:pPr>
    </w:p>
    <w:p>
      <w:pPr>
        <w:pStyle w:val="2"/>
        <w:spacing w:line="277" w:lineRule="auto"/>
      </w:pPr>
    </w:p>
    <w:p>
      <w:pPr>
        <w:pStyle w:val="2"/>
        <w:spacing w:line="277" w:lineRule="auto"/>
      </w:pPr>
    </w:p>
    <w:p>
      <w:pPr>
        <w:pStyle w:val="2"/>
        <w:spacing w:line="277" w:lineRule="auto"/>
      </w:pPr>
    </w:p>
    <w:p>
      <w:pPr>
        <w:spacing w:before="79" w:line="219" w:lineRule="auto"/>
        <w:ind w:left="4474"/>
        <w:rPr>
          <w:rFonts w:ascii="宋体" w:hAnsi="宋体" w:eastAsia="宋体" w:cs="宋体"/>
          <w:sz w:val="24"/>
          <w:szCs w:val="24"/>
        </w:rPr>
      </w:pPr>
      <w:r>
        <w:rPr>
          <w:rFonts w:ascii="宋体" w:hAnsi="宋体" w:eastAsia="宋体" w:cs="宋体"/>
          <w:spacing w:val="-2"/>
          <w:sz w:val="24"/>
          <w:szCs w:val="24"/>
        </w:rPr>
        <w:t>供应商（盖电子签章</w:t>
      </w:r>
      <w:r>
        <w:rPr>
          <w:rFonts w:ascii="宋体" w:hAnsi="宋体" w:eastAsia="宋体" w:cs="宋体"/>
          <w:spacing w:val="3"/>
          <w:sz w:val="24"/>
          <w:szCs w:val="24"/>
        </w:rPr>
        <w:t>）：</w:t>
      </w:r>
      <w:r>
        <w:rPr>
          <w:rFonts w:ascii="宋体" w:hAnsi="宋体" w:eastAsia="宋体" w:cs="宋体"/>
          <w:sz w:val="24"/>
          <w:szCs w:val="24"/>
          <w:u w:val="single" w:color="auto"/>
        </w:rPr>
        <w:t xml:space="preserve">                 </w:t>
      </w:r>
    </w:p>
    <w:p>
      <w:pPr>
        <w:pStyle w:val="2"/>
        <w:spacing w:line="436" w:lineRule="auto"/>
      </w:pPr>
    </w:p>
    <w:p>
      <w:pPr>
        <w:spacing w:before="79" w:line="220" w:lineRule="auto"/>
        <w:ind w:left="4518"/>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r>
        <w:rPr>
          <w:rFonts w:ascii="宋体" w:hAnsi="宋体" w:eastAsia="宋体" w:cs="宋体"/>
          <w:sz w:val="24"/>
          <w:szCs w:val="24"/>
        </w:rPr>
        <w:t xml:space="preserve"> </w:t>
      </w:r>
      <w:r>
        <w:rPr>
          <w:rFonts w:ascii="宋体" w:hAnsi="宋体" w:eastAsia="宋体" w:cs="宋体"/>
          <w:sz w:val="24"/>
          <w:szCs w:val="24"/>
          <w:u w:val="single" w:color="auto"/>
        </w:rPr>
        <w:t xml:space="preserve">         </w:t>
      </w: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50" w:lineRule="auto"/>
      </w:pPr>
    </w:p>
    <w:p>
      <w:pPr>
        <w:pStyle w:val="2"/>
        <w:spacing w:line="250" w:lineRule="auto"/>
      </w:pPr>
    </w:p>
    <w:p>
      <w:pPr>
        <w:spacing w:before="66" w:line="520" w:lineRule="exact"/>
        <w:rPr>
          <w:rFonts w:ascii="宋体" w:hAnsi="宋体" w:eastAsia="宋体" w:cs="宋体"/>
          <w:sz w:val="20"/>
          <w:szCs w:val="20"/>
        </w:rPr>
      </w:pPr>
      <w:r>
        <w:rPr>
          <w:rFonts w:ascii="宋体" w:hAnsi="宋体" w:eastAsia="宋体" w:cs="宋体"/>
          <w:spacing w:val="10"/>
          <w:position w:val="24"/>
          <w:sz w:val="20"/>
          <w:szCs w:val="20"/>
          <w14:textOutline w14:w="3795" w14:cap="sq" w14:cmpd="sng">
            <w14:solidFill>
              <w14:srgbClr w14:val="000000"/>
            </w14:solidFill>
            <w14:prstDash w14:val="solid"/>
            <w14:bevel/>
          </w14:textOutline>
        </w:rPr>
        <w:t>注：1、非残疾人福利性单位，请删除以上声明内容，该项只保留标题；</w:t>
      </w:r>
    </w:p>
    <w:p>
      <w:pPr>
        <w:spacing w:before="1" w:line="226" w:lineRule="auto"/>
        <w:ind w:left="422"/>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2、未填写本声明函的在评标过程中不予认可。</w:t>
      </w:r>
    </w:p>
    <w:p>
      <w:pPr>
        <w:spacing w:before="275" w:line="227" w:lineRule="auto"/>
        <w:ind w:left="424"/>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3、提供承诺函的同时即承担相应责任。</w:t>
      </w:r>
    </w:p>
    <w:p>
      <w:pPr>
        <w:spacing w:line="227" w:lineRule="auto"/>
        <w:rPr>
          <w:rFonts w:ascii="宋体" w:hAnsi="宋体" w:eastAsia="宋体" w:cs="宋体"/>
          <w:sz w:val="20"/>
          <w:szCs w:val="20"/>
        </w:rPr>
        <w:sectPr>
          <w:footerReference r:id="rId26" w:type="default"/>
          <w:pgSz w:w="11906" w:h="16839"/>
          <w:pgMar w:top="1431" w:right="1417" w:bottom="1157" w:left="1424" w:header="0" w:footer="992" w:gutter="0"/>
          <w:pgNumType w:fmt="decimal"/>
          <w:cols w:space="720" w:num="1"/>
        </w:sectPr>
      </w:pPr>
    </w:p>
    <w:p>
      <w:pPr>
        <w:spacing w:before="149" w:line="226" w:lineRule="auto"/>
        <w:ind w:left="2777"/>
        <w:outlineLvl w:val="9"/>
        <w:rPr>
          <w:rFonts w:ascii="黑体" w:hAnsi="黑体" w:eastAsia="黑体" w:cs="黑体"/>
          <w:sz w:val="31"/>
          <w:szCs w:val="31"/>
        </w:rPr>
      </w:pPr>
      <w:r>
        <w:rPr>
          <w:rFonts w:ascii="黑体" w:hAnsi="黑体" w:eastAsia="黑体" w:cs="黑体"/>
          <w:spacing w:val="9"/>
          <w:sz w:val="31"/>
          <w:szCs w:val="31"/>
          <w14:textOutline w14:w="5793" w14:cap="sq" w14:cmpd="sng">
            <w14:solidFill>
              <w14:srgbClr w14:val="000000"/>
            </w14:solidFill>
            <w14:prstDash w14:val="solid"/>
            <w14:bevel/>
          </w14:textOutline>
        </w:rPr>
        <w:t>十二、监狱企业证明文件</w:t>
      </w:r>
      <w:r>
        <w:rPr>
          <w:rFonts w:hint="eastAsia" w:ascii="黑体" w:hAnsi="黑体" w:eastAsia="黑体" w:cs="黑体"/>
          <w:spacing w:val="9"/>
          <w:sz w:val="31"/>
          <w:szCs w:val="31"/>
          <w:lang w:val="en-US" w:eastAsia="zh-CN"/>
          <w14:textOutline w14:w="5793" w14:cap="sq" w14:cmpd="sng">
            <w14:solidFill>
              <w14:srgbClr w14:val="000000"/>
            </w14:solidFill>
            <w14:prstDash w14:val="solid"/>
            <w14:bevel/>
          </w14:textOutline>
        </w:rPr>
        <w:t>（如有）</w:t>
      </w:r>
    </w:p>
    <w:p>
      <w:pPr>
        <w:pStyle w:val="2"/>
        <w:spacing w:line="398" w:lineRule="auto"/>
        <w:outlineLvl w:val="9"/>
      </w:pPr>
    </w:p>
    <w:p>
      <w:pPr>
        <w:spacing w:before="78" w:line="219" w:lineRule="auto"/>
        <w:ind w:left="3940"/>
        <w:outlineLvl w:val="9"/>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&lt;格式自拟&gt;</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spacing w:before="65" w:line="228" w:lineRule="auto"/>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注：1、非监狱企业，该项只保留标题；</w:t>
      </w:r>
    </w:p>
    <w:p>
      <w:pPr>
        <w:spacing w:before="232" w:line="480" w:lineRule="exact"/>
        <w:ind w:left="422"/>
        <w:rPr>
          <w:rFonts w:ascii="宋体" w:hAnsi="宋体" w:eastAsia="宋体" w:cs="宋体"/>
          <w:sz w:val="20"/>
          <w:szCs w:val="20"/>
        </w:rPr>
      </w:pPr>
      <w:r>
        <w:rPr>
          <w:rFonts w:ascii="宋体" w:hAnsi="宋体" w:eastAsia="宋体" w:cs="宋体"/>
          <w:spacing w:val="9"/>
          <w:position w:val="21"/>
          <w:sz w:val="20"/>
          <w:szCs w:val="20"/>
          <w14:textOutline w14:w="3795" w14:cap="sq" w14:cmpd="sng">
            <w14:solidFill>
              <w14:srgbClr w14:val="000000"/>
            </w14:solidFill>
            <w14:prstDash w14:val="solid"/>
            <w14:bevel/>
          </w14:textOutline>
        </w:rPr>
        <w:t>2、未填写本声明函的在评标过程中不予认可。</w:t>
      </w:r>
    </w:p>
    <w:p>
      <w:pPr>
        <w:spacing w:before="1" w:line="226" w:lineRule="auto"/>
        <w:ind w:left="424"/>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3、提供承诺函的同时即承担相应责任。</w:t>
      </w:r>
    </w:p>
    <w:p>
      <w:pPr>
        <w:spacing w:line="226" w:lineRule="auto"/>
        <w:rPr>
          <w:rFonts w:ascii="宋体" w:hAnsi="宋体" w:eastAsia="宋体" w:cs="宋体"/>
          <w:sz w:val="20"/>
          <w:szCs w:val="20"/>
        </w:rPr>
        <w:sectPr>
          <w:footerReference r:id="rId27" w:type="default"/>
          <w:pgSz w:w="11906" w:h="16839"/>
          <w:pgMar w:top="1431" w:right="1785" w:bottom="1157" w:left="1424" w:header="0" w:footer="992" w:gutter="0"/>
          <w:pgNumType w:fmt="decimal"/>
          <w:cols w:space="720" w:num="1"/>
        </w:sectPr>
      </w:pPr>
    </w:p>
    <w:p>
      <w:pPr>
        <w:pStyle w:val="2"/>
        <w:spacing w:line="305" w:lineRule="auto"/>
      </w:pPr>
    </w:p>
    <w:p>
      <w:pPr>
        <w:spacing w:before="101" w:line="226" w:lineRule="auto"/>
        <w:ind w:left="2255"/>
        <w:outlineLvl w:val="9"/>
        <w:rPr>
          <w:rFonts w:ascii="黑体" w:hAnsi="黑体" w:eastAsia="黑体" w:cs="黑体"/>
          <w:sz w:val="31"/>
          <w:szCs w:val="31"/>
        </w:rPr>
      </w:pPr>
      <w:r>
        <w:rPr>
          <w:rFonts w:ascii="黑体" w:hAnsi="黑体" w:eastAsia="黑体" w:cs="黑体"/>
          <w:spacing w:val="9"/>
          <w:sz w:val="31"/>
          <w:szCs w:val="31"/>
          <w14:textOutline w14:w="5793" w14:cap="sq" w14:cmpd="sng">
            <w14:solidFill>
              <w14:srgbClr w14:val="000000"/>
            </w14:solidFill>
            <w14:prstDash w14:val="solid"/>
            <w14:bevel/>
          </w14:textOutline>
        </w:rPr>
        <w:t>十三、商务评分项验证资料</w:t>
      </w:r>
    </w:p>
    <w:p>
      <w:pPr>
        <w:spacing w:line="226" w:lineRule="auto"/>
        <w:outlineLvl w:val="9"/>
        <w:rPr>
          <w:rFonts w:ascii="黑体" w:hAnsi="黑体" w:eastAsia="黑体" w:cs="黑体"/>
          <w:sz w:val="31"/>
          <w:szCs w:val="31"/>
        </w:rPr>
        <w:sectPr>
          <w:footerReference r:id="rId28" w:type="default"/>
          <w:pgSz w:w="11906" w:h="16839"/>
          <w:pgMar w:top="1431" w:right="1785" w:bottom="1157" w:left="1785" w:header="0" w:footer="992" w:gutter="0"/>
          <w:pgNumType w:fmt="decimal"/>
          <w:cols w:space="720" w:num="1"/>
        </w:sectPr>
      </w:pPr>
    </w:p>
    <w:p>
      <w:pPr>
        <w:spacing w:before="148" w:line="227" w:lineRule="auto"/>
        <w:ind w:left="2255"/>
        <w:outlineLvl w:val="9"/>
        <w:rPr>
          <w:rFonts w:ascii="黑体" w:hAnsi="黑体" w:eastAsia="黑体" w:cs="黑体"/>
          <w:sz w:val="31"/>
          <w:szCs w:val="31"/>
        </w:rPr>
      </w:pPr>
      <w:r>
        <w:rPr>
          <w:rFonts w:ascii="黑体" w:hAnsi="黑体" w:eastAsia="黑体" w:cs="黑体"/>
          <w:spacing w:val="9"/>
          <w:sz w:val="31"/>
          <w:szCs w:val="31"/>
          <w14:textOutline w14:w="5793" w14:cap="sq" w14:cmpd="sng">
            <w14:solidFill>
              <w14:srgbClr w14:val="000000"/>
            </w14:solidFill>
            <w14:prstDash w14:val="solid"/>
            <w14:bevel/>
          </w14:textOutline>
        </w:rPr>
        <w:t>十四、技术评分项验证资料</w:t>
      </w:r>
    </w:p>
    <w:p>
      <w:pPr>
        <w:spacing w:line="227" w:lineRule="auto"/>
        <w:outlineLvl w:val="9"/>
        <w:rPr>
          <w:rFonts w:ascii="黑体" w:hAnsi="黑体" w:eastAsia="黑体" w:cs="黑体"/>
          <w:sz w:val="31"/>
          <w:szCs w:val="31"/>
        </w:rPr>
        <w:sectPr>
          <w:footerReference r:id="rId29" w:type="default"/>
          <w:pgSz w:w="11906" w:h="16839"/>
          <w:pgMar w:top="1431" w:right="1785" w:bottom="960" w:left="1785" w:header="0" w:footer="795" w:gutter="0"/>
          <w:pgNumType w:fmt="decimal"/>
          <w:cols w:space="720" w:num="1"/>
        </w:sectPr>
      </w:pPr>
    </w:p>
    <w:p>
      <w:pPr>
        <w:spacing w:before="64" w:line="227" w:lineRule="auto"/>
        <w:ind w:firstLine="1320" w:firstLineChars="400"/>
        <w:outlineLvl w:val="9"/>
        <w:rPr>
          <w:rFonts w:hint="eastAsia" w:ascii="黑体" w:hAnsi="黑体" w:eastAsia="黑体" w:cs="黑体"/>
          <w:spacing w:val="10"/>
          <w:sz w:val="31"/>
          <w:szCs w:val="31"/>
          <w:lang w:val="en-US" w:eastAsia="zh-CN"/>
          <w14:textOutline w14:w="5793" w14:cap="sq" w14:cmpd="sng">
            <w14:solidFill>
              <w14:srgbClr w14:val="000000"/>
            </w14:solidFill>
            <w14:prstDash w14:val="solid"/>
            <w14:bevel/>
          </w14:textOutline>
        </w:rPr>
      </w:pPr>
      <w:r>
        <w:rPr>
          <w:rFonts w:hint="eastAsia" w:ascii="黑体" w:hAnsi="黑体" w:eastAsia="黑体" w:cs="黑体"/>
          <w:spacing w:val="10"/>
          <w:sz w:val="31"/>
          <w:szCs w:val="31"/>
          <w:lang w:val="en-US" w:eastAsia="zh-CN"/>
          <w14:textOutline w14:w="5793" w14:cap="sq" w14:cmpd="sng">
            <w14:solidFill>
              <w14:srgbClr w14:val="000000"/>
            </w14:solidFill>
            <w14:prstDash w14:val="solid"/>
            <w14:bevel/>
          </w14:textOutline>
        </w:rPr>
        <w:t>十</w:t>
      </w:r>
      <w:r>
        <w:rPr>
          <w:rFonts w:ascii="黑体" w:hAnsi="黑体" w:eastAsia="黑体" w:cs="黑体"/>
          <w:spacing w:val="10"/>
          <w:sz w:val="31"/>
          <w:szCs w:val="31"/>
          <w14:textOutline w14:w="5793" w14:cap="sq" w14:cmpd="sng">
            <w14:solidFill>
              <w14:srgbClr w14:val="000000"/>
            </w14:solidFill>
            <w14:prstDash w14:val="solid"/>
            <w14:bevel/>
          </w14:textOutline>
        </w:rPr>
        <w:t>五、磋商文件中规定的其他</w:t>
      </w:r>
      <w:bookmarkStart w:id="157" w:name="bookmark7"/>
      <w:bookmarkEnd w:id="157"/>
      <w:r>
        <w:rPr>
          <w:rFonts w:hint="eastAsia" w:ascii="黑体" w:hAnsi="黑体" w:eastAsia="黑体" w:cs="黑体"/>
          <w:spacing w:val="10"/>
          <w:sz w:val="31"/>
          <w:szCs w:val="31"/>
          <w:lang w:val="en-US" w:eastAsia="zh-CN"/>
          <w14:textOutline w14:w="5793" w14:cap="sq" w14:cmpd="sng">
            <w14:solidFill>
              <w14:srgbClr w14:val="000000"/>
            </w14:solidFill>
            <w14:prstDash w14:val="solid"/>
            <w14:bevel/>
          </w14:textOutline>
        </w:rPr>
        <w:t>资料</w:t>
      </w:r>
    </w:p>
    <w:p>
      <w:pPr>
        <w:bidi w:val="0"/>
        <w:rPr>
          <w:rFonts w:hint="eastAsia" w:ascii="Arial" w:hAnsi="Arial" w:eastAsia="Arial" w:cs="Arial"/>
          <w:snapToGrid w:val="0"/>
          <w:color w:val="000000"/>
          <w:kern w:val="0"/>
          <w:sz w:val="21"/>
          <w:szCs w:val="21"/>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请各供应商对公示的内容是否有倾向性、歧视性、排他性等提出建议。各潜在供应商对公示内容如有异议，请于公示期满后2个工作日内以书面形式向采购人和采购代理机构提出质疑(由法定代表人签字、盖章并加盖单位公章)，由法定代表人或其授权代表携带本人身份证件提交（邮寄、传真件不予受理）。逾期未提交或未按照要求提交的质疑函将不予受理。</w:t>
      </w:r>
    </w:p>
    <w:p>
      <w:pPr>
        <w:bidi w:val="0"/>
        <w:rPr>
          <w:rFonts w:hint="eastAsia"/>
          <w:lang w:val="en-US" w:eastAsia="zh-CN"/>
        </w:rPr>
      </w:pPr>
    </w:p>
    <w:p>
      <w:pPr>
        <w:bidi w:val="0"/>
        <w:rPr>
          <w:rFonts w:hint="eastAsia"/>
          <w:lang w:val="en-US" w:eastAsia="zh-CN"/>
        </w:rPr>
      </w:pPr>
    </w:p>
    <w:p>
      <w:pPr>
        <w:tabs>
          <w:tab w:val="left" w:pos="393"/>
        </w:tabs>
        <w:bidi w:val="0"/>
        <w:jc w:val="left"/>
        <w:rPr>
          <w:rFonts w:hint="default" w:ascii="宋体" w:hAnsi="宋体" w:eastAsia="宋体" w:cs="宋体"/>
          <w:spacing w:val="-4"/>
          <w:sz w:val="28"/>
          <w:szCs w:val="28"/>
          <w:lang w:val="en-US" w:eastAsia="zh-CN"/>
        </w:rPr>
      </w:pPr>
      <w:r>
        <w:rPr>
          <w:rFonts w:hint="eastAsia"/>
          <w:lang w:val="en-US" w:eastAsia="zh-CN"/>
        </w:rPr>
        <w:tab/>
      </w:r>
    </w:p>
    <w:sectPr>
      <w:footerReference r:id="rId30"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800"/>
      </w:tabs>
      <w:spacing w:line="176" w:lineRule="auto"/>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42"/>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080"/>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77"/>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41"/>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083"/>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40"/>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530"/>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60"/>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83"/>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45"/>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5020"/>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39"/>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46"/>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46"/>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46"/>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93"/>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49"/>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17"/>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43"/>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442"/>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42"/>
      <w:rPr>
        <w:rFonts w:hint="default" w:ascii="Calibri" w:hAnsi="Calibri" w:eastAsia="宋体" w:cs="Calibri"/>
        <w:spacing w:val="-3"/>
        <w:sz w:val="18"/>
        <w:szCs w:val="18"/>
        <w:lang w:val="en-US" w:eastAsia="zh-CN"/>
      </w:rPr>
    </w:pPr>
    <w:r>
      <w:rPr>
        <w:rFonts w:hint="eastAsia" w:ascii="Calibri" w:hAnsi="Calibri" w:eastAsia="宋体" w:cs="Calibri"/>
        <w:spacing w:val="-3"/>
        <w:sz w:val="18"/>
        <w:szCs w:val="18"/>
        <w:lang w:val="en-US" w:eastAsia="zh-CN"/>
      </w:rPr>
      <w:t>35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43"/>
      <w:rPr>
        <w:rFonts w:hint="default" w:ascii="Calibri" w:hAnsi="Calibri" w:eastAsia="宋体" w:cs="Calibri"/>
        <w:spacing w:val="-3"/>
        <w:sz w:val="18"/>
        <w:szCs w:val="18"/>
        <w:lang w:val="en-US" w:eastAsia="zh-CN"/>
      </w:rPr>
    </w:pPr>
    <w:r>
      <w:rPr>
        <w:rFonts w:hint="eastAsia" w:ascii="Calibri" w:hAnsi="Calibri" w:eastAsia="宋体" w:cs="Calibri"/>
        <w:spacing w:val="-3"/>
        <w:sz w:val="18"/>
        <w:szCs w:val="18"/>
        <w:lang w:val="en-US" w:eastAsia="zh-CN"/>
      </w:rPr>
      <w:t>36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442"/>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27"/>
      <w:lvlText w:val="%1."/>
      <w:lvlJc w:val="left"/>
      <w:pPr>
        <w:tabs>
          <w:tab w:val="left" w:pos="425"/>
        </w:tabs>
        <w:ind w:left="425" w:hanging="425"/>
      </w:pPr>
      <w:rPr>
        <w:rFonts w:hint="eastAsia"/>
        <w:b/>
        <w:i w:val="0"/>
      </w:rPr>
    </w:lvl>
    <w:lvl w:ilvl="1" w:tentative="0">
      <w:start w:val="1"/>
      <w:numFmt w:val="decimal"/>
      <w:lvlText w:val="%1.%2"/>
      <w:lvlJc w:val="left"/>
      <w:pPr>
        <w:tabs>
          <w:tab w:val="left" w:pos="170"/>
        </w:tabs>
        <w:ind w:left="170" w:hanging="170"/>
      </w:pPr>
      <w:rPr>
        <w:rFonts w:hint="eastAsia"/>
      </w:rPr>
    </w:lvl>
    <w:lvl w:ilvl="2" w:tentative="0">
      <w:start w:val="1"/>
      <w:numFmt w:val="decimal"/>
      <w:lvlText w:val="%1.%2.%3"/>
      <w:lvlJc w:val="center"/>
      <w:pPr>
        <w:tabs>
          <w:tab w:val="left" w:pos="181"/>
        </w:tabs>
        <w:ind w:left="0" w:firstLine="794"/>
      </w:pPr>
      <w:rPr>
        <w:rFonts w:hint="eastAsia" w:ascii="宋体" w:hAnsi="宋体" w:eastAsia="宋体"/>
      </w:rPr>
    </w:lvl>
    <w:lvl w:ilvl="3" w:tentative="0">
      <w:start w:val="1"/>
      <w:numFmt w:val="decimal"/>
      <w:lvlText w:val="%1.%2.%3.%4."/>
      <w:lvlJc w:val="left"/>
      <w:pPr>
        <w:tabs>
          <w:tab w:val="left" w:pos="510"/>
        </w:tabs>
        <w:ind w:left="510" w:hanging="17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2161B894"/>
    <w:multiLevelType w:val="singleLevel"/>
    <w:tmpl w:val="2161B894"/>
    <w:lvl w:ilvl="0" w:tentative="0">
      <w:start w:val="6"/>
      <w:numFmt w:val="chineseCounting"/>
      <w:suff w:val="space"/>
      <w:lvlText w:val="第%1章"/>
      <w:lvlJc w:val="left"/>
      <w:rPr>
        <w:rFonts w:hint="eastAsia"/>
      </w:rPr>
    </w:lvl>
  </w:abstractNum>
  <w:abstractNum w:abstractNumId="2">
    <w:nsid w:val="7DD5ED89"/>
    <w:multiLevelType w:val="singleLevel"/>
    <w:tmpl w:val="7DD5ED89"/>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M2M0ZDNiOGI2MDQ3MWRkODc5ZGEwM2RhNWUwNDQifQ=="/>
  </w:docVars>
  <w:rsids>
    <w:rsidRoot w:val="00000000"/>
    <w:rsid w:val="0F673F43"/>
    <w:rsid w:val="1BAB4C23"/>
    <w:rsid w:val="1F96090E"/>
    <w:rsid w:val="2C46226B"/>
    <w:rsid w:val="2C6F78C8"/>
    <w:rsid w:val="45DF772D"/>
    <w:rsid w:val="494F59E0"/>
    <w:rsid w:val="4BCD74F7"/>
    <w:rsid w:val="4C975B19"/>
    <w:rsid w:val="64E433E7"/>
    <w:rsid w:val="69700050"/>
    <w:rsid w:val="6C0B676E"/>
    <w:rsid w:val="76565143"/>
    <w:rsid w:val="76E914E3"/>
    <w:rsid w:val="7C536A81"/>
    <w:rsid w:val="7C832D39"/>
    <w:rsid w:val="7FCD2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after="0" w:afterLines="0" w:line="460" w:lineRule="exact"/>
      <w:outlineLvl w:val="1"/>
    </w:pPr>
    <w:rPr>
      <w:rFonts w:ascii="宋体" w:hAnsi="宋体"/>
      <w:b/>
      <w:sz w:val="30"/>
      <w:szCs w:val="30"/>
    </w:rPr>
  </w:style>
  <w:style w:type="paragraph" w:styleId="5">
    <w:name w:val="heading 3"/>
    <w:basedOn w:val="2"/>
    <w:next w:val="2"/>
    <w:autoRedefine/>
    <w:qFormat/>
    <w:uiPriority w:val="0"/>
    <w:pPr>
      <w:keepNext/>
      <w:keepLines/>
      <w:spacing w:after="0" w:afterLines="0" w:line="460" w:lineRule="exact"/>
      <w:jc w:val="left"/>
      <w:outlineLvl w:val="2"/>
    </w:pPr>
    <w:rPr>
      <w:b/>
      <w:sz w:val="24"/>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6">
    <w:name w:val="index 8"/>
    <w:basedOn w:val="1"/>
    <w:next w:val="1"/>
    <w:autoRedefine/>
    <w:unhideWhenUsed/>
    <w:qFormat/>
    <w:uiPriority w:val="99"/>
    <w:pPr>
      <w:ind w:left="1400" w:leftChars="1400"/>
    </w:pPr>
  </w:style>
  <w:style w:type="paragraph" w:styleId="7">
    <w:name w:val="Body Text Indent"/>
    <w:basedOn w:val="1"/>
    <w:next w:val="8"/>
    <w:autoRedefine/>
    <w:qFormat/>
    <w:uiPriority w:val="0"/>
    <w:pPr>
      <w:spacing w:line="312" w:lineRule="auto"/>
      <w:ind w:firstLine="735" w:firstLineChars="245"/>
    </w:pPr>
  </w:style>
  <w:style w:type="paragraph" w:styleId="8">
    <w:name w:val="envelope return"/>
    <w:basedOn w:val="1"/>
    <w:autoRedefine/>
    <w:unhideWhenUsed/>
    <w:qFormat/>
    <w:uiPriority w:val="99"/>
    <w:pPr>
      <w:snapToGrid w:val="0"/>
    </w:pPr>
    <w:rPr>
      <w:rFonts w:ascii="Arial" w:hAnsi="Arial"/>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qFormat/>
    <w:uiPriority w:val="0"/>
  </w:style>
  <w:style w:type="paragraph" w:styleId="12">
    <w:name w:val="footnote text"/>
    <w:basedOn w:val="1"/>
    <w:autoRedefine/>
    <w:unhideWhenUsed/>
    <w:qFormat/>
    <w:uiPriority w:val="0"/>
    <w:pPr>
      <w:snapToGrid w:val="0"/>
      <w:jc w:val="left"/>
    </w:pPr>
    <w:rPr>
      <w:rFonts w:ascii="Cambria" w:hAnsi="Cambria"/>
      <w:sz w:val="18"/>
      <w:szCs w:val="18"/>
    </w:rPr>
  </w:style>
  <w:style w:type="paragraph" w:styleId="13">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4">
    <w:name w:val="Body Text First Indent"/>
    <w:basedOn w:val="2"/>
    <w:next w:val="15"/>
    <w:autoRedefine/>
    <w:qFormat/>
    <w:uiPriority w:val="0"/>
    <w:pPr>
      <w:ind w:firstLine="420" w:firstLineChars="100"/>
    </w:pPr>
  </w:style>
  <w:style w:type="paragraph" w:styleId="15">
    <w:name w:val="Body Text First Indent 2"/>
    <w:basedOn w:val="1"/>
    <w:autoRedefine/>
    <w:qFormat/>
    <w:uiPriority w:val="0"/>
    <w:pPr>
      <w:spacing w:after="120" w:afterLines="0" w:line="240" w:lineRule="auto"/>
      <w:ind w:left="420" w:leftChars="200" w:firstLine="420" w:firstLineChars="200"/>
    </w:p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efault"/>
    <w:next w:val="12"/>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character" w:customStyle="1" w:styleId="21">
    <w:name w:val="标题 1 Char"/>
    <w:link w:val="3"/>
    <w:autoRedefine/>
    <w:qFormat/>
    <w:uiPriority w:val="0"/>
    <w:rPr>
      <w:b/>
      <w:kern w:val="44"/>
      <w:sz w:val="44"/>
    </w:rPr>
  </w:style>
  <w:style w:type="paragraph" w:customStyle="1" w:styleId="22">
    <w:name w:val="Table Text"/>
    <w:basedOn w:val="1"/>
    <w:autoRedefine/>
    <w:semiHidden/>
    <w:qFormat/>
    <w:uiPriority w:val="0"/>
    <w:rPr>
      <w:rFonts w:ascii="宋体" w:hAnsi="宋体" w:eastAsia="宋体" w:cs="宋体"/>
      <w:sz w:val="24"/>
      <w:szCs w:val="24"/>
      <w:lang w:val="en-US" w:eastAsia="en-US" w:bidi="ar-SA"/>
    </w:rPr>
  </w:style>
  <w:style w:type="paragraph" w:customStyle="1" w:styleId="23">
    <w:name w:val="样式 标题 3 + (中文) 黑体 小四 非加粗 段前: 7.8 磅 段后: 0 磅 行距: 固定值 20 磅"/>
    <w:basedOn w:val="5"/>
    <w:autoRedefine/>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24">
    <w:name w:val="样式 标题 2 + Times New Roman 四号 非加粗 段前: 5 磅 段后: 0 磅 行距: 固定值 20..."/>
    <w:basedOn w:val="4"/>
    <w:autoRedefine/>
    <w:qFormat/>
    <w:uiPriority w:val="0"/>
    <w:pPr>
      <w:numPr>
        <w:ilvl w:val="1"/>
        <w:numId w:val="0"/>
      </w:numPr>
      <w:spacing w:before="100" w:beforeLines="0" w:after="0" w:afterLines="0" w:line="400" w:lineRule="exact"/>
    </w:pPr>
    <w:rPr>
      <w:rFonts w:ascii="Times New Roman" w:hAnsi="Times New Roman" w:cs="宋体"/>
      <w:b w:val="0"/>
      <w:sz w:val="28"/>
      <w:szCs w:val="20"/>
    </w:rPr>
  </w:style>
  <w:style w:type="paragraph" w:styleId="25">
    <w:name w:val="List Paragraph"/>
    <w:basedOn w:val="1"/>
    <w:autoRedefine/>
    <w:qFormat/>
    <w:uiPriority w:val="34"/>
    <w:pPr>
      <w:ind w:firstLine="420" w:firstLineChars="200"/>
    </w:pPr>
  </w:style>
  <w:style w:type="paragraph" w:customStyle="1" w:styleId="26">
    <w:name w:val="WPSOffice手动目录 1"/>
    <w:autoRedefine/>
    <w:qFormat/>
    <w:uiPriority w:val="0"/>
    <w:pPr>
      <w:ind w:leftChars="0"/>
    </w:pPr>
    <w:rPr>
      <w:rFonts w:ascii="Times New Roman" w:hAnsi="Times New Roman" w:eastAsia="宋体" w:cs="Times New Roman"/>
      <w:sz w:val="20"/>
      <w:szCs w:val="20"/>
    </w:rPr>
  </w:style>
  <w:style w:type="paragraph" w:customStyle="1" w:styleId="27">
    <w:name w:val="正文-带编号1)"/>
    <w:basedOn w:val="1"/>
    <w:autoRedefine/>
    <w:qFormat/>
    <w:uiPriority w:val="0"/>
    <w:pPr>
      <w:numPr>
        <w:ilvl w:val="0"/>
        <w:numId w:val="1"/>
      </w:numPr>
      <w:spacing w:line="400" w:lineRule="exact"/>
    </w:pPr>
    <w:rPr>
      <w:rFonts w:ascii="Arial" w:hAnsi="Arial"/>
      <w:sz w:val="21"/>
      <w:szCs w:val="24"/>
    </w:rPr>
  </w:style>
  <w:style w:type="paragraph" w:customStyle="1" w:styleId="28">
    <w:name w:val="列出段落1"/>
    <w:autoRedefine/>
    <w:qFormat/>
    <w:uiPriority w:val="34"/>
    <w:pPr>
      <w:widowControl w:val="0"/>
      <w:suppressAutoHyphens/>
      <w:spacing w:after="200" w:line="276" w:lineRule="auto"/>
      <w:ind w:left="720"/>
    </w:pPr>
    <w:rPr>
      <w:rFonts w:ascii="Calibri" w:hAnsi="Calibri" w:eastAsia="宋体" w:cs="Times New Roman"/>
      <w:kern w:val="1"/>
      <w:sz w:val="22"/>
      <w:szCs w:val="22"/>
      <w:lang w:val="en-US" w:eastAsia="ar-SA" w:bidi="ar-SA"/>
    </w:rPr>
  </w:style>
  <w:style w:type="paragraph" w:customStyle="1" w:styleId="29">
    <w:name w:val="无间隔1"/>
    <w:basedOn w:val="1"/>
    <w:autoRedefine/>
    <w:qFormat/>
    <w:uiPriority w:val="1"/>
    <w:pPr>
      <w:spacing w:line="400" w:lineRule="exact"/>
    </w:pPr>
  </w:style>
  <w:style w:type="paragraph" w:customStyle="1" w:styleId="30">
    <w:name w:val="No Spacing"/>
    <w:basedOn w:val="1"/>
    <w:autoRedefine/>
    <w:qFormat/>
    <w:uiPriority w:val="1"/>
    <w:pPr>
      <w:spacing w:after="0" w:line="400" w:lineRule="exact"/>
    </w:pPr>
    <w:rPr>
      <w:rFonts w:eastAsia="宋体"/>
      <w:sz w:val="24"/>
    </w:rPr>
  </w:style>
  <w:style w:type="paragraph" w:customStyle="1" w:styleId="31">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jpeg"/><Relationship Id="rId31" Type="http://schemas.openxmlformats.org/officeDocument/2006/relationships/theme" Target="theme/theme1.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32125</Words>
  <Characters>34512</Characters>
  <Lines>0</Lines>
  <Paragraphs>0</Paragraphs>
  <TotalTime>148</TotalTime>
  <ScaleCrop>false</ScaleCrop>
  <LinksUpToDate>false</LinksUpToDate>
  <CharactersWithSpaces>37558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2023-10-10T08:41:00Z</dcterms:created>
  <dc:creator>Administrator</dc:creator>
  <cp:lastModifiedBy>阿Q</cp:lastModifiedBy>
  <cp:lastPrinted>2023-10-30T10:40:00Z</cp:lastPrinted>
  <dcterms:modified xsi:type="dcterms:W3CDTF">2024-04-17T07:40:48Z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2C254345224F4997AE2002DDA38E94A1_12</vt:lpwstr>
  </property>
</Properties>
</file>