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ind w:firstLine="5140" w:firstLineChars="1600"/>
        <w:rPr>
          <w:sz w:val="36"/>
          <w:lang w:val="en-US" w:eastAsia="zh-CN"/>
          <w:szCs w:val="36"/>
          <w:rFonts w:hint="eastAsia"/>
        </w:rPr>
      </w:pPr>
      <w:bookmarkStart w:id="0" w:name="_GoBack"/>
      <w:bookmarkEnd w:id="0"/>
      <w:r>
        <w:rPr>
          <w:b w:val="1"/>
          <w:color w:val="000000"/>
          <w:sz w:val="32"/>
          <w:lang w:val="en-US" w:eastAsia="zh-CN" w:bidi="ar"/>
          <w:bCs/>
          <w:kern w:val="0"/>
          <w:szCs w:val="32"/>
          <w:rFonts w:hint="eastAsia" w:asciiTheme="minorEastAsia" w:hAnsiTheme="minorEastAsia" w:eastAsiaTheme="minorEastAsia" w:cstheme="minorEastAsia"/>
        </w:rPr>
        <w:t>五、分项报价一览表</w:t>
      </w:r>
    </w:p>
    <w:tbl>
      <w:tblPr>
        <w:tblStyle w:val="3"/>
        <w:tblW w:w="15184" w:type="dxa"/>
        <w:tblInd w:type="dxa" w:w="-438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67.000000"/>
        <w:gridCol w:w="2717.000000"/>
        <w:gridCol w:w="1133.000000"/>
        <w:gridCol w:w="1126.000000"/>
        <w:gridCol w:w="3876.000000"/>
        <w:gridCol w:w="615.000000"/>
        <w:gridCol w:w="900.000000"/>
        <w:gridCol w:w="3250.000000"/>
        <w:gridCol w:w="800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72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服务内容名称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数量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品牌型号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规格及技术参数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单价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总价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生产商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43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残杀威乳油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1100㎏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卫豹牌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1升/瓶，残杀威含量20%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49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53900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79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2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可湿性粉剂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卫豹牌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50克/袋，高效氯氟氰菊酯含量10%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88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79200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32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3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水乳剂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1000㎏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环卫乐牌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500克/瓶，高效氯氟氰菊酯含量10%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74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74000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74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4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苏云金杆菌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鲁抗牌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含量为600ITU/mg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12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8400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山东鲁抗生物农药有限责任公司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75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杀蟑胶饵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500支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卫冠牌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20克/支，吡虫啉含量2.15%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24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12000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20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6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溴敌隆毒饵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1000㎏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派仕克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500克/袋，溴敌隆含量0.005%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9000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洛阳派仕克农业科技有限公司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332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颗粒剂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1090㎏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幼剋牌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500克/袋，倍硫磷含量5%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25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27250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83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8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高效氯氰菊酯悬浮剂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800㎏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大功达牌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500克/瓶，高效氯氰菊酯含量50克/升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76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60800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86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热烟雾剂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1200㎏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卫杰牌</w:t>
            </w: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5升/桶，高效氯氰菊酯含量1.7%</w:t>
            </w: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49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58800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highlight w:val="green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江苏功成生物科技有限公司</w:t>
            </w: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75" w:hRule="atLeast"/>
        </w:trPr>
        <w:tc>
          <w:tcPr>
            <w:tcW w:w="76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10</w:t>
            </w:r>
          </w:p>
        </w:tc>
        <w:tc>
          <w:tcPr>
            <w:tcW w:w="2717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服务费（包括毒饵站修缮）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950工时</w:t>
            </w: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90</w:t>
            </w: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85500</w:t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76" w:hRule="atLeast"/>
        </w:trPr>
        <w:tc>
          <w:tcPr>
            <w:tcW w:w="3484" w:type="dxa"/>
            <w:gridSpan w:val="2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合计</w:t>
            </w:r>
          </w:p>
        </w:tc>
        <w:tc>
          <w:tcPr>
            <w:tcW w:w="1133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2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76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5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 w:bidi="ar-SA"/>
                <w:kern w:val="2"/>
                <w:szCs w:val="21"/>
                <w:rFonts w:hint="eastAsia" w:asciiTheme="minorEastAsia" w:hAnsiTheme="minorEastAsia" w:eastAsiaTheme="minorEastAsia" w:cstheme="minorEastAsia"/>
              </w:rPr>
            </w:pP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fldChar w:fldCharType="begin"/>
            </w: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instrText xml:space="preserve"> = sum(I2:I11) \* MERGEFORMAT </w:instrText>
            </w: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fldChar w:fldCharType="separate"/>
            </w: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t>468850</w:t>
            </w:r>
            <w: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  <w:fldChar w:fldCharType="end"/>
            </w:r>
          </w:p>
        </w:tc>
        <w:tc>
          <w:tcPr>
            <w:tcW w:w="325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00" w:type="dxa"/>
            <w:vAlign w:val="top"/>
            <w:noWrap w:val="0"/>
          </w:tcPr>
          <w:p>
            <w:pPr>
              <w:rPr>
                <w:vertAlign w:val="baseline"/>
                <w:sz w:val="21"/>
                <w:lang w:val="en-US" w:eastAsia="zh-CN"/>
                <w:szCs w:val="21"/>
                <w:rFonts w:hint="eastAsia" w:asciiTheme="minorEastAsia" w:hAnsiTheme="minorEastAsia" w:eastAsiaTheme="minorEastAsia" w:cstheme="minor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hint="default"/>
        </w:rPr>
      </w:pPr>
    </w:p>
    <w:p>
      <w:pPr>
        <w:widowControl w:val="1"/>
        <w:keepNext w:val="0"/>
        <w:keepLines w:val="0"/>
        <w:jc w:val="left"/>
        <w:widowControl/>
        <w:suppressLineNumbers w:val="0"/>
        <w:spacing w:line="240" w:lineRule="auto"/>
        <w:rPr>
          <w:sz w:val="21"/>
          <w:szCs w:val="21"/>
          <w:rFonts w:hint="eastAsia" w:asciiTheme="minorEastAsia" w:hAnsiTheme="minorEastAsia" w:eastAsiaTheme="minorEastAsia" w:cstheme="minorEastAsia"/>
        </w:rPr>
      </w:pPr>
      <w:r>
        <w:rPr>
          <w:color w:val="000000"/>
          <w:sz w:val="21"/>
          <w:lang w:val="en-US" w:eastAsia="zh-CN" w:bidi="ar"/>
          <w:kern w:val="0"/>
          <w:szCs w:val="21"/>
          <w:rFonts w:hint="eastAsia" w:asciiTheme="minorEastAsia" w:hAnsiTheme="minorEastAsia" w:eastAsiaTheme="minorEastAsia" w:cstheme="minorEastAsia"/>
        </w:rPr>
        <w:t xml:space="preserve">说明: </w:t>
      </w:r>
    </w:p>
    <w:p>
      <w:pPr>
        <w:widowControl w:val="1"/>
        <w:keepNext w:val="0"/>
        <w:keepLines w:val="0"/>
        <w:jc w:val="left"/>
        <w:widowControl/>
        <w:suppressLineNumbers w:val="0"/>
        <w:spacing w:line="240" w:lineRule="auto"/>
        <w:rPr>
          <w:sz w:val="21"/>
          <w:szCs w:val="21"/>
          <w:rFonts w:hint="eastAsia" w:asciiTheme="minorEastAsia" w:hAnsiTheme="minorEastAsia" w:eastAsiaTheme="minorEastAsia" w:cstheme="minorEastAsia"/>
        </w:rPr>
      </w:pPr>
      <w:r>
        <w:rPr>
          <w:color w:val="000000"/>
          <w:sz w:val="21"/>
          <w:lang w:val="en-US" w:eastAsia="zh-CN" w:bidi="ar"/>
          <w:kern w:val="0"/>
          <w:szCs w:val="21"/>
          <w:rFonts w:hint="eastAsia" w:asciiTheme="minorEastAsia" w:hAnsiTheme="minorEastAsia" w:eastAsiaTheme="minorEastAsia" w:cstheme="minorEastAsia"/>
        </w:rPr>
        <w:t xml:space="preserve">1.供应商可根据实际情况自行填写。 </w:t>
      </w:r>
    </w:p>
    <w:p>
      <w:pPr>
        <w:widowControl w:val="1"/>
        <w:keepNext w:val="0"/>
        <w:keepLines w:val="0"/>
        <w:jc w:val="left"/>
        <w:widowControl/>
        <w:suppressLineNumbers w:val="0"/>
        <w:spacing w:line="240" w:lineRule="auto"/>
        <w:rPr>
          <w:sz w:val="21"/>
          <w:szCs w:val="21"/>
          <w:rFonts w:hint="eastAsia" w:asciiTheme="minorEastAsia" w:hAnsiTheme="minorEastAsia" w:eastAsiaTheme="minorEastAsia" w:cstheme="minorEastAsia"/>
        </w:rPr>
      </w:pPr>
      <w:r>
        <w:rPr>
          <w:color w:val="000000"/>
          <w:sz w:val="21"/>
          <w:lang w:val="en-US" w:eastAsia="zh-CN" w:bidi="ar"/>
          <w:kern w:val="0"/>
          <w:szCs w:val="21"/>
          <w:rFonts w:hint="eastAsia" w:asciiTheme="minorEastAsia" w:hAnsiTheme="minorEastAsia" w:eastAsiaTheme="minorEastAsia" w:cstheme="minorEastAsia"/>
        </w:rPr>
        <w:t xml:space="preserve">2.上述各项若有详细分项报价，应另页描述。 </w:t>
      </w:r>
    </w:p>
    <w:p>
      <w:pPr>
        <w:widowControl w:val="1"/>
        <w:keepNext w:val="0"/>
        <w:keepLines w:val="0"/>
        <w:jc w:val="left"/>
        <w:widowControl/>
        <w:suppressLineNumbers w:val="0"/>
        <w:spacing w:line="240" w:lineRule="auto"/>
        <w:rPr>
          <w:rFonts w:hint="eastAsia" w:asciiTheme="minorEastAsia" w:hAnsiTheme="minorEastAsia" w:eastAsiaTheme="minorEastAsia" w:cstheme="minorEastAsia"/>
        </w:rPr>
      </w:pPr>
      <w:r>
        <w:rPr>
          <w:color w:val="000000"/>
          <w:sz w:val="21"/>
          <w:lang w:val="en-US" w:eastAsia="zh-CN" w:bidi="ar"/>
          <w:kern w:val="0"/>
          <w:szCs w:val="21"/>
          <w:rFonts w:hint="eastAsia" w:asciiTheme="minorEastAsia" w:hAnsiTheme="minorEastAsia" w:eastAsiaTheme="minorEastAsia" w:cstheme="minorEastAsia"/>
        </w:rPr>
        <w:t>3.以上费用表格如不能完全表达清楚供应商认为必要的费用明细，供应商可自行补充。</w:t>
      </w:r>
      <w:r>
        <w:rPr>
          <w:color w:val="000000"/>
          <w:sz w:val="20"/>
          <w:lang w:val="en-US" w:eastAsia="zh-CN" w:bidi="ar"/>
          <w:kern w:val="0"/>
          <w:szCs w:val="20"/>
          <w:rFonts w:hint="eastAsia" w:asciiTheme="minorEastAsia" w:hAnsiTheme="minorEastAsia" w:eastAsiaTheme="minorEastAsia" w:cstheme="minorEastAsia"/>
        </w:rPr>
        <w:t xml:space="preserve"> </w:t>
      </w:r>
    </w:p>
    <w:p>
      <w:pPr>
        <w:widowControl w:val="1"/>
        <w:keepNext w:val="0"/>
        <w:keepLines w:val="0"/>
        <w:jc w:val="left"/>
        <w:widowControl/>
        <w:suppressLineNumbers w:val="0"/>
        <w:rPr>
          <w:color w:val="000000"/>
          <w:sz w:val="20"/>
          <w:lang w:val="en-US" w:eastAsia="zh-CN" w:bidi="ar"/>
          <w:kern w:val="0"/>
          <w:szCs w:val="20"/>
          <w:rFonts w:hint="eastAsia" w:asciiTheme="minorEastAsia" w:hAnsiTheme="minorEastAsia" w:eastAsiaTheme="minorEastAsia" w:cstheme="minorEastAsia"/>
        </w:rPr>
      </w:pPr>
    </w:p>
    <w:p>
      <w:pPr>
        <w:widowControl w:val="1"/>
        <w:keepNext w:val="0"/>
        <w:keepLines w:val="0"/>
        <w:jc w:val="left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</w:rPr>
      </w:pPr>
    </w:p>
    <w:p/>
    <w:sectPr>
      <w:docGrid w:type="lines" w:linePitch="312" w:charSpace="0"/>
      <w:pgSz w:w="16838" w:h="11906" w:orient="landscape"/>
      <w:pgMar w:top="896" w:right="1440" w:bottom="1800" w:left="1440" w:header="851" w:footer="992" w:gutter="0"/>
      <w:cols w:space="720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426656BC"/>
    <w:rsid w:val="003F7EF7"/>
    <w:rsid w:val="426656BC"/>
    <w:rsid w:val="43713C1A"/>
    <w:rsid w:val="7D0F34FE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widowControl w:val="0"/>
      <w:jc w:val="both"/>
      <w:widowControl w:val="0"/>
    </w:pPr>
    <w:rPr>
      <w:sz w:val="21"/>
      <w:lang w:val="en-US" w:eastAsia="zh-CN" w:bidi="ar-SA"/>
      <w:kern w:val="2"/>
      <w:szCs w:val="24"/>
      <w:rFonts w:ascii="Calibri" w:hAnsi="Calibri" w:eastAsia="宋体" w:cs="Times New Roman"/>
    </w:rPr>
  </w:style>
  <w:style w:type="character" w:styleId="4" w:default="1">
    <w:name w:val="Default Paragraph Font"/>
    <w:uiPriority w:val="0"/>
    <w:semiHidden/>
    <w:qFormat/>
  </w:style>
  <w:style w:type="table" w:styleId="2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qFormat/>
    <w:pPr>
      <w:widowControl w:val="0"/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a:blurRad="101600" a:dist="50800" a:dir="5400000" a:algn="ctr" a:rotWithShape="0">
              <a:schemeClr val="phClr">
                <a:alpha val="60000"/>
              </a:schemeClr>
            </a:outerShdw>
          </a:effectLst>
        </a:effectStyle>
        <a:effectStyle>
          <a:effectLst>
            <a:reflection a:dist="25400" a:dir="5400000" a:sy="-100000" a:endA="300" a:endPos="40000" a:stA="50000" a:algn="bl"/>
          </a:effectLst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12</TotalTime>
  <Pages>1</Pages>
  <Words>522</Words>
  <Characters>646</Characters>
  <Application>WPS Office_12.1.0.16929_F1E327BC-269C-435d-A152-05C5408002CA</Application>
  <DocSecurity>0</DocSecurity>
  <Lines>0</Lines>
  <Paragraphs>0</Paragraphs>
  <ScaleCrop>false</ScaleCrop>
  <Company>潮州市直及下属单位</Company>
  <LinksUpToDate>false</LinksUpToDate>
  <CharactersWithSpaces>667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。。。。。。</dc:creator>
  <cp:keywords/>
  <dc:description/>
  <cp:lastModifiedBy>。。。。。。</cp:lastModifiedBy>
  <cp:revision>1</cp:revision>
  <dcterms:created xsi:type="dcterms:W3CDTF">2024-06-18T08:39:00Z</dcterms:created>
  <dcterms:modified xsi:type="dcterms:W3CDTF">2024-06-18T09:20:40Z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2052-12.1.0.16929</vt:lpwstr>
  </property>
  <property fmtid="{D5CDD505-2E9C-101B-9397-08002B2CF9AE}" pid="3" name="ICV">
    <vt:lpwstr>8019AF0D23FA464096EB86159824B9E3_11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140" w:firstLineChars="1600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五、分项报价一览表</w:t>
      </w:r>
    </w:p>
    <w:tbl>
      <w:tblPr>
        <w:tblStyle w:val="3"/>
        <w:tblW w:w="15184" w:type="dxa"/>
        <w:tblInd w:w="-4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717"/>
        <w:gridCol w:w="1133"/>
        <w:gridCol w:w="1126"/>
        <w:gridCol w:w="3876"/>
        <w:gridCol w:w="615"/>
        <w:gridCol w:w="900"/>
        <w:gridCol w:w="325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服务内容名称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规格及技术参数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单价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生产商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残杀威乳油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1100㎏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卫豹牌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1升/瓶，残杀威含量20%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53900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可湿性粉剂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900㎏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卫豹牌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50克/袋，高效氯氟氰菊酯含量10%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79200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水乳剂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环卫乐牌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500克/瓶，高效氯氟氰菊酯含量10%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74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74000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苏云金杆菌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鲁抗牌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含量为600ITU/mg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8400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山东鲁抗生物农药有限责任公司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杀蟑胶饵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500支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卫冠牌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20克/支，吡虫啉含量2.15%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12000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溴敌隆毒饵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派仕克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500克/袋，溴敌隆含量0.005%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9000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洛阳派仕克农业科技有限公司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1090㎏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幼剋牌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500克/袋，倍硫磷含量5%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27250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高效氯氰菊酯悬浮剂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大功达牌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500克/瓶，高效氯氰菊酯含量50克/升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76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60800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热烟雾剂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1200㎏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卫杰牌</w:t>
            </w: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5升/桶，高效氯氰菊酯含量1.7%</w:t>
            </w: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58800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green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江苏功成生物科技有限公司</w:t>
            </w: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76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7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服务费（包括毒饵站修缮）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950工时</w:t>
            </w: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90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85500</w:t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484" w:type="dxa"/>
            <w:gridSpan w:val="2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1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instrText xml:space="preserve"> = sum(I2:I11) \* MERGEFORMAT 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468850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fldChar w:fldCharType="end"/>
            </w:r>
          </w:p>
        </w:tc>
        <w:tc>
          <w:tcPr>
            <w:tcW w:w="32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  <w:t xml:space="preserve">说明: 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  <w:t xml:space="preserve">1.供应商可根据实际情况自行填写。 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  <w:t xml:space="preserve">2.上述各项若有详细分项报价，应另页描述。 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  <w:t>3.以上费用表格如不能完全表达清楚供应商认为必要的费用明细，供应商可自行补充。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>供应商：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 河南乐康有害生物防治有限公司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 xml:space="preserve">（盖章） </w:t>
      </w:r>
    </w:p>
    <w:p>
      <w:pPr>
        <w:keepNext w:val="0"/>
        <w:keepLines w:val="0"/>
        <w:widowControl/>
        <w:suppressLineNumbers w:val="0"/>
        <w:spacing w:line="360" w:lineRule="auto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>法定代表人或其委托代理人：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 xml:space="preserve">（签字或盖章） </w:t>
      </w:r>
    </w:p>
    <w:p>
      <w:pPr>
        <w:keepNext w:val="0"/>
        <w:keepLines w:val="0"/>
        <w:widowControl/>
        <w:suppressLineNumbers w:val="0"/>
        <w:spacing w:line="360" w:lineRule="auto"/>
        <w:jc w:val="right"/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2024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>年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06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>月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 xml:space="preserve">18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0"/>
          <w:szCs w:val="20"/>
          <w:lang w:val="en-US" w:eastAsia="zh-CN" w:bidi="ar"/>
        </w:rPr>
        <w:t>日</w:t>
      </w:r>
    </w:p>
    <w:p/>
    <w:sectPr>
      <w:pgSz w:w="16838" w:h="11906" w:orient="landscape"/>
      <w:pgMar w:top="896" w:right="1440" w:bottom="1800" w:left="1440" w:header="851" w:footer="992" w:gutter="0"/>
      <w:cols w:space="720" w:num="1"/>
      <w:docGrid w:type="lines" w:linePitch="312" w:charSpace="0"/>
    </w:sectPr>
  </w:body>
</w:document>
</file>