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6A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其他补充事宜</w:t>
      </w:r>
    </w:p>
    <w:p w14:paraId="3EC2E5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4"/>
          <w:szCs w:val="24"/>
          <w:lang w:val="en-US" w:eastAsia="zh-CN"/>
        </w:rPr>
      </w:pPr>
    </w:p>
    <w:p w14:paraId="0FC8EB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1、一标段：</w:t>
      </w:r>
      <w:r>
        <w:rPr>
          <w:rFonts w:hint="eastAsia" w:asciiTheme="majorEastAsia" w:hAnsiTheme="majorEastAsia" w:eastAsiaTheme="majorEastAsia" w:cstheme="majorEastAsia"/>
          <w:color w:val="auto"/>
          <w:sz w:val="24"/>
          <w:szCs w:val="24"/>
        </w:rPr>
        <w:t>根据招标文件中的评标办法和标准，评标委员会对所有通过初步评审的投标人投标文件进行了认真的评审，</w:t>
      </w:r>
      <w:r>
        <w:rPr>
          <w:rFonts w:hint="eastAsia" w:asciiTheme="majorEastAsia" w:hAnsiTheme="majorEastAsia" w:eastAsiaTheme="majorEastAsia" w:cstheme="majorEastAsia"/>
          <w:color w:val="auto"/>
          <w:sz w:val="24"/>
          <w:szCs w:val="24"/>
          <w:lang w:val="en-US" w:eastAsia="zh-CN"/>
        </w:rPr>
        <w:t>最终得分及排序如下：</w:t>
      </w:r>
    </w:p>
    <w:p w14:paraId="0B9C6E20">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①</w:t>
      </w:r>
      <w:r>
        <w:rPr>
          <w:rFonts w:hint="eastAsia" w:asciiTheme="majorEastAsia" w:hAnsiTheme="majorEastAsia" w:eastAsiaTheme="majorEastAsia" w:cstheme="majorEastAsia"/>
          <w:color w:val="auto"/>
          <w:kern w:val="0"/>
          <w:sz w:val="24"/>
          <w:szCs w:val="24"/>
          <w:shd w:val="clear" w:fill="FFFFFF"/>
          <w:lang w:val="en-US" w:eastAsia="zh-CN" w:bidi="ar"/>
        </w:rPr>
        <w:t>世纪中保（北京）保安服务有限公司</w:t>
      </w:r>
      <w:r>
        <w:rPr>
          <w:rFonts w:hint="eastAsia" w:asciiTheme="majorEastAsia" w:hAnsiTheme="majorEastAsia" w:eastAsiaTheme="majorEastAsia" w:cstheme="majorEastAsia"/>
          <w:color w:val="auto"/>
          <w:sz w:val="24"/>
          <w:szCs w:val="24"/>
          <w:lang w:val="en-US" w:eastAsia="zh-CN"/>
        </w:rPr>
        <w:t>，得分95.20;</w:t>
      </w:r>
    </w:p>
    <w:p w14:paraId="615F567A">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②</w:t>
      </w:r>
      <w:r>
        <w:rPr>
          <w:rFonts w:hint="eastAsia" w:asciiTheme="majorEastAsia" w:hAnsiTheme="majorEastAsia" w:eastAsiaTheme="majorEastAsia" w:cstheme="majorEastAsia"/>
          <w:color w:val="auto"/>
          <w:kern w:val="0"/>
          <w:sz w:val="24"/>
          <w:szCs w:val="24"/>
          <w:shd w:val="clear" w:fill="FFFFFF"/>
          <w:lang w:val="en-US" w:eastAsia="zh-CN" w:bidi="ar"/>
        </w:rPr>
        <w:t>焦作金盾保安服务集团有限公司</w:t>
      </w:r>
      <w:r>
        <w:rPr>
          <w:rFonts w:hint="eastAsia" w:asciiTheme="majorEastAsia" w:hAnsiTheme="majorEastAsia" w:eastAsiaTheme="majorEastAsia" w:cstheme="majorEastAsia"/>
          <w:color w:val="auto"/>
          <w:sz w:val="24"/>
          <w:szCs w:val="24"/>
          <w:lang w:val="en-US" w:eastAsia="zh-CN"/>
        </w:rPr>
        <w:t>，得分91.55;</w:t>
      </w:r>
    </w:p>
    <w:p w14:paraId="06389ECB">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③</w:t>
      </w:r>
      <w:r>
        <w:rPr>
          <w:rFonts w:hint="eastAsia" w:asciiTheme="majorEastAsia" w:hAnsiTheme="majorEastAsia" w:eastAsiaTheme="majorEastAsia" w:cstheme="majorEastAsia"/>
          <w:color w:val="auto"/>
          <w:kern w:val="0"/>
          <w:sz w:val="24"/>
          <w:szCs w:val="24"/>
          <w:shd w:val="clear" w:fill="FFFFFF"/>
          <w:lang w:val="en-US" w:eastAsia="zh-CN" w:bidi="ar"/>
        </w:rPr>
        <w:t>洛阳市金盾保安服务有限公司</w:t>
      </w:r>
      <w:r>
        <w:rPr>
          <w:rFonts w:hint="eastAsia" w:asciiTheme="majorEastAsia" w:hAnsiTheme="majorEastAsia" w:eastAsiaTheme="majorEastAsia" w:cstheme="majorEastAsia"/>
          <w:color w:val="auto"/>
          <w:sz w:val="24"/>
          <w:szCs w:val="24"/>
          <w:lang w:val="en-US" w:eastAsia="zh-CN"/>
        </w:rPr>
        <w:t>，得分83.92;</w:t>
      </w:r>
    </w:p>
    <w:p w14:paraId="4456E587">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二标段：</w:t>
      </w:r>
      <w:r>
        <w:rPr>
          <w:rFonts w:hint="eastAsia" w:asciiTheme="majorEastAsia" w:hAnsiTheme="majorEastAsia" w:eastAsiaTheme="majorEastAsia" w:cstheme="majorEastAsia"/>
          <w:color w:val="auto"/>
          <w:sz w:val="24"/>
          <w:szCs w:val="24"/>
        </w:rPr>
        <w:t>根据招标文件中的评标办法和标准，评标委员会对所有通过初步评审的投标人投标文件进行了认真的评审，</w:t>
      </w:r>
      <w:r>
        <w:rPr>
          <w:rFonts w:hint="eastAsia" w:asciiTheme="majorEastAsia" w:hAnsiTheme="majorEastAsia" w:eastAsiaTheme="majorEastAsia" w:cstheme="majorEastAsia"/>
          <w:color w:val="auto"/>
          <w:sz w:val="24"/>
          <w:szCs w:val="24"/>
          <w:lang w:val="en-US" w:eastAsia="zh-CN"/>
        </w:rPr>
        <w:t>最终得分及排序如下：</w:t>
      </w:r>
    </w:p>
    <w:p w14:paraId="71EB325F">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①</w:t>
      </w:r>
      <w:r>
        <w:rPr>
          <w:rFonts w:hint="eastAsia" w:asciiTheme="majorEastAsia" w:hAnsiTheme="majorEastAsia" w:eastAsiaTheme="majorEastAsia" w:cstheme="majorEastAsia"/>
          <w:color w:val="auto"/>
          <w:kern w:val="0"/>
          <w:sz w:val="24"/>
          <w:szCs w:val="24"/>
          <w:shd w:val="clear" w:fill="FFFFFF"/>
          <w:lang w:val="en-US" w:eastAsia="zh-CN" w:bidi="ar"/>
        </w:rPr>
        <w:t>河南春雨物业管理有限公司</w:t>
      </w:r>
      <w:r>
        <w:rPr>
          <w:rFonts w:hint="eastAsia" w:asciiTheme="majorEastAsia" w:hAnsiTheme="majorEastAsia" w:eastAsiaTheme="majorEastAsia" w:cstheme="majorEastAsia"/>
          <w:color w:val="auto"/>
          <w:sz w:val="24"/>
          <w:szCs w:val="24"/>
          <w:lang w:val="en-US" w:eastAsia="zh-CN"/>
        </w:rPr>
        <w:t>，得分91.49;</w:t>
      </w:r>
    </w:p>
    <w:p w14:paraId="7B8325B5">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②</w:t>
      </w:r>
      <w:r>
        <w:rPr>
          <w:rFonts w:hint="eastAsia" w:asciiTheme="majorEastAsia" w:hAnsiTheme="majorEastAsia" w:eastAsiaTheme="majorEastAsia" w:cstheme="majorEastAsia"/>
          <w:color w:val="auto"/>
          <w:kern w:val="0"/>
          <w:sz w:val="24"/>
          <w:szCs w:val="24"/>
          <w:shd w:val="clear" w:fill="FFFFFF"/>
          <w:lang w:val="en-US" w:eastAsia="zh-CN" w:bidi="ar"/>
        </w:rPr>
        <w:t>龙祥物业管理有限公司</w:t>
      </w:r>
      <w:r>
        <w:rPr>
          <w:rFonts w:hint="eastAsia" w:asciiTheme="majorEastAsia" w:hAnsiTheme="majorEastAsia" w:eastAsiaTheme="majorEastAsia" w:cstheme="majorEastAsia"/>
          <w:color w:val="auto"/>
          <w:sz w:val="24"/>
          <w:szCs w:val="24"/>
          <w:lang w:val="en-US" w:eastAsia="zh-CN"/>
        </w:rPr>
        <w:t>，得分88.17;</w:t>
      </w:r>
    </w:p>
    <w:p w14:paraId="2127C1DB">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③</w:t>
      </w:r>
      <w:r>
        <w:rPr>
          <w:rFonts w:hint="eastAsia" w:asciiTheme="majorEastAsia" w:hAnsiTheme="majorEastAsia" w:eastAsiaTheme="majorEastAsia" w:cstheme="majorEastAsia"/>
          <w:color w:val="auto"/>
          <w:kern w:val="0"/>
          <w:sz w:val="24"/>
          <w:szCs w:val="24"/>
          <w:shd w:val="clear" w:fill="FFFFFF"/>
          <w:lang w:val="en-US" w:eastAsia="zh-CN" w:bidi="ar"/>
        </w:rPr>
        <w:t>河南隆鼎物业管理有限公司</w:t>
      </w:r>
      <w:r>
        <w:rPr>
          <w:rFonts w:hint="eastAsia" w:asciiTheme="majorEastAsia" w:hAnsiTheme="majorEastAsia" w:eastAsiaTheme="majorEastAsia" w:cstheme="majorEastAsia"/>
          <w:color w:val="auto"/>
          <w:sz w:val="24"/>
          <w:szCs w:val="24"/>
          <w:lang w:val="en-US" w:eastAsia="zh-CN"/>
        </w:rPr>
        <w:t>，得分86.60;</w:t>
      </w:r>
    </w:p>
    <w:p w14:paraId="4052741F">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④</w:t>
      </w:r>
      <w:r>
        <w:rPr>
          <w:rFonts w:hint="eastAsia" w:asciiTheme="majorEastAsia" w:hAnsiTheme="majorEastAsia" w:eastAsiaTheme="majorEastAsia" w:cstheme="majorEastAsia"/>
          <w:color w:val="auto"/>
          <w:kern w:val="0"/>
          <w:sz w:val="24"/>
          <w:szCs w:val="24"/>
          <w:shd w:val="clear" w:fill="FFFFFF"/>
          <w:lang w:val="en-US" w:eastAsia="zh-CN" w:bidi="ar"/>
        </w:rPr>
        <w:t>河南天天阳光物业管理有限公司</w:t>
      </w:r>
      <w:r>
        <w:rPr>
          <w:rFonts w:hint="eastAsia" w:asciiTheme="majorEastAsia" w:hAnsiTheme="majorEastAsia" w:eastAsiaTheme="majorEastAsia" w:cstheme="majorEastAsia"/>
          <w:color w:val="auto"/>
          <w:sz w:val="24"/>
          <w:szCs w:val="24"/>
          <w:lang w:val="en-US" w:eastAsia="zh-CN"/>
        </w:rPr>
        <w:t>，得分68.57;</w:t>
      </w:r>
    </w:p>
    <w:p w14:paraId="55E54FA4">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⑤</w:t>
      </w:r>
      <w:r>
        <w:rPr>
          <w:rFonts w:hint="eastAsia" w:asciiTheme="majorEastAsia" w:hAnsiTheme="majorEastAsia" w:eastAsiaTheme="majorEastAsia" w:cstheme="majorEastAsia"/>
          <w:color w:val="auto"/>
          <w:kern w:val="0"/>
          <w:sz w:val="24"/>
          <w:szCs w:val="24"/>
          <w:shd w:val="clear" w:fill="FFFFFF"/>
          <w:lang w:val="en-US" w:eastAsia="zh-CN" w:bidi="ar"/>
        </w:rPr>
        <w:t>河南省合家安物业管理有限</w:t>
      </w:r>
      <w:r>
        <w:rPr>
          <w:rFonts w:hint="eastAsia" w:asciiTheme="majorEastAsia" w:hAnsiTheme="majorEastAsia" w:eastAsiaTheme="majorEastAsia" w:cstheme="majorEastAsia"/>
          <w:color w:val="auto"/>
          <w:sz w:val="24"/>
          <w:szCs w:val="24"/>
          <w:lang w:val="en-US" w:eastAsia="zh-CN"/>
        </w:rPr>
        <w:t>公司，得分66.90;</w:t>
      </w:r>
    </w:p>
    <w:p w14:paraId="54DCD88B">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kern w:val="0"/>
          <w:sz w:val="24"/>
          <w:szCs w:val="24"/>
          <w:shd w:val="clear" w:fill="FFFFFF"/>
          <w:lang w:val="en-US" w:eastAsia="zh-CN" w:bidi="ar"/>
        </w:rPr>
      </w:pPr>
      <w:r>
        <w:rPr>
          <w:rFonts w:hint="eastAsia" w:asciiTheme="majorEastAsia" w:hAnsiTheme="majorEastAsia" w:eastAsiaTheme="majorEastAsia" w:cstheme="majorEastAsia"/>
          <w:color w:val="auto"/>
          <w:kern w:val="0"/>
          <w:sz w:val="24"/>
          <w:szCs w:val="24"/>
          <w:shd w:val="clear" w:fill="FFFFFF"/>
          <w:lang w:val="en-US" w:eastAsia="zh-CN" w:bidi="ar"/>
        </w:rPr>
        <w:t>焦作市嘉福物业管理有限公司，该供应商提供的商务响应表未实质性响应招标文件的商务要求。对（服务地点，试用期，付款方式，合同履约期）未响应。予以废标。</w:t>
      </w:r>
    </w:p>
    <w:p w14:paraId="381771FC">
      <w:pPr>
        <w:keepNext w:val="0"/>
        <w:keepLines w:val="0"/>
        <w:widowControl/>
        <w:suppressLineNumbers w:val="0"/>
        <w:shd w:val="clear" w:fill="FFFFFF"/>
        <w:bidi w:val="0"/>
        <w:spacing w:before="15" w:beforeAutospacing="0" w:line="15" w:lineRule="atLeast"/>
        <w:ind w:left="0" w:right="0" w:firstLine="480"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shd w:val="clear" w:fill="FFFFFF"/>
          <w:lang w:val="en-US" w:eastAsia="zh-CN" w:bidi="ar"/>
        </w:rPr>
        <w:t>焦作市爱巢物业管理有限公司，该供应商提供的人员报价不满足焦作市区月最低工资2100元的标准，予以废标。</w:t>
      </w:r>
    </w:p>
    <w:p w14:paraId="261FD6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各有关当事人对中标结果有异议的，可以在中标公告发布之日起七个工作日内，以书面形式向采购人</w:t>
      </w:r>
      <w:r>
        <w:rPr>
          <w:rFonts w:hint="eastAsia" w:asciiTheme="majorEastAsia" w:hAnsiTheme="majorEastAsia" w:eastAsiaTheme="majorEastAsia" w:cstheme="majorEastAsia"/>
          <w:color w:val="auto"/>
          <w:sz w:val="24"/>
          <w:szCs w:val="24"/>
          <w:highlight w:val="none"/>
        </w:rPr>
        <w:t>或集中采购机构提出质疑</w:t>
      </w:r>
      <w:r>
        <w:rPr>
          <w:rFonts w:hint="eastAsia" w:asciiTheme="majorEastAsia" w:hAnsiTheme="majorEastAsia" w:eastAsiaTheme="majorEastAsia" w:cstheme="majorEastAsia"/>
          <w:color w:val="auto"/>
          <w:sz w:val="24"/>
          <w:szCs w:val="24"/>
        </w:rPr>
        <w:t>，并以供应商提交的质疑函接受确认日期作为受理时间，逾期未提交的不再受理。</w:t>
      </w:r>
    </w:p>
    <w:p w14:paraId="4990749C">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0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2025-12-24T07:31:11Z</dcterms:created>
  <dc:creator>Administrator</dc:creator>
  <cp:lastModifiedBy>凝宝儿</cp:lastModifiedBy>
  <dcterms:modified xsi:type="dcterms:W3CDTF">2025-12-24T07:32:03Z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eyJoZGlkIjoiOTI2NzM1NDI5YTg1Nzc3OTMxZjExMzExNGI5MGIyY2MiLCJ1c2VySWQiOiIxNzMzNTM1MDYyIn0=</vt:lpwstr>
  </property>
  <property fmtid="{D5CDD505-2E9C-101B-9397-08002B2CF9AE}" pid="4" name="ICV">
    <vt:lpwstr>07D86C16D34C4958A23BC2B0D91DD147_12</vt:lpwstr>
  </property>
</Properties>
</file>