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313"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评审因素</w:t>
            </w:r>
          </w:p>
        </w:tc>
        <w:tc>
          <w:tcPr>
            <w:tcW w:w="1218"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评审内容</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b/>
                <w:bCs/>
                <w:sz w:val="21"/>
                <w:szCs w:val="21"/>
                <w:lang w:eastAsia="zh-CN"/>
              </w:rPr>
            </w:pPr>
            <w:r>
              <w:rPr>
                <w:rFonts w:hint="eastAsia" w:ascii="宋体" w:hAnsi="宋体" w:eastAsia="宋体" w:cs="宋体"/>
                <w:b/>
                <w:bCs/>
                <w:sz w:val="21"/>
                <w:szCs w:val="21"/>
              </w:rPr>
              <w:t>评分标准</w:t>
            </w:r>
          </w:p>
        </w:tc>
        <w:tc>
          <w:tcPr>
            <w:tcW w:w="865"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报价部分</w:t>
            </w:r>
          </w:p>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价格分采用低价优先法计算，即满足招标文件要求且评标价最低的为评标基准价，其价格分为满分。其他供应商的价格分统一按照下列公式计算：</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价格分=（评标基准价÷评标价）×30</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a、评标委员会根据政府采购法相关规定，对有效投标、符合价格折扣条件的供应商，按照价格调整因素及比例进行报价调整，以调整后的价格作为供应商的评标价。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b、供应商投报产品均出自小型或微型企业(监狱企业视同小型微型企业)或残疾人福利性单位的，给予最后报价12%的价格扣除，用扣除后的价格参</w:t>
            </w:r>
            <w:bookmarkStart w:id="0" w:name="_GoBack"/>
            <w:bookmarkEnd w:id="0"/>
            <w:r>
              <w:rPr>
                <w:rFonts w:hint="eastAsia" w:ascii="宋体" w:hAnsi="宋体" w:eastAsia="宋体" w:cs="宋体"/>
                <w:sz w:val="21"/>
                <w:szCs w:val="21"/>
              </w:rPr>
              <w:t>与评审，残疾人福利性单位属于小型、微型企业的，不重复享受政策。</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技术部分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评审小组将对</w:t>
            </w:r>
            <w:r>
              <w:rPr>
                <w:rFonts w:hint="eastAsia" w:ascii="宋体" w:hAnsi="宋体" w:eastAsia="宋体" w:cs="宋体"/>
                <w:sz w:val="21"/>
                <w:szCs w:val="21"/>
                <w:lang w:val="en-US" w:eastAsia="zh-CN"/>
              </w:rPr>
              <w:t>供应商所投</w:t>
            </w:r>
            <w:r>
              <w:rPr>
                <w:rFonts w:hint="eastAsia" w:ascii="宋体" w:hAnsi="宋体" w:eastAsia="宋体" w:cs="宋体"/>
                <w:sz w:val="21"/>
                <w:szCs w:val="21"/>
              </w:rPr>
              <w:t>产品的参数是否偏离做出评价，技术参数全部满足招标文件要求的得满分</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分；加★项每有一项参数负偏离招标文件要求（含缺漏项）的扣</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分，未加★项每有一项参数负偏离招标文件要求（含缺漏项）的扣</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分，扣完为止。</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加★项需提供国家认可的</w:t>
            </w:r>
            <w:r>
              <w:rPr>
                <w:rFonts w:hint="eastAsia" w:ascii="宋体" w:hAnsi="宋体" w:cs="宋体"/>
                <w:sz w:val="21"/>
                <w:szCs w:val="21"/>
                <w:lang w:val="en-US" w:eastAsia="zh-CN"/>
              </w:rPr>
              <w:t>有资质的第三方</w:t>
            </w:r>
            <w:r>
              <w:rPr>
                <w:rFonts w:hint="eastAsia" w:ascii="宋体" w:hAnsi="宋体" w:eastAsia="宋体" w:cs="宋体"/>
                <w:sz w:val="21"/>
                <w:szCs w:val="21"/>
                <w:lang w:val="en-US" w:eastAsia="zh-CN"/>
              </w:rPr>
              <w:t>检测机构出具的检测报告。</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所投产品技术参数以厂家出具的产品参数证明材料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rPr>
              <w:t>为准计分。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对产品的先进性、实用性、耐用性、安全性进行综合评价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根据供应商提供的所投产品的</w:t>
            </w:r>
            <w:r>
              <w:rPr>
                <w:rFonts w:hint="eastAsia" w:ascii="宋体" w:hAnsi="宋体" w:eastAsia="宋体" w:cs="宋体"/>
                <w:sz w:val="21"/>
                <w:szCs w:val="21"/>
              </w:rPr>
              <w:t>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，对产品的先进性、实用性、耐用性、安全性进行综合评价：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先进性：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在相关行业领域档次较高</w:t>
            </w:r>
            <w:r>
              <w:rPr>
                <w:rFonts w:hint="eastAsia" w:ascii="宋体" w:hAnsi="宋体" w:eastAsia="宋体" w:cs="宋体"/>
                <w:sz w:val="21"/>
                <w:szCs w:val="21"/>
                <w:lang w:val="en-US" w:eastAsia="zh-CN"/>
              </w:rPr>
              <w:t>，对产品先进性描述详细、真实、准确，相关资料能充分体现产品先进性的特点得5分；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中上</w:t>
            </w:r>
            <w:r>
              <w:rPr>
                <w:rFonts w:hint="eastAsia" w:ascii="宋体" w:hAnsi="宋体" w:eastAsia="宋体" w:cs="宋体"/>
                <w:sz w:val="21"/>
                <w:szCs w:val="21"/>
                <w:lang w:val="en-US" w:eastAsia="zh-CN"/>
              </w:rPr>
              <w:t>，对产品先进性描述较为详细、真实、准确，相关资料能体现产品先进性的特点得3分；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，对产品先进性描述</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，相关资料能体现产品先进性的特点得1分；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1、产品实用性的响应程度高的，对产品实用性描述最为详细、真实、准确，相关资料能充分体现产品实用性的特点得5分；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2、产品实用性的响应程度较高的，对产品实用性描述较为详细、真实、准确，相关资料能体现产品实用性的特点得3分；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3、产品实用性的响应程度一般的，对产品实用性描述基本真实、准确，相关资料能体现产品实用性的特点得1分；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耐用性：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1、产品耐用性的响应程度高的，对产品耐用性描述最为详细、真实、准确，相关资料能充分体现产品耐用性的特点得5分；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2、产品耐用性的响应程度较高的，对产品耐用性描述较为详细、真实、准确，相关资料能体现产品耐用性的特点得3分；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3、产品耐用性的响应程度一般的，对产品耐用性描述基本真实、准确，相关资料能体现产品耐用性的特点得1分；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1、产品安全性的响应程度高的，对产品安全性描述最为详细、真实、准确，相关资料能充分体现产品安全性的特点得5分；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2、产品安全性的响应程度较高的，对产品安全性描述较为详细、真实、准确，相关资料能体现产品安全性的特点得3分；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3、产品安全性的响应程度一般的，对产品安全性描述基本真实、准确，相关资料能体现产品安全性的特点得1分；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提供的供货方案内容完整齐全</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有一套系统的运输装卸、安装调试、检验验收流程，方案科学可行、专业规范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组织协调方案表述清晰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可行有效、逻辑性强</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质量控制措施科学详尽、具体得当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良好；</w:t>
            </w:r>
            <w:r>
              <w:rPr>
                <w:rFonts w:hint="eastAsia" w:ascii="宋体" w:hAnsi="宋体" w:eastAsia="宋体" w:cs="宋体"/>
                <w:sz w:val="21"/>
                <w:szCs w:val="21"/>
                <w:lang w:val="en-US" w:eastAsia="en-US"/>
              </w:rPr>
              <w:t>有运输装卸、安装调试、检验验收方案及组织协调方案，且方案可行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质量控制措施具体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一般</w:t>
            </w:r>
            <w:r>
              <w:rPr>
                <w:rFonts w:hint="eastAsia" w:ascii="宋体" w:hAnsi="宋体" w:eastAsia="宋体" w:cs="宋体"/>
                <w:sz w:val="21"/>
                <w:szCs w:val="21"/>
                <w:lang w:val="en-US" w:eastAsia="en-US"/>
              </w:rPr>
              <w:t>，有运输装卸、安装调试、检验验收方案及组织协调方案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有相应的质量控制措施</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较差</w:t>
            </w:r>
            <w:r>
              <w:rPr>
                <w:rFonts w:hint="eastAsia" w:ascii="宋体" w:hAnsi="宋体" w:eastAsia="宋体" w:cs="宋体"/>
                <w:sz w:val="21"/>
                <w:szCs w:val="21"/>
                <w:lang w:val="en-US" w:eastAsia="en-US"/>
              </w:rPr>
              <w:t>，运输装卸、安装调试、检验验收方案及组织协调方案</w:t>
            </w:r>
            <w:r>
              <w:rPr>
                <w:rFonts w:hint="eastAsia" w:ascii="宋体" w:hAnsi="宋体" w:eastAsia="宋体" w:cs="宋体"/>
                <w:sz w:val="21"/>
                <w:szCs w:val="21"/>
                <w:lang w:val="en-US" w:eastAsia="zh-CN"/>
              </w:rPr>
              <w:t>简单或缺项；</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w:t>
            </w:r>
            <w:r>
              <w:rPr>
                <w:rFonts w:hint="eastAsia" w:ascii="宋体" w:hAnsi="宋体" w:eastAsia="宋体" w:cs="宋体"/>
                <w:sz w:val="21"/>
                <w:szCs w:val="21"/>
                <w:lang w:val="en-US" w:eastAsia="zh-CN"/>
              </w:rPr>
              <w:t>供货</w:t>
            </w:r>
            <w:r>
              <w:rPr>
                <w:rFonts w:hint="eastAsia" w:ascii="宋体" w:hAnsi="宋体" w:eastAsia="宋体" w:cs="宋体"/>
                <w:sz w:val="21"/>
                <w:szCs w:val="21"/>
                <w:lang w:val="en-US" w:eastAsia="en-US"/>
              </w:rPr>
              <w:t>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w:t>
            </w:r>
            <w:r>
              <w:rPr>
                <w:rFonts w:hint="eastAsia" w:ascii="宋体" w:hAnsi="宋体" w:eastAsia="宋体" w:cs="宋体"/>
                <w:sz w:val="21"/>
                <w:szCs w:val="21"/>
                <w:lang w:val="en-US" w:eastAsia="en-US"/>
              </w:rPr>
              <w:t>培训方案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提供的技术培训方案培训内容(至少包括设备操作及日常维护内容)全面高效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培训方式全面灵活高效、为用户考虑周到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培训计划科学可行、合理高效</w:t>
            </w:r>
            <w:r>
              <w:rPr>
                <w:rFonts w:hint="eastAsia" w:ascii="宋体" w:hAnsi="宋体" w:cs="宋体"/>
                <w:sz w:val="21"/>
                <w:szCs w:val="21"/>
                <w:lang w:val="en-US" w:eastAsia="zh-CN"/>
              </w:rPr>
              <w:t>，</w:t>
            </w:r>
            <w:r>
              <w:rPr>
                <w:rFonts w:hint="eastAsia" w:ascii="宋体" w:hAnsi="宋体" w:eastAsia="宋体" w:cs="宋体"/>
                <w:sz w:val="21"/>
                <w:szCs w:val="21"/>
                <w:lang w:val="en-US" w:eastAsia="en-US"/>
              </w:rPr>
              <w:t>培训团队人员配备齐全、分工明确、有明确的岗位职责描述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培训效果良好，能够确保使用人员熟练操作、维护及管理</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提供的技术培训方案内容全面</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培训方式灵活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培训计划合理</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培训团队人员配备分工明确</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培训效果良好，使用人员能够熟练操作</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提供的技术培训方案中，有培训内容描述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培训方式单一</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培训计划安排可行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培训团队人员配备简单</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培训效果评估基本能满足要求</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w:t>
            </w:r>
            <w:r>
              <w:rPr>
                <w:rFonts w:hint="eastAsia" w:ascii="宋体" w:hAnsi="宋体" w:eastAsia="宋体" w:cs="宋体"/>
                <w:sz w:val="21"/>
                <w:szCs w:val="21"/>
                <w:lang w:val="en-US" w:eastAsia="en-US"/>
              </w:rPr>
              <w:t>提供的技术培训方案</w:t>
            </w:r>
            <w:r>
              <w:rPr>
                <w:rFonts w:hint="eastAsia" w:ascii="宋体" w:hAnsi="宋体" w:eastAsia="宋体" w:cs="宋体"/>
                <w:sz w:val="21"/>
                <w:szCs w:val="21"/>
                <w:lang w:val="en-US" w:eastAsia="zh-CN"/>
              </w:rPr>
              <w:t>缺项或合理性不强的，得1分；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未提供技术培训方案，不得分。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（15分）</w:t>
            </w:r>
          </w:p>
        </w:tc>
        <w:tc>
          <w:tcPr>
            <w:tcW w:w="1218" w:type="dxa"/>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业绩</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202</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年01月01日以来</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供应商</w:t>
            </w:r>
            <w:r>
              <w:rPr>
                <w:rFonts w:hint="eastAsia" w:ascii="宋体" w:hAnsi="宋体" w:eastAsia="宋体" w:cs="宋体"/>
                <w:sz w:val="21"/>
                <w:szCs w:val="21"/>
                <w:lang w:val="en-US" w:eastAsia="zh-CN"/>
              </w:rPr>
              <w:t>提供</w:t>
            </w:r>
            <w:r>
              <w:rPr>
                <w:rFonts w:hint="eastAsia" w:ascii="宋体" w:hAnsi="宋体" w:eastAsia="宋体" w:cs="宋体"/>
                <w:sz w:val="21"/>
                <w:szCs w:val="21"/>
                <w:lang w:val="en-US" w:eastAsia="en-US"/>
              </w:rPr>
              <w:t>类似</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eastAsia="en-US"/>
              </w:rPr>
              <w:t>业绩的</w:t>
            </w:r>
            <w:r>
              <w:rPr>
                <w:rFonts w:hint="eastAsia" w:ascii="宋体" w:hAnsi="宋体" w:eastAsia="宋体" w:cs="宋体"/>
                <w:sz w:val="21"/>
                <w:szCs w:val="21"/>
                <w:lang w:val="en-US" w:eastAsia="zh-CN"/>
              </w:rPr>
              <w:t>或所投核心产品的制造商提供核心产品类似业绩的，每提供一份</w:t>
            </w:r>
            <w:r>
              <w:rPr>
                <w:rFonts w:hint="eastAsia" w:ascii="宋体" w:hAnsi="宋体" w:eastAsia="宋体" w:cs="宋体"/>
                <w:sz w:val="21"/>
                <w:szCs w:val="21"/>
                <w:lang w:val="en-US" w:eastAsia="en-US"/>
              </w:rPr>
              <w:t>得</w:t>
            </w:r>
            <w:r>
              <w:rPr>
                <w:rFonts w:hint="eastAsia" w:ascii="宋体" w:hAnsi="宋体" w:cs="宋体"/>
                <w:sz w:val="21"/>
                <w:szCs w:val="21"/>
                <w:lang w:val="en-US" w:eastAsia="zh-CN"/>
              </w:rPr>
              <w:t>1</w:t>
            </w:r>
            <w:r>
              <w:rPr>
                <w:rFonts w:hint="eastAsia" w:ascii="宋体" w:hAnsi="宋体" w:eastAsia="宋体" w:cs="宋体"/>
                <w:sz w:val="21"/>
                <w:szCs w:val="21"/>
                <w:lang w:val="en-US" w:eastAsia="en-US"/>
              </w:rPr>
              <w:t>分，最高得</w:t>
            </w: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注：以上项目业绩，需在投标文件中提供合同、发票复印件并加盖公章；否则不得分。</w:t>
            </w:r>
            <w:r>
              <w:rPr>
                <w:rFonts w:hint="eastAsia" w:ascii="宋体" w:hAnsi="宋体" w:eastAsia="宋体" w:cs="宋体"/>
                <w:sz w:val="21"/>
                <w:szCs w:val="21"/>
                <w:lang w:val="en-US" w:eastAsia="zh-CN"/>
              </w:rPr>
              <w:t>（以合同签订时间为准）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rPr>
              <w:t>节能环保产品</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所投产品如为节能产品政府采购品目清单内非强制节能产品的，</w:t>
            </w:r>
            <w:r>
              <w:rPr>
                <w:rFonts w:hint="eastAsia" w:ascii="宋体" w:hAnsi="宋体" w:eastAsia="宋体" w:cs="宋体"/>
                <w:sz w:val="21"/>
                <w:szCs w:val="21"/>
                <w:lang w:val="en-US" w:eastAsia="zh-CN"/>
              </w:rPr>
              <w:t>得</w:t>
            </w:r>
            <w:r>
              <w:rPr>
                <w:rFonts w:hint="eastAsia" w:ascii="宋体" w:hAnsi="宋体" w:eastAsia="宋体" w:cs="宋体"/>
                <w:sz w:val="21"/>
                <w:szCs w:val="21"/>
              </w:rPr>
              <w:t>0.5分</w:t>
            </w:r>
            <w:r>
              <w:rPr>
                <w:rFonts w:hint="eastAsia" w:ascii="宋体" w:hAnsi="宋体" w:cs="宋体"/>
                <w:sz w:val="21"/>
                <w:szCs w:val="21"/>
                <w:lang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2、所投产品如为环境标志产品政府采购品目清单内的产品的，得0.5分。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售后服务</w:t>
            </w:r>
            <w:r>
              <w:rPr>
                <w:rFonts w:hint="eastAsia" w:ascii="宋体" w:hAnsi="宋体" w:eastAsia="宋体" w:cs="宋体"/>
                <w:sz w:val="21"/>
                <w:szCs w:val="21"/>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在满足质保期的基础上每增加1年加1分,最多加1分。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售后服务方案：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分；内容基本完整，可行性一般，得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分；内容不完整，可行性较差，得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3、应急维修保障措施（内容包括但不限</w:t>
            </w:r>
            <w:r>
              <w:rPr>
                <w:rFonts w:hint="eastAsia" w:ascii="宋体" w:hAnsi="宋体" w:cs="宋体"/>
                <w:sz w:val="21"/>
                <w:szCs w:val="21"/>
                <w:lang w:val="en-US" w:eastAsia="zh-CN"/>
              </w:rPr>
              <w:t>于</w:t>
            </w:r>
            <w:r>
              <w:rPr>
                <w:rFonts w:hint="eastAsia" w:ascii="宋体" w:hAnsi="宋体" w:eastAsia="宋体" w:cs="宋体"/>
                <w:sz w:val="21"/>
                <w:szCs w:val="21"/>
                <w:lang w:val="en-US" w:eastAsia="zh-CN"/>
              </w:rPr>
              <w:t>应急维修程序、应急维修预案、应急维修人员配备等）内容充分、明确，可行性极强，得4分；内容充分、明确，可行性较强，得3分；内容基本完整，可行性一般，得2分；内容不完整，可行性较差，得1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w:t>
            </w:r>
          </w:p>
        </w:tc>
      </w:tr>
    </w:tbl>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0BA938F3"/>
    <w:rsid w:val="117B7B57"/>
    <w:rsid w:val="21CE1799"/>
    <w:rsid w:val="24F1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2563</Words>
  <Characters>2665</Characters>
  <Lines>0</Lines>
  <Paragraphs>0</Paragraphs>
  <TotalTime>0</TotalTime>
  <ScaleCrop>false</ScaleCrop>
  <LinksUpToDate>false</LinksUpToDate>
  <CharactersWithSpaces>2666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2024-06-14T12:54:54Z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