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ind w:left="0" w:leftChars="0" w:firstLine="0" w:firstLineChars="0"/>
        <w:rPr>
          <w:lang w:eastAsia="zh-CN"/>
        </w:rPr>
      </w:pPr>
    </w:p>
    <w:p>
      <w:pPr>
        <w:bidi w:val="0"/>
        <w:rPr>
          <w:rFonts w:hint="eastAsia" w:ascii="宋体" w:hAnsi="宋体" w:eastAsia="宋体" w:cs="宋体"/>
          <w:spacing w:val="13"/>
          <w:szCs w:val="24"/>
          <w:highlight w:val="none"/>
          <w14:textOutline w14:w="4356" w14:cap="sq" w14:cmpd="sng" w14:algn="ctr">
            <w14:solidFill>
              <w14:srgbClr w14:val="000000"/>
            </w14:solidFill>
            <w14:prstDash w14:val="solid"/>
            <w14:bevel/>
          </w14:textOutline>
        </w:rPr>
      </w:pPr>
      <w:r>
        <w:rPr>
          <w:rFonts w:hint="eastAsia" w:ascii="宋体" w:hAnsi="宋体" w:eastAsia="宋体" w:cs="宋体"/>
          <w:spacing w:val="13"/>
          <w:szCs w:val="24"/>
          <w:highlight w:val="none"/>
          <w14:textOutline w14:w="4356" w14:cap="sq" w14:cmpd="sng" w14:algn="ctr">
            <w14:solidFill>
              <w14:srgbClr w14:val="000000"/>
            </w14:solidFill>
            <w14:prstDash w14:val="solid"/>
            <w14:bevel/>
          </w14:textOutline>
        </w:rPr>
        <w:t>33</w:t>
      </w:r>
      <w:r>
        <w:rPr>
          <w:rFonts w:hint="eastAsia" w:ascii="宋体" w:hAnsi="宋体" w:cs="宋体"/>
          <w:spacing w:val="13"/>
          <w:szCs w:val="24"/>
          <w:highlight w:val="none"/>
          <w:lang w:eastAsia="zh-CN"/>
          <w14:textOutline w14:w="4356" w14:cap="sq" w14:cmpd="sng" w14:algn="ctr">
            <w14:solidFill>
              <w14:srgbClr w14:val="000000"/>
            </w14:solidFill>
            <w14:prstDash w14:val="solid"/>
            <w14:bevel/>
          </w14:textOutline>
        </w:rPr>
        <w:t>、</w:t>
      </w:r>
      <w:r>
        <w:rPr>
          <w:rFonts w:hint="eastAsia" w:ascii="宋体" w:hAnsi="宋体" w:eastAsia="宋体" w:cs="宋体"/>
          <w:spacing w:val="13"/>
          <w:szCs w:val="24"/>
          <w:highlight w:val="none"/>
          <w14:textOutline w14:w="4356" w14:cap="sq" w14:cmpd="sng" w14:algn="ctr">
            <w14:solidFill>
              <w14:srgbClr w14:val="000000"/>
            </w14:solidFill>
            <w14:prstDash w14:val="solid"/>
            <w14:bevel/>
          </w14:textOutline>
        </w:rPr>
        <w:t>评分标准（满分100分）</w:t>
      </w:r>
    </w:p>
    <w:tbl>
      <w:tblPr>
        <w:tblStyle w:val="7"/>
        <w:tblW w:w="9759" w:type="dxa"/>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3"/>
        <w:gridCol w:w="1218"/>
        <w:gridCol w:w="6363"/>
        <w:gridCol w:w="8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313" w:type="dxa"/>
          </w:tcPr>
          <w:p>
            <w:pPr>
              <w:widowControl w:val="0"/>
              <w:bidi w:val="0"/>
              <w:ind w:left="0" w:leftChars="0" w:firstLine="0" w:firstLineChars="0"/>
              <w:jc w:val="center"/>
              <w:rPr>
                <w:rFonts w:hint="eastAsia" w:ascii="宋体" w:hAnsi="宋体" w:eastAsia="宋体" w:cs="宋体"/>
                <w:b/>
                <w:bCs/>
                <w:sz w:val="21"/>
                <w:szCs w:val="21"/>
                <w:lang w:eastAsia="zh-CN"/>
              </w:rPr>
            </w:pPr>
            <w:r>
              <w:rPr>
                <w:rFonts w:hint="eastAsia" w:ascii="宋体" w:hAnsi="宋体" w:eastAsia="宋体" w:cs="宋体"/>
                <w:b/>
                <w:bCs/>
                <w:sz w:val="21"/>
                <w:szCs w:val="21"/>
              </w:rPr>
              <w:t>评审因素</w:t>
            </w:r>
          </w:p>
        </w:tc>
        <w:tc>
          <w:tcPr>
            <w:tcW w:w="1218" w:type="dxa"/>
          </w:tcPr>
          <w:p>
            <w:pPr>
              <w:widowControl w:val="0"/>
              <w:bidi w:val="0"/>
              <w:ind w:left="0" w:leftChars="0" w:firstLine="0" w:firstLineChars="0"/>
              <w:jc w:val="center"/>
              <w:rPr>
                <w:rFonts w:hint="eastAsia" w:ascii="宋体" w:hAnsi="宋体" w:eastAsia="宋体" w:cs="宋体"/>
                <w:b/>
                <w:bCs/>
                <w:sz w:val="21"/>
                <w:szCs w:val="21"/>
                <w:lang w:eastAsia="zh-CN"/>
              </w:rPr>
            </w:pPr>
            <w:r>
              <w:rPr>
                <w:rFonts w:hint="eastAsia" w:ascii="宋体" w:hAnsi="宋体" w:eastAsia="宋体" w:cs="宋体"/>
                <w:b/>
                <w:bCs/>
                <w:sz w:val="21"/>
                <w:szCs w:val="21"/>
              </w:rPr>
              <w:t>评审内容</w:t>
            </w:r>
          </w:p>
        </w:tc>
        <w:tc>
          <w:tcPr>
            <w:tcW w:w="6363" w:type="dxa"/>
          </w:tcPr>
          <w:p>
            <w:pPr>
              <w:keepNext w:val="0"/>
              <w:keepLines w:val="0"/>
              <w:pageBreakBefore w:val="0"/>
              <w:widowControl/>
              <w:kinsoku/>
              <w:wordWrap w:val="0"/>
              <w:overflowPunct/>
              <w:topLinePunct/>
              <w:autoSpaceDE/>
              <w:autoSpaceDN/>
              <w:bidi w:val="0"/>
              <w:adjustRightInd w:val="0"/>
              <w:snapToGrid w:val="0"/>
              <w:spacing w:line="400" w:lineRule="exact"/>
              <w:ind w:left="0" w:leftChars="0" w:firstLine="0" w:firstLineChars="0"/>
              <w:jc w:val="center"/>
              <w:textAlignment w:val="baseline"/>
              <w:rPr>
                <w:rFonts w:hint="eastAsia" w:ascii="宋体" w:hAnsi="宋体" w:eastAsia="宋体" w:cs="宋体"/>
                <w:b/>
                <w:bCs/>
                <w:sz w:val="21"/>
                <w:szCs w:val="21"/>
                <w:lang w:eastAsia="zh-CN"/>
              </w:rPr>
            </w:pPr>
            <w:r>
              <w:rPr>
                <w:rFonts w:hint="eastAsia" w:ascii="宋体" w:hAnsi="宋体" w:eastAsia="宋体" w:cs="宋体"/>
                <w:b/>
                <w:bCs/>
                <w:sz w:val="21"/>
                <w:szCs w:val="21"/>
              </w:rPr>
              <w:t>评分标准</w:t>
            </w:r>
          </w:p>
        </w:tc>
        <w:tc>
          <w:tcPr>
            <w:tcW w:w="865" w:type="dxa"/>
          </w:tcPr>
          <w:p>
            <w:pPr>
              <w:widowControl w:val="0"/>
              <w:bidi w:val="0"/>
              <w:ind w:left="0" w:leftChars="0" w:firstLine="0" w:firstLineChars="0"/>
              <w:jc w:val="center"/>
              <w:rPr>
                <w:rFonts w:hint="eastAsia" w:ascii="宋体" w:hAnsi="宋体" w:eastAsia="宋体" w:cs="宋体"/>
                <w:b/>
                <w:bCs/>
                <w:sz w:val="21"/>
                <w:szCs w:val="21"/>
                <w:lang w:eastAsia="zh-CN"/>
              </w:rPr>
            </w:pPr>
            <w:r>
              <w:rPr>
                <w:rFonts w:hint="eastAsia" w:ascii="宋体" w:hAnsi="宋体" w:eastAsia="宋体" w:cs="宋体"/>
                <w:b/>
                <w:bCs/>
                <w:sz w:val="21"/>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0" w:hRule="atLeast"/>
        </w:trPr>
        <w:tc>
          <w:tcPr>
            <w:tcW w:w="1313" w:type="dxa"/>
            <w:vAlign w:val="center"/>
          </w:tcPr>
          <w:p>
            <w:pPr>
              <w:widowControl w:val="0"/>
              <w:bidi w:val="0"/>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报价部分</w:t>
            </w:r>
          </w:p>
          <w:p>
            <w:pPr>
              <w:widowControl w:val="0"/>
              <w:bidi w:val="0"/>
              <w:ind w:left="0" w:leftChars="0"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rPr>
              <w:t>（30分）</w:t>
            </w:r>
          </w:p>
        </w:tc>
        <w:tc>
          <w:tcPr>
            <w:tcW w:w="1218" w:type="dxa"/>
            <w:vAlign w:val="center"/>
          </w:tcPr>
          <w:p>
            <w:pPr>
              <w:widowControl w:val="0"/>
              <w:bidi w:val="0"/>
              <w:ind w:left="0" w:leftChars="0"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rPr>
              <w:t>投标报价</w:t>
            </w:r>
          </w:p>
        </w:tc>
        <w:tc>
          <w:tcPr>
            <w:tcW w:w="6363" w:type="dxa"/>
          </w:tcPr>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rPr>
            </w:pPr>
            <w:r>
              <w:rPr>
                <w:rFonts w:hint="eastAsia" w:ascii="宋体" w:hAnsi="宋体" w:eastAsia="宋体" w:cs="宋体"/>
                <w:sz w:val="21"/>
                <w:szCs w:val="21"/>
              </w:rPr>
              <w:t>价格分采用低价优先法计算，即满足招标文件要求且评标价最低的为评标基准价，其价格分为满分。其他供应商的价格分统一按照下列公式计算：</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rPr>
            </w:pPr>
            <w:r>
              <w:rPr>
                <w:rFonts w:hint="eastAsia" w:ascii="宋体" w:hAnsi="宋体" w:eastAsia="宋体" w:cs="宋体"/>
                <w:sz w:val="21"/>
                <w:szCs w:val="21"/>
              </w:rPr>
              <w:t>价格分=（评标基准价÷评标价）×30</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rPr>
            </w:pPr>
            <w:r>
              <w:rPr>
                <w:rFonts w:hint="eastAsia" w:ascii="宋体" w:hAnsi="宋体" w:eastAsia="宋体" w:cs="宋体"/>
                <w:sz w:val="21"/>
                <w:szCs w:val="21"/>
              </w:rPr>
              <w:t>a、评标委员会根据政府采购法相关规定，对有效投标、符合价格折扣条件的供应商，按照价格调整因素及比例进行报价调整，以调整后的价格作为供应商的评标价。</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rPr>
            </w:pPr>
            <w:r>
              <w:rPr>
                <w:rFonts w:hint="eastAsia" w:ascii="宋体" w:hAnsi="宋体" w:eastAsia="宋体" w:cs="宋体"/>
                <w:sz w:val="21"/>
                <w:szCs w:val="21"/>
              </w:rPr>
              <w:t>b、供应商投报产品均出自小型或微型企业(监狱企业视同小型微型企业)或残疾人福利性单位的，给予最后报价12%的价格扣除，用扣除后的价格参与评审，残疾人福利性单位属于小型、微型企业的，不重复享受政策。</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rPr>
            </w:pPr>
            <w:r>
              <w:rPr>
                <w:rFonts w:hint="eastAsia" w:ascii="宋体" w:hAnsi="宋体" w:eastAsia="宋体" w:cs="宋体"/>
                <w:sz w:val="21"/>
                <w:szCs w:val="21"/>
              </w:rPr>
              <w:t>评标价=供应商报价×（1-价格折扣幅度）</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eastAsia="zh-CN"/>
              </w:rPr>
            </w:pPr>
            <w:r>
              <w:rPr>
                <w:rFonts w:hint="eastAsia" w:ascii="宋体" w:hAnsi="宋体" w:eastAsia="宋体" w:cs="宋体"/>
                <w:sz w:val="21"/>
                <w:szCs w:val="21"/>
              </w:rPr>
              <w:t>注：价格分计算保留小数点后二位。</w:t>
            </w:r>
          </w:p>
        </w:tc>
        <w:tc>
          <w:tcPr>
            <w:tcW w:w="865" w:type="dxa"/>
            <w:vAlign w:val="center"/>
          </w:tcPr>
          <w:p>
            <w:pPr>
              <w:widowControl w:val="0"/>
              <w:bidi w:val="0"/>
              <w:ind w:left="0" w:leftChars="0"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3" w:hRule="atLeast"/>
        </w:trPr>
        <w:tc>
          <w:tcPr>
            <w:tcW w:w="1313" w:type="dxa"/>
            <w:vMerge w:val="restart"/>
            <w:vAlign w:val="center"/>
          </w:tcPr>
          <w:p>
            <w:pPr>
              <w:widowControl w:val="0"/>
              <w:bidi w:val="0"/>
              <w:ind w:left="0" w:leftChars="0" w:firstLine="0" w:firstLineChars="0"/>
              <w:jc w:val="center"/>
              <w:rPr>
                <w:rFonts w:hint="eastAsia" w:ascii="宋体" w:hAnsi="宋体" w:eastAsia="宋体" w:cs="宋体"/>
                <w:sz w:val="21"/>
                <w:szCs w:val="21"/>
                <w:lang w:val="en-US" w:eastAsia="en-US"/>
              </w:rPr>
            </w:pPr>
            <w:r>
              <w:rPr>
                <w:rFonts w:hint="eastAsia" w:ascii="宋体" w:hAnsi="宋体" w:eastAsia="宋体" w:cs="宋体"/>
                <w:sz w:val="21"/>
                <w:szCs w:val="21"/>
                <w:lang w:val="en-US" w:eastAsia="en-US"/>
              </w:rPr>
              <w:t>技术部分</w:t>
            </w:r>
          </w:p>
          <w:p>
            <w:pPr>
              <w:widowControl w:val="0"/>
              <w:bidi w:val="0"/>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（55分）</w:t>
            </w:r>
          </w:p>
        </w:tc>
        <w:tc>
          <w:tcPr>
            <w:tcW w:w="1218" w:type="dxa"/>
            <w:vAlign w:val="center"/>
          </w:tcPr>
          <w:p>
            <w:pPr>
              <w:widowControl w:val="0"/>
              <w:bidi w:val="0"/>
              <w:ind w:left="0" w:leftChars="0"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rPr>
              <w:t>技术参数及响应</w:t>
            </w:r>
          </w:p>
        </w:tc>
        <w:tc>
          <w:tcPr>
            <w:tcW w:w="6363" w:type="dxa"/>
          </w:tcPr>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rPr>
            </w:pPr>
            <w:r>
              <w:rPr>
                <w:rFonts w:hint="eastAsia" w:ascii="宋体" w:hAnsi="宋体" w:eastAsia="宋体" w:cs="宋体"/>
                <w:sz w:val="21"/>
                <w:szCs w:val="21"/>
              </w:rPr>
              <w:t>评审小组将对</w:t>
            </w:r>
            <w:r>
              <w:rPr>
                <w:rFonts w:hint="eastAsia" w:ascii="宋体" w:hAnsi="宋体" w:eastAsia="宋体" w:cs="宋体"/>
                <w:sz w:val="21"/>
                <w:szCs w:val="21"/>
                <w:lang w:val="en-US" w:eastAsia="zh-CN"/>
              </w:rPr>
              <w:t>供应商所投</w:t>
            </w:r>
            <w:r>
              <w:rPr>
                <w:rFonts w:hint="eastAsia" w:ascii="宋体" w:hAnsi="宋体" w:eastAsia="宋体" w:cs="宋体"/>
                <w:sz w:val="21"/>
                <w:szCs w:val="21"/>
              </w:rPr>
              <w:t>产品的参数是否偏离做出评价，技术参数全部满足招标文件要求的得满</w:t>
            </w:r>
            <w:r>
              <w:rPr>
                <w:rFonts w:hint="eastAsia" w:ascii="宋体" w:hAnsi="宋体" w:eastAsia="宋体" w:cs="宋体"/>
                <w:sz w:val="21"/>
                <w:szCs w:val="21"/>
                <w:highlight w:val="none"/>
              </w:rPr>
              <w:t>分</w:t>
            </w:r>
            <w:r>
              <w:rPr>
                <w:rFonts w:hint="eastAsia" w:ascii="宋体" w:hAnsi="宋体" w:eastAsia="宋体" w:cs="宋体"/>
                <w:sz w:val="21"/>
                <w:szCs w:val="21"/>
                <w:highlight w:val="none"/>
                <w:lang w:val="en-US" w:eastAsia="zh-CN"/>
              </w:rPr>
              <w:t>25</w:t>
            </w:r>
            <w:r>
              <w:rPr>
                <w:rFonts w:hint="eastAsia" w:ascii="宋体" w:hAnsi="宋体" w:eastAsia="宋体" w:cs="宋体"/>
                <w:sz w:val="21"/>
                <w:szCs w:val="21"/>
                <w:highlight w:val="none"/>
              </w:rPr>
              <w:t>分；加★项每有一项参数负偏离招标文件要求（含缺漏项）的扣</w:t>
            </w: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rPr>
              <w:t>分，未加★项每有一项参数负偏离招标文件要求（含缺漏项）的扣</w:t>
            </w:r>
            <w:r>
              <w:rPr>
                <w:rFonts w:hint="eastAsia" w:ascii="宋体" w:hAnsi="宋体" w:cs="宋体"/>
                <w:sz w:val="21"/>
                <w:szCs w:val="21"/>
                <w:highlight w:val="none"/>
                <w:lang w:val="en-US" w:eastAsia="zh-CN"/>
              </w:rPr>
              <w:t>0.5</w:t>
            </w:r>
            <w:r>
              <w:rPr>
                <w:rFonts w:hint="eastAsia" w:ascii="宋体" w:hAnsi="宋体" w:eastAsia="宋体" w:cs="宋体"/>
                <w:sz w:val="21"/>
                <w:szCs w:val="21"/>
                <w:highlight w:val="none"/>
              </w:rPr>
              <w:t>分，扣完为止。</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注：加▲项为实质性响应参数，若负偏离招标文件要求，则做无效投标处理。</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加★项需提供国家认可的</w:t>
            </w:r>
            <w:r>
              <w:rPr>
                <w:rFonts w:hint="eastAsia" w:ascii="宋体" w:hAnsi="宋体" w:cs="宋体"/>
                <w:sz w:val="21"/>
                <w:szCs w:val="21"/>
                <w:lang w:val="en-US" w:eastAsia="zh-CN"/>
              </w:rPr>
              <w:t>有资质的第三方</w:t>
            </w:r>
            <w:r>
              <w:rPr>
                <w:rFonts w:hint="eastAsia" w:ascii="宋体" w:hAnsi="宋体" w:eastAsia="宋体" w:cs="宋体"/>
                <w:sz w:val="21"/>
                <w:szCs w:val="21"/>
                <w:lang w:val="en-US" w:eastAsia="zh-CN"/>
              </w:rPr>
              <w:t>检测机构出具的检测报告</w:t>
            </w:r>
            <w:r>
              <w:rPr>
                <w:rFonts w:hint="eastAsia" w:ascii="宋体" w:hAnsi="宋体" w:cs="宋体"/>
                <w:sz w:val="21"/>
                <w:szCs w:val="21"/>
                <w:lang w:val="en-US" w:eastAsia="zh-CN"/>
              </w:rPr>
              <w:t>。</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eastAsia="zh-CN"/>
              </w:rPr>
            </w:pPr>
            <w:r>
              <w:rPr>
                <w:rFonts w:hint="eastAsia" w:ascii="宋体" w:hAnsi="宋体" w:eastAsia="宋体" w:cs="宋体"/>
                <w:sz w:val="21"/>
                <w:szCs w:val="21"/>
              </w:rPr>
              <w:t>所投产品技术参数以厂家出具的产品参数证明材料</w:t>
            </w:r>
            <w:r>
              <w:rPr>
                <w:rFonts w:hint="eastAsia" w:ascii="宋体" w:hAnsi="宋体" w:eastAsia="宋体" w:cs="宋体"/>
                <w:sz w:val="21"/>
                <w:szCs w:val="21"/>
                <w:lang w:eastAsia="zh-CN"/>
              </w:rPr>
              <w:t>（</w:t>
            </w:r>
            <w:r>
              <w:rPr>
                <w:rFonts w:hint="eastAsia" w:ascii="宋体" w:hAnsi="宋体" w:eastAsia="宋体" w:cs="宋体"/>
                <w:sz w:val="21"/>
                <w:szCs w:val="21"/>
              </w:rPr>
              <w:t>检测报告或专利或官方彩页或官方网页参数截图复印件、</w:t>
            </w:r>
            <w:r>
              <w:rPr>
                <w:rFonts w:hint="eastAsia" w:ascii="宋体" w:hAnsi="宋体" w:eastAsia="宋体" w:cs="宋体"/>
                <w:sz w:val="21"/>
                <w:szCs w:val="21"/>
                <w:lang w:val="en-US" w:eastAsia="zh-CN"/>
              </w:rPr>
              <w:t>产品说明书</w:t>
            </w:r>
            <w:r>
              <w:rPr>
                <w:rFonts w:hint="eastAsia" w:ascii="宋体" w:hAnsi="宋体" w:cs="宋体"/>
                <w:sz w:val="21"/>
                <w:szCs w:val="21"/>
                <w:lang w:val="en-US" w:eastAsia="zh-CN"/>
              </w:rPr>
              <w:t>、技术白皮书</w:t>
            </w:r>
            <w:r>
              <w:rPr>
                <w:rFonts w:hint="eastAsia" w:ascii="宋体" w:hAnsi="宋体" w:eastAsia="宋体" w:cs="宋体"/>
                <w:sz w:val="21"/>
                <w:szCs w:val="21"/>
              </w:rPr>
              <w:t>等</w:t>
            </w:r>
            <w:r>
              <w:rPr>
                <w:rFonts w:hint="eastAsia" w:ascii="宋体" w:hAnsi="宋体" w:eastAsia="宋体" w:cs="宋体"/>
                <w:sz w:val="21"/>
                <w:szCs w:val="21"/>
                <w:lang w:eastAsia="zh-CN"/>
              </w:rPr>
              <w:t>）</w:t>
            </w:r>
            <w:r>
              <w:rPr>
                <w:rFonts w:hint="eastAsia" w:ascii="宋体" w:hAnsi="宋体" w:eastAsia="宋体" w:cs="宋体"/>
                <w:sz w:val="21"/>
                <w:szCs w:val="21"/>
              </w:rPr>
              <w:t>为准计分。</w:t>
            </w:r>
          </w:p>
        </w:tc>
        <w:tc>
          <w:tcPr>
            <w:tcW w:w="865" w:type="dxa"/>
            <w:vAlign w:val="center"/>
          </w:tcPr>
          <w:p>
            <w:pPr>
              <w:widowControl w:val="0"/>
              <w:bidi w:val="0"/>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13" w:type="dxa"/>
            <w:vMerge w:val="continue"/>
            <w:vAlign w:val="center"/>
          </w:tcPr>
          <w:p>
            <w:pPr>
              <w:widowControl w:val="0"/>
              <w:bidi w:val="0"/>
              <w:jc w:val="center"/>
              <w:rPr>
                <w:rFonts w:hint="eastAsia" w:ascii="宋体" w:hAnsi="宋体" w:eastAsia="宋体" w:cs="宋体"/>
                <w:sz w:val="21"/>
                <w:szCs w:val="21"/>
                <w:lang w:val="en-US" w:eastAsia="zh-CN"/>
              </w:rPr>
            </w:pPr>
          </w:p>
        </w:tc>
        <w:tc>
          <w:tcPr>
            <w:tcW w:w="1218" w:type="dxa"/>
            <w:vMerge w:val="restart"/>
            <w:vAlign w:val="center"/>
          </w:tcPr>
          <w:p>
            <w:pPr>
              <w:widowControl w:val="0"/>
              <w:bidi w:val="0"/>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对产品的先进性、实用性、耐用性、安全性进行综合评价</w:t>
            </w:r>
          </w:p>
          <w:p>
            <w:pPr>
              <w:widowControl w:val="0"/>
              <w:bidi w:val="0"/>
              <w:ind w:left="0" w:leftChars="0" w:firstLine="0" w:firstLineChars="0"/>
              <w:jc w:val="both"/>
              <w:rPr>
                <w:rFonts w:hint="eastAsia" w:ascii="宋体" w:hAnsi="宋体" w:eastAsia="宋体" w:cs="宋体"/>
                <w:sz w:val="21"/>
                <w:szCs w:val="21"/>
              </w:rPr>
            </w:pPr>
          </w:p>
        </w:tc>
        <w:tc>
          <w:tcPr>
            <w:tcW w:w="6363" w:type="dxa"/>
          </w:tcPr>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根据供应商提供的所投产品的</w:t>
            </w:r>
            <w:r>
              <w:rPr>
                <w:rFonts w:hint="eastAsia" w:ascii="宋体" w:hAnsi="宋体" w:eastAsia="宋体" w:cs="宋体"/>
                <w:sz w:val="21"/>
                <w:szCs w:val="21"/>
              </w:rPr>
              <w:t>证明材料</w:t>
            </w:r>
            <w:r>
              <w:rPr>
                <w:rFonts w:hint="eastAsia" w:ascii="宋体" w:hAnsi="宋体" w:eastAsia="宋体" w:cs="宋体"/>
                <w:sz w:val="21"/>
                <w:szCs w:val="21"/>
                <w:lang w:eastAsia="zh-CN"/>
              </w:rPr>
              <w:t>（</w:t>
            </w:r>
            <w:r>
              <w:rPr>
                <w:rFonts w:hint="eastAsia" w:ascii="宋体" w:hAnsi="宋体" w:eastAsia="宋体" w:cs="宋体"/>
                <w:sz w:val="21"/>
                <w:szCs w:val="21"/>
              </w:rPr>
              <w:t>检测报告或专利或官方彩页或官方网页参数截图复印件、</w:t>
            </w:r>
            <w:r>
              <w:rPr>
                <w:rFonts w:hint="eastAsia" w:ascii="宋体" w:hAnsi="宋体" w:eastAsia="宋体" w:cs="宋体"/>
                <w:sz w:val="21"/>
                <w:szCs w:val="21"/>
                <w:lang w:val="en-US" w:eastAsia="zh-CN"/>
              </w:rPr>
              <w:t>产品说明书</w:t>
            </w:r>
            <w:r>
              <w:rPr>
                <w:rFonts w:hint="eastAsia" w:ascii="宋体" w:hAnsi="宋体" w:cs="宋体"/>
                <w:sz w:val="21"/>
                <w:szCs w:val="21"/>
                <w:lang w:val="en-US" w:eastAsia="zh-CN"/>
              </w:rPr>
              <w:t>、技术白皮书</w:t>
            </w:r>
            <w:r>
              <w:rPr>
                <w:rFonts w:hint="eastAsia" w:ascii="宋体" w:hAnsi="宋体" w:eastAsia="宋体" w:cs="宋体"/>
                <w:sz w:val="21"/>
                <w:szCs w:val="21"/>
              </w:rPr>
              <w:t>等</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，对产品的先进性、实用性、耐用性、安全性进行综合评价：</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先进性：</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lang w:val="en-US" w:eastAsia="en-US"/>
              </w:rPr>
              <w:t>在相关行业领域档次较高</w:t>
            </w:r>
            <w:r>
              <w:rPr>
                <w:rFonts w:hint="eastAsia" w:ascii="宋体" w:hAnsi="宋体" w:eastAsia="宋体" w:cs="宋体"/>
                <w:sz w:val="21"/>
                <w:szCs w:val="21"/>
                <w:lang w:val="en-US" w:eastAsia="zh-CN"/>
              </w:rPr>
              <w:t>，对产品先进性描述详细、真实、准确，相关资料能充分体现产品先进性的特点得5分；</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lang w:val="en-US" w:eastAsia="en-US"/>
              </w:rPr>
              <w:t>在相关行业领域档次</w:t>
            </w:r>
            <w:r>
              <w:rPr>
                <w:rFonts w:hint="eastAsia" w:ascii="宋体" w:hAnsi="宋体" w:cs="宋体"/>
                <w:sz w:val="21"/>
                <w:szCs w:val="21"/>
                <w:lang w:val="en-US" w:eastAsia="zh-CN"/>
              </w:rPr>
              <w:t>中上</w:t>
            </w:r>
            <w:r>
              <w:rPr>
                <w:rFonts w:hint="eastAsia" w:ascii="宋体" w:hAnsi="宋体" w:eastAsia="宋体" w:cs="宋体"/>
                <w:sz w:val="21"/>
                <w:szCs w:val="21"/>
                <w:lang w:val="en-US" w:eastAsia="zh-CN"/>
              </w:rPr>
              <w:t>，对产品先进性描述较为详细、真实、准确，相关资料能体现产品先进性的特点得3分；</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r>
              <w:rPr>
                <w:rFonts w:hint="eastAsia" w:ascii="宋体" w:hAnsi="宋体" w:eastAsia="宋体" w:cs="宋体"/>
                <w:sz w:val="21"/>
                <w:szCs w:val="21"/>
                <w:lang w:val="en-US" w:eastAsia="en-US"/>
              </w:rPr>
              <w:t>在相关行业领域档次</w:t>
            </w:r>
            <w:r>
              <w:rPr>
                <w:rFonts w:hint="eastAsia" w:ascii="宋体" w:hAnsi="宋体" w:cs="宋体"/>
                <w:sz w:val="21"/>
                <w:szCs w:val="21"/>
                <w:lang w:val="en-US" w:eastAsia="zh-CN"/>
              </w:rPr>
              <w:t>一般</w:t>
            </w:r>
            <w:r>
              <w:rPr>
                <w:rFonts w:hint="eastAsia" w:ascii="宋体" w:hAnsi="宋体" w:eastAsia="宋体" w:cs="宋体"/>
                <w:sz w:val="21"/>
                <w:szCs w:val="21"/>
                <w:lang w:val="en-US" w:eastAsia="zh-CN"/>
              </w:rPr>
              <w:t>，对产品先进性描述</w:t>
            </w:r>
            <w:r>
              <w:rPr>
                <w:rFonts w:hint="eastAsia" w:ascii="宋体" w:hAnsi="宋体" w:cs="宋体"/>
                <w:sz w:val="21"/>
                <w:szCs w:val="21"/>
                <w:lang w:val="en-US" w:eastAsia="zh-CN"/>
              </w:rPr>
              <w:t>一般</w:t>
            </w:r>
            <w:r>
              <w:rPr>
                <w:rFonts w:hint="eastAsia" w:ascii="宋体" w:hAnsi="宋体" w:eastAsia="宋体" w:cs="宋体"/>
                <w:sz w:val="21"/>
                <w:szCs w:val="21"/>
                <w:lang w:val="en-US" w:eastAsia="zh-CN"/>
              </w:rPr>
              <w:t>，相关资料能体现产品先进性的特点得1分；</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en-US"/>
              </w:rPr>
            </w:pPr>
            <w:r>
              <w:rPr>
                <w:rFonts w:hint="eastAsia" w:ascii="宋体" w:hAnsi="宋体" w:eastAsia="宋体" w:cs="宋体"/>
                <w:sz w:val="21"/>
                <w:szCs w:val="21"/>
                <w:lang w:val="en-US" w:eastAsia="zh-CN"/>
              </w:rPr>
              <w:t>4、不响应不得分。</w:t>
            </w:r>
          </w:p>
        </w:tc>
        <w:tc>
          <w:tcPr>
            <w:tcW w:w="865" w:type="dxa"/>
            <w:vMerge w:val="restart"/>
            <w:vAlign w:val="center"/>
          </w:tcPr>
          <w:p>
            <w:pPr>
              <w:widowControl w:val="0"/>
              <w:bidi w:val="0"/>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1313" w:type="dxa"/>
            <w:vMerge w:val="continue"/>
            <w:vAlign w:val="center"/>
          </w:tcPr>
          <w:p>
            <w:pPr>
              <w:widowControl w:val="0"/>
              <w:bidi w:val="0"/>
              <w:jc w:val="both"/>
              <w:rPr>
                <w:rFonts w:hint="eastAsia" w:ascii="宋体" w:hAnsi="宋体" w:eastAsia="宋体" w:cs="宋体"/>
                <w:sz w:val="21"/>
                <w:szCs w:val="21"/>
                <w:lang w:val="en-US" w:eastAsia="zh-CN"/>
              </w:rPr>
            </w:pPr>
          </w:p>
        </w:tc>
        <w:tc>
          <w:tcPr>
            <w:tcW w:w="1218" w:type="dxa"/>
            <w:vMerge w:val="continue"/>
            <w:vAlign w:val="center"/>
          </w:tcPr>
          <w:p>
            <w:pPr>
              <w:widowControl w:val="0"/>
              <w:bidi w:val="0"/>
              <w:jc w:val="both"/>
              <w:rPr>
                <w:rFonts w:hint="eastAsia" w:ascii="宋体" w:hAnsi="宋体" w:eastAsia="宋体" w:cs="宋体"/>
                <w:sz w:val="21"/>
                <w:szCs w:val="21"/>
              </w:rPr>
            </w:pPr>
          </w:p>
        </w:tc>
        <w:tc>
          <w:tcPr>
            <w:tcW w:w="6363" w:type="dxa"/>
          </w:tcPr>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实用性：</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1、产品实用性的响应程度高的，对产品实用性描述最为详细、真实、准确，相关资料能充分体现产品实用性的特点得5分；</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2、产品实用性的响应程度较高的，对产品实用性描述较为详细、真实、准确，相关资料能体现产品实用性的特点得3分；</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3、产品实用性的响应程度一般的，对产品实用性描述基本真实、准确，相关资料能体现产品实用性的特点得1分；</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en-US"/>
              </w:rPr>
            </w:pPr>
            <w:r>
              <w:rPr>
                <w:rFonts w:hint="eastAsia" w:ascii="宋体" w:hAnsi="宋体" w:eastAsia="宋体" w:cs="宋体"/>
                <w:sz w:val="21"/>
                <w:szCs w:val="21"/>
                <w:lang w:val="en-US" w:eastAsia="zh-CN"/>
              </w:rPr>
              <w:t>4、不响应不得分。</w:t>
            </w:r>
          </w:p>
        </w:tc>
        <w:tc>
          <w:tcPr>
            <w:tcW w:w="865" w:type="dxa"/>
            <w:vMerge w:val="continue"/>
            <w:vAlign w:val="center"/>
          </w:tcPr>
          <w:p>
            <w:pPr>
              <w:widowControl w:val="0"/>
              <w:bidi w:val="0"/>
              <w:jc w:val="both"/>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1313" w:type="dxa"/>
            <w:vMerge w:val="continue"/>
            <w:vAlign w:val="center"/>
          </w:tcPr>
          <w:p>
            <w:pPr>
              <w:widowControl w:val="0"/>
              <w:bidi w:val="0"/>
              <w:jc w:val="both"/>
              <w:rPr>
                <w:rFonts w:hint="eastAsia" w:ascii="宋体" w:hAnsi="宋体" w:eastAsia="宋体" w:cs="宋体"/>
                <w:sz w:val="21"/>
                <w:szCs w:val="21"/>
                <w:lang w:val="en-US" w:eastAsia="zh-CN"/>
              </w:rPr>
            </w:pPr>
          </w:p>
        </w:tc>
        <w:tc>
          <w:tcPr>
            <w:tcW w:w="1218" w:type="dxa"/>
            <w:vMerge w:val="continue"/>
            <w:vAlign w:val="center"/>
          </w:tcPr>
          <w:p>
            <w:pPr>
              <w:widowControl w:val="0"/>
              <w:bidi w:val="0"/>
              <w:jc w:val="both"/>
              <w:rPr>
                <w:rFonts w:hint="eastAsia" w:ascii="宋体" w:hAnsi="宋体" w:eastAsia="宋体" w:cs="宋体"/>
                <w:sz w:val="21"/>
                <w:szCs w:val="21"/>
              </w:rPr>
            </w:pPr>
          </w:p>
        </w:tc>
        <w:tc>
          <w:tcPr>
            <w:tcW w:w="6363" w:type="dxa"/>
          </w:tcPr>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耐用性：</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1、产品耐用性的响应程度高的，对产品耐用性描述最为详细、真实、准确，相关资料能充分体现产品耐用性的特点得5分；</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2、产品耐用性的响应程度较高的，对产品耐用性描述较为详细、真实、准确，相关资料能体现产品耐用性的特点得3分；</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3、产品耐用性的响应程度一般的，对产品耐用性描述基本真实、准确，相关资料能体现产品耐用性的特点得1分；</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en-US"/>
              </w:rPr>
            </w:pPr>
            <w:r>
              <w:rPr>
                <w:rFonts w:hint="eastAsia" w:ascii="宋体" w:hAnsi="宋体" w:eastAsia="宋体" w:cs="宋体"/>
                <w:sz w:val="21"/>
                <w:szCs w:val="21"/>
                <w:lang w:val="en-US" w:eastAsia="zh-CN"/>
              </w:rPr>
              <w:t>4、不响应不得分。</w:t>
            </w:r>
          </w:p>
        </w:tc>
        <w:tc>
          <w:tcPr>
            <w:tcW w:w="865" w:type="dxa"/>
            <w:vMerge w:val="continue"/>
            <w:vAlign w:val="center"/>
          </w:tcPr>
          <w:p>
            <w:pPr>
              <w:widowControl w:val="0"/>
              <w:bidi w:val="0"/>
              <w:jc w:val="both"/>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1313" w:type="dxa"/>
            <w:vMerge w:val="continue"/>
            <w:vAlign w:val="center"/>
          </w:tcPr>
          <w:p>
            <w:pPr>
              <w:widowControl w:val="0"/>
              <w:bidi w:val="0"/>
              <w:jc w:val="both"/>
              <w:rPr>
                <w:rFonts w:hint="eastAsia" w:ascii="宋体" w:hAnsi="宋体" w:eastAsia="宋体" w:cs="宋体"/>
                <w:sz w:val="21"/>
                <w:szCs w:val="21"/>
                <w:lang w:val="en-US" w:eastAsia="zh-CN"/>
              </w:rPr>
            </w:pPr>
          </w:p>
        </w:tc>
        <w:tc>
          <w:tcPr>
            <w:tcW w:w="1218" w:type="dxa"/>
            <w:vMerge w:val="continue"/>
            <w:vAlign w:val="center"/>
          </w:tcPr>
          <w:p>
            <w:pPr>
              <w:widowControl w:val="0"/>
              <w:bidi w:val="0"/>
              <w:jc w:val="both"/>
              <w:rPr>
                <w:rFonts w:hint="eastAsia" w:ascii="宋体" w:hAnsi="宋体" w:eastAsia="宋体" w:cs="宋体"/>
                <w:sz w:val="21"/>
                <w:szCs w:val="21"/>
              </w:rPr>
            </w:pPr>
          </w:p>
        </w:tc>
        <w:tc>
          <w:tcPr>
            <w:tcW w:w="6363" w:type="dxa"/>
          </w:tcPr>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安全性：</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1、产品安全性的响应程度高的，对产品安全性描述最为详细、真实、准确，相关资料能充分体现产品安全性的特点得5分；</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2、产品安全性的响应程度较高的，对产品安全性描述较为详细、真实、准确，相关资料能体现产品安全性的特点得3分；</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3、产品安全性的响应程度一般的，对产品安全性描述基本真实、准确，相关资料能体现产品安全性的特点得1分；</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en-US"/>
              </w:rPr>
            </w:pPr>
            <w:r>
              <w:rPr>
                <w:rFonts w:hint="eastAsia" w:ascii="宋体" w:hAnsi="宋体" w:eastAsia="宋体" w:cs="宋体"/>
                <w:sz w:val="21"/>
                <w:szCs w:val="21"/>
                <w:lang w:val="en-US" w:eastAsia="zh-CN"/>
              </w:rPr>
              <w:t>4、不响应不得分。</w:t>
            </w:r>
          </w:p>
        </w:tc>
        <w:tc>
          <w:tcPr>
            <w:tcW w:w="865" w:type="dxa"/>
            <w:vMerge w:val="continue"/>
            <w:vAlign w:val="center"/>
          </w:tcPr>
          <w:p>
            <w:pPr>
              <w:widowControl w:val="0"/>
              <w:bidi w:val="0"/>
              <w:jc w:val="both"/>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2" w:hRule="atLeast"/>
        </w:trPr>
        <w:tc>
          <w:tcPr>
            <w:tcW w:w="1313" w:type="dxa"/>
            <w:vMerge w:val="continue"/>
            <w:vAlign w:val="center"/>
          </w:tcPr>
          <w:p>
            <w:pPr>
              <w:widowControl w:val="0"/>
              <w:bidi w:val="0"/>
              <w:jc w:val="both"/>
              <w:rPr>
                <w:rFonts w:hint="eastAsia" w:ascii="宋体" w:hAnsi="宋体" w:eastAsia="宋体" w:cs="宋体"/>
                <w:sz w:val="21"/>
                <w:szCs w:val="21"/>
                <w:lang w:val="en-US" w:eastAsia="zh-CN"/>
              </w:rPr>
            </w:pPr>
          </w:p>
        </w:tc>
        <w:tc>
          <w:tcPr>
            <w:tcW w:w="1218" w:type="dxa"/>
            <w:vAlign w:val="center"/>
          </w:tcPr>
          <w:p>
            <w:pPr>
              <w:widowControl w:val="0"/>
              <w:bidi w:val="0"/>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供货方案</w:t>
            </w:r>
          </w:p>
        </w:tc>
        <w:tc>
          <w:tcPr>
            <w:tcW w:w="6363" w:type="dxa"/>
          </w:tcPr>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en-US"/>
              </w:rPr>
              <w:t>1、</w:t>
            </w:r>
            <w:r>
              <w:rPr>
                <w:rFonts w:hint="eastAsia" w:ascii="宋体" w:hAnsi="宋体" w:eastAsia="宋体" w:cs="宋体"/>
                <w:sz w:val="21"/>
                <w:szCs w:val="21"/>
                <w:lang w:val="en-US" w:eastAsia="zh-CN"/>
              </w:rPr>
              <w:t>供应商</w:t>
            </w:r>
            <w:r>
              <w:rPr>
                <w:rFonts w:hint="eastAsia" w:ascii="宋体" w:hAnsi="宋体" w:eastAsia="宋体" w:cs="宋体"/>
                <w:sz w:val="21"/>
                <w:szCs w:val="21"/>
                <w:lang w:val="en-US" w:eastAsia="en-US"/>
              </w:rPr>
              <w:t>提供的供货方案内容完整齐全</w:t>
            </w:r>
            <w:r>
              <w:rPr>
                <w:rFonts w:hint="eastAsia" w:ascii="宋体" w:hAnsi="宋体" w:eastAsia="宋体" w:cs="宋体"/>
                <w:sz w:val="21"/>
                <w:szCs w:val="21"/>
                <w:lang w:val="en-US" w:eastAsia="zh-CN"/>
              </w:rPr>
              <w:t>；</w:t>
            </w:r>
            <w:r>
              <w:rPr>
                <w:rFonts w:hint="eastAsia" w:ascii="宋体" w:hAnsi="宋体" w:eastAsia="宋体" w:cs="宋体"/>
                <w:sz w:val="21"/>
                <w:szCs w:val="21"/>
                <w:lang w:val="en-US" w:eastAsia="en-US"/>
              </w:rPr>
              <w:t>有一套系统的运输装卸、安装调试、检验验收流程，方案科学可行、专业规范</w:t>
            </w:r>
            <w:r>
              <w:rPr>
                <w:rFonts w:hint="eastAsia" w:ascii="宋体" w:hAnsi="宋体" w:eastAsia="宋体" w:cs="宋体"/>
                <w:sz w:val="21"/>
                <w:szCs w:val="21"/>
                <w:lang w:val="en-US" w:eastAsia="zh-CN"/>
              </w:rPr>
              <w:t>；</w:t>
            </w:r>
            <w:r>
              <w:rPr>
                <w:rFonts w:hint="eastAsia" w:ascii="宋体" w:hAnsi="宋体" w:eastAsia="宋体" w:cs="宋体"/>
                <w:sz w:val="21"/>
                <w:szCs w:val="21"/>
                <w:lang w:val="en-US" w:eastAsia="en-US"/>
              </w:rPr>
              <w:t>组织协调方案表述清晰</w:t>
            </w:r>
            <w:r>
              <w:rPr>
                <w:rFonts w:hint="eastAsia" w:ascii="宋体" w:hAnsi="宋体" w:eastAsia="宋体" w:cs="宋体"/>
                <w:sz w:val="21"/>
                <w:szCs w:val="21"/>
                <w:lang w:val="en-US" w:eastAsia="zh-CN"/>
              </w:rPr>
              <w:t>、</w:t>
            </w:r>
            <w:r>
              <w:rPr>
                <w:rFonts w:hint="eastAsia" w:ascii="宋体" w:hAnsi="宋体" w:eastAsia="宋体" w:cs="宋体"/>
                <w:sz w:val="21"/>
                <w:szCs w:val="21"/>
                <w:lang w:val="en-US" w:eastAsia="en-US"/>
              </w:rPr>
              <w:t>可行有效、逻辑性强</w:t>
            </w:r>
            <w:r>
              <w:rPr>
                <w:rFonts w:hint="eastAsia" w:ascii="宋体" w:hAnsi="宋体" w:eastAsia="宋体" w:cs="宋体"/>
                <w:sz w:val="21"/>
                <w:szCs w:val="21"/>
                <w:lang w:val="en-US" w:eastAsia="zh-CN"/>
              </w:rPr>
              <w:t>；</w:t>
            </w:r>
            <w:r>
              <w:rPr>
                <w:rFonts w:hint="eastAsia" w:ascii="宋体" w:hAnsi="宋体" w:eastAsia="宋体" w:cs="宋体"/>
                <w:sz w:val="21"/>
                <w:szCs w:val="21"/>
                <w:lang w:val="en-US" w:eastAsia="en-US"/>
              </w:rPr>
              <w:t>质量控制措施科学详尽、具体得当</w:t>
            </w:r>
            <w:r>
              <w:rPr>
                <w:rFonts w:hint="eastAsia" w:ascii="宋体" w:hAnsi="宋体" w:eastAsia="宋体" w:cs="宋体"/>
                <w:sz w:val="21"/>
                <w:szCs w:val="21"/>
                <w:lang w:val="en-US" w:eastAsia="zh-CN"/>
              </w:rPr>
              <w:t>，</w:t>
            </w:r>
            <w:r>
              <w:rPr>
                <w:rFonts w:hint="eastAsia" w:ascii="宋体" w:hAnsi="宋体" w:eastAsia="宋体" w:cs="宋体"/>
                <w:sz w:val="21"/>
                <w:szCs w:val="21"/>
                <w:lang w:val="en-US" w:eastAsia="en-US"/>
              </w:rPr>
              <w:t>得</w:t>
            </w:r>
            <w:r>
              <w:rPr>
                <w:rFonts w:hint="eastAsia" w:ascii="宋体" w:hAnsi="宋体" w:eastAsia="宋体" w:cs="宋体"/>
                <w:sz w:val="21"/>
                <w:szCs w:val="21"/>
                <w:lang w:val="en-US" w:eastAsia="zh-CN"/>
              </w:rPr>
              <w:t>5</w:t>
            </w:r>
            <w:r>
              <w:rPr>
                <w:rFonts w:hint="eastAsia" w:ascii="宋体" w:hAnsi="宋体" w:eastAsia="宋体" w:cs="宋体"/>
                <w:sz w:val="21"/>
                <w:szCs w:val="21"/>
                <w:lang w:val="en-US" w:eastAsia="en-US"/>
              </w:rPr>
              <w:t>分</w:t>
            </w:r>
            <w:r>
              <w:rPr>
                <w:rFonts w:hint="eastAsia" w:ascii="宋体" w:hAnsi="宋体" w:eastAsia="宋体" w:cs="宋体"/>
                <w:sz w:val="21"/>
                <w:szCs w:val="21"/>
                <w:lang w:val="en-US" w:eastAsia="zh-CN"/>
              </w:rPr>
              <w:t>；</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en-US"/>
              </w:rPr>
              <w:t>2、</w:t>
            </w:r>
            <w:r>
              <w:rPr>
                <w:rFonts w:hint="eastAsia" w:ascii="宋体" w:hAnsi="宋体" w:eastAsia="宋体" w:cs="宋体"/>
                <w:sz w:val="21"/>
                <w:szCs w:val="21"/>
                <w:lang w:val="en-US" w:eastAsia="zh-CN"/>
              </w:rPr>
              <w:t>供应商</w:t>
            </w:r>
            <w:r>
              <w:rPr>
                <w:rFonts w:hint="eastAsia" w:ascii="宋体" w:hAnsi="宋体" w:eastAsia="宋体" w:cs="宋体"/>
                <w:sz w:val="21"/>
                <w:szCs w:val="21"/>
                <w:lang w:val="en-US" w:eastAsia="en-US"/>
              </w:rPr>
              <w:t>提供的供货方案</w:t>
            </w:r>
            <w:r>
              <w:rPr>
                <w:rFonts w:hint="eastAsia" w:ascii="宋体" w:hAnsi="宋体" w:eastAsia="宋体" w:cs="宋体"/>
                <w:sz w:val="21"/>
                <w:szCs w:val="21"/>
                <w:lang w:val="en-US" w:eastAsia="zh-CN"/>
              </w:rPr>
              <w:t>良好；</w:t>
            </w:r>
            <w:r>
              <w:rPr>
                <w:rFonts w:hint="eastAsia" w:ascii="宋体" w:hAnsi="宋体" w:eastAsia="宋体" w:cs="宋体"/>
                <w:sz w:val="21"/>
                <w:szCs w:val="21"/>
                <w:lang w:val="en-US" w:eastAsia="en-US"/>
              </w:rPr>
              <w:t>有运输装卸、安装调试、检验验收方案及组织协调方案，且方案可行</w:t>
            </w:r>
            <w:r>
              <w:rPr>
                <w:rFonts w:hint="eastAsia" w:ascii="宋体" w:hAnsi="宋体" w:eastAsia="宋体" w:cs="宋体"/>
                <w:sz w:val="21"/>
                <w:szCs w:val="21"/>
                <w:lang w:val="en-US" w:eastAsia="zh-CN"/>
              </w:rPr>
              <w:t>；</w:t>
            </w:r>
            <w:r>
              <w:rPr>
                <w:rFonts w:hint="eastAsia" w:ascii="宋体" w:hAnsi="宋体" w:eastAsia="宋体" w:cs="宋体"/>
                <w:sz w:val="21"/>
                <w:szCs w:val="21"/>
                <w:lang w:val="en-US" w:eastAsia="en-US"/>
              </w:rPr>
              <w:t>质量控制措施具体</w:t>
            </w:r>
            <w:r>
              <w:rPr>
                <w:rFonts w:hint="eastAsia" w:ascii="宋体" w:hAnsi="宋体" w:eastAsia="宋体" w:cs="宋体"/>
                <w:sz w:val="21"/>
                <w:szCs w:val="21"/>
                <w:lang w:val="en-US" w:eastAsia="zh-CN"/>
              </w:rPr>
              <w:t>，</w:t>
            </w:r>
            <w:r>
              <w:rPr>
                <w:rFonts w:hint="eastAsia" w:ascii="宋体" w:hAnsi="宋体" w:eastAsia="宋体" w:cs="宋体"/>
                <w:sz w:val="21"/>
                <w:szCs w:val="21"/>
                <w:lang w:val="en-US" w:eastAsia="en-US"/>
              </w:rPr>
              <w:t>得</w:t>
            </w:r>
            <w:r>
              <w:rPr>
                <w:rFonts w:hint="eastAsia" w:ascii="宋体" w:hAnsi="宋体" w:eastAsia="宋体" w:cs="宋体"/>
                <w:sz w:val="21"/>
                <w:szCs w:val="21"/>
                <w:lang w:val="en-US" w:eastAsia="zh-CN"/>
              </w:rPr>
              <w:t>4</w:t>
            </w:r>
            <w:r>
              <w:rPr>
                <w:rFonts w:hint="eastAsia" w:ascii="宋体" w:hAnsi="宋体" w:eastAsia="宋体" w:cs="宋体"/>
                <w:sz w:val="21"/>
                <w:szCs w:val="21"/>
                <w:lang w:val="en-US" w:eastAsia="en-US"/>
              </w:rPr>
              <w:t>分</w:t>
            </w:r>
            <w:r>
              <w:rPr>
                <w:rFonts w:hint="eastAsia" w:ascii="宋体" w:hAnsi="宋体" w:eastAsia="宋体" w:cs="宋体"/>
                <w:sz w:val="21"/>
                <w:szCs w:val="21"/>
                <w:lang w:val="en-US" w:eastAsia="zh-CN"/>
              </w:rPr>
              <w:t>；</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en-US"/>
              </w:rPr>
              <w:t>3、</w:t>
            </w:r>
            <w:r>
              <w:rPr>
                <w:rFonts w:hint="eastAsia" w:ascii="宋体" w:hAnsi="宋体" w:eastAsia="宋体" w:cs="宋体"/>
                <w:sz w:val="21"/>
                <w:szCs w:val="21"/>
                <w:lang w:val="en-US" w:eastAsia="zh-CN"/>
              </w:rPr>
              <w:t>供应商</w:t>
            </w:r>
            <w:r>
              <w:rPr>
                <w:rFonts w:hint="eastAsia" w:ascii="宋体" w:hAnsi="宋体" w:eastAsia="宋体" w:cs="宋体"/>
                <w:sz w:val="21"/>
                <w:szCs w:val="21"/>
                <w:lang w:val="en-US" w:eastAsia="en-US"/>
              </w:rPr>
              <w:t>提供的供货方案</w:t>
            </w:r>
            <w:r>
              <w:rPr>
                <w:rFonts w:hint="eastAsia" w:ascii="宋体" w:hAnsi="宋体" w:eastAsia="宋体" w:cs="宋体"/>
                <w:sz w:val="21"/>
                <w:szCs w:val="21"/>
                <w:lang w:val="en-US" w:eastAsia="zh-CN"/>
              </w:rPr>
              <w:t>一般</w:t>
            </w:r>
            <w:r>
              <w:rPr>
                <w:rFonts w:hint="eastAsia" w:ascii="宋体" w:hAnsi="宋体" w:eastAsia="宋体" w:cs="宋体"/>
                <w:sz w:val="21"/>
                <w:szCs w:val="21"/>
                <w:lang w:val="en-US" w:eastAsia="en-US"/>
              </w:rPr>
              <w:t>，有运输装卸、安装调试、检验验收方案及组织协调方案</w:t>
            </w:r>
            <w:r>
              <w:rPr>
                <w:rFonts w:hint="eastAsia" w:ascii="宋体" w:hAnsi="宋体" w:eastAsia="宋体" w:cs="宋体"/>
                <w:sz w:val="21"/>
                <w:szCs w:val="21"/>
                <w:lang w:val="en-US" w:eastAsia="zh-CN"/>
              </w:rPr>
              <w:t>；</w:t>
            </w:r>
            <w:r>
              <w:rPr>
                <w:rFonts w:hint="eastAsia" w:ascii="宋体" w:hAnsi="宋体" w:eastAsia="宋体" w:cs="宋体"/>
                <w:sz w:val="21"/>
                <w:szCs w:val="21"/>
                <w:lang w:val="en-US" w:eastAsia="en-US"/>
              </w:rPr>
              <w:t>有相应的质量控制措施</w:t>
            </w:r>
            <w:r>
              <w:rPr>
                <w:rFonts w:hint="eastAsia" w:ascii="宋体" w:hAnsi="宋体" w:eastAsia="宋体" w:cs="宋体"/>
                <w:sz w:val="21"/>
                <w:szCs w:val="21"/>
                <w:lang w:val="en-US" w:eastAsia="zh-CN"/>
              </w:rPr>
              <w:t>；</w:t>
            </w:r>
            <w:r>
              <w:rPr>
                <w:rFonts w:hint="eastAsia" w:ascii="宋体" w:hAnsi="宋体" w:eastAsia="宋体" w:cs="宋体"/>
                <w:sz w:val="21"/>
                <w:szCs w:val="21"/>
                <w:lang w:val="en-US" w:eastAsia="en-US"/>
              </w:rPr>
              <w:t>得</w:t>
            </w:r>
            <w:r>
              <w:rPr>
                <w:rFonts w:hint="eastAsia" w:ascii="宋体" w:hAnsi="宋体" w:eastAsia="宋体" w:cs="宋体"/>
                <w:sz w:val="21"/>
                <w:szCs w:val="21"/>
                <w:lang w:val="en-US" w:eastAsia="zh-CN"/>
              </w:rPr>
              <w:t>2</w:t>
            </w:r>
            <w:r>
              <w:rPr>
                <w:rFonts w:hint="eastAsia" w:ascii="宋体" w:hAnsi="宋体" w:eastAsia="宋体" w:cs="宋体"/>
                <w:sz w:val="21"/>
                <w:szCs w:val="21"/>
                <w:lang w:val="en-US" w:eastAsia="en-US"/>
              </w:rPr>
              <w:t>分</w:t>
            </w:r>
            <w:r>
              <w:rPr>
                <w:rFonts w:hint="eastAsia" w:ascii="宋体" w:hAnsi="宋体" w:eastAsia="宋体" w:cs="宋体"/>
                <w:sz w:val="21"/>
                <w:szCs w:val="21"/>
                <w:lang w:val="en-US" w:eastAsia="zh-CN"/>
              </w:rPr>
              <w:t>；</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r>
              <w:rPr>
                <w:rFonts w:hint="eastAsia" w:ascii="宋体" w:hAnsi="宋体" w:eastAsia="宋体" w:cs="宋体"/>
                <w:sz w:val="21"/>
                <w:szCs w:val="21"/>
                <w:lang w:val="en-US" w:eastAsia="en-US"/>
              </w:rPr>
              <w:t>、</w:t>
            </w:r>
            <w:r>
              <w:rPr>
                <w:rFonts w:hint="eastAsia" w:ascii="宋体" w:hAnsi="宋体" w:eastAsia="宋体" w:cs="宋体"/>
                <w:sz w:val="21"/>
                <w:szCs w:val="21"/>
                <w:lang w:val="en-US" w:eastAsia="zh-CN"/>
              </w:rPr>
              <w:t>供应商</w:t>
            </w:r>
            <w:r>
              <w:rPr>
                <w:rFonts w:hint="eastAsia" w:ascii="宋体" w:hAnsi="宋体" w:eastAsia="宋体" w:cs="宋体"/>
                <w:sz w:val="21"/>
                <w:szCs w:val="21"/>
                <w:lang w:val="en-US" w:eastAsia="en-US"/>
              </w:rPr>
              <w:t>提供的供货方案</w:t>
            </w:r>
            <w:r>
              <w:rPr>
                <w:rFonts w:hint="eastAsia" w:ascii="宋体" w:hAnsi="宋体" w:eastAsia="宋体" w:cs="宋体"/>
                <w:sz w:val="21"/>
                <w:szCs w:val="21"/>
                <w:lang w:val="en-US" w:eastAsia="zh-CN"/>
              </w:rPr>
              <w:t>较差</w:t>
            </w:r>
            <w:r>
              <w:rPr>
                <w:rFonts w:hint="eastAsia" w:ascii="宋体" w:hAnsi="宋体" w:eastAsia="宋体" w:cs="宋体"/>
                <w:sz w:val="21"/>
                <w:szCs w:val="21"/>
                <w:lang w:val="en-US" w:eastAsia="en-US"/>
              </w:rPr>
              <w:t>，运输装卸、安装调试、检验验收方案及组织协调方案</w:t>
            </w:r>
            <w:r>
              <w:rPr>
                <w:rFonts w:hint="eastAsia" w:ascii="宋体" w:hAnsi="宋体" w:eastAsia="宋体" w:cs="宋体"/>
                <w:sz w:val="21"/>
                <w:szCs w:val="21"/>
                <w:lang w:val="en-US" w:eastAsia="zh-CN"/>
              </w:rPr>
              <w:t>简单或缺项；</w:t>
            </w:r>
            <w:r>
              <w:rPr>
                <w:rFonts w:hint="eastAsia" w:ascii="宋体" w:hAnsi="宋体" w:eastAsia="宋体" w:cs="宋体"/>
                <w:sz w:val="21"/>
                <w:szCs w:val="21"/>
                <w:lang w:val="en-US" w:eastAsia="en-US"/>
              </w:rPr>
              <w:t>得</w:t>
            </w:r>
            <w:r>
              <w:rPr>
                <w:rFonts w:hint="eastAsia" w:ascii="宋体" w:hAnsi="宋体" w:eastAsia="宋体" w:cs="宋体"/>
                <w:sz w:val="21"/>
                <w:szCs w:val="21"/>
                <w:lang w:val="en-US" w:eastAsia="zh-CN"/>
              </w:rPr>
              <w:t>1</w:t>
            </w:r>
            <w:r>
              <w:rPr>
                <w:rFonts w:hint="eastAsia" w:ascii="宋体" w:hAnsi="宋体" w:eastAsia="宋体" w:cs="宋体"/>
                <w:sz w:val="21"/>
                <w:szCs w:val="21"/>
                <w:lang w:val="en-US" w:eastAsia="en-US"/>
              </w:rPr>
              <w:t>分</w:t>
            </w:r>
            <w:r>
              <w:rPr>
                <w:rFonts w:hint="eastAsia" w:ascii="宋体" w:hAnsi="宋体" w:eastAsia="宋体" w:cs="宋体"/>
                <w:sz w:val="21"/>
                <w:szCs w:val="21"/>
                <w:lang w:val="en-US" w:eastAsia="zh-CN"/>
              </w:rPr>
              <w:t>；</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en-US"/>
              </w:rPr>
            </w:pPr>
            <w:r>
              <w:rPr>
                <w:rFonts w:hint="eastAsia" w:ascii="宋体" w:hAnsi="宋体" w:eastAsia="宋体" w:cs="宋体"/>
                <w:sz w:val="21"/>
                <w:szCs w:val="21"/>
                <w:lang w:val="en-US" w:eastAsia="zh-CN"/>
              </w:rPr>
              <w:t>5</w:t>
            </w:r>
            <w:r>
              <w:rPr>
                <w:rFonts w:hint="eastAsia" w:ascii="宋体" w:hAnsi="宋体" w:eastAsia="宋体" w:cs="宋体"/>
                <w:sz w:val="21"/>
                <w:szCs w:val="21"/>
                <w:lang w:val="en-US" w:eastAsia="en-US"/>
              </w:rPr>
              <w:t>、</w:t>
            </w:r>
            <w:r>
              <w:rPr>
                <w:rFonts w:hint="eastAsia" w:ascii="宋体" w:hAnsi="宋体" w:eastAsia="宋体" w:cs="宋体"/>
                <w:sz w:val="21"/>
                <w:szCs w:val="21"/>
                <w:lang w:val="en-US" w:eastAsia="zh-CN"/>
              </w:rPr>
              <w:t>供应商</w:t>
            </w:r>
            <w:r>
              <w:rPr>
                <w:rFonts w:hint="eastAsia" w:ascii="宋体" w:hAnsi="宋体" w:eastAsia="宋体" w:cs="宋体"/>
                <w:sz w:val="21"/>
                <w:szCs w:val="21"/>
                <w:lang w:val="en-US" w:eastAsia="en-US"/>
              </w:rPr>
              <w:t>未提供</w:t>
            </w:r>
            <w:r>
              <w:rPr>
                <w:rFonts w:hint="eastAsia" w:ascii="宋体" w:hAnsi="宋体" w:eastAsia="宋体" w:cs="宋体"/>
                <w:sz w:val="21"/>
                <w:szCs w:val="21"/>
                <w:lang w:val="en-US" w:eastAsia="zh-CN"/>
              </w:rPr>
              <w:t>供货</w:t>
            </w:r>
            <w:r>
              <w:rPr>
                <w:rFonts w:hint="eastAsia" w:ascii="宋体" w:hAnsi="宋体" w:eastAsia="宋体" w:cs="宋体"/>
                <w:sz w:val="21"/>
                <w:szCs w:val="21"/>
                <w:lang w:val="en-US" w:eastAsia="en-US"/>
              </w:rPr>
              <w:t>方案，不得分。</w:t>
            </w:r>
          </w:p>
        </w:tc>
        <w:tc>
          <w:tcPr>
            <w:tcW w:w="865" w:type="dxa"/>
            <w:vAlign w:val="center"/>
          </w:tcPr>
          <w:p>
            <w:pPr>
              <w:widowControl w:val="0"/>
              <w:bidi w:val="0"/>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4" w:hRule="atLeast"/>
        </w:trPr>
        <w:tc>
          <w:tcPr>
            <w:tcW w:w="1313" w:type="dxa"/>
            <w:vMerge w:val="continue"/>
            <w:vAlign w:val="center"/>
          </w:tcPr>
          <w:p>
            <w:pPr>
              <w:widowControl w:val="0"/>
              <w:bidi w:val="0"/>
              <w:jc w:val="both"/>
              <w:rPr>
                <w:rFonts w:hint="eastAsia" w:ascii="宋体" w:hAnsi="宋体" w:eastAsia="宋体" w:cs="宋体"/>
                <w:sz w:val="21"/>
                <w:szCs w:val="21"/>
                <w:lang w:val="en-US" w:eastAsia="zh-CN"/>
              </w:rPr>
            </w:pPr>
          </w:p>
        </w:tc>
        <w:tc>
          <w:tcPr>
            <w:tcW w:w="1218" w:type="dxa"/>
            <w:vAlign w:val="center"/>
          </w:tcPr>
          <w:p>
            <w:pPr>
              <w:widowControl w:val="0"/>
              <w:bidi w:val="0"/>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技术</w:t>
            </w:r>
            <w:r>
              <w:rPr>
                <w:rFonts w:hint="eastAsia" w:ascii="宋体" w:hAnsi="宋体" w:eastAsia="宋体" w:cs="宋体"/>
                <w:sz w:val="21"/>
                <w:szCs w:val="21"/>
                <w:lang w:val="en-US" w:eastAsia="en-US"/>
              </w:rPr>
              <w:t>培训方案</w:t>
            </w:r>
          </w:p>
        </w:tc>
        <w:tc>
          <w:tcPr>
            <w:tcW w:w="6363" w:type="dxa"/>
          </w:tcPr>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en-US"/>
              </w:rPr>
              <w:t>1、</w:t>
            </w:r>
            <w:r>
              <w:rPr>
                <w:rFonts w:hint="eastAsia" w:ascii="宋体" w:hAnsi="宋体" w:eastAsia="宋体" w:cs="宋体"/>
                <w:sz w:val="21"/>
                <w:szCs w:val="21"/>
                <w:lang w:val="en-US" w:eastAsia="zh-CN"/>
              </w:rPr>
              <w:t>供应商</w:t>
            </w:r>
            <w:r>
              <w:rPr>
                <w:rFonts w:hint="eastAsia" w:ascii="宋体" w:hAnsi="宋体" w:eastAsia="宋体" w:cs="宋体"/>
                <w:sz w:val="21"/>
                <w:szCs w:val="21"/>
                <w:lang w:val="en-US" w:eastAsia="en-US"/>
              </w:rPr>
              <w:t>提供的技术培训方案培训内容(至少包括设备操作及日常维护内容)全面高效</w:t>
            </w:r>
            <w:r>
              <w:rPr>
                <w:rFonts w:hint="eastAsia" w:ascii="宋体" w:hAnsi="宋体" w:eastAsia="宋体" w:cs="宋体"/>
                <w:sz w:val="21"/>
                <w:szCs w:val="21"/>
                <w:lang w:val="en-US" w:eastAsia="zh-CN"/>
              </w:rPr>
              <w:t>；</w:t>
            </w:r>
            <w:r>
              <w:rPr>
                <w:rFonts w:hint="eastAsia" w:ascii="宋体" w:hAnsi="宋体" w:eastAsia="宋体" w:cs="宋体"/>
                <w:sz w:val="21"/>
                <w:szCs w:val="21"/>
                <w:lang w:val="en-US" w:eastAsia="en-US"/>
              </w:rPr>
              <w:t>培训方式全面灵活高效、为用户考虑周到</w:t>
            </w:r>
            <w:r>
              <w:rPr>
                <w:rFonts w:hint="eastAsia" w:ascii="宋体" w:hAnsi="宋体" w:eastAsia="宋体" w:cs="宋体"/>
                <w:sz w:val="21"/>
                <w:szCs w:val="21"/>
                <w:lang w:val="en-US" w:eastAsia="zh-CN"/>
              </w:rPr>
              <w:t>；</w:t>
            </w:r>
            <w:r>
              <w:rPr>
                <w:rFonts w:hint="eastAsia" w:ascii="宋体" w:hAnsi="宋体" w:eastAsia="宋体" w:cs="宋体"/>
                <w:sz w:val="21"/>
                <w:szCs w:val="21"/>
                <w:lang w:val="en-US" w:eastAsia="en-US"/>
              </w:rPr>
              <w:t>培训计划科学可行、合理高效</w:t>
            </w:r>
            <w:r>
              <w:rPr>
                <w:rFonts w:hint="eastAsia" w:ascii="宋体" w:hAnsi="宋体" w:cs="宋体"/>
                <w:sz w:val="21"/>
                <w:szCs w:val="21"/>
                <w:lang w:val="en-US" w:eastAsia="zh-CN"/>
              </w:rPr>
              <w:t>，</w:t>
            </w:r>
            <w:r>
              <w:rPr>
                <w:rFonts w:hint="eastAsia" w:ascii="宋体" w:hAnsi="宋体" w:eastAsia="宋体" w:cs="宋体"/>
                <w:sz w:val="21"/>
                <w:szCs w:val="21"/>
                <w:lang w:val="en-US" w:eastAsia="en-US"/>
              </w:rPr>
              <w:t>培训团队人员配备齐全、分工明确、有明确的岗位职责描述</w:t>
            </w:r>
            <w:r>
              <w:rPr>
                <w:rFonts w:hint="eastAsia" w:ascii="宋体" w:hAnsi="宋体" w:eastAsia="宋体" w:cs="宋体"/>
                <w:sz w:val="21"/>
                <w:szCs w:val="21"/>
                <w:lang w:val="en-US" w:eastAsia="zh-CN"/>
              </w:rPr>
              <w:t>；</w:t>
            </w:r>
            <w:r>
              <w:rPr>
                <w:rFonts w:hint="eastAsia" w:ascii="宋体" w:hAnsi="宋体" w:eastAsia="宋体" w:cs="宋体"/>
                <w:sz w:val="21"/>
                <w:szCs w:val="21"/>
                <w:lang w:val="en-US" w:eastAsia="en-US"/>
              </w:rPr>
              <w:t>培训效果良好，能够确保使用人员熟练操作、维护及管理</w:t>
            </w:r>
            <w:r>
              <w:rPr>
                <w:rFonts w:hint="eastAsia" w:ascii="宋体" w:hAnsi="宋体" w:eastAsia="宋体" w:cs="宋体"/>
                <w:sz w:val="21"/>
                <w:szCs w:val="21"/>
                <w:lang w:val="en-US" w:eastAsia="zh-CN"/>
              </w:rPr>
              <w:t>产品设备；</w:t>
            </w:r>
            <w:r>
              <w:rPr>
                <w:rFonts w:hint="eastAsia" w:ascii="宋体" w:hAnsi="宋体" w:eastAsia="宋体" w:cs="宋体"/>
                <w:sz w:val="21"/>
                <w:szCs w:val="21"/>
                <w:lang w:val="en-US" w:eastAsia="en-US"/>
              </w:rPr>
              <w:t>得</w:t>
            </w:r>
            <w:r>
              <w:rPr>
                <w:rFonts w:hint="eastAsia" w:ascii="宋体" w:hAnsi="宋体" w:eastAsia="宋体" w:cs="宋体"/>
                <w:sz w:val="21"/>
                <w:szCs w:val="21"/>
                <w:lang w:val="en-US" w:eastAsia="zh-CN"/>
              </w:rPr>
              <w:t>5</w:t>
            </w:r>
            <w:r>
              <w:rPr>
                <w:rFonts w:hint="eastAsia" w:ascii="宋体" w:hAnsi="宋体" w:eastAsia="宋体" w:cs="宋体"/>
                <w:sz w:val="21"/>
                <w:szCs w:val="21"/>
                <w:lang w:val="en-US" w:eastAsia="en-US"/>
              </w:rPr>
              <w:t>分</w:t>
            </w:r>
            <w:r>
              <w:rPr>
                <w:rFonts w:hint="eastAsia" w:ascii="宋体" w:hAnsi="宋体" w:eastAsia="宋体" w:cs="宋体"/>
                <w:sz w:val="21"/>
                <w:szCs w:val="21"/>
                <w:lang w:val="en-US" w:eastAsia="zh-CN"/>
              </w:rPr>
              <w:t>；</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en-US"/>
              </w:rPr>
              <w:t>2、</w:t>
            </w:r>
            <w:r>
              <w:rPr>
                <w:rFonts w:hint="eastAsia" w:ascii="宋体" w:hAnsi="宋体" w:eastAsia="宋体" w:cs="宋体"/>
                <w:sz w:val="21"/>
                <w:szCs w:val="21"/>
                <w:lang w:val="en-US" w:eastAsia="zh-CN"/>
              </w:rPr>
              <w:t>供应商</w:t>
            </w:r>
            <w:r>
              <w:rPr>
                <w:rFonts w:hint="eastAsia" w:ascii="宋体" w:hAnsi="宋体" w:eastAsia="宋体" w:cs="宋体"/>
                <w:sz w:val="21"/>
                <w:szCs w:val="21"/>
                <w:lang w:val="en-US" w:eastAsia="en-US"/>
              </w:rPr>
              <w:t>提供的技术培训方案内容全面</w:t>
            </w:r>
            <w:r>
              <w:rPr>
                <w:rFonts w:hint="eastAsia" w:ascii="宋体" w:hAnsi="宋体" w:eastAsia="宋体" w:cs="宋体"/>
                <w:sz w:val="21"/>
                <w:szCs w:val="21"/>
                <w:lang w:val="en-US" w:eastAsia="zh-CN"/>
              </w:rPr>
              <w:t>；</w:t>
            </w:r>
            <w:r>
              <w:rPr>
                <w:rFonts w:hint="eastAsia" w:ascii="宋体" w:hAnsi="宋体" w:eastAsia="宋体" w:cs="宋体"/>
                <w:sz w:val="21"/>
                <w:szCs w:val="21"/>
                <w:lang w:val="en-US" w:eastAsia="en-US"/>
              </w:rPr>
              <w:t>培训方式灵活</w:t>
            </w:r>
            <w:r>
              <w:rPr>
                <w:rFonts w:hint="eastAsia" w:ascii="宋体" w:hAnsi="宋体" w:eastAsia="宋体" w:cs="宋体"/>
                <w:sz w:val="21"/>
                <w:szCs w:val="21"/>
                <w:lang w:val="en-US" w:eastAsia="zh-CN"/>
              </w:rPr>
              <w:t>；</w:t>
            </w:r>
            <w:r>
              <w:rPr>
                <w:rFonts w:hint="eastAsia" w:ascii="宋体" w:hAnsi="宋体" w:eastAsia="宋体" w:cs="宋体"/>
                <w:sz w:val="21"/>
                <w:szCs w:val="21"/>
                <w:lang w:val="en-US" w:eastAsia="en-US"/>
              </w:rPr>
              <w:t>培训计划合理</w:t>
            </w:r>
            <w:r>
              <w:rPr>
                <w:rFonts w:hint="eastAsia" w:ascii="宋体" w:hAnsi="宋体" w:eastAsia="宋体" w:cs="宋体"/>
                <w:sz w:val="21"/>
                <w:szCs w:val="21"/>
                <w:lang w:val="en-US" w:eastAsia="zh-CN"/>
              </w:rPr>
              <w:t>；</w:t>
            </w:r>
            <w:r>
              <w:rPr>
                <w:rFonts w:hint="eastAsia" w:ascii="宋体" w:hAnsi="宋体" w:eastAsia="宋体" w:cs="宋体"/>
                <w:sz w:val="21"/>
                <w:szCs w:val="21"/>
                <w:lang w:val="en-US" w:eastAsia="en-US"/>
              </w:rPr>
              <w:t>培训团队人员配备分工明确</w:t>
            </w:r>
            <w:r>
              <w:rPr>
                <w:rFonts w:hint="eastAsia" w:ascii="宋体" w:hAnsi="宋体" w:eastAsia="宋体" w:cs="宋体"/>
                <w:sz w:val="21"/>
                <w:szCs w:val="21"/>
                <w:lang w:val="en-US" w:eastAsia="zh-CN"/>
              </w:rPr>
              <w:t>；</w:t>
            </w:r>
            <w:r>
              <w:rPr>
                <w:rFonts w:hint="eastAsia" w:ascii="宋体" w:hAnsi="宋体" w:eastAsia="宋体" w:cs="宋体"/>
                <w:sz w:val="21"/>
                <w:szCs w:val="21"/>
                <w:lang w:val="en-US" w:eastAsia="en-US"/>
              </w:rPr>
              <w:t>培训效果良好，使用人员能够熟练操作</w:t>
            </w:r>
            <w:r>
              <w:rPr>
                <w:rFonts w:hint="eastAsia" w:ascii="宋体" w:hAnsi="宋体" w:eastAsia="宋体" w:cs="宋体"/>
                <w:sz w:val="21"/>
                <w:szCs w:val="21"/>
                <w:lang w:val="en-US" w:eastAsia="zh-CN"/>
              </w:rPr>
              <w:t>产品设备；</w:t>
            </w:r>
            <w:r>
              <w:rPr>
                <w:rFonts w:hint="eastAsia" w:ascii="宋体" w:hAnsi="宋体" w:eastAsia="宋体" w:cs="宋体"/>
                <w:sz w:val="21"/>
                <w:szCs w:val="21"/>
                <w:lang w:val="en-US" w:eastAsia="en-US"/>
              </w:rPr>
              <w:t>得</w:t>
            </w:r>
            <w:r>
              <w:rPr>
                <w:rFonts w:hint="eastAsia" w:ascii="宋体" w:hAnsi="宋体" w:eastAsia="宋体" w:cs="宋体"/>
                <w:sz w:val="21"/>
                <w:szCs w:val="21"/>
                <w:lang w:val="en-US" w:eastAsia="zh-CN"/>
              </w:rPr>
              <w:t>4</w:t>
            </w:r>
            <w:r>
              <w:rPr>
                <w:rFonts w:hint="eastAsia" w:ascii="宋体" w:hAnsi="宋体" w:eastAsia="宋体" w:cs="宋体"/>
                <w:sz w:val="21"/>
                <w:szCs w:val="21"/>
                <w:lang w:val="en-US" w:eastAsia="en-US"/>
              </w:rPr>
              <w:t>分</w:t>
            </w:r>
            <w:r>
              <w:rPr>
                <w:rFonts w:hint="eastAsia" w:ascii="宋体" w:hAnsi="宋体" w:eastAsia="宋体" w:cs="宋体"/>
                <w:sz w:val="21"/>
                <w:szCs w:val="21"/>
                <w:lang w:val="en-US" w:eastAsia="zh-CN"/>
              </w:rPr>
              <w:t>；</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en-US"/>
              </w:rPr>
              <w:t>3、</w:t>
            </w:r>
            <w:r>
              <w:rPr>
                <w:rFonts w:hint="eastAsia" w:ascii="宋体" w:hAnsi="宋体" w:eastAsia="宋体" w:cs="宋体"/>
                <w:sz w:val="21"/>
                <w:szCs w:val="21"/>
                <w:lang w:val="en-US" w:eastAsia="zh-CN"/>
              </w:rPr>
              <w:t>供应商</w:t>
            </w:r>
            <w:r>
              <w:rPr>
                <w:rFonts w:hint="eastAsia" w:ascii="宋体" w:hAnsi="宋体" w:eastAsia="宋体" w:cs="宋体"/>
                <w:sz w:val="21"/>
                <w:szCs w:val="21"/>
                <w:lang w:val="en-US" w:eastAsia="en-US"/>
              </w:rPr>
              <w:t>提供的技术培训方案中，有培训内容描述</w:t>
            </w:r>
            <w:r>
              <w:rPr>
                <w:rFonts w:hint="eastAsia" w:ascii="宋体" w:hAnsi="宋体" w:eastAsia="宋体" w:cs="宋体"/>
                <w:sz w:val="21"/>
                <w:szCs w:val="21"/>
                <w:lang w:val="en-US" w:eastAsia="zh-CN"/>
              </w:rPr>
              <w:t>；</w:t>
            </w:r>
            <w:r>
              <w:rPr>
                <w:rFonts w:hint="eastAsia" w:ascii="宋体" w:hAnsi="宋体" w:eastAsia="宋体" w:cs="宋体"/>
                <w:sz w:val="21"/>
                <w:szCs w:val="21"/>
                <w:lang w:val="en-US" w:eastAsia="en-US"/>
              </w:rPr>
              <w:t>培训方式单一</w:t>
            </w:r>
            <w:r>
              <w:rPr>
                <w:rFonts w:hint="eastAsia" w:ascii="宋体" w:hAnsi="宋体" w:eastAsia="宋体" w:cs="宋体"/>
                <w:sz w:val="21"/>
                <w:szCs w:val="21"/>
                <w:lang w:val="en-US" w:eastAsia="zh-CN"/>
              </w:rPr>
              <w:t>；</w:t>
            </w:r>
            <w:r>
              <w:rPr>
                <w:rFonts w:hint="eastAsia" w:ascii="宋体" w:hAnsi="宋体" w:eastAsia="宋体" w:cs="宋体"/>
                <w:sz w:val="21"/>
                <w:szCs w:val="21"/>
                <w:lang w:val="en-US" w:eastAsia="en-US"/>
              </w:rPr>
              <w:t>培训计划安排可行</w:t>
            </w:r>
            <w:r>
              <w:rPr>
                <w:rFonts w:hint="eastAsia" w:ascii="宋体" w:hAnsi="宋体" w:eastAsia="宋体" w:cs="宋体"/>
                <w:sz w:val="21"/>
                <w:szCs w:val="21"/>
                <w:lang w:val="en-US" w:eastAsia="zh-CN"/>
              </w:rPr>
              <w:t>；</w:t>
            </w:r>
            <w:r>
              <w:rPr>
                <w:rFonts w:hint="eastAsia" w:ascii="宋体" w:hAnsi="宋体" w:eastAsia="宋体" w:cs="宋体"/>
                <w:sz w:val="21"/>
                <w:szCs w:val="21"/>
                <w:lang w:val="en-US" w:eastAsia="en-US"/>
              </w:rPr>
              <w:t>培训团队人员配备简单</w:t>
            </w:r>
            <w:r>
              <w:rPr>
                <w:rFonts w:hint="eastAsia" w:ascii="宋体" w:hAnsi="宋体" w:eastAsia="宋体" w:cs="宋体"/>
                <w:sz w:val="21"/>
                <w:szCs w:val="21"/>
                <w:lang w:val="en-US" w:eastAsia="zh-CN"/>
              </w:rPr>
              <w:t>；</w:t>
            </w:r>
            <w:r>
              <w:rPr>
                <w:rFonts w:hint="eastAsia" w:ascii="宋体" w:hAnsi="宋体" w:eastAsia="宋体" w:cs="宋体"/>
                <w:sz w:val="21"/>
                <w:szCs w:val="21"/>
                <w:lang w:val="en-US" w:eastAsia="en-US"/>
              </w:rPr>
              <w:t>培训效果评估基本能满足要求</w:t>
            </w:r>
            <w:r>
              <w:rPr>
                <w:rFonts w:hint="eastAsia" w:ascii="宋体" w:hAnsi="宋体" w:eastAsia="宋体" w:cs="宋体"/>
                <w:sz w:val="21"/>
                <w:szCs w:val="21"/>
                <w:lang w:val="en-US" w:eastAsia="zh-CN"/>
              </w:rPr>
              <w:t>；</w:t>
            </w:r>
            <w:r>
              <w:rPr>
                <w:rFonts w:hint="eastAsia" w:ascii="宋体" w:hAnsi="宋体" w:eastAsia="宋体" w:cs="宋体"/>
                <w:sz w:val="21"/>
                <w:szCs w:val="21"/>
                <w:lang w:val="en-US" w:eastAsia="en-US"/>
              </w:rPr>
              <w:t>得</w:t>
            </w:r>
            <w:r>
              <w:rPr>
                <w:rFonts w:hint="eastAsia" w:ascii="宋体" w:hAnsi="宋体" w:eastAsia="宋体" w:cs="宋体"/>
                <w:sz w:val="21"/>
                <w:szCs w:val="21"/>
                <w:lang w:val="en-US" w:eastAsia="zh-CN"/>
              </w:rPr>
              <w:t>2</w:t>
            </w:r>
            <w:r>
              <w:rPr>
                <w:rFonts w:hint="eastAsia" w:ascii="宋体" w:hAnsi="宋体" w:eastAsia="宋体" w:cs="宋体"/>
                <w:sz w:val="21"/>
                <w:szCs w:val="21"/>
                <w:lang w:val="en-US" w:eastAsia="en-US"/>
              </w:rPr>
              <w:t>分</w:t>
            </w:r>
            <w:r>
              <w:rPr>
                <w:rFonts w:hint="eastAsia" w:ascii="宋体" w:hAnsi="宋体" w:eastAsia="宋体" w:cs="宋体"/>
                <w:sz w:val="21"/>
                <w:szCs w:val="21"/>
                <w:lang w:val="en-US" w:eastAsia="zh-CN"/>
              </w:rPr>
              <w:t>；</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4、供应商</w:t>
            </w:r>
            <w:r>
              <w:rPr>
                <w:rFonts w:hint="eastAsia" w:ascii="宋体" w:hAnsi="宋体" w:eastAsia="宋体" w:cs="宋体"/>
                <w:sz w:val="21"/>
                <w:szCs w:val="21"/>
                <w:lang w:val="en-US" w:eastAsia="en-US"/>
              </w:rPr>
              <w:t>提供的技术培训方案</w:t>
            </w:r>
            <w:r>
              <w:rPr>
                <w:rFonts w:hint="eastAsia" w:ascii="宋体" w:hAnsi="宋体" w:eastAsia="宋体" w:cs="宋体"/>
                <w:sz w:val="21"/>
                <w:szCs w:val="21"/>
                <w:lang w:val="en-US" w:eastAsia="zh-CN"/>
              </w:rPr>
              <w:t>缺项或合理性不强的，得1分；</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en-US"/>
              </w:rPr>
            </w:pPr>
            <w:r>
              <w:rPr>
                <w:rFonts w:hint="eastAsia" w:ascii="宋体" w:hAnsi="宋体" w:eastAsia="宋体" w:cs="宋体"/>
                <w:sz w:val="21"/>
                <w:szCs w:val="21"/>
                <w:lang w:val="en-US" w:eastAsia="zh-CN"/>
              </w:rPr>
              <w:t>5</w:t>
            </w:r>
            <w:r>
              <w:rPr>
                <w:rFonts w:hint="eastAsia" w:ascii="宋体" w:hAnsi="宋体" w:eastAsia="宋体" w:cs="宋体"/>
                <w:sz w:val="21"/>
                <w:szCs w:val="21"/>
                <w:lang w:val="en-US" w:eastAsia="en-US"/>
              </w:rPr>
              <w:t>、</w:t>
            </w:r>
            <w:r>
              <w:rPr>
                <w:rFonts w:hint="eastAsia" w:ascii="宋体" w:hAnsi="宋体" w:eastAsia="宋体" w:cs="宋体"/>
                <w:sz w:val="21"/>
                <w:szCs w:val="21"/>
                <w:lang w:val="en-US" w:eastAsia="zh-CN"/>
              </w:rPr>
              <w:t>供应商</w:t>
            </w:r>
            <w:r>
              <w:rPr>
                <w:rFonts w:hint="eastAsia" w:ascii="宋体" w:hAnsi="宋体" w:eastAsia="宋体" w:cs="宋体"/>
                <w:sz w:val="21"/>
                <w:szCs w:val="21"/>
                <w:lang w:val="en-US" w:eastAsia="en-US"/>
              </w:rPr>
              <w:t>未提供技术培训方案，不得分。</w:t>
            </w:r>
          </w:p>
        </w:tc>
        <w:tc>
          <w:tcPr>
            <w:tcW w:w="865" w:type="dxa"/>
            <w:vAlign w:val="center"/>
          </w:tcPr>
          <w:p>
            <w:pPr>
              <w:widowControl w:val="0"/>
              <w:bidi w:val="0"/>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1313" w:type="dxa"/>
            <w:vMerge w:val="restart"/>
            <w:vAlign w:val="center"/>
          </w:tcPr>
          <w:p>
            <w:pPr>
              <w:widowControl w:val="0"/>
              <w:bidi w:val="0"/>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综合部分</w:t>
            </w:r>
          </w:p>
          <w:p>
            <w:pPr>
              <w:widowControl w:val="0"/>
              <w:bidi w:val="0"/>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（15分）</w:t>
            </w:r>
          </w:p>
        </w:tc>
        <w:tc>
          <w:tcPr>
            <w:tcW w:w="1218" w:type="dxa"/>
            <w:vAlign w:val="center"/>
          </w:tcPr>
          <w:p>
            <w:pPr>
              <w:widowControl w:val="0"/>
              <w:bidi w:val="0"/>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en-US"/>
              </w:rPr>
              <w:t>业绩</w:t>
            </w:r>
          </w:p>
        </w:tc>
        <w:tc>
          <w:tcPr>
            <w:tcW w:w="6363" w:type="dxa"/>
            <w:vAlign w:val="top"/>
          </w:tcPr>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en-US"/>
              </w:rPr>
            </w:pPr>
            <w:r>
              <w:rPr>
                <w:rFonts w:hint="eastAsia" w:ascii="宋体" w:hAnsi="宋体" w:cs="宋体"/>
                <w:sz w:val="21"/>
                <w:szCs w:val="21"/>
                <w:lang w:val="en-US" w:eastAsia="zh-CN"/>
              </w:rPr>
              <w:t>2</w:t>
            </w:r>
            <w:r>
              <w:rPr>
                <w:rFonts w:hint="eastAsia" w:ascii="宋体" w:hAnsi="宋体" w:eastAsia="宋体" w:cs="宋体"/>
                <w:sz w:val="21"/>
                <w:szCs w:val="21"/>
                <w:lang w:val="en-US" w:eastAsia="en-US"/>
              </w:rPr>
              <w:t>02</w:t>
            </w:r>
            <w:r>
              <w:rPr>
                <w:rFonts w:hint="eastAsia" w:ascii="宋体" w:hAnsi="宋体" w:eastAsia="宋体" w:cs="宋体"/>
                <w:sz w:val="21"/>
                <w:szCs w:val="21"/>
                <w:lang w:val="en-US" w:eastAsia="zh-CN"/>
              </w:rPr>
              <w:t>1</w:t>
            </w:r>
            <w:r>
              <w:rPr>
                <w:rFonts w:hint="eastAsia" w:ascii="宋体" w:hAnsi="宋体" w:eastAsia="宋体" w:cs="宋体"/>
                <w:sz w:val="21"/>
                <w:szCs w:val="21"/>
                <w:lang w:val="en-US" w:eastAsia="en-US"/>
              </w:rPr>
              <w:t>年01月01日以来</w:t>
            </w:r>
            <w:r>
              <w:rPr>
                <w:rFonts w:hint="eastAsia" w:ascii="宋体" w:hAnsi="宋体" w:eastAsia="宋体" w:cs="宋体"/>
                <w:sz w:val="21"/>
                <w:szCs w:val="21"/>
                <w:lang w:val="en-US" w:eastAsia="zh-CN"/>
              </w:rPr>
              <w:t>，</w:t>
            </w:r>
            <w:r>
              <w:rPr>
                <w:rFonts w:hint="eastAsia" w:ascii="宋体" w:hAnsi="宋体" w:eastAsia="宋体" w:cs="宋体"/>
                <w:sz w:val="21"/>
                <w:szCs w:val="21"/>
                <w:lang w:val="en-US" w:eastAsia="en-US"/>
              </w:rPr>
              <w:t>供应商</w:t>
            </w:r>
            <w:r>
              <w:rPr>
                <w:rFonts w:hint="eastAsia" w:ascii="宋体" w:hAnsi="宋体" w:eastAsia="宋体" w:cs="宋体"/>
                <w:sz w:val="21"/>
                <w:szCs w:val="21"/>
                <w:lang w:val="en-US" w:eastAsia="zh-CN"/>
              </w:rPr>
              <w:t>提供</w:t>
            </w:r>
            <w:r>
              <w:rPr>
                <w:rFonts w:hint="eastAsia" w:ascii="宋体" w:hAnsi="宋体" w:eastAsia="宋体" w:cs="宋体"/>
                <w:sz w:val="21"/>
                <w:szCs w:val="21"/>
                <w:lang w:val="en-US" w:eastAsia="en-US"/>
              </w:rPr>
              <w:t>类似</w:t>
            </w:r>
            <w:r>
              <w:rPr>
                <w:rFonts w:hint="eastAsia" w:ascii="宋体" w:hAnsi="宋体" w:eastAsia="宋体" w:cs="宋体"/>
                <w:sz w:val="21"/>
                <w:szCs w:val="21"/>
                <w:lang w:val="en-US" w:eastAsia="zh-CN"/>
              </w:rPr>
              <w:t>项目</w:t>
            </w:r>
            <w:r>
              <w:rPr>
                <w:rFonts w:hint="eastAsia" w:ascii="宋体" w:hAnsi="宋体" w:eastAsia="宋体" w:cs="宋体"/>
                <w:sz w:val="21"/>
                <w:szCs w:val="21"/>
                <w:lang w:val="en-US" w:eastAsia="en-US"/>
              </w:rPr>
              <w:t>业绩的</w:t>
            </w:r>
            <w:r>
              <w:rPr>
                <w:rFonts w:hint="eastAsia" w:ascii="宋体" w:hAnsi="宋体" w:eastAsia="宋体" w:cs="宋体"/>
                <w:sz w:val="21"/>
                <w:szCs w:val="21"/>
                <w:lang w:val="en-US" w:eastAsia="zh-CN"/>
              </w:rPr>
              <w:t>或所投核心产品的制造商提供核心产品类似业绩的，每提供一份</w:t>
            </w:r>
            <w:r>
              <w:rPr>
                <w:rFonts w:hint="eastAsia" w:ascii="宋体" w:hAnsi="宋体" w:eastAsia="宋体" w:cs="宋体"/>
                <w:sz w:val="21"/>
                <w:szCs w:val="21"/>
                <w:lang w:val="en-US" w:eastAsia="en-US"/>
              </w:rPr>
              <w:t>得</w:t>
            </w:r>
            <w:r>
              <w:rPr>
                <w:rFonts w:hint="eastAsia" w:ascii="宋体" w:hAnsi="宋体" w:cs="宋体"/>
                <w:sz w:val="21"/>
                <w:szCs w:val="21"/>
                <w:lang w:val="en-US" w:eastAsia="zh-CN"/>
              </w:rPr>
              <w:t>1</w:t>
            </w:r>
            <w:r>
              <w:rPr>
                <w:rFonts w:hint="eastAsia" w:ascii="宋体" w:hAnsi="宋体" w:eastAsia="宋体" w:cs="宋体"/>
                <w:sz w:val="21"/>
                <w:szCs w:val="21"/>
                <w:lang w:val="en-US" w:eastAsia="en-US"/>
              </w:rPr>
              <w:t>分，最高得</w:t>
            </w:r>
            <w:r>
              <w:rPr>
                <w:rFonts w:hint="eastAsia" w:ascii="宋体" w:hAnsi="宋体" w:cs="宋体"/>
                <w:sz w:val="21"/>
                <w:szCs w:val="21"/>
                <w:lang w:val="en-US" w:eastAsia="zh-CN"/>
              </w:rPr>
              <w:t>2</w:t>
            </w:r>
            <w:r>
              <w:rPr>
                <w:rFonts w:hint="eastAsia" w:ascii="宋体" w:hAnsi="宋体" w:eastAsia="宋体" w:cs="宋体"/>
                <w:sz w:val="21"/>
                <w:szCs w:val="21"/>
                <w:lang w:val="en-US" w:eastAsia="en-US"/>
              </w:rPr>
              <w:t>分。</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en-US"/>
              </w:rPr>
              <w:t>注：以上项目业绩，需在投标文件中提供合同、发票复印件并加盖公章；否则不得分。</w:t>
            </w:r>
            <w:r>
              <w:rPr>
                <w:rFonts w:hint="eastAsia" w:ascii="宋体" w:hAnsi="宋体" w:eastAsia="宋体" w:cs="宋体"/>
                <w:sz w:val="21"/>
                <w:szCs w:val="21"/>
                <w:lang w:val="en-US" w:eastAsia="zh-CN"/>
              </w:rPr>
              <w:t>（以合同签订时间为准）</w:t>
            </w:r>
          </w:p>
        </w:tc>
        <w:tc>
          <w:tcPr>
            <w:tcW w:w="865" w:type="dxa"/>
            <w:vAlign w:val="center"/>
          </w:tcPr>
          <w:p>
            <w:pPr>
              <w:widowControl w:val="0"/>
              <w:bidi w:val="0"/>
              <w:ind w:left="0" w:leftChars="0" w:firstLine="0" w:firstLineChars="0"/>
              <w:jc w:val="center"/>
              <w:rPr>
                <w:rFonts w:hint="eastAsia" w:ascii="宋体" w:hAnsi="宋体" w:eastAsia="宋体" w:cs="宋体"/>
                <w:sz w:val="21"/>
                <w:szCs w:val="21"/>
                <w:lang w:eastAsia="zh-CN"/>
              </w:rPr>
            </w:pPr>
            <w:r>
              <w:rPr>
                <w:rFonts w:hint="eastAsia" w:ascii="宋体" w:hAnsi="宋体" w:cs="宋体"/>
                <w:sz w:val="21"/>
                <w:szCs w:val="21"/>
                <w:lang w:val="en-US" w:eastAsia="zh-CN"/>
              </w:rPr>
              <w:t>2</w:t>
            </w:r>
            <w:r>
              <w:rPr>
                <w:rFonts w:hint="eastAsia" w:ascii="宋体" w:hAnsi="宋体" w:eastAsia="宋体" w:cs="宋体"/>
                <w:sz w:val="21"/>
                <w:szCs w:val="21"/>
                <w:lang w:val="en-US" w:eastAsia="en-US"/>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1313" w:type="dxa"/>
            <w:vMerge w:val="continue"/>
            <w:vAlign w:val="center"/>
          </w:tcPr>
          <w:p>
            <w:pPr>
              <w:widowControl w:val="0"/>
              <w:bidi w:val="0"/>
              <w:jc w:val="center"/>
              <w:rPr>
                <w:rFonts w:hint="eastAsia" w:ascii="宋体" w:hAnsi="宋体" w:eastAsia="宋体" w:cs="宋体"/>
                <w:sz w:val="21"/>
                <w:szCs w:val="21"/>
                <w:lang w:val="en-US" w:eastAsia="zh-CN"/>
              </w:rPr>
            </w:pPr>
          </w:p>
        </w:tc>
        <w:tc>
          <w:tcPr>
            <w:tcW w:w="1218" w:type="dxa"/>
            <w:vAlign w:val="center"/>
          </w:tcPr>
          <w:p>
            <w:pPr>
              <w:widowControl w:val="0"/>
              <w:bidi w:val="0"/>
              <w:ind w:left="0" w:leftChars="0" w:firstLine="0" w:firstLineChars="0"/>
              <w:jc w:val="center"/>
              <w:rPr>
                <w:rFonts w:hint="eastAsia" w:ascii="宋体" w:hAnsi="宋体" w:eastAsia="宋体" w:cs="宋体"/>
                <w:sz w:val="21"/>
                <w:szCs w:val="21"/>
                <w:lang w:val="en-US" w:eastAsia="en-US"/>
              </w:rPr>
            </w:pPr>
            <w:r>
              <w:rPr>
                <w:rFonts w:hint="eastAsia" w:ascii="宋体" w:hAnsi="宋体" w:eastAsia="宋体" w:cs="宋体"/>
                <w:sz w:val="21"/>
                <w:szCs w:val="21"/>
              </w:rPr>
              <w:t>节能环保产品</w:t>
            </w:r>
          </w:p>
        </w:tc>
        <w:tc>
          <w:tcPr>
            <w:tcW w:w="6363" w:type="dxa"/>
            <w:vAlign w:val="top"/>
          </w:tcPr>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rPr>
              <w:t>所投产品如为节能产品政府采购品目清单内非强制节能产品的，</w:t>
            </w:r>
            <w:r>
              <w:rPr>
                <w:rFonts w:hint="eastAsia" w:ascii="宋体" w:hAnsi="宋体" w:eastAsia="宋体" w:cs="宋体"/>
                <w:sz w:val="21"/>
                <w:szCs w:val="21"/>
                <w:lang w:val="en-US" w:eastAsia="zh-CN"/>
              </w:rPr>
              <w:t>得</w:t>
            </w:r>
            <w:r>
              <w:rPr>
                <w:rFonts w:hint="eastAsia" w:ascii="宋体" w:hAnsi="宋体" w:eastAsia="宋体" w:cs="宋体"/>
                <w:sz w:val="21"/>
                <w:szCs w:val="21"/>
              </w:rPr>
              <w:t>0.5分</w:t>
            </w:r>
            <w:r>
              <w:rPr>
                <w:rFonts w:hint="eastAsia" w:ascii="宋体" w:hAnsi="宋体" w:cs="宋体"/>
                <w:sz w:val="21"/>
                <w:szCs w:val="21"/>
                <w:lang w:eastAsia="zh-CN"/>
              </w:rPr>
              <w:t>。</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rPr>
            </w:pPr>
            <w:r>
              <w:rPr>
                <w:rFonts w:hint="eastAsia" w:ascii="宋体" w:hAnsi="宋体" w:eastAsia="宋体" w:cs="宋体"/>
                <w:sz w:val="21"/>
                <w:szCs w:val="21"/>
              </w:rPr>
              <w:t>投标人须在投标文件中附该产品在节能产品政府采购品目清单所在页的扫描件，及国家确定的认证机构出具的、处于有效期之内的《国家节能产品认证证书》扫描件，否则评标委员会有权不予认可。清单可在中华人民共和国财政部网站（http：//www.mof.gov.cn）、中国政府采购网（http：//www.ccgp.gov.cn/）查阅。</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2、所投产品如为环境标志产品政府采购品目清单内的产品的，得0.5分。</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en-US"/>
              </w:rPr>
            </w:pPr>
            <w:r>
              <w:rPr>
                <w:rFonts w:hint="eastAsia" w:ascii="宋体" w:hAnsi="宋体" w:eastAsia="宋体" w:cs="宋体"/>
                <w:sz w:val="21"/>
                <w:szCs w:val="21"/>
                <w:lang w:val="en-US" w:eastAsia="zh-CN"/>
              </w:rPr>
              <w:t>投标人须在投标文件中附该产品在环境标志产品政府采购品目清单所在页的扫描件，及国家确定的认证机构出具的、处于有效期之内的《中国环境标志产品认证证书》扫描件，否则评标委员会有权不予认可。清单可在中华人民共和国财政部网站（http：//www.mof.gov.cn）、中国政府采购网（http：//www.ccgp.gov.cn/）查阅。</w:t>
            </w:r>
          </w:p>
        </w:tc>
        <w:tc>
          <w:tcPr>
            <w:tcW w:w="865" w:type="dxa"/>
            <w:vAlign w:val="center"/>
          </w:tcPr>
          <w:p>
            <w:pPr>
              <w:widowControl w:val="0"/>
              <w:bidi w:val="0"/>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13" w:type="dxa"/>
            <w:vMerge w:val="continue"/>
          </w:tcPr>
          <w:p>
            <w:pPr>
              <w:widowControl w:val="0"/>
              <w:bidi w:val="0"/>
              <w:jc w:val="both"/>
              <w:rPr>
                <w:rFonts w:hint="eastAsia" w:ascii="宋体" w:hAnsi="宋体" w:eastAsia="宋体" w:cs="宋体"/>
                <w:sz w:val="21"/>
                <w:szCs w:val="21"/>
                <w:lang w:eastAsia="zh-CN"/>
              </w:rPr>
            </w:pPr>
          </w:p>
        </w:tc>
        <w:tc>
          <w:tcPr>
            <w:tcW w:w="1218" w:type="dxa"/>
            <w:vMerge w:val="restart"/>
            <w:vAlign w:val="center"/>
          </w:tcPr>
          <w:p>
            <w:pPr>
              <w:widowControl w:val="0"/>
              <w:bidi w:val="0"/>
              <w:ind w:left="0" w:leftChars="0" w:firstLine="0" w:firstLineChars="0"/>
              <w:jc w:val="center"/>
              <w:rPr>
                <w:rFonts w:hint="eastAsia" w:ascii="宋体" w:hAnsi="宋体" w:eastAsia="宋体" w:cs="宋体"/>
                <w:sz w:val="21"/>
                <w:szCs w:val="21"/>
                <w:lang w:val="en-US" w:eastAsia="en-US"/>
              </w:rPr>
            </w:pPr>
            <w:r>
              <w:rPr>
                <w:rFonts w:hint="eastAsia" w:ascii="宋体" w:hAnsi="宋体" w:eastAsia="宋体" w:cs="宋体"/>
                <w:sz w:val="21"/>
                <w:szCs w:val="21"/>
                <w:lang w:val="en-US" w:eastAsia="en-US"/>
              </w:rPr>
              <w:t>售后服务</w:t>
            </w:r>
            <w:r>
              <w:rPr>
                <w:rFonts w:hint="eastAsia" w:ascii="宋体" w:hAnsi="宋体" w:eastAsia="宋体" w:cs="宋体"/>
                <w:sz w:val="21"/>
                <w:szCs w:val="21"/>
                <w:lang w:val="en-US" w:eastAsia="zh-CN"/>
              </w:rPr>
              <w:t>体系</w:t>
            </w:r>
          </w:p>
        </w:tc>
        <w:tc>
          <w:tcPr>
            <w:tcW w:w="6363" w:type="dxa"/>
            <w:vAlign w:val="top"/>
          </w:tcPr>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1、免费保修期限及售后服务承诺书：</w:t>
            </w:r>
          </w:p>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在满足质保期的基础上每增加1年加1分,最多加1分。</w:t>
            </w:r>
          </w:p>
        </w:tc>
        <w:tc>
          <w:tcPr>
            <w:tcW w:w="865" w:type="dxa"/>
            <w:vAlign w:val="center"/>
          </w:tcPr>
          <w:p>
            <w:pPr>
              <w:widowControl w:val="0"/>
              <w:bidi w:val="0"/>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2" w:hRule="atLeast"/>
        </w:trPr>
        <w:tc>
          <w:tcPr>
            <w:tcW w:w="1313" w:type="dxa"/>
            <w:vMerge w:val="continue"/>
          </w:tcPr>
          <w:p>
            <w:pPr>
              <w:widowControl w:val="0"/>
              <w:bidi w:val="0"/>
              <w:jc w:val="both"/>
              <w:rPr>
                <w:rFonts w:hint="eastAsia" w:ascii="宋体" w:hAnsi="宋体" w:eastAsia="宋体" w:cs="宋体"/>
                <w:sz w:val="21"/>
                <w:szCs w:val="21"/>
                <w:lang w:eastAsia="zh-CN"/>
              </w:rPr>
            </w:pPr>
          </w:p>
        </w:tc>
        <w:tc>
          <w:tcPr>
            <w:tcW w:w="1218" w:type="dxa"/>
            <w:vMerge w:val="continue"/>
            <w:vAlign w:val="center"/>
          </w:tcPr>
          <w:p>
            <w:pPr>
              <w:widowControl w:val="0"/>
              <w:bidi w:val="0"/>
              <w:jc w:val="both"/>
              <w:rPr>
                <w:rFonts w:hint="eastAsia" w:ascii="宋体" w:hAnsi="宋体" w:eastAsia="宋体" w:cs="宋体"/>
                <w:sz w:val="21"/>
                <w:szCs w:val="21"/>
                <w:lang w:val="en-US" w:eastAsia="en-US"/>
              </w:rPr>
            </w:pPr>
          </w:p>
        </w:tc>
        <w:tc>
          <w:tcPr>
            <w:tcW w:w="6363" w:type="dxa"/>
            <w:vAlign w:val="top"/>
          </w:tcPr>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售后服务方案：供应商提供完善的售后服务方案（包括售后人员安排方案、服务计划方案、服务内容阐述、按时履约的保障措施、响应时间及故障排除时间安排、备品备件保障供应、巡检服务等）内容充分、明确，可行性极强，得</w:t>
            </w:r>
            <w:r>
              <w:rPr>
                <w:rFonts w:hint="eastAsia" w:ascii="宋体" w:hAnsi="宋体" w:cs="宋体"/>
                <w:sz w:val="21"/>
                <w:szCs w:val="21"/>
                <w:lang w:val="en-US" w:eastAsia="zh-CN"/>
              </w:rPr>
              <w:t>7</w:t>
            </w:r>
            <w:r>
              <w:rPr>
                <w:rFonts w:hint="eastAsia" w:ascii="宋体" w:hAnsi="宋体" w:eastAsia="宋体" w:cs="宋体"/>
                <w:sz w:val="21"/>
                <w:szCs w:val="21"/>
                <w:lang w:val="en-US" w:eastAsia="zh-CN"/>
              </w:rPr>
              <w:t>分；内容充分、明确，可行性较强，得</w:t>
            </w:r>
            <w:r>
              <w:rPr>
                <w:rFonts w:hint="eastAsia" w:ascii="宋体" w:hAnsi="宋体" w:cs="宋体"/>
                <w:sz w:val="21"/>
                <w:szCs w:val="21"/>
                <w:lang w:val="en-US" w:eastAsia="zh-CN"/>
              </w:rPr>
              <w:t>6</w:t>
            </w:r>
            <w:r>
              <w:rPr>
                <w:rFonts w:hint="eastAsia" w:ascii="宋体" w:hAnsi="宋体" w:eastAsia="宋体" w:cs="宋体"/>
                <w:sz w:val="21"/>
                <w:szCs w:val="21"/>
                <w:lang w:val="en-US" w:eastAsia="zh-CN"/>
              </w:rPr>
              <w:t>分；内容基本完整，可行性一般，得</w:t>
            </w:r>
            <w:r>
              <w:rPr>
                <w:rFonts w:hint="eastAsia" w:ascii="宋体" w:hAnsi="宋体" w:cs="宋体"/>
                <w:sz w:val="21"/>
                <w:szCs w:val="21"/>
                <w:lang w:val="en-US" w:eastAsia="zh-CN"/>
              </w:rPr>
              <w:t>4</w:t>
            </w:r>
            <w:r>
              <w:rPr>
                <w:rFonts w:hint="eastAsia" w:ascii="宋体" w:hAnsi="宋体" w:eastAsia="宋体" w:cs="宋体"/>
                <w:sz w:val="21"/>
                <w:szCs w:val="21"/>
                <w:lang w:val="en-US" w:eastAsia="zh-CN"/>
              </w:rPr>
              <w:t>分；内容不完整，可行性较差，得</w:t>
            </w:r>
            <w:r>
              <w:rPr>
                <w:rFonts w:hint="eastAsia" w:ascii="宋体" w:hAnsi="宋体" w:cs="宋体"/>
                <w:sz w:val="21"/>
                <w:szCs w:val="21"/>
                <w:lang w:val="en-US" w:eastAsia="zh-CN"/>
              </w:rPr>
              <w:t>2</w:t>
            </w:r>
            <w:r>
              <w:rPr>
                <w:rFonts w:hint="eastAsia" w:ascii="宋体" w:hAnsi="宋体" w:eastAsia="宋体" w:cs="宋体"/>
                <w:sz w:val="21"/>
                <w:szCs w:val="21"/>
                <w:lang w:val="en-US" w:eastAsia="zh-CN"/>
              </w:rPr>
              <w:t>分；未提供不得分。</w:t>
            </w:r>
          </w:p>
        </w:tc>
        <w:tc>
          <w:tcPr>
            <w:tcW w:w="865" w:type="dxa"/>
            <w:vAlign w:val="center"/>
          </w:tcPr>
          <w:p>
            <w:pPr>
              <w:widowControl w:val="0"/>
              <w:bidi w:val="0"/>
              <w:ind w:left="0" w:leftChars="0" w:firstLine="0" w:firstLineChars="0"/>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7</w:t>
            </w:r>
            <w:r>
              <w:rPr>
                <w:rFonts w:hint="eastAsia" w:ascii="宋体" w:hAnsi="宋体" w:eastAsia="宋体" w:cs="宋体"/>
                <w:sz w:val="21"/>
                <w:szCs w:val="21"/>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6" w:hRule="atLeast"/>
        </w:trPr>
        <w:tc>
          <w:tcPr>
            <w:tcW w:w="1313" w:type="dxa"/>
            <w:vMerge w:val="continue"/>
          </w:tcPr>
          <w:p>
            <w:pPr>
              <w:widowControl w:val="0"/>
              <w:bidi w:val="0"/>
              <w:jc w:val="both"/>
              <w:rPr>
                <w:rFonts w:hint="eastAsia" w:ascii="宋体" w:hAnsi="宋体" w:eastAsia="宋体" w:cs="宋体"/>
                <w:sz w:val="21"/>
                <w:szCs w:val="21"/>
                <w:lang w:eastAsia="zh-CN"/>
              </w:rPr>
            </w:pPr>
          </w:p>
        </w:tc>
        <w:tc>
          <w:tcPr>
            <w:tcW w:w="1218" w:type="dxa"/>
            <w:vMerge w:val="continue"/>
            <w:vAlign w:val="center"/>
          </w:tcPr>
          <w:p>
            <w:pPr>
              <w:widowControl w:val="0"/>
              <w:bidi w:val="0"/>
              <w:jc w:val="both"/>
              <w:rPr>
                <w:rFonts w:hint="eastAsia" w:ascii="宋体" w:hAnsi="宋体" w:eastAsia="宋体" w:cs="宋体"/>
                <w:sz w:val="21"/>
                <w:szCs w:val="21"/>
                <w:lang w:val="en-US" w:eastAsia="en-US"/>
              </w:rPr>
            </w:pPr>
          </w:p>
        </w:tc>
        <w:tc>
          <w:tcPr>
            <w:tcW w:w="6363" w:type="dxa"/>
            <w:vAlign w:val="top"/>
          </w:tcPr>
          <w:p>
            <w:pPr>
              <w:keepNext w:val="0"/>
              <w:keepLines w:val="0"/>
              <w:pageBreakBefore w:val="0"/>
              <w:widowControl/>
              <w:kinsoku/>
              <w:wordWrap w:val="0"/>
              <w:overflowPunct/>
              <w:topLinePunct/>
              <w:autoSpaceDE/>
              <w:autoSpaceDN/>
              <w:bidi w:val="0"/>
              <w:adjustRightInd w:val="0"/>
              <w:snapToGrid w:val="0"/>
              <w:spacing w:line="400" w:lineRule="exact"/>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3、应急维修保障措施（内容包括但不限</w:t>
            </w:r>
            <w:r>
              <w:rPr>
                <w:rFonts w:hint="eastAsia" w:ascii="宋体" w:hAnsi="宋体" w:cs="宋体"/>
                <w:sz w:val="21"/>
                <w:szCs w:val="21"/>
                <w:lang w:val="en-US" w:eastAsia="zh-CN"/>
              </w:rPr>
              <w:t>于</w:t>
            </w:r>
            <w:r>
              <w:rPr>
                <w:rFonts w:hint="eastAsia" w:ascii="宋体" w:hAnsi="宋体" w:eastAsia="宋体" w:cs="宋体"/>
                <w:sz w:val="21"/>
                <w:szCs w:val="21"/>
                <w:lang w:val="en-US" w:eastAsia="zh-CN"/>
              </w:rPr>
              <w:t>应急维修程序、应急维修预案、应急维修人员配备等）内容充分、明确，可行性极强，得4分；内容充分、明确，可行性较强，得3分；内容基本完整，可行性一般，得2分；内容不完整，可行性较差，得1分；未提供不得分。</w:t>
            </w:r>
          </w:p>
        </w:tc>
        <w:tc>
          <w:tcPr>
            <w:tcW w:w="865" w:type="dxa"/>
            <w:vAlign w:val="center"/>
          </w:tcPr>
          <w:p>
            <w:pPr>
              <w:widowControl w:val="0"/>
              <w:bidi w:val="0"/>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4分</w:t>
            </w:r>
          </w:p>
        </w:tc>
      </w:tr>
    </w:tbl>
    <w:p>
      <w:bookmarkStart w:id="0" w:name="_GoBack"/>
      <w:bookmarkEnd w:id="0"/>
    </w:p>
    <w:sectPr>
      <w:pgSz w:w="11906" w:h="16838"/>
      <w:pgMar w:top="1440" w:right="1417" w:bottom="1440" w:left="141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0D"/>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iMGI2YzMxYzk4NmMzNmE5ODE5OTQ4MTgyMjljMmQifQ=="/>
  </w:docVars>
  <w:rsids>
    <w:rsidRoot w:val="00000000"/>
    <w:rsid w:val="00C75EAC"/>
    <w:rsid w:val="117B7B57"/>
    <w:rsid w:val="1819706D"/>
    <w:rsid w:val="21CE1799"/>
    <w:rsid w:val="24F1043A"/>
    <w:rsid w:val="3CD34327"/>
    <w:rsid w:val="5A8B3337"/>
    <w:rsid w:val="74FB16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ordWrap w:val="0"/>
      <w:topLinePunct/>
      <w:adjustRightInd w:val="0"/>
      <w:snapToGrid w:val="0"/>
      <w:spacing w:line="440" w:lineRule="exact"/>
      <w:ind w:firstLine="964" w:firstLineChars="200"/>
      <w:textAlignment w:val="baseline"/>
    </w:pPr>
    <w:rPr>
      <w:rFonts w:ascii="Arial" w:hAnsi="Arial" w:eastAsia="宋体" w:cs="Arial"/>
      <w:snapToGrid w:val="0"/>
      <w:color w:val="000000"/>
      <w:sz w:val="24"/>
      <w:szCs w:val="21"/>
      <w:lang w:val="en-US" w:eastAsia="en-US" w:bidi="ar-SA"/>
    </w:rPr>
  </w:style>
  <w:style w:type="paragraph" w:styleId="2">
    <w:name w:val="heading 1"/>
    <w:basedOn w:val="1"/>
    <w:next w:val="1"/>
    <w:qFormat/>
    <w:uiPriority w:val="0"/>
    <w:pPr>
      <w:keepNext/>
      <w:keepLines/>
      <w:wordWrap w:val="0"/>
      <w:topLinePunct/>
      <w:spacing w:beforeLines="0" w:beforeAutospacing="0" w:afterLines="0" w:afterAutospacing="0" w:line="360" w:lineRule="auto"/>
      <w:jc w:val="center"/>
      <w:outlineLvl w:val="0"/>
    </w:pPr>
    <w:rPr>
      <w:rFonts w:ascii="Calibri" w:hAnsi="Calibri" w:eastAsia="华文仿宋" w:cs="Times New Roman"/>
      <w:b/>
      <w:kern w:val="44"/>
      <w:sz w:val="32"/>
      <w:szCs w:val="22"/>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3"/>
    <w:next w:val="1"/>
    <w:semiHidden/>
    <w:unhideWhenUsed/>
    <w:qFormat/>
    <w:uiPriority w:val="0"/>
    <w:pPr>
      <w:keepNext/>
      <w:keepLines/>
      <w:spacing w:line="360" w:lineRule="auto"/>
      <w:ind w:left="851" w:hanging="425"/>
      <w:jc w:val="center"/>
      <w:outlineLvl w:val="2"/>
    </w:pPr>
    <w:rPr>
      <w:rFonts w:ascii="Arial" w:hAnsi="Arial" w:eastAsia="宋体" w:cs="Times New Roman"/>
      <w:sz w:val="28"/>
      <w:szCs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footer"/>
    <w:basedOn w:val="1"/>
    <w:unhideWhenUsed/>
    <w:qFormat/>
    <w:uiPriority w:val="0"/>
    <w:pPr>
      <w:tabs>
        <w:tab w:val="center" w:pos="4153"/>
        <w:tab w:val="right" w:pos="8306"/>
      </w:tabs>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Table Text"/>
    <w:basedOn w:val="1"/>
    <w:autoRedefine/>
    <w:semiHidden/>
    <w:qFormat/>
    <w:uiPriority w:val="0"/>
    <w:pPr>
      <w:spacing w:line="240" w:lineRule="auto"/>
    </w:pPr>
    <w:rPr>
      <w:rFonts w:ascii="宋体" w:hAnsi="宋体" w:cs="宋体"/>
      <w:sz w:val="31"/>
      <w:szCs w:val="31"/>
    </w:rPr>
  </w:style>
  <w:style w:type="paragraph" w:customStyle="1" w:styleId="10">
    <w:name w:val="Default"/>
    <w:next w:val="1"/>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2554</Words>
  <Characters>2657</Characters>
  <Lines>0</Lines>
  <Paragraphs>0</Paragraphs>
  <TotalTime>0</TotalTime>
  <ScaleCrop>false</ScaleCrop>
  <LinksUpToDate>false</LinksUpToDate>
  <CharactersWithSpaces>2658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cp:lastModifiedBy>
  <dcterms:modified xsi:type="dcterms:W3CDTF">2024-06-14T12:57:12Z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418B0BA6E8CE450A9758F5259B781B54_12</vt:lpwstr>
  </property>
</Properties>
</file>