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楷体_GB2312" w:eastAsia="楷体_GB2312"/>
          <w:b/>
          <w:sz w:val="52"/>
          <w:szCs w:val="52"/>
          <w:highlight w:val="none"/>
        </w:rPr>
      </w:pPr>
      <w:bookmarkStart w:id="0" w:name="_Toc247085669"/>
      <w:bookmarkStart w:id="1" w:name="_Toc246996898"/>
      <w:bookmarkStart w:id="2" w:name="_Toc296602400"/>
    </w:p>
    <w:p>
      <w:pPr>
        <w:spacing w:line="560" w:lineRule="exact"/>
        <w:jc w:val="center"/>
        <w:rPr>
          <w:rFonts w:hint="eastAsia"/>
          <w:b/>
          <w:bCs/>
          <w:sz w:val="32"/>
          <w:szCs w:val="32"/>
          <w:highlight w:val="none"/>
          <w:u w:val="none"/>
        </w:rPr>
      </w:pPr>
      <w:r>
        <w:rPr>
          <w:rFonts w:hint="eastAsia"/>
          <w:b/>
          <w:bCs/>
          <w:sz w:val="32"/>
          <w:szCs w:val="32"/>
          <w:highlight w:val="none"/>
          <w:u w:val="none"/>
        </w:rPr>
        <w:t>开封市电化教育馆开封市教育新型基础</w:t>
      </w:r>
      <w:bookmarkStart w:id="786" w:name="_GoBack"/>
      <w:bookmarkEnd w:id="786"/>
    </w:p>
    <w:p>
      <w:pPr>
        <w:spacing w:line="560" w:lineRule="exact"/>
        <w:jc w:val="center"/>
        <w:rPr>
          <w:b/>
          <w:bCs/>
          <w:highlight w:val="none"/>
          <w:u w:val="none"/>
        </w:rPr>
      </w:pPr>
      <w:r>
        <w:rPr>
          <w:rFonts w:hint="eastAsia"/>
          <w:b/>
          <w:bCs/>
          <w:sz w:val="32"/>
          <w:szCs w:val="32"/>
          <w:highlight w:val="none"/>
          <w:u w:val="none"/>
        </w:rPr>
        <w:t>设施（智慧教育）建设项目一期项目</w:t>
      </w:r>
    </w:p>
    <w:p>
      <w:pPr>
        <w:spacing w:line="400" w:lineRule="exact"/>
        <w:jc w:val="center"/>
        <w:rPr>
          <w:highlight w:val="none"/>
        </w:rPr>
      </w:pPr>
    </w:p>
    <w:p>
      <w:pPr>
        <w:spacing w:line="400" w:lineRule="exact"/>
        <w:jc w:val="center"/>
        <w:rPr>
          <w:highlight w:val="none"/>
        </w:rPr>
      </w:pPr>
    </w:p>
    <w:p>
      <w:pPr>
        <w:spacing w:line="400" w:lineRule="exact"/>
        <w:jc w:val="center"/>
        <w:rPr>
          <w:highlight w:val="none"/>
        </w:rPr>
      </w:pPr>
    </w:p>
    <w:p>
      <w:pPr>
        <w:spacing w:line="400" w:lineRule="exact"/>
        <w:jc w:val="center"/>
        <w:rPr>
          <w:highlight w:val="none"/>
        </w:rPr>
      </w:pPr>
    </w:p>
    <w:p>
      <w:pPr>
        <w:spacing w:line="400" w:lineRule="exact"/>
        <w:jc w:val="center"/>
        <w:rPr>
          <w:highlight w:val="none"/>
        </w:rPr>
      </w:pPr>
    </w:p>
    <w:p>
      <w:pPr>
        <w:spacing w:line="400" w:lineRule="exact"/>
        <w:jc w:val="center"/>
        <w:rPr>
          <w:highlight w:val="none"/>
        </w:rPr>
      </w:pPr>
    </w:p>
    <w:p>
      <w:pPr>
        <w:jc w:val="center"/>
        <w:rPr>
          <w:highlight w:val="none"/>
        </w:rPr>
      </w:pPr>
    </w:p>
    <w:p>
      <w:pPr>
        <w:jc w:val="center"/>
        <w:rPr>
          <w:highlight w:val="none"/>
        </w:rPr>
      </w:pPr>
    </w:p>
    <w:p>
      <w:pPr>
        <w:jc w:val="center"/>
        <w:rPr>
          <w:highlight w:val="none"/>
        </w:rPr>
      </w:pPr>
    </w:p>
    <w:p>
      <w:pPr>
        <w:jc w:val="center"/>
        <w:rPr>
          <w:highlight w:val="none"/>
        </w:rPr>
      </w:pPr>
    </w:p>
    <w:p>
      <w:pPr>
        <w:jc w:val="center"/>
        <w:rPr>
          <w:highlight w:val="none"/>
        </w:rPr>
      </w:pPr>
    </w:p>
    <w:p>
      <w:pPr>
        <w:jc w:val="center"/>
        <w:rPr>
          <w:highlight w:val="none"/>
        </w:rPr>
      </w:pPr>
    </w:p>
    <w:p>
      <w:pPr>
        <w:jc w:val="center"/>
        <w:rPr>
          <w:rFonts w:ascii="楷体_GB2312" w:eastAsia="楷体_GB2312"/>
          <w:sz w:val="96"/>
          <w:szCs w:val="96"/>
          <w:highlight w:val="none"/>
        </w:rPr>
      </w:pPr>
      <w:r>
        <w:rPr>
          <w:rFonts w:hint="eastAsia" w:ascii="楷体_GB2312" w:hAnsi="宋体" w:eastAsia="楷体_GB2312"/>
          <w:b/>
          <w:bCs/>
          <w:sz w:val="120"/>
          <w:szCs w:val="120"/>
          <w:highlight w:val="none"/>
        </w:rPr>
        <w:t>招标文件</w:t>
      </w:r>
    </w:p>
    <w:p>
      <w:pPr>
        <w:jc w:val="center"/>
        <w:rPr>
          <w:rFonts w:hint="default" w:ascii="宋体" w:hAnsi="宋体" w:eastAsia="楷体_GB2312"/>
          <w:sz w:val="48"/>
          <w:szCs w:val="48"/>
          <w:highlight w:val="none"/>
          <w:lang w:val="en-US" w:eastAsia="zh-CN"/>
        </w:rPr>
      </w:pPr>
      <w:r>
        <w:rPr>
          <w:rFonts w:hint="eastAsia" w:ascii="楷体_GB2312" w:hAnsi="宋体" w:eastAsia="楷体_GB2312"/>
          <w:b/>
          <w:sz w:val="32"/>
          <w:szCs w:val="32"/>
          <w:highlight w:val="none"/>
        </w:rPr>
        <w:t>项目编号：汴财招标</w:t>
      </w:r>
      <w:r>
        <w:rPr>
          <w:rFonts w:hint="eastAsia" w:ascii="楷体_GB2312" w:hAnsi="宋体" w:eastAsia="楷体_GB2312" w:cs="宋体"/>
          <w:b/>
          <w:sz w:val="32"/>
          <w:szCs w:val="32"/>
          <w:highlight w:val="none"/>
        </w:rPr>
        <w:t>采购-</w:t>
      </w:r>
      <w:r>
        <w:rPr>
          <w:rFonts w:hint="eastAsia" w:ascii="楷体_GB2312" w:hAnsi="宋体" w:eastAsia="楷体_GB2312" w:cs="宋体"/>
          <w:b/>
          <w:sz w:val="32"/>
          <w:szCs w:val="32"/>
          <w:highlight w:val="none"/>
          <w:lang w:eastAsia="zh-CN"/>
        </w:rPr>
        <w:t>2024</w:t>
      </w:r>
      <w:r>
        <w:rPr>
          <w:rFonts w:hint="eastAsia" w:ascii="楷体_GB2312" w:hAnsi="宋体" w:eastAsia="楷体_GB2312" w:cs="宋体"/>
          <w:b/>
          <w:sz w:val="32"/>
          <w:szCs w:val="32"/>
          <w:highlight w:val="none"/>
        </w:rPr>
        <w:t>-</w:t>
      </w:r>
      <w:r>
        <w:rPr>
          <w:rFonts w:hint="eastAsia" w:ascii="楷体_GB2312" w:hAnsi="宋体" w:eastAsia="楷体_GB2312" w:cs="宋体"/>
          <w:b/>
          <w:sz w:val="32"/>
          <w:szCs w:val="32"/>
          <w:highlight w:val="none"/>
          <w:lang w:val="en-US" w:eastAsia="zh-CN"/>
        </w:rPr>
        <w:t>42</w:t>
      </w:r>
    </w:p>
    <w:p>
      <w:pPr>
        <w:jc w:val="center"/>
        <w:rPr>
          <w:rFonts w:ascii="楷体_GB2312" w:eastAsia="楷体_GB2312"/>
          <w:sz w:val="32"/>
          <w:szCs w:val="32"/>
          <w:highlight w:val="none"/>
        </w:rPr>
      </w:pPr>
    </w:p>
    <w:p>
      <w:pPr>
        <w:spacing w:line="400" w:lineRule="exact"/>
        <w:jc w:val="center"/>
        <w:rPr>
          <w:highlight w:val="none"/>
        </w:rPr>
      </w:pPr>
    </w:p>
    <w:p>
      <w:pPr>
        <w:spacing w:line="400" w:lineRule="exact"/>
        <w:jc w:val="center"/>
        <w:rPr>
          <w:highlight w:val="none"/>
        </w:rPr>
      </w:pPr>
    </w:p>
    <w:p>
      <w:pPr>
        <w:spacing w:line="400" w:lineRule="exact"/>
        <w:jc w:val="center"/>
        <w:rPr>
          <w:highlight w:val="none"/>
        </w:rPr>
      </w:pPr>
    </w:p>
    <w:p>
      <w:pPr>
        <w:spacing w:line="400" w:lineRule="exact"/>
        <w:jc w:val="center"/>
        <w:rPr>
          <w:highlight w:val="none"/>
        </w:rPr>
      </w:pPr>
    </w:p>
    <w:p>
      <w:pPr>
        <w:spacing w:line="400" w:lineRule="exact"/>
        <w:jc w:val="center"/>
        <w:rPr>
          <w:highlight w:val="none"/>
        </w:rPr>
      </w:pPr>
    </w:p>
    <w:p>
      <w:pPr>
        <w:spacing w:line="400" w:lineRule="exact"/>
        <w:jc w:val="center"/>
        <w:rPr>
          <w:highlight w:val="none"/>
        </w:rPr>
      </w:pPr>
    </w:p>
    <w:p>
      <w:pPr>
        <w:spacing w:line="400" w:lineRule="exact"/>
        <w:jc w:val="center"/>
        <w:rPr>
          <w:highlight w:val="none"/>
        </w:rPr>
      </w:pPr>
    </w:p>
    <w:p>
      <w:pPr>
        <w:spacing w:line="400" w:lineRule="exact"/>
        <w:jc w:val="center"/>
        <w:rPr>
          <w:highlight w:val="none"/>
        </w:rPr>
      </w:pPr>
    </w:p>
    <w:p>
      <w:pPr>
        <w:spacing w:line="400" w:lineRule="exact"/>
        <w:jc w:val="center"/>
        <w:rPr>
          <w:highlight w:val="none"/>
        </w:rPr>
      </w:pPr>
    </w:p>
    <w:p>
      <w:pPr>
        <w:spacing w:line="560" w:lineRule="exact"/>
        <w:jc w:val="center"/>
        <w:rPr>
          <w:rFonts w:ascii="楷体_GB2312" w:eastAsia="楷体_GB2312"/>
          <w:b/>
          <w:spacing w:val="40"/>
          <w:sz w:val="36"/>
          <w:szCs w:val="36"/>
          <w:highlight w:val="none"/>
        </w:rPr>
      </w:pPr>
      <w:r>
        <w:rPr>
          <w:rFonts w:hint="eastAsia" w:ascii="楷体_GB2312" w:eastAsia="楷体_GB2312"/>
          <w:b/>
          <w:spacing w:val="40"/>
          <w:sz w:val="36"/>
          <w:szCs w:val="36"/>
          <w:highlight w:val="none"/>
        </w:rPr>
        <w:t>开封市政府采购中心</w:t>
      </w:r>
    </w:p>
    <w:p>
      <w:pPr>
        <w:pStyle w:val="21"/>
        <w:tabs>
          <w:tab w:val="right" w:leader="dot" w:pos="8834"/>
        </w:tabs>
        <w:jc w:val="center"/>
        <w:rPr>
          <w:rFonts w:ascii="宋体" w:hAnsi="宋体"/>
          <w:sz w:val="44"/>
          <w:szCs w:val="44"/>
          <w:highlight w:val="none"/>
        </w:rPr>
        <w:sectPr>
          <w:headerReference r:id="rId4" w:type="first"/>
          <w:headerReference r:id="rId3" w:type="default"/>
          <w:footerReference r:id="rId5" w:type="default"/>
          <w:pgSz w:w="11906" w:h="16838"/>
          <w:pgMar w:top="1803" w:right="1440" w:bottom="1803" w:left="1440" w:header="851" w:footer="992" w:gutter="0"/>
          <w:pgNumType w:start="1"/>
          <w:cols w:space="720" w:num="1"/>
          <w:titlePg/>
          <w:docGrid w:type="lines" w:linePitch="312" w:charSpace="0"/>
        </w:sectPr>
      </w:pPr>
    </w:p>
    <w:p>
      <w:pPr>
        <w:pStyle w:val="2"/>
        <w:tabs>
          <w:tab w:val="right" w:leader="dot" w:pos="8834"/>
        </w:tabs>
        <w:jc w:val="center"/>
        <w:rPr>
          <w:rFonts w:ascii="宋体" w:hAnsi="宋体"/>
          <w:b w:val="0"/>
          <w:bCs w:val="0"/>
          <w:iCs/>
          <w:caps/>
          <w:highlight w:val="none"/>
        </w:rPr>
      </w:pPr>
      <w:bookmarkStart w:id="3" w:name="_Toc29393"/>
      <w:bookmarkStart w:id="4" w:name="_Toc29748"/>
      <w:r>
        <w:rPr>
          <w:rFonts w:hint="eastAsia" w:ascii="宋体" w:hAnsi="宋体"/>
          <w:highlight w:val="none"/>
        </w:rPr>
        <w:t>目   录</w:t>
      </w:r>
      <w:bookmarkEnd w:id="0"/>
      <w:bookmarkEnd w:id="1"/>
      <w:bookmarkEnd w:id="2"/>
      <w:bookmarkEnd w:id="3"/>
      <w:bookmarkEnd w:id="4"/>
      <w:bookmarkStart w:id="5" w:name="_Toc289241344"/>
      <w:bookmarkStart w:id="6" w:name="_Toc289241521"/>
      <w:bookmarkStart w:id="7" w:name="_Toc338840184"/>
      <w:bookmarkStart w:id="8" w:name="_Toc338840439"/>
      <w:r>
        <w:rPr>
          <w:rFonts w:ascii="宋体" w:hAnsi="宋体"/>
          <w:highlight w:val="none"/>
        </w:rPr>
        <w:fldChar w:fldCharType="begin"/>
      </w:r>
      <w:r>
        <w:rPr>
          <w:rFonts w:ascii="宋体" w:hAnsi="宋体"/>
          <w:highlight w:val="none"/>
        </w:rPr>
        <w:instrText xml:space="preserve"> </w:instrText>
      </w:r>
      <w:r>
        <w:rPr>
          <w:rFonts w:hint="eastAsia" w:ascii="宋体" w:hAnsi="宋体"/>
          <w:highlight w:val="none"/>
        </w:rPr>
        <w:instrText xml:space="preserve">TOC \o "1-2" \h \z \u</w:instrText>
      </w:r>
      <w:r>
        <w:rPr>
          <w:rFonts w:ascii="宋体" w:hAnsi="宋体"/>
          <w:highlight w:val="none"/>
        </w:rPr>
        <w:instrText xml:space="preserve"> </w:instrText>
      </w:r>
      <w:r>
        <w:rPr>
          <w:rFonts w:ascii="宋体" w:hAnsi="宋体"/>
          <w:highlight w:val="none"/>
        </w:rPr>
        <w:fldChar w:fldCharType="separate"/>
      </w:r>
    </w:p>
    <w:p>
      <w:pPr>
        <w:pStyle w:val="21"/>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"_Toc26571" </w:instrText>
      </w:r>
      <w:r>
        <w:rPr>
          <w:highlight w:val="none"/>
        </w:rPr>
        <w:fldChar w:fldCharType="separate"/>
      </w:r>
      <w:r>
        <w:rPr>
          <w:rFonts w:hint="eastAsia" w:ascii="宋体" w:hAnsi="宋体" w:cs="宋体"/>
          <w:sz w:val="28"/>
          <w:szCs w:val="28"/>
          <w:highlight w:val="none"/>
        </w:rPr>
        <w:t>第一章 招标公告</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_Toc26571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1"/>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"_Toc13151" </w:instrText>
      </w:r>
      <w:r>
        <w:rPr>
          <w:highlight w:val="none"/>
        </w:rPr>
        <w:fldChar w:fldCharType="separate"/>
      </w:r>
      <w:r>
        <w:rPr>
          <w:rFonts w:hint="eastAsia" w:ascii="宋体" w:hAnsi="宋体" w:cs="宋体"/>
          <w:sz w:val="28"/>
          <w:szCs w:val="28"/>
          <w:highlight w:val="none"/>
        </w:rPr>
        <w:t>第二章 供应商须知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_Toc13151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"_Toc18827" </w:instrText>
      </w:r>
      <w:r>
        <w:rPr>
          <w:highlight w:val="none"/>
        </w:rPr>
        <w:fldChar w:fldCharType="separate"/>
      </w:r>
      <w:r>
        <w:rPr>
          <w:rFonts w:hint="eastAsia" w:ascii="宋体" w:hAnsi="宋体" w:cs="宋体"/>
          <w:sz w:val="28"/>
          <w:szCs w:val="28"/>
          <w:highlight w:val="none"/>
        </w:rPr>
        <w:t>供应商须知前附表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_Toc18827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"_Toc29445" </w:instrText>
      </w:r>
      <w:r>
        <w:rPr>
          <w:highlight w:val="none"/>
        </w:rPr>
        <w:fldChar w:fldCharType="separate"/>
      </w:r>
      <w:r>
        <w:rPr>
          <w:rFonts w:hint="eastAsia" w:ascii="宋体" w:hAnsi="宋体" w:cs="宋体"/>
          <w:sz w:val="28"/>
          <w:szCs w:val="28"/>
          <w:highlight w:val="none"/>
        </w:rPr>
        <w:t>1. 总则</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_Toc29445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"_Toc28300" </w:instrText>
      </w:r>
      <w:r>
        <w:rPr>
          <w:highlight w:val="none"/>
        </w:rPr>
        <w:fldChar w:fldCharType="separate"/>
      </w:r>
      <w:r>
        <w:rPr>
          <w:rFonts w:hint="eastAsia" w:ascii="宋体" w:hAnsi="宋体" w:cs="宋体"/>
          <w:sz w:val="28"/>
          <w:szCs w:val="28"/>
          <w:highlight w:val="none"/>
        </w:rPr>
        <w:t>2. 招标文件</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_Toc28300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"_Toc8262" </w:instrText>
      </w:r>
      <w:r>
        <w:rPr>
          <w:highlight w:val="none"/>
        </w:rPr>
        <w:fldChar w:fldCharType="separate"/>
      </w:r>
      <w:r>
        <w:rPr>
          <w:rFonts w:hint="eastAsia" w:ascii="宋体" w:hAnsi="宋体" w:cs="宋体"/>
          <w:sz w:val="28"/>
          <w:szCs w:val="28"/>
          <w:highlight w:val="none"/>
        </w:rPr>
        <w:t>3. 投标文件</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_Toc8262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"_Toc14743" </w:instrText>
      </w:r>
      <w:r>
        <w:rPr>
          <w:highlight w:val="none"/>
        </w:rPr>
        <w:fldChar w:fldCharType="separate"/>
      </w:r>
      <w:r>
        <w:rPr>
          <w:rFonts w:hint="eastAsia" w:ascii="宋体" w:hAnsi="宋体" w:cs="宋体"/>
          <w:sz w:val="28"/>
          <w:szCs w:val="28"/>
          <w:highlight w:val="none"/>
        </w:rPr>
        <w:t>4. 投标</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_Toc14743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"_Toc20438" </w:instrText>
      </w:r>
      <w:r>
        <w:rPr>
          <w:highlight w:val="none"/>
        </w:rPr>
        <w:fldChar w:fldCharType="separate"/>
      </w:r>
      <w:r>
        <w:rPr>
          <w:rFonts w:hint="eastAsia" w:ascii="宋体" w:hAnsi="宋体" w:cs="宋体"/>
          <w:sz w:val="28"/>
          <w:szCs w:val="28"/>
          <w:highlight w:val="none"/>
        </w:rPr>
        <w:t>5. 开标</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_Toc20438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"_Toc23925" </w:instrText>
      </w:r>
      <w:r>
        <w:rPr>
          <w:highlight w:val="none"/>
        </w:rPr>
        <w:fldChar w:fldCharType="separate"/>
      </w:r>
      <w:r>
        <w:rPr>
          <w:rFonts w:hint="eastAsia" w:ascii="宋体" w:hAnsi="宋体" w:cs="宋体"/>
          <w:sz w:val="28"/>
          <w:szCs w:val="28"/>
          <w:highlight w:val="none"/>
        </w:rPr>
        <w:t>6. 评标</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_Toc23925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"_Toc7858" </w:instrText>
      </w:r>
      <w:r>
        <w:rPr>
          <w:highlight w:val="none"/>
        </w:rPr>
        <w:fldChar w:fldCharType="separate"/>
      </w:r>
      <w:r>
        <w:rPr>
          <w:rFonts w:hint="eastAsia" w:ascii="宋体" w:hAnsi="宋体" w:cs="宋体"/>
          <w:sz w:val="28"/>
          <w:szCs w:val="28"/>
          <w:highlight w:val="none"/>
        </w:rPr>
        <w:t>7. 合同授予</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_Toc7858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17</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"_Toc19232" </w:instrText>
      </w:r>
      <w:r>
        <w:rPr>
          <w:highlight w:val="none"/>
        </w:rPr>
        <w:fldChar w:fldCharType="separate"/>
      </w:r>
      <w:r>
        <w:rPr>
          <w:rFonts w:hint="eastAsia" w:ascii="宋体" w:hAnsi="宋体" w:cs="宋体"/>
          <w:sz w:val="28"/>
          <w:szCs w:val="28"/>
          <w:highlight w:val="none"/>
        </w:rPr>
        <w:t>8. 纪律和监督</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_Toc19232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18</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"_Toc10773" </w:instrText>
      </w:r>
      <w:r>
        <w:rPr>
          <w:highlight w:val="none"/>
        </w:rPr>
        <w:fldChar w:fldCharType="separate"/>
      </w:r>
      <w:r>
        <w:rPr>
          <w:rFonts w:hint="eastAsia" w:ascii="宋体" w:hAnsi="宋体" w:cs="宋体"/>
          <w:sz w:val="28"/>
          <w:szCs w:val="28"/>
          <w:highlight w:val="none"/>
        </w:rPr>
        <w:t>9. 关于中小企业、监狱企业、残疾人福利性单位投标的说明</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_Toc10773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"_Toc615" </w:instrText>
      </w:r>
      <w:r>
        <w:rPr>
          <w:highlight w:val="none"/>
        </w:rPr>
        <w:fldChar w:fldCharType="separate"/>
      </w:r>
      <w:r>
        <w:rPr>
          <w:rFonts w:hint="eastAsia" w:ascii="宋体" w:hAnsi="宋体" w:cs="宋体"/>
          <w:sz w:val="28"/>
          <w:szCs w:val="28"/>
          <w:highlight w:val="none"/>
        </w:rPr>
        <w:t>10. 需要补充的其他内容</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_Toc615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"_Toc29712" </w:instrText>
      </w:r>
      <w:r>
        <w:rPr>
          <w:highlight w:val="none"/>
        </w:rPr>
        <w:fldChar w:fldCharType="separate"/>
      </w:r>
      <w:r>
        <w:rPr>
          <w:rFonts w:hint="eastAsia" w:ascii="宋体" w:hAnsi="宋体" w:cs="宋体"/>
          <w:sz w:val="28"/>
          <w:szCs w:val="28"/>
          <w:highlight w:val="none"/>
        </w:rPr>
        <w:t>11．电子招标投标</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_Toc29712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1"/>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"_Toc24747" </w:instrText>
      </w:r>
      <w:r>
        <w:rPr>
          <w:highlight w:val="none"/>
        </w:rPr>
        <w:fldChar w:fldCharType="separate"/>
      </w:r>
      <w:r>
        <w:rPr>
          <w:rFonts w:hint="eastAsia" w:ascii="宋体" w:hAnsi="宋体" w:cs="宋体"/>
          <w:sz w:val="28"/>
          <w:szCs w:val="28"/>
          <w:highlight w:val="none"/>
        </w:rPr>
        <w:t>第三章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_Toc24747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"_Toc452" </w:instrText>
      </w:r>
      <w:r>
        <w:rPr>
          <w:highlight w:val="none"/>
        </w:rPr>
        <w:fldChar w:fldCharType="separate"/>
      </w:r>
      <w:r>
        <w:rPr>
          <w:rFonts w:hint="eastAsia" w:ascii="宋体" w:hAnsi="宋体" w:cs="宋体"/>
          <w:sz w:val="28"/>
          <w:szCs w:val="28"/>
          <w:highlight w:val="none"/>
        </w:rPr>
        <w:t>评标办法前附表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_Toc452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"_Toc9899" </w:instrText>
      </w:r>
      <w:r>
        <w:rPr>
          <w:highlight w:val="none"/>
        </w:rPr>
        <w:fldChar w:fldCharType="separate"/>
      </w:r>
      <w:r>
        <w:rPr>
          <w:rFonts w:hint="eastAsia" w:ascii="宋体" w:hAnsi="宋体" w:cs="宋体"/>
          <w:sz w:val="28"/>
          <w:szCs w:val="28"/>
          <w:highlight w:val="none"/>
        </w:rPr>
        <w:t>1. 评标方法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_Toc9899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30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"_Toc10387" </w:instrText>
      </w:r>
      <w:r>
        <w:rPr>
          <w:highlight w:val="none"/>
        </w:rPr>
        <w:fldChar w:fldCharType="separate"/>
      </w:r>
      <w:r>
        <w:rPr>
          <w:rFonts w:hint="eastAsia" w:ascii="宋体" w:hAnsi="宋体" w:cs="宋体"/>
          <w:sz w:val="28"/>
          <w:szCs w:val="28"/>
          <w:highlight w:val="none"/>
        </w:rPr>
        <w:t>2. 评审标准</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_Toc10387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30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"_Toc30064" </w:instrText>
      </w:r>
      <w:r>
        <w:rPr>
          <w:highlight w:val="none"/>
        </w:rPr>
        <w:fldChar w:fldCharType="separate"/>
      </w:r>
      <w:r>
        <w:rPr>
          <w:rFonts w:hint="eastAsia" w:ascii="宋体" w:hAnsi="宋体" w:cs="宋体"/>
          <w:sz w:val="28"/>
          <w:szCs w:val="28"/>
          <w:highlight w:val="none"/>
        </w:rPr>
        <w:t>3. 评标程序</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_Toc30064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30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"_Toc27082" </w:instrText>
      </w:r>
      <w:r>
        <w:rPr>
          <w:highlight w:val="none"/>
        </w:rPr>
        <w:fldChar w:fldCharType="separate"/>
      </w:r>
      <w:r>
        <w:rPr>
          <w:rFonts w:hint="eastAsia" w:ascii="宋体" w:hAnsi="宋体" w:cs="宋体"/>
          <w:sz w:val="28"/>
          <w:szCs w:val="28"/>
          <w:highlight w:val="none"/>
        </w:rPr>
        <w:t>附件Ａ：</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_Toc27082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32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1"/>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"_Toc17369" </w:instrText>
      </w:r>
      <w:r>
        <w:rPr>
          <w:highlight w:val="none"/>
        </w:rPr>
        <w:fldChar w:fldCharType="separate"/>
      </w:r>
      <w:r>
        <w:rPr>
          <w:rFonts w:hint="eastAsia" w:ascii="宋体" w:hAnsi="宋体" w:cs="宋体"/>
          <w:sz w:val="28"/>
          <w:szCs w:val="28"/>
          <w:highlight w:val="none"/>
        </w:rPr>
        <w:t>第四章 合同条款及格式</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_Toc17369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36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"_Toc30854" </w:instrText>
      </w:r>
      <w:r>
        <w:rPr>
          <w:highlight w:val="none"/>
        </w:rPr>
        <w:fldChar w:fldCharType="separate"/>
      </w:r>
      <w:r>
        <w:rPr>
          <w:rFonts w:hint="eastAsia" w:ascii="宋体" w:hAnsi="宋体" w:cs="宋体"/>
          <w:sz w:val="28"/>
          <w:szCs w:val="28"/>
          <w:highlight w:val="none"/>
        </w:rPr>
        <w:t>开封政府采购合同融资政策告知函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_Toc30854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4"/>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"_Toc6494" </w:instrText>
      </w:r>
      <w:r>
        <w:rPr>
          <w:highlight w:val="none"/>
        </w:rPr>
        <w:fldChar w:fldCharType="separate"/>
      </w:r>
      <w:r>
        <w:rPr>
          <w:rFonts w:hint="eastAsia" w:ascii="宋体" w:hAnsi="宋体" w:cs="宋体"/>
          <w:bCs/>
          <w:sz w:val="28"/>
          <w:szCs w:val="28"/>
          <w:highlight w:val="none"/>
        </w:rPr>
        <w:t>开封政府采购合同履约保函政策告知函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_Toc6494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1"/>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"_Toc9194" </w:instrText>
      </w:r>
      <w:r>
        <w:rPr>
          <w:highlight w:val="none"/>
        </w:rPr>
        <w:fldChar w:fldCharType="separate"/>
      </w:r>
      <w:r>
        <w:rPr>
          <w:rFonts w:hint="eastAsia" w:ascii="宋体" w:hAnsi="宋体" w:cs="宋体"/>
          <w:sz w:val="28"/>
          <w:szCs w:val="28"/>
          <w:highlight w:val="none"/>
        </w:rPr>
        <w:t>第五章  招标内容及商务技术要求</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_Toc9194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1"/>
        <w:tabs>
          <w:tab w:val="right" w:leader="dot" w:pos="8844"/>
        </w:tabs>
        <w:rPr>
          <w:rFonts w:ascii="宋体" w:hAnsi="宋体" w:cs="宋体"/>
          <w:sz w:val="28"/>
          <w:szCs w:val="28"/>
          <w:highlight w:val="none"/>
        </w:rPr>
      </w:pPr>
      <w:r>
        <w:rPr>
          <w:highlight w:val="none"/>
        </w:rPr>
        <w:fldChar w:fldCharType="begin"/>
      </w:r>
      <w:r>
        <w:rPr>
          <w:highlight w:val="none"/>
        </w:rPr>
        <w:instrText xml:space="preserve"> HYPERLINK \l "_Toc32761" </w:instrText>
      </w:r>
      <w:r>
        <w:rPr>
          <w:highlight w:val="none"/>
        </w:rPr>
        <w:fldChar w:fldCharType="separate"/>
      </w:r>
      <w:r>
        <w:rPr>
          <w:rFonts w:hint="eastAsia" w:ascii="宋体" w:hAnsi="宋体" w:cs="宋体"/>
          <w:sz w:val="28"/>
          <w:szCs w:val="28"/>
          <w:highlight w:val="none"/>
        </w:rPr>
        <w:t>第六章  投标文件格式</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_Toc32761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248</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21"/>
        <w:tabs>
          <w:tab w:val="right" w:leader="dot" w:pos="8834"/>
        </w:tabs>
        <w:jc w:val="center"/>
        <w:rPr>
          <w:rFonts w:ascii="宋体" w:hAnsi="宋体"/>
          <w:b w:val="0"/>
          <w:bCs w:val="0"/>
          <w:iCs/>
          <w:caps w:val="0"/>
          <w:highlight w:val="none"/>
        </w:rPr>
        <w:sectPr>
          <w:footerReference r:id="rId6" w:type="default"/>
          <w:pgSz w:w="11906" w:h="16838"/>
          <w:pgMar w:top="1417" w:right="1474" w:bottom="1417" w:left="1588" w:header="851" w:footer="992" w:gutter="0"/>
          <w:pgNumType w:start="1"/>
          <w:cols w:space="720" w:num="1"/>
          <w:docGrid w:type="lines" w:linePitch="312" w:charSpace="0"/>
        </w:sectPr>
      </w:pPr>
      <w:r>
        <w:rPr>
          <w:rFonts w:ascii="宋体" w:hAnsi="宋体"/>
          <w:b w:val="0"/>
          <w:bCs w:val="0"/>
          <w:iCs/>
          <w:caps w:val="0"/>
          <w:sz w:val="44"/>
          <w:szCs w:val="44"/>
          <w:highlight w:val="none"/>
        </w:rPr>
        <w:fldChar w:fldCharType="end"/>
      </w:r>
      <w:bookmarkStart w:id="9" w:name="_Toc494093426"/>
      <w:bookmarkStart w:id="10" w:name="_Toc338840478"/>
      <w:bookmarkStart w:id="11" w:name="_Toc494526398"/>
      <w:bookmarkStart w:id="12" w:name="_Toc346523399"/>
      <w:bookmarkStart w:id="13" w:name="_Toc1607"/>
      <w:bookmarkStart w:id="14" w:name="_Toc494526397"/>
      <w:bookmarkStart w:id="15" w:name="_Toc346523462"/>
    </w:p>
    <w:p>
      <w:pPr>
        <w:pStyle w:val="2"/>
        <w:numPr>
          <w:ilvl w:val="0"/>
          <w:numId w:val="1"/>
        </w:numPr>
        <w:jc w:val="center"/>
        <w:rPr>
          <w:rFonts w:ascii="宋体" w:hAnsi="宋体"/>
          <w:highlight w:val="none"/>
        </w:rPr>
      </w:pPr>
      <w:bookmarkStart w:id="16" w:name="_Toc17934"/>
      <w:r>
        <w:rPr>
          <w:rFonts w:hint="eastAsia" w:ascii="宋体" w:hAnsi="宋体"/>
          <w:highlight w:val="none"/>
        </w:rPr>
        <w:t xml:space="preserve"> </w:t>
      </w:r>
      <w:bookmarkEnd w:id="5"/>
      <w:bookmarkEnd w:id="6"/>
      <w:bookmarkStart w:id="17" w:name="_Toc26571"/>
      <w:bookmarkStart w:id="18" w:name="_Toc2387"/>
      <w:r>
        <w:rPr>
          <w:rFonts w:hint="eastAsia" w:ascii="宋体" w:hAnsi="宋体"/>
          <w:highlight w:val="none"/>
        </w:rPr>
        <w:t>招标公告</w:t>
      </w:r>
      <w:bookmarkEnd w:id="7"/>
      <w:bookmarkEnd w:id="8"/>
      <w:bookmarkEnd w:id="9"/>
      <w:bookmarkEnd w:id="10"/>
      <w:bookmarkEnd w:id="11"/>
      <w:bookmarkEnd w:id="12"/>
      <w:bookmarkEnd w:id="13"/>
      <w:bookmarkEnd w:id="14"/>
      <w:bookmarkEnd w:id="15"/>
      <w:bookmarkEnd w:id="16"/>
      <w:bookmarkEnd w:id="17"/>
      <w:bookmarkEnd w:id="18"/>
    </w:p>
    <w:p>
      <w:pPr>
        <w:spacing w:line="560" w:lineRule="exact"/>
        <w:jc w:val="center"/>
        <w:rPr>
          <w:rFonts w:hint="eastAsia"/>
          <w:b w:val="0"/>
          <w:bCs w:val="0"/>
          <w:sz w:val="32"/>
          <w:szCs w:val="32"/>
          <w:highlight w:val="none"/>
          <w:u w:val="none"/>
        </w:rPr>
      </w:pPr>
      <w:r>
        <w:rPr>
          <w:rFonts w:hint="eastAsia"/>
          <w:b w:val="0"/>
          <w:bCs w:val="0"/>
          <w:sz w:val="32"/>
          <w:szCs w:val="32"/>
          <w:highlight w:val="none"/>
          <w:u w:val="none"/>
        </w:rPr>
        <w:t>开封市电化教育馆开封市教育新型基础设施（智慧教育）</w:t>
      </w:r>
    </w:p>
    <w:p>
      <w:pPr>
        <w:spacing w:line="560" w:lineRule="exact"/>
        <w:jc w:val="center"/>
        <w:rPr>
          <w:rFonts w:ascii="宋体" w:hAnsi="宋体" w:cs="宋体"/>
          <w:b w:val="0"/>
          <w:bCs w:val="0"/>
          <w:kern w:val="0"/>
          <w:sz w:val="32"/>
          <w:szCs w:val="32"/>
          <w:highlight w:val="none"/>
        </w:rPr>
      </w:pPr>
      <w:r>
        <w:rPr>
          <w:rFonts w:hint="eastAsia"/>
          <w:b w:val="0"/>
          <w:bCs w:val="0"/>
          <w:sz w:val="32"/>
          <w:szCs w:val="32"/>
          <w:highlight w:val="none"/>
          <w:u w:val="none"/>
        </w:rPr>
        <w:t>建设项目一期项目</w:t>
      </w:r>
      <w:r>
        <w:rPr>
          <w:rFonts w:hint="eastAsia" w:ascii="宋体" w:hAnsi="宋体" w:cs="宋体"/>
          <w:b w:val="0"/>
          <w:bCs w:val="0"/>
          <w:spacing w:val="-10"/>
          <w:kern w:val="0"/>
          <w:sz w:val="32"/>
          <w:szCs w:val="32"/>
          <w:highlight w:val="none"/>
        </w:rPr>
        <w:t>公开招标</w:t>
      </w:r>
      <w:r>
        <w:rPr>
          <w:rFonts w:hint="eastAsia" w:ascii="宋体" w:hAnsi="宋体" w:cs="宋体"/>
          <w:b w:val="0"/>
          <w:bCs w:val="0"/>
          <w:kern w:val="0"/>
          <w:sz w:val="32"/>
          <w:szCs w:val="32"/>
          <w:highlight w:val="none"/>
        </w:rPr>
        <w:t>公告</w:t>
      </w:r>
    </w:p>
    <w:p>
      <w:pPr>
        <w:jc w:val="center"/>
        <w:rPr>
          <w:rFonts w:ascii="宋体" w:hAnsi="宋体" w:cs="宋体"/>
          <w:bCs/>
          <w:kern w:val="0"/>
          <w:sz w:val="32"/>
          <w:szCs w:val="32"/>
          <w:highlight w:val="none"/>
        </w:rPr>
      </w:pPr>
    </w:p>
    <w:p>
      <w:pPr>
        <w:widowControl/>
        <w:adjustRightInd w:val="0"/>
        <w:snapToGrid w:val="0"/>
        <w:spacing w:line="360" w:lineRule="auto"/>
        <w:jc w:val="left"/>
        <w:rPr>
          <w:rFonts w:ascii="宋体" w:hAnsi="宋体" w:cs="宋体"/>
          <w:kern w:val="0"/>
          <w:sz w:val="24"/>
          <w:highlight w:val="none"/>
        </w:rPr>
      </w:pPr>
      <w:r>
        <w:rPr>
          <w:rFonts w:hint="eastAsia" w:ascii="宋体" w:hAnsi="宋体" w:cs="宋体"/>
          <w:kern w:val="0"/>
          <w:sz w:val="24"/>
          <w:highlight w:val="none"/>
        </w:rPr>
        <w:t xml:space="preserve">一、项目基本情况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1、项目编号：</w:t>
      </w:r>
      <w:r>
        <w:rPr>
          <w:rFonts w:hint="eastAsia" w:ascii="宋体" w:hAnsi="宋体"/>
          <w:sz w:val="24"/>
          <w:highlight w:val="none"/>
        </w:rPr>
        <w:t>汴财招标</w:t>
      </w:r>
      <w:r>
        <w:rPr>
          <w:rFonts w:hint="eastAsia" w:ascii="宋体" w:hAnsi="宋体" w:cs="宋体"/>
          <w:sz w:val="24"/>
          <w:highlight w:val="none"/>
        </w:rPr>
        <w:t>采购</w:t>
      </w:r>
      <w:r>
        <w:rPr>
          <w:rFonts w:hint="eastAsia" w:ascii="宋体" w:hAnsi="宋体" w:cs="宋体"/>
          <w:sz w:val="24"/>
          <w:highlight w:val="none"/>
          <w:lang w:val="en-US" w:eastAsia="zh-CN"/>
        </w:rPr>
        <w:t>-2024-42</w:t>
      </w:r>
      <w:r>
        <w:rPr>
          <w:rFonts w:hint="eastAsia" w:ascii="宋体" w:hAnsi="宋体" w:cs="宋体"/>
          <w:sz w:val="24"/>
          <w:highlight w:val="none"/>
        </w:rPr>
        <w:t xml:space="preserve"> </w:t>
      </w:r>
      <w:r>
        <w:rPr>
          <w:rFonts w:hint="eastAsia" w:ascii="宋体" w:hAnsi="宋体" w:cs="宋体"/>
          <w:kern w:val="0"/>
          <w:sz w:val="24"/>
          <w:highlight w:val="none"/>
        </w:rPr>
        <w:t xml:space="preserve">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2、项目名称：开封市电化教育馆开封市教育新型基础设施（智慧教育）建设项目一期项目</w:t>
      </w:r>
      <w:r>
        <w:rPr>
          <w:rFonts w:hint="eastAsia"/>
          <w:sz w:val="24"/>
          <w:highlight w:val="none"/>
        </w:rPr>
        <w:t xml:space="preserve"> </w:t>
      </w:r>
      <w:r>
        <w:rPr>
          <w:rFonts w:hint="eastAsia" w:ascii="宋体" w:hAnsi="宋体" w:cs="宋体"/>
          <w:kern w:val="0"/>
          <w:sz w:val="24"/>
          <w:highlight w:val="none"/>
        </w:rPr>
        <w:t xml:space="preserve">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3、采购方式：公开招标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4、预算金额：</w:t>
      </w:r>
      <w:r>
        <w:rPr>
          <w:rFonts w:hint="eastAsia" w:ascii="宋体" w:hAnsi="宋体" w:cs="宋体"/>
          <w:kern w:val="0"/>
          <w:sz w:val="24"/>
          <w:highlight w:val="none"/>
          <w:lang w:val="en-US" w:eastAsia="zh-CN"/>
        </w:rPr>
        <w:t>90089943元</w:t>
      </w:r>
      <w:r>
        <w:rPr>
          <w:rFonts w:hint="eastAsia" w:ascii="宋体" w:hAnsi="宋体" w:cs="宋体"/>
          <w:kern w:val="0"/>
          <w:sz w:val="24"/>
          <w:highlight w:val="none"/>
        </w:rPr>
        <w:t xml:space="preserve">   </w:t>
      </w:r>
    </w:p>
    <w:p>
      <w:pPr>
        <w:widowControl/>
        <w:adjustRightInd w:val="0"/>
        <w:snapToGrid w:val="0"/>
        <w:spacing w:line="360" w:lineRule="auto"/>
        <w:ind w:firstLine="840"/>
        <w:jc w:val="left"/>
        <w:rPr>
          <w:rFonts w:ascii="宋体" w:hAnsi="宋体" w:cs="宋体"/>
          <w:kern w:val="0"/>
          <w:sz w:val="24"/>
          <w:highlight w:val="none"/>
        </w:rPr>
      </w:pPr>
      <w:r>
        <w:rPr>
          <w:rFonts w:hint="eastAsia" w:ascii="宋体" w:hAnsi="宋体" w:cs="宋体"/>
          <w:kern w:val="0"/>
          <w:sz w:val="24"/>
          <w:highlight w:val="none"/>
        </w:rPr>
        <w:t>最高限价：</w:t>
      </w:r>
      <w:r>
        <w:rPr>
          <w:rFonts w:hint="eastAsia" w:ascii="宋体" w:hAnsi="宋体" w:cs="宋体"/>
          <w:kern w:val="0"/>
          <w:sz w:val="24"/>
          <w:highlight w:val="none"/>
          <w:lang w:val="en-US" w:eastAsia="zh-CN"/>
        </w:rPr>
        <w:t>90089943元</w:t>
      </w:r>
      <w:r>
        <w:rPr>
          <w:rFonts w:hint="eastAsia" w:ascii="宋体" w:hAnsi="宋体" w:cs="宋体"/>
          <w:kern w:val="0"/>
          <w:sz w:val="24"/>
          <w:highlight w:val="none"/>
        </w:rPr>
        <w:t xml:space="preserve">    </w:t>
      </w:r>
    </w:p>
    <w:tbl>
      <w:tblPr>
        <w:tblStyle w:val="32"/>
        <w:tblW w:w="9599"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064"/>
        <w:gridCol w:w="2474"/>
        <w:gridCol w:w="2442"/>
        <w:gridCol w:w="1584"/>
        <w:gridCol w:w="2035"/>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77" w:hRule="atLeast"/>
          <w:tblCellSpacing w:w="0" w:type="dxa"/>
          <w:jc w:val="center"/>
        </w:trPr>
        <w:tc>
          <w:tcPr>
            <w:tcW w:w="1064" w:type="dxa"/>
            <w:vAlign w:val="center"/>
          </w:tcPr>
          <w:p>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序号</w:t>
            </w:r>
          </w:p>
        </w:tc>
        <w:tc>
          <w:tcPr>
            <w:tcW w:w="2474" w:type="dxa"/>
            <w:vAlign w:val="center"/>
          </w:tcPr>
          <w:p>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包号</w:t>
            </w:r>
          </w:p>
        </w:tc>
        <w:tc>
          <w:tcPr>
            <w:tcW w:w="2442" w:type="dxa"/>
            <w:vAlign w:val="center"/>
          </w:tcPr>
          <w:p>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包名称</w:t>
            </w:r>
          </w:p>
        </w:tc>
        <w:tc>
          <w:tcPr>
            <w:tcW w:w="1584" w:type="dxa"/>
            <w:vAlign w:val="center"/>
          </w:tcPr>
          <w:p>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包预算（元）</w:t>
            </w:r>
          </w:p>
        </w:tc>
        <w:tc>
          <w:tcPr>
            <w:tcW w:w="2035" w:type="dxa"/>
            <w:vAlign w:val="center"/>
          </w:tcPr>
          <w:p>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包最高限价（元）</w:t>
            </w: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30" w:hRule="atLeast"/>
          <w:tblCellSpacing w:w="0" w:type="dxa"/>
          <w:jc w:val="center"/>
        </w:trPr>
        <w:tc>
          <w:tcPr>
            <w:tcW w:w="1064" w:type="dxa"/>
            <w:vAlign w:val="center"/>
          </w:tcPr>
          <w:p>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1</w:t>
            </w:r>
          </w:p>
        </w:tc>
        <w:tc>
          <w:tcPr>
            <w:tcW w:w="2474" w:type="dxa"/>
            <w:vAlign w:val="center"/>
          </w:tcPr>
          <w:p>
            <w:pPr>
              <w:widowControl/>
              <w:adjustRightInd w:val="0"/>
              <w:snapToGrid w:val="0"/>
              <w:jc w:val="both"/>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汴财招标采购-2024-42</w:t>
            </w:r>
          </w:p>
        </w:tc>
        <w:tc>
          <w:tcPr>
            <w:tcW w:w="2442" w:type="dxa"/>
            <w:vAlign w:val="center"/>
          </w:tcPr>
          <w:p>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开封市电化教育馆开封市教育新型基础设施（智慧教育）建设项目一期项目</w:t>
            </w:r>
          </w:p>
        </w:tc>
        <w:tc>
          <w:tcPr>
            <w:tcW w:w="1584" w:type="dxa"/>
            <w:vAlign w:val="center"/>
          </w:tcPr>
          <w:p>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90089943</w:t>
            </w:r>
          </w:p>
        </w:tc>
        <w:tc>
          <w:tcPr>
            <w:tcW w:w="2035" w:type="dxa"/>
            <w:vAlign w:val="center"/>
          </w:tcPr>
          <w:p>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90089943</w:t>
            </w:r>
          </w:p>
        </w:tc>
      </w:tr>
    </w:tbl>
    <w:p>
      <w:pPr>
        <w:widowControl/>
        <w:adjustRightInd w:val="0"/>
        <w:snapToGrid w:val="0"/>
        <w:spacing w:line="360" w:lineRule="auto"/>
        <w:ind w:firstLine="840"/>
        <w:jc w:val="left"/>
        <w:rPr>
          <w:rFonts w:ascii="宋体" w:hAnsi="宋体" w:cs="宋体"/>
          <w:kern w:val="0"/>
          <w:sz w:val="24"/>
          <w:highlight w:val="none"/>
        </w:rPr>
      </w:pPr>
    </w:p>
    <w:p>
      <w:pPr>
        <w:widowControl/>
        <w:numPr>
          <w:ilvl w:val="0"/>
          <w:numId w:val="0"/>
        </w:numPr>
        <w:adjustRightInd w:val="0"/>
        <w:snapToGrid w:val="0"/>
        <w:spacing w:line="360" w:lineRule="auto"/>
        <w:jc w:val="left"/>
        <w:rPr>
          <w:rFonts w:hint="eastAsia" w:ascii="宋体" w:hAnsi="宋体" w:cs="宋体"/>
          <w:kern w:val="0"/>
          <w:sz w:val="24"/>
          <w:highlight w:val="none"/>
          <w:lang w:eastAsia="zh-CN"/>
        </w:rPr>
      </w:pPr>
      <w:r>
        <w:rPr>
          <w:rFonts w:hint="eastAsia" w:ascii="宋体" w:hAnsi="宋体" w:cs="宋体"/>
          <w:kern w:val="0"/>
          <w:sz w:val="24"/>
          <w:highlight w:val="none"/>
          <w:lang w:val="en-US" w:eastAsia="zh-CN"/>
        </w:rPr>
        <w:t>5、</w:t>
      </w:r>
      <w:r>
        <w:rPr>
          <w:rFonts w:hint="eastAsia" w:ascii="宋体" w:hAnsi="宋体" w:cs="宋体"/>
          <w:kern w:val="0"/>
          <w:sz w:val="24"/>
          <w:highlight w:val="none"/>
        </w:rPr>
        <w:t>采购需求</w:t>
      </w:r>
      <w:r>
        <w:rPr>
          <w:rFonts w:hint="eastAsia" w:ascii="宋体" w:hAnsi="宋体" w:cs="宋体"/>
          <w:kern w:val="0"/>
          <w:sz w:val="24"/>
          <w:highlight w:val="none"/>
          <w:lang w:eastAsia="zh-CN"/>
        </w:rPr>
        <w:t>：</w:t>
      </w:r>
    </w:p>
    <w:p>
      <w:pPr>
        <w:widowControl/>
        <w:numPr>
          <w:ilvl w:val="0"/>
          <w:numId w:val="0"/>
        </w:numPr>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r>
        <w:rPr>
          <w:rFonts w:hint="eastAsia" w:ascii="宋体" w:hAnsi="宋体" w:cs="宋体"/>
          <w:kern w:val="0"/>
          <w:sz w:val="24"/>
          <w:highlight w:val="none"/>
        </w:rPr>
        <w:t>“互联网</w:t>
      </w:r>
      <w:r>
        <w:rPr>
          <w:rFonts w:hint="eastAsia" w:ascii="宋体" w:hAnsi="宋体" w:cs="宋体"/>
          <w:color w:val="auto"/>
          <w:kern w:val="0"/>
          <w:sz w:val="24"/>
          <w:highlight w:val="none"/>
        </w:rPr>
        <w:t>+教育”平台、业务应用系统、教育专网、数据机房及运维中心、融媒体中心、校园网络及数字化改造等内容。</w:t>
      </w:r>
      <w:r>
        <w:rPr>
          <w:rFonts w:hint="eastAsia" w:ascii="宋体" w:hAnsi="宋体" w:cs="宋体"/>
          <w:color w:val="auto"/>
          <w:kern w:val="0"/>
          <w:sz w:val="24"/>
          <w:highlight w:val="none"/>
          <w:lang w:val="en-US" w:eastAsia="zh-CN"/>
        </w:rPr>
        <w:t xml:space="preserve">   </w:t>
      </w:r>
      <w:r>
        <w:rPr>
          <w:rFonts w:hint="eastAsia" w:ascii="宋体" w:hAnsi="宋体" w:eastAsia="宋体" w:cs="宋体"/>
          <w:color w:val="auto"/>
          <w:sz w:val="24"/>
          <w:szCs w:val="24"/>
          <w:highlight w:val="none"/>
        </w:rPr>
        <w:t>付款期</w:t>
      </w:r>
      <w:r>
        <w:rPr>
          <w:rFonts w:hint="eastAsia" w:ascii="宋体" w:hAnsi="宋体" w:cs="宋体"/>
          <w:color w:val="auto"/>
          <w:sz w:val="24"/>
          <w:szCs w:val="24"/>
          <w:highlight w:val="none"/>
          <w:lang w:val="en-US" w:eastAsia="zh-CN"/>
        </w:rPr>
        <w:t>限为</w:t>
      </w:r>
      <w:r>
        <w:rPr>
          <w:rFonts w:hint="eastAsia" w:ascii="宋体" w:hAnsi="宋体" w:eastAsia="宋体" w:cs="宋体"/>
          <w:color w:val="auto"/>
          <w:sz w:val="24"/>
          <w:szCs w:val="24"/>
          <w:highlight w:val="none"/>
        </w:rPr>
        <w:t>六年</w:t>
      </w:r>
      <w:r>
        <w:rPr>
          <w:rFonts w:hint="eastAsia" w:ascii="宋体" w:hAnsi="宋体" w:cs="宋体"/>
          <w:color w:val="auto"/>
          <w:sz w:val="24"/>
          <w:szCs w:val="24"/>
          <w:highlight w:val="none"/>
          <w:lang w:eastAsia="zh-CN"/>
        </w:rPr>
        <w:t>。</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6、合同履行期限： </w:t>
      </w:r>
      <w:r>
        <w:rPr>
          <w:rFonts w:hint="eastAsia" w:ascii="宋体" w:hAnsi="宋体" w:cs="宋体"/>
          <w:color w:val="auto"/>
          <w:kern w:val="0"/>
          <w:sz w:val="24"/>
          <w:highlight w:val="none"/>
          <w:lang w:val="en-US" w:eastAsia="zh-CN"/>
        </w:rPr>
        <w:t>24个月</w:t>
      </w:r>
      <w:r>
        <w:rPr>
          <w:rFonts w:hint="eastAsia" w:ascii="宋体" w:hAnsi="宋体" w:cs="宋体"/>
          <w:color w:val="auto"/>
          <w:kern w:val="0"/>
          <w:sz w:val="24"/>
          <w:highlight w:val="none"/>
        </w:rPr>
        <w:t xml:space="preserve">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7、本项目是否接受联合体投标：否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8、是否接受进口产品：否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9、是否为只面向中小企业采购：否</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二、申请人资格要求：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1、满足《中华人民共和国政府采购法》第二十二条规定；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w:t>
      </w:r>
    </w:p>
    <w:p>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详见招标文件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3、本项目的特定资格要求 </w:t>
      </w:r>
    </w:p>
    <w:p>
      <w:pPr>
        <w:widowControl/>
        <w:numPr>
          <w:ilvl w:val="0"/>
          <w:numId w:val="2"/>
        </w:numPr>
        <w:adjustRightInd w:val="0"/>
        <w:snapToGrid w:val="0"/>
        <w:spacing w:line="360" w:lineRule="auto"/>
        <w:jc w:val="left"/>
        <w:rPr>
          <w:rFonts w:ascii="宋体" w:hAnsi="宋体" w:cs="宋体"/>
          <w:kern w:val="0"/>
          <w:sz w:val="24"/>
          <w:highlight w:val="none"/>
        </w:rPr>
      </w:pPr>
      <w:r>
        <w:rPr>
          <w:rFonts w:hint="eastAsia" w:ascii="宋体" w:hAnsi="宋体" w:cs="宋体"/>
          <w:kern w:val="0"/>
          <w:sz w:val="24"/>
          <w:highlight w:val="none"/>
        </w:rPr>
        <w:t>供应商应具备下列条件，并提供相应材料：</w:t>
      </w:r>
    </w:p>
    <w:p>
      <w:pPr>
        <w:widowControl/>
        <w:numPr>
          <w:ilvl w:val="0"/>
          <w:numId w:val="3"/>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营业执照等证明材料，具有独立承担民事责任的能力。（提供原件扫描件或电子证照，经营内容与本项目采购内容及履约能力相适合。不明确者同时提供显示经营范围的《国家企业信用信息公示系统》“营业执照信息”完整截图。）</w:t>
      </w:r>
    </w:p>
    <w:p>
      <w:pPr>
        <w:widowControl/>
        <w:numPr>
          <w:ilvl w:val="0"/>
          <w:numId w:val="3"/>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pPr>
        <w:widowControl/>
        <w:numPr>
          <w:ilvl w:val="0"/>
          <w:numId w:val="3"/>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依法缴纳税收的证明材料。【提供距开标不超过半年（缴款日期、入库日期等）任意一次经营缴税凭据或税务</w:t>
      </w:r>
      <w:r>
        <w:rPr>
          <w:rFonts w:hint="eastAsia" w:ascii="宋体" w:hAnsi="宋体" w:cs="宋体"/>
          <w:kern w:val="0"/>
          <w:sz w:val="24"/>
          <w:highlight w:val="none"/>
          <w:lang w:val="en-US" w:eastAsia="zh-CN"/>
        </w:rPr>
        <w:t>部门</w:t>
      </w:r>
      <w:r>
        <w:rPr>
          <w:rFonts w:hint="eastAsia" w:ascii="宋体" w:hAnsi="宋体" w:cs="宋体"/>
          <w:kern w:val="0"/>
          <w:sz w:val="24"/>
          <w:highlight w:val="none"/>
        </w:rPr>
        <w:t>出具的“无欠税证明”原件扫描件。属于免税对象者，自行出具免税声明或提供其他证明材料。】</w:t>
      </w:r>
    </w:p>
    <w:p>
      <w:pPr>
        <w:widowControl/>
        <w:numPr>
          <w:ilvl w:val="0"/>
          <w:numId w:val="3"/>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依法缴纳社会保障资金的证明材料。（提供距开标不超过半年任意一次为职工缴纳养老等社会保险的缴纳凭据或清单或社保部门证明。提供原件扫描件或电子凭证。）</w:t>
      </w:r>
    </w:p>
    <w:p>
      <w:pPr>
        <w:widowControl/>
        <w:numPr>
          <w:ilvl w:val="0"/>
          <w:numId w:val="3"/>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具备履行合同所必需的设备和专业技术能力的承诺。</w:t>
      </w:r>
    </w:p>
    <w:p>
      <w:pPr>
        <w:widowControl/>
        <w:numPr>
          <w:ilvl w:val="0"/>
          <w:numId w:val="3"/>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供应商开标前三年内在经营活动中无重大违法记录的书面声明。</w:t>
      </w:r>
    </w:p>
    <w:p>
      <w:pPr>
        <w:widowControl/>
        <w:numPr>
          <w:ilvl w:val="0"/>
          <w:numId w:val="2"/>
        </w:numPr>
        <w:adjustRightInd w:val="0"/>
        <w:snapToGrid w:val="0"/>
        <w:spacing w:line="360" w:lineRule="auto"/>
        <w:ind w:left="5" w:firstLine="415"/>
        <w:jc w:val="left"/>
        <w:rPr>
          <w:rFonts w:ascii="宋体" w:hAnsi="宋体" w:cs="宋体"/>
          <w:kern w:val="0"/>
          <w:sz w:val="24"/>
          <w:highlight w:val="none"/>
        </w:rPr>
      </w:pPr>
      <w:r>
        <w:rPr>
          <w:rFonts w:hint="eastAsia" w:ascii="宋体" w:hAnsi="宋体" w:cs="宋体"/>
          <w:kern w:val="0"/>
          <w:sz w:val="24"/>
          <w:highlight w:val="none"/>
        </w:rPr>
        <w:t>具有良好的商业信誉。截至投标文件递交截止时间，供应商在“信用中国”网列入“失信被执行人、重大税收违法失信主体”，或者在“中国政府采购网”上列入“政府采购严重违法失信行为信息记录”的，</w:t>
      </w:r>
      <w:r>
        <w:rPr>
          <w:rFonts w:hint="eastAsia" w:ascii="宋体" w:hAnsi="宋体" w:cs="宋体"/>
          <w:kern w:val="0"/>
          <w:sz w:val="24"/>
          <w:highlight w:val="none"/>
          <w:lang w:val="en-US" w:eastAsia="zh-CN"/>
        </w:rPr>
        <w:t>为无效投标</w:t>
      </w:r>
      <w:r>
        <w:rPr>
          <w:rFonts w:hint="eastAsia" w:ascii="宋体" w:hAnsi="宋体" w:cs="宋体"/>
          <w:kern w:val="0"/>
          <w:sz w:val="24"/>
          <w:highlight w:val="none"/>
        </w:rPr>
        <w:t>。采购人、采购代理机构于开标后查询。【查询渠道：“信用中国”网站（http://www.creditchina.gov.cn）、中国政府采购网（http://www.ccgp.gov.cn）。】</w:t>
      </w:r>
    </w:p>
    <w:p>
      <w:pPr>
        <w:widowControl/>
        <w:adjustRightInd w:val="0"/>
        <w:snapToGrid w:val="0"/>
        <w:spacing w:line="360" w:lineRule="auto"/>
        <w:jc w:val="left"/>
        <w:rPr>
          <w:rFonts w:ascii="宋体" w:hAnsi="宋体" w:cs="宋体"/>
          <w:kern w:val="0"/>
          <w:sz w:val="24"/>
          <w:highlight w:val="none"/>
        </w:rPr>
      </w:pPr>
      <w:r>
        <w:rPr>
          <w:rFonts w:hint="eastAsia" w:ascii="宋体" w:hAnsi="宋体" w:cs="宋体"/>
          <w:kern w:val="0"/>
          <w:sz w:val="24"/>
          <w:highlight w:val="none"/>
        </w:rPr>
        <w:t xml:space="preserve">三、获取招标文件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1.时间：</w:t>
      </w:r>
      <w:r>
        <w:rPr>
          <w:rFonts w:hint="eastAsia" w:ascii="宋体" w:hAnsi="宋体" w:cs="宋体"/>
          <w:kern w:val="0"/>
          <w:sz w:val="24"/>
          <w:highlight w:val="none"/>
          <w:lang w:eastAsia="zh-CN"/>
        </w:rPr>
        <w:t>2024</w:t>
      </w:r>
      <w:r>
        <w:rPr>
          <w:rFonts w:hint="eastAsia" w:ascii="宋体" w:hAnsi="宋体" w:cs="宋体"/>
          <w:kern w:val="0"/>
          <w:sz w:val="24"/>
          <w:highlight w:val="none"/>
        </w:rPr>
        <w:t>年</w:t>
      </w:r>
      <w:r>
        <w:rPr>
          <w:rFonts w:hint="eastAsia" w:ascii="宋体" w:hAnsi="宋体" w:cs="宋体"/>
          <w:kern w:val="0"/>
          <w:sz w:val="24"/>
          <w:highlight w:val="none"/>
          <w:lang w:val="en-US" w:eastAsia="zh-CN"/>
        </w:rPr>
        <w:t>4</w:t>
      </w:r>
      <w:r>
        <w:rPr>
          <w:rFonts w:hint="eastAsia" w:ascii="宋体" w:hAnsi="宋体" w:cs="宋体"/>
          <w:kern w:val="0"/>
          <w:sz w:val="24"/>
          <w:highlight w:val="none"/>
        </w:rPr>
        <w:t>月</w:t>
      </w:r>
      <w:r>
        <w:rPr>
          <w:rFonts w:hint="eastAsia" w:ascii="宋体" w:hAnsi="宋体" w:cs="宋体"/>
          <w:kern w:val="0"/>
          <w:sz w:val="24"/>
          <w:highlight w:val="none"/>
          <w:lang w:val="en-US" w:eastAsia="zh-CN"/>
        </w:rPr>
        <w:t>3</w:t>
      </w:r>
      <w:r>
        <w:rPr>
          <w:rFonts w:hint="eastAsia" w:ascii="宋体" w:hAnsi="宋体" w:cs="宋体"/>
          <w:kern w:val="0"/>
          <w:sz w:val="24"/>
          <w:highlight w:val="none"/>
        </w:rPr>
        <w:t>日 至</w:t>
      </w:r>
      <w:r>
        <w:rPr>
          <w:rFonts w:hint="eastAsia" w:ascii="宋体" w:hAnsi="宋体" w:cs="宋体"/>
          <w:kern w:val="0"/>
          <w:sz w:val="24"/>
          <w:highlight w:val="none"/>
          <w:lang w:eastAsia="zh-CN"/>
        </w:rPr>
        <w:t>2024</w:t>
      </w:r>
      <w:r>
        <w:rPr>
          <w:rFonts w:hint="eastAsia" w:ascii="宋体" w:hAnsi="宋体" w:cs="宋体"/>
          <w:kern w:val="0"/>
          <w:sz w:val="24"/>
          <w:highlight w:val="none"/>
        </w:rPr>
        <w:t>年</w:t>
      </w:r>
      <w:r>
        <w:rPr>
          <w:rFonts w:hint="eastAsia" w:ascii="宋体" w:hAnsi="宋体" w:cs="宋体"/>
          <w:kern w:val="0"/>
          <w:sz w:val="24"/>
          <w:highlight w:val="none"/>
          <w:lang w:val="en-US" w:eastAsia="zh-CN"/>
        </w:rPr>
        <w:t>4</w:t>
      </w:r>
      <w:r>
        <w:rPr>
          <w:rFonts w:hint="eastAsia" w:ascii="宋体" w:hAnsi="宋体" w:cs="宋体"/>
          <w:kern w:val="0"/>
          <w:sz w:val="24"/>
          <w:highlight w:val="none"/>
        </w:rPr>
        <w:t>月</w:t>
      </w:r>
      <w:r>
        <w:rPr>
          <w:rFonts w:hint="eastAsia" w:ascii="宋体" w:hAnsi="宋体" w:cs="宋体"/>
          <w:kern w:val="0"/>
          <w:sz w:val="24"/>
          <w:highlight w:val="none"/>
          <w:lang w:val="en-US" w:eastAsia="zh-CN"/>
        </w:rPr>
        <w:t>24</w:t>
      </w:r>
      <w:r>
        <w:rPr>
          <w:rFonts w:hint="eastAsia" w:ascii="宋体" w:hAnsi="宋体" w:cs="宋体"/>
          <w:kern w:val="0"/>
          <w:sz w:val="24"/>
          <w:highlight w:val="none"/>
        </w:rPr>
        <w:t xml:space="preserve">日，每天上午00:00至12:00，下午12:00至23:59（北京时间，法定节假日除外。）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2.地点：《开封市公共资源交易信息网》电子交易系统。 </w:t>
      </w:r>
    </w:p>
    <w:p>
      <w:pPr>
        <w:widowControl/>
        <w:adjustRightInd w:val="0"/>
        <w:snapToGrid w:val="0"/>
        <w:spacing w:line="360" w:lineRule="auto"/>
        <w:ind w:firstLine="420"/>
        <w:jc w:val="left"/>
        <w:rPr>
          <w:rFonts w:ascii="宋体" w:hAnsi="宋体" w:eastAsia="微软雅黑" w:cs="宋体"/>
          <w:kern w:val="0"/>
          <w:sz w:val="24"/>
          <w:highlight w:val="none"/>
        </w:rPr>
      </w:pPr>
      <w:r>
        <w:rPr>
          <w:rFonts w:hint="eastAsia" w:ascii="宋体" w:hAnsi="宋体" w:cs="宋体"/>
          <w:kern w:val="0"/>
          <w:sz w:val="24"/>
          <w:highlight w:val="none"/>
        </w:rPr>
        <w:t>3.方式：凭CA密钥登录电子交易系统“政采、工程业务系统”自行下载招标文件及资料（详见http://www.kfsggzyjyw.cn办事指南-操作规程)。</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4.售价：0元 </w:t>
      </w:r>
    </w:p>
    <w:p>
      <w:pPr>
        <w:widowControl/>
        <w:adjustRightInd w:val="0"/>
        <w:snapToGrid w:val="0"/>
        <w:spacing w:line="360" w:lineRule="auto"/>
        <w:jc w:val="left"/>
        <w:rPr>
          <w:rFonts w:ascii="宋体" w:hAnsi="宋体" w:cs="宋体"/>
          <w:kern w:val="0"/>
          <w:sz w:val="24"/>
          <w:highlight w:val="none"/>
        </w:rPr>
      </w:pPr>
      <w:r>
        <w:rPr>
          <w:rFonts w:hint="eastAsia" w:ascii="宋体" w:hAnsi="宋体" w:cs="宋体"/>
          <w:kern w:val="0"/>
          <w:sz w:val="24"/>
          <w:highlight w:val="none"/>
        </w:rPr>
        <w:t xml:space="preserve">四、投标截止时间及地点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1.时间：</w:t>
      </w:r>
      <w:r>
        <w:rPr>
          <w:rFonts w:hint="eastAsia" w:ascii="宋体" w:hAnsi="宋体" w:cs="宋体"/>
          <w:kern w:val="0"/>
          <w:sz w:val="24"/>
          <w:highlight w:val="none"/>
          <w:lang w:eastAsia="zh-CN"/>
        </w:rPr>
        <w:t>2024</w:t>
      </w:r>
      <w:r>
        <w:rPr>
          <w:rFonts w:hint="eastAsia" w:ascii="宋体" w:hAnsi="宋体" w:cs="宋体"/>
          <w:kern w:val="0"/>
          <w:sz w:val="24"/>
          <w:highlight w:val="none"/>
        </w:rPr>
        <w:t>年</w:t>
      </w:r>
      <w:r>
        <w:rPr>
          <w:rFonts w:hint="eastAsia" w:ascii="宋体" w:hAnsi="宋体" w:cs="宋体"/>
          <w:kern w:val="0"/>
          <w:sz w:val="24"/>
          <w:highlight w:val="none"/>
          <w:lang w:val="en-US" w:eastAsia="zh-CN"/>
        </w:rPr>
        <w:t>4</w:t>
      </w:r>
      <w:r>
        <w:rPr>
          <w:rFonts w:hint="eastAsia" w:ascii="宋体" w:hAnsi="宋体" w:cs="宋体"/>
          <w:kern w:val="0"/>
          <w:sz w:val="24"/>
          <w:highlight w:val="none"/>
        </w:rPr>
        <w:t>月</w:t>
      </w:r>
      <w:r>
        <w:rPr>
          <w:rFonts w:hint="eastAsia" w:ascii="宋体" w:hAnsi="宋体" w:cs="宋体"/>
          <w:kern w:val="0"/>
          <w:sz w:val="24"/>
          <w:highlight w:val="none"/>
          <w:lang w:val="en-US" w:eastAsia="zh-CN"/>
        </w:rPr>
        <w:t>25</w:t>
      </w:r>
      <w:r>
        <w:rPr>
          <w:rFonts w:hint="eastAsia" w:ascii="宋体" w:hAnsi="宋体" w:cs="宋体"/>
          <w:kern w:val="0"/>
          <w:sz w:val="24"/>
          <w:highlight w:val="none"/>
        </w:rPr>
        <w:t>日09时</w:t>
      </w:r>
      <w:r>
        <w:rPr>
          <w:rFonts w:hint="eastAsia" w:ascii="宋体" w:hAnsi="宋体" w:cs="宋体"/>
          <w:kern w:val="0"/>
          <w:sz w:val="24"/>
          <w:highlight w:val="none"/>
          <w:lang w:val="en-US" w:eastAsia="zh-CN"/>
        </w:rPr>
        <w:t>20</w:t>
      </w:r>
      <w:r>
        <w:rPr>
          <w:rFonts w:hint="eastAsia" w:ascii="宋体" w:hAnsi="宋体" w:cs="宋体"/>
          <w:kern w:val="0"/>
          <w:sz w:val="24"/>
          <w:highlight w:val="none"/>
        </w:rPr>
        <w:t xml:space="preserve">分（北京时间）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2.地点：</w:t>
      </w:r>
      <w:r>
        <w:rPr>
          <w:rFonts w:hint="eastAsia" w:ascii="宋体" w:hAnsi="宋体" w:cs="宋体"/>
          <w:kern w:val="0"/>
          <w:sz w:val="24"/>
          <w:highlight w:val="none"/>
          <w:lang w:val="zh-CN"/>
        </w:rPr>
        <w:t>在投标截止时间前，通过原下载招标文件的电子交易系统按提示上传、提交投标文件。</w:t>
      </w:r>
      <w:r>
        <w:rPr>
          <w:rFonts w:hint="eastAsia" w:ascii="宋体" w:hAnsi="宋体" w:cs="宋体"/>
          <w:kern w:val="0"/>
          <w:sz w:val="24"/>
          <w:highlight w:val="none"/>
        </w:rPr>
        <w:t xml:space="preserve"> </w:t>
      </w:r>
    </w:p>
    <w:p>
      <w:pPr>
        <w:widowControl/>
        <w:adjustRightInd w:val="0"/>
        <w:snapToGrid w:val="0"/>
        <w:spacing w:line="360" w:lineRule="auto"/>
        <w:jc w:val="left"/>
        <w:rPr>
          <w:rFonts w:ascii="宋体" w:hAnsi="宋体" w:cs="宋体"/>
          <w:kern w:val="0"/>
          <w:sz w:val="24"/>
          <w:highlight w:val="none"/>
        </w:rPr>
      </w:pPr>
      <w:r>
        <w:rPr>
          <w:rFonts w:hint="eastAsia" w:ascii="宋体" w:hAnsi="宋体" w:cs="宋体"/>
          <w:kern w:val="0"/>
          <w:sz w:val="24"/>
          <w:highlight w:val="none"/>
        </w:rPr>
        <w:t xml:space="preserve">五、开标时间及地点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1.时间：</w:t>
      </w:r>
      <w:r>
        <w:rPr>
          <w:rFonts w:hint="eastAsia" w:ascii="宋体" w:hAnsi="宋体" w:cs="宋体"/>
          <w:kern w:val="0"/>
          <w:sz w:val="24"/>
          <w:highlight w:val="none"/>
          <w:lang w:eastAsia="zh-CN"/>
        </w:rPr>
        <w:t>2024</w:t>
      </w:r>
      <w:r>
        <w:rPr>
          <w:rFonts w:hint="eastAsia" w:ascii="宋体" w:hAnsi="宋体" w:cs="宋体"/>
          <w:kern w:val="0"/>
          <w:sz w:val="24"/>
          <w:highlight w:val="none"/>
        </w:rPr>
        <w:t>年</w:t>
      </w:r>
      <w:r>
        <w:rPr>
          <w:rFonts w:hint="eastAsia" w:ascii="宋体" w:hAnsi="宋体" w:cs="宋体"/>
          <w:kern w:val="0"/>
          <w:sz w:val="24"/>
          <w:highlight w:val="none"/>
          <w:lang w:val="en-US" w:eastAsia="zh-CN"/>
        </w:rPr>
        <w:t>4</w:t>
      </w:r>
      <w:r>
        <w:rPr>
          <w:rFonts w:hint="eastAsia" w:ascii="宋体" w:hAnsi="宋体" w:cs="宋体"/>
          <w:kern w:val="0"/>
          <w:sz w:val="24"/>
          <w:highlight w:val="none"/>
        </w:rPr>
        <w:t>月</w:t>
      </w:r>
      <w:r>
        <w:rPr>
          <w:rFonts w:hint="eastAsia" w:ascii="宋体" w:hAnsi="宋体" w:cs="宋体"/>
          <w:kern w:val="0"/>
          <w:sz w:val="24"/>
          <w:highlight w:val="none"/>
          <w:lang w:val="en-US" w:eastAsia="zh-CN"/>
        </w:rPr>
        <w:t>25</w:t>
      </w:r>
      <w:r>
        <w:rPr>
          <w:rFonts w:hint="eastAsia" w:ascii="宋体" w:hAnsi="宋体" w:cs="宋体"/>
          <w:kern w:val="0"/>
          <w:sz w:val="24"/>
          <w:highlight w:val="none"/>
        </w:rPr>
        <w:t>日09时</w:t>
      </w:r>
      <w:r>
        <w:rPr>
          <w:rFonts w:hint="eastAsia" w:ascii="宋体" w:hAnsi="宋体" w:cs="宋体"/>
          <w:kern w:val="0"/>
          <w:sz w:val="24"/>
          <w:highlight w:val="none"/>
          <w:lang w:val="en-US" w:eastAsia="zh-CN"/>
        </w:rPr>
        <w:t>20</w:t>
      </w:r>
      <w:r>
        <w:rPr>
          <w:rFonts w:hint="eastAsia" w:ascii="宋体" w:hAnsi="宋体" w:cs="宋体"/>
          <w:kern w:val="0"/>
          <w:sz w:val="24"/>
          <w:highlight w:val="none"/>
        </w:rPr>
        <w:t xml:space="preserve">分（北京时间）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2.地点：《开封市公共资源交易信息网》（http://www.kfsggzyjyw.cn）</w:t>
      </w:r>
    </w:p>
    <w:p>
      <w:pPr>
        <w:widowControl/>
        <w:adjustRightInd w:val="0"/>
        <w:snapToGrid w:val="0"/>
        <w:spacing w:line="360" w:lineRule="auto"/>
        <w:jc w:val="left"/>
        <w:rPr>
          <w:rFonts w:ascii="宋体" w:hAnsi="宋体" w:cs="宋体"/>
          <w:kern w:val="0"/>
          <w:sz w:val="24"/>
          <w:highlight w:val="none"/>
        </w:rPr>
      </w:pPr>
      <w:r>
        <w:rPr>
          <w:rFonts w:hint="eastAsia" w:ascii="宋体" w:hAnsi="宋体" w:cs="宋体"/>
          <w:kern w:val="0"/>
          <w:sz w:val="24"/>
          <w:highlight w:val="none"/>
        </w:rPr>
        <w:t xml:space="preserve">六、发布公告的媒介及招标公告期限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本次招标公告在《河南省政府采购网》《开封市公共资源交易信息网》上发布。招标公告期限为五个工作日。  </w:t>
      </w:r>
    </w:p>
    <w:p>
      <w:pPr>
        <w:widowControl/>
        <w:adjustRightInd w:val="0"/>
        <w:snapToGrid w:val="0"/>
        <w:spacing w:line="360" w:lineRule="auto"/>
        <w:jc w:val="left"/>
        <w:rPr>
          <w:rFonts w:ascii="宋体" w:hAnsi="宋体" w:cs="宋体"/>
          <w:kern w:val="0"/>
          <w:sz w:val="24"/>
          <w:highlight w:val="none"/>
        </w:rPr>
      </w:pPr>
      <w:r>
        <w:rPr>
          <w:rFonts w:hint="eastAsia" w:ascii="宋体" w:hAnsi="宋体" w:cs="宋体"/>
          <w:kern w:val="0"/>
          <w:sz w:val="24"/>
          <w:highlight w:val="none"/>
        </w:rPr>
        <w:t xml:space="preserve">七、其他补充事宜 </w:t>
      </w:r>
    </w:p>
    <w:p>
      <w:pPr>
        <w:widowControl/>
        <w:adjustRightInd w:val="0"/>
        <w:snapToGri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1、供应商须提前注册成为《开封市公共资源交易信息网》会员并取得CA密钥（登录网站首页&gt;办事指南&gt;数字证书），已办理的请确保在有效期内，需更新的请联系CA服务机构。</w:t>
      </w:r>
    </w:p>
    <w:p>
      <w:pPr>
        <w:widowControl/>
        <w:adjustRightInd w:val="0"/>
        <w:snapToGri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电话：</w:t>
      </w:r>
      <w:r>
        <w:rPr>
          <w:rFonts w:hint="eastAsia" w:ascii="宋体" w:hAnsi="宋体" w:cs="宋体"/>
          <w:kern w:val="0"/>
          <w:sz w:val="24"/>
          <w:highlight w:val="none"/>
          <w:u w:val="none"/>
        </w:rPr>
        <w:t>0371-23859291</w:t>
      </w:r>
      <w:r>
        <w:rPr>
          <w:rFonts w:hint="eastAsia" w:ascii="宋体" w:hAnsi="宋体" w:cs="宋体"/>
          <w:kern w:val="0"/>
          <w:sz w:val="24"/>
          <w:highlight w:val="none"/>
        </w:rPr>
        <w:t>；采购人及采购中心仅作为平台使用方不负责解决技术问题。</w:t>
      </w:r>
    </w:p>
    <w:p>
      <w:pPr>
        <w:widowControl/>
        <w:adjustRightInd w:val="0"/>
        <w:snapToGrid w:val="0"/>
        <w:spacing w:line="360" w:lineRule="auto"/>
        <w:jc w:val="left"/>
        <w:rPr>
          <w:rFonts w:ascii="宋体" w:hAnsi="宋体" w:cs="宋体"/>
          <w:kern w:val="0"/>
          <w:sz w:val="24"/>
          <w:highlight w:val="none"/>
        </w:rPr>
      </w:pPr>
      <w:r>
        <w:rPr>
          <w:rFonts w:hint="eastAsia" w:ascii="宋体" w:hAnsi="宋体" w:cs="宋体"/>
          <w:kern w:val="0"/>
          <w:sz w:val="24"/>
          <w:highlight w:val="none"/>
        </w:rPr>
        <w:t xml:space="preserve">八、凡对本次招标提出询问，请按照以下方式联系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1. 采购人信息 </w:t>
      </w:r>
    </w:p>
    <w:p>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名称：开封市电化教育馆</w:t>
      </w:r>
    </w:p>
    <w:p>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 xml:space="preserve">地址：河南省开封市龙亭区县街28号附4号  </w:t>
      </w:r>
    </w:p>
    <w:p>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联系人：齐</w:t>
      </w:r>
      <w:r>
        <w:rPr>
          <w:rFonts w:hint="eastAsia" w:ascii="宋体" w:hAnsi="宋体" w:cs="宋体"/>
          <w:kern w:val="0"/>
          <w:sz w:val="24"/>
          <w:highlight w:val="none"/>
          <w:lang w:val="en-US" w:eastAsia="zh-CN"/>
        </w:rPr>
        <w:t>女士</w:t>
      </w:r>
      <w:r>
        <w:rPr>
          <w:rFonts w:hint="eastAsia" w:ascii="宋体" w:hAnsi="宋体" w:cs="宋体"/>
          <w:kern w:val="0"/>
          <w:sz w:val="24"/>
          <w:highlight w:val="none"/>
        </w:rPr>
        <w:t xml:space="preserve"> </w:t>
      </w:r>
    </w:p>
    <w:p>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 xml:space="preserve">联系方式：0371-25987574 </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2.采购代理机构信息 </w:t>
      </w:r>
    </w:p>
    <w:p>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 xml:space="preserve">名称：开封市政府采购中心 </w:t>
      </w:r>
    </w:p>
    <w:p>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 xml:space="preserve">地址：开封市民之家6楼西头向北6067房间 </w:t>
      </w:r>
    </w:p>
    <w:p>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联系人：</w:t>
      </w:r>
      <w:r>
        <w:rPr>
          <w:rFonts w:hint="eastAsia" w:ascii="宋体" w:hAnsi="宋体" w:cs="宋体"/>
          <w:kern w:val="0"/>
          <w:sz w:val="24"/>
          <w:highlight w:val="none"/>
          <w:lang w:val="en-US" w:eastAsia="zh-CN"/>
        </w:rPr>
        <w:t>张先生</w:t>
      </w:r>
      <w:r>
        <w:rPr>
          <w:rFonts w:hint="eastAsia" w:ascii="宋体" w:hAnsi="宋体" w:cs="宋体"/>
          <w:kern w:val="0"/>
          <w:sz w:val="24"/>
          <w:highlight w:val="none"/>
        </w:rPr>
        <w:t xml:space="preserve">  </w:t>
      </w:r>
    </w:p>
    <w:p>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联系方式：0371—23856102  23856103</w:t>
      </w:r>
    </w:p>
    <w:p>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3.项目联系方式 </w:t>
      </w:r>
    </w:p>
    <w:p>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项目联系人：</w:t>
      </w:r>
      <w:r>
        <w:rPr>
          <w:rFonts w:hint="eastAsia" w:ascii="宋体" w:hAnsi="宋体" w:cs="宋体"/>
          <w:kern w:val="0"/>
          <w:sz w:val="24"/>
          <w:highlight w:val="none"/>
          <w:lang w:val="en-US" w:eastAsia="zh-CN"/>
        </w:rPr>
        <w:t>张先生</w:t>
      </w:r>
      <w:r>
        <w:rPr>
          <w:rFonts w:hint="eastAsia" w:ascii="宋体" w:hAnsi="宋体" w:cs="宋体"/>
          <w:kern w:val="0"/>
          <w:sz w:val="24"/>
          <w:highlight w:val="none"/>
        </w:rPr>
        <w:t xml:space="preserve">  </w:t>
      </w:r>
    </w:p>
    <w:p>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 xml:space="preserve">联系方式：0371—23856102  23856103  </w:t>
      </w:r>
    </w:p>
    <w:p>
      <w:pPr>
        <w:spacing w:line="312" w:lineRule="auto"/>
        <w:ind w:firstLine="421"/>
        <w:rPr>
          <w:rFonts w:ascii="宋体" w:hAnsi="宋体"/>
          <w:sz w:val="24"/>
          <w:highlight w:val="none"/>
          <w:lang w:val="zh-CN"/>
        </w:rPr>
      </w:pPr>
    </w:p>
    <w:p>
      <w:pPr>
        <w:pStyle w:val="2"/>
        <w:jc w:val="center"/>
        <w:rPr>
          <w:rFonts w:ascii="宋体" w:hAnsi="宋体"/>
          <w:highlight w:val="none"/>
        </w:rPr>
      </w:pPr>
      <w:bookmarkStart w:id="19" w:name="_Toc246996173"/>
      <w:bookmarkStart w:id="20" w:name="_Toc346523463"/>
      <w:bookmarkStart w:id="21" w:name="_Toc338840440"/>
      <w:bookmarkStart w:id="22" w:name="_Toc247085687"/>
      <w:bookmarkStart w:id="23" w:name="_Toc338840479"/>
      <w:bookmarkStart w:id="24" w:name="_Toc152045527"/>
      <w:bookmarkStart w:id="25" w:name="_Toc346523400"/>
      <w:bookmarkStart w:id="26" w:name="_Toc152042303"/>
      <w:bookmarkStart w:id="27" w:name="_Toc494093427"/>
      <w:bookmarkStart w:id="28" w:name="_Toc246996916"/>
      <w:bookmarkStart w:id="29" w:name="_Toc338840185"/>
      <w:bookmarkStart w:id="30" w:name="_Toc28703"/>
      <w:bookmarkStart w:id="31" w:name="_Toc144974495"/>
      <w:bookmarkStart w:id="32" w:name="_Toc494526399"/>
      <w:bookmarkStart w:id="33" w:name="_Toc179632544"/>
      <w:bookmarkStart w:id="34" w:name="_Toc8884"/>
      <w:bookmarkStart w:id="35" w:name="_Toc3179"/>
      <w:r>
        <w:rPr>
          <w:rFonts w:hint="eastAsia" w:ascii="宋体" w:hAnsi="宋体"/>
          <w:highlight w:val="none"/>
        </w:rPr>
        <w:br w:type="page"/>
      </w:r>
      <w:bookmarkStart w:id="36" w:name="_Toc13151"/>
      <w:r>
        <w:rPr>
          <w:rFonts w:hint="eastAsia" w:ascii="宋体" w:hAnsi="宋体"/>
          <w:highlight w:val="none"/>
        </w:rPr>
        <w:t>第二章 供应商须知</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pPr>
        <w:pStyle w:val="3"/>
        <w:jc w:val="center"/>
        <w:rPr>
          <w:rFonts w:ascii="宋体" w:hAnsi="宋体" w:eastAsia="宋体"/>
          <w:highlight w:val="none"/>
        </w:rPr>
      </w:pPr>
      <w:bookmarkStart w:id="37" w:name="_Toc247085688"/>
      <w:bookmarkStart w:id="38" w:name="_Toc346523464"/>
      <w:bookmarkStart w:id="39" w:name="_Toc494526400"/>
      <w:bookmarkStart w:id="40" w:name="_Toc144974496"/>
      <w:bookmarkStart w:id="41" w:name="_Toc23185"/>
      <w:bookmarkStart w:id="42" w:name="_Toc338840441"/>
      <w:bookmarkStart w:id="43" w:name="_Toc494093428"/>
      <w:bookmarkStart w:id="44" w:name="_Toc246996174"/>
      <w:bookmarkStart w:id="45" w:name="_Toc152042304"/>
      <w:bookmarkStart w:id="46" w:name="_Toc11060"/>
      <w:bookmarkStart w:id="47" w:name="_Toc346523401"/>
      <w:bookmarkStart w:id="48" w:name="_Toc338840186"/>
      <w:bookmarkStart w:id="49" w:name="_Toc152045528"/>
      <w:bookmarkStart w:id="50" w:name="_Toc338840480"/>
      <w:bookmarkStart w:id="51" w:name="_Toc246996917"/>
      <w:bookmarkStart w:id="52" w:name="_Toc179632545"/>
      <w:bookmarkStart w:id="53" w:name="_Toc18612"/>
      <w:bookmarkStart w:id="54" w:name="_Toc18827"/>
      <w:r>
        <w:rPr>
          <w:rFonts w:hint="eastAsia" w:ascii="宋体" w:hAnsi="宋体" w:eastAsia="宋体"/>
          <w:highlight w:val="none"/>
        </w:rPr>
        <w:t>供应商须知前附表</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pPr>
        <w:rPr>
          <w:rFonts w:ascii="宋体" w:hAnsi="宋体"/>
          <w:highlight w:val="none"/>
        </w:rPr>
      </w:pPr>
      <w:r>
        <w:rPr>
          <w:rFonts w:hint="eastAsia" w:ascii="宋体" w:hAnsi="宋体"/>
          <w:highlight w:val="none"/>
        </w:rPr>
        <w:t>注：本供应商须知前附表内容与供应商须知正文内容不一致时以本前附表内容为准。</w:t>
      </w:r>
    </w:p>
    <w:tbl>
      <w:tblPr>
        <w:tblStyle w:val="32"/>
        <w:tblW w:w="0" w:type="auto"/>
        <w:tblInd w:w="0" w:type="dxa"/>
        <w:tblLayout w:type="fixed"/>
        <w:tblCellMar>
          <w:top w:w="0" w:type="dxa"/>
          <w:left w:w="108" w:type="dxa"/>
          <w:bottom w:w="0" w:type="dxa"/>
          <w:right w:w="108" w:type="dxa"/>
        </w:tblCellMar>
      </w:tblPr>
      <w:tblGrid>
        <w:gridCol w:w="1008"/>
        <w:gridCol w:w="1980"/>
        <w:gridCol w:w="5534"/>
      </w:tblGrid>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b/>
                <w:szCs w:val="21"/>
                <w:highlight w:val="none"/>
              </w:rPr>
            </w:pPr>
            <w:r>
              <w:rPr>
                <w:rFonts w:hint="eastAsia" w:ascii="宋体" w:hAnsi="宋体" w:eastAsia="宋体" w:cs="宋体"/>
                <w:b/>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b/>
                <w:szCs w:val="21"/>
                <w:highlight w:val="none"/>
              </w:rPr>
            </w:pPr>
            <w:r>
              <w:rPr>
                <w:rFonts w:hint="eastAsia" w:ascii="宋体" w:hAnsi="宋体" w:eastAsia="宋体" w:cs="宋体"/>
                <w:b/>
                <w:szCs w:val="21"/>
                <w:highlight w:val="none"/>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b/>
                <w:szCs w:val="21"/>
                <w:highlight w:val="none"/>
              </w:rPr>
            </w:pPr>
            <w:r>
              <w:rPr>
                <w:rFonts w:hint="eastAsia" w:ascii="宋体" w:hAnsi="宋体" w:eastAsia="宋体" w:cs="宋体"/>
                <w:b/>
                <w:szCs w:val="21"/>
                <w:highlight w:val="none"/>
              </w:rPr>
              <w:t>编  列  内  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采购人</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名称：开封市电化教育馆</w:t>
            </w:r>
          </w:p>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地址：河南省开封市龙亭区县街28号附4号</w:t>
            </w:r>
          </w:p>
          <w:p>
            <w:pPr>
              <w:spacing w:line="440" w:lineRule="atLeast"/>
              <w:rPr>
                <w:rFonts w:hint="eastAsia" w:ascii="宋体" w:hAnsi="宋体" w:eastAsia="宋体" w:cs="宋体"/>
                <w:szCs w:val="21"/>
                <w:highlight w:val="none"/>
                <w:lang w:eastAsia="zh-CN"/>
              </w:rPr>
            </w:pPr>
            <w:r>
              <w:rPr>
                <w:rFonts w:hint="eastAsia" w:ascii="宋体" w:hAnsi="宋体" w:eastAsia="宋体" w:cs="宋体"/>
                <w:szCs w:val="21"/>
                <w:highlight w:val="none"/>
              </w:rPr>
              <w:t>联系人：齐</w:t>
            </w:r>
            <w:r>
              <w:rPr>
                <w:rFonts w:hint="eastAsia" w:ascii="宋体" w:hAnsi="宋体" w:cs="宋体"/>
                <w:szCs w:val="21"/>
                <w:highlight w:val="none"/>
                <w:lang w:val="en-US" w:eastAsia="zh-CN"/>
              </w:rPr>
              <w:t>女士</w:t>
            </w:r>
          </w:p>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电话：0371-25987574　　　</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名称：开封市政府采购中心</w:t>
            </w:r>
          </w:p>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地址：开封市郑开大道与三大街交汇处路北，开封市民之家6楼西头向北6067房间（政府采购）</w:t>
            </w:r>
          </w:p>
          <w:p>
            <w:pPr>
              <w:spacing w:line="440" w:lineRule="atLeas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项目联系人：</w:t>
            </w:r>
            <w:r>
              <w:rPr>
                <w:rFonts w:hint="eastAsia" w:ascii="宋体" w:hAnsi="宋体" w:cs="宋体"/>
                <w:color w:val="auto"/>
                <w:szCs w:val="21"/>
                <w:highlight w:val="none"/>
                <w:lang w:val="en-US" w:eastAsia="zh-CN"/>
              </w:rPr>
              <w:t>张先生</w:t>
            </w:r>
          </w:p>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电话：0371—23856102   23856103</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1.1.4</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开封市电化教育馆开封市教育新型基础设施（智慧教育）建设项目一期项目</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1.1.5</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合同履行地点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highlight w:val="none"/>
              </w:rPr>
              <w:t>采购人指定地点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资金来源及比例</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100%财政资金</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1.2.2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资金落实情况</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已落实</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1.3.1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招标范围</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第五章“招标内容及商务技术要求”范围内的招标标的及数量</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1.3.2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合同签订生效后</w:t>
            </w:r>
            <w:r>
              <w:rPr>
                <w:rFonts w:hint="eastAsia" w:ascii="宋体" w:hAnsi="宋体" w:eastAsia="宋体" w:cs="宋体"/>
                <w:color w:val="auto"/>
                <w:szCs w:val="21"/>
                <w:highlight w:val="none"/>
                <w:u w:val="single"/>
              </w:rPr>
              <w:t xml:space="preserve">  24个月   </w:t>
            </w:r>
            <w:r>
              <w:rPr>
                <w:rFonts w:hint="eastAsia" w:ascii="宋体" w:hAnsi="宋体" w:eastAsia="宋体" w:cs="宋体"/>
                <w:color w:val="auto"/>
                <w:szCs w:val="21"/>
                <w:highlight w:val="none"/>
              </w:rPr>
              <w:t>内完成项目全部工作</w:t>
            </w:r>
            <w:r>
              <w:rPr>
                <w:rFonts w:hint="eastAsia" w:ascii="宋体" w:hAnsi="宋体" w:eastAsia="宋体" w:cs="宋体"/>
                <w:color w:val="auto"/>
                <w:szCs w:val="21"/>
                <w:highlight w:val="none"/>
                <w:u w:val="none"/>
              </w:rPr>
              <w:t>(按照采购人的要求，分步实施、有序推进）</w:t>
            </w:r>
            <w:r>
              <w:rPr>
                <w:rFonts w:hint="eastAsia" w:ascii="宋体" w:hAnsi="宋体" w:eastAsia="宋体" w:cs="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1.3.3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质量符合</w:t>
            </w:r>
            <w:r>
              <w:rPr>
                <w:rFonts w:hint="eastAsia" w:ascii="宋体" w:hAnsi="宋体" w:eastAsia="宋体" w:cs="宋体"/>
                <w:color w:val="auto"/>
                <w:szCs w:val="21"/>
                <w:highlight w:val="none"/>
                <w:u w:val="single"/>
              </w:rPr>
              <w:t>　国家标准　</w:t>
            </w:r>
            <w:r>
              <w:rPr>
                <w:rFonts w:hint="eastAsia" w:ascii="宋体" w:hAnsi="宋体" w:eastAsia="宋体" w:cs="宋体"/>
                <w:color w:val="auto"/>
                <w:szCs w:val="21"/>
                <w:highlight w:val="none"/>
              </w:rPr>
              <w:t>。本项内容要求与第五章“采购内容及商务技术要求”内容不一致时以后者为准。</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1.3.4</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质量保证期</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质量保证期为</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u w:val="single"/>
                <w:lang w:val="en-US" w:eastAsia="zh-CN"/>
              </w:rPr>
              <w:t>36个月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，若国家、行业、制造商或投标承诺的质量保证期限更长，则签订合同时以期限长者为准。（</w:t>
            </w:r>
            <w:r>
              <w:rPr>
                <w:rFonts w:hint="eastAsia" w:ascii="宋体" w:hAnsi="宋体" w:eastAsia="宋体" w:cs="宋体"/>
                <w:color w:val="auto"/>
                <w:szCs w:val="21"/>
                <w:highlight w:val="none"/>
                <w:lang w:val="en-US" w:eastAsia="zh-CN"/>
              </w:rPr>
              <w:t>项目分步实施，以分步验收合格</w:t>
            </w:r>
            <w:r>
              <w:rPr>
                <w:rFonts w:hint="eastAsia" w:ascii="宋体" w:hAnsi="宋体" w:eastAsia="宋体" w:cs="宋体"/>
                <w:color w:val="auto"/>
                <w:szCs w:val="21"/>
                <w:highlight w:val="none"/>
              </w:rPr>
              <w:t>之日开始计算</w:t>
            </w:r>
            <w:r>
              <w:rPr>
                <w:rFonts w:hint="eastAsia" w:ascii="宋体" w:hAnsi="宋体" w:eastAsia="宋体" w:cs="宋体"/>
                <w:color w:val="auto"/>
                <w:szCs w:val="21"/>
                <w:highlight w:val="none"/>
                <w:lang w:val="en-US" w:eastAsia="zh-CN"/>
              </w:rPr>
              <w:t>质量保证期</w:t>
            </w:r>
            <w:r>
              <w:rPr>
                <w:rFonts w:hint="eastAsia" w:ascii="宋体" w:hAnsi="宋体" w:eastAsia="宋体" w:cs="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1.4.1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供应商资格要求</w:t>
            </w:r>
          </w:p>
        </w:tc>
        <w:tc>
          <w:tcPr>
            <w:tcW w:w="55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auto"/>
              <w:rPr>
                <w:rFonts w:ascii="宋体" w:hAnsi="宋体" w:cs="宋体"/>
                <w:kern w:val="0"/>
                <w:sz w:val="21"/>
                <w:szCs w:val="21"/>
                <w:highlight w:val="none"/>
              </w:rPr>
            </w:pPr>
            <w:r>
              <w:rPr>
                <w:rFonts w:hint="eastAsia" w:ascii="宋体" w:hAnsi="宋体" w:cs="宋体"/>
                <w:kern w:val="0"/>
                <w:sz w:val="21"/>
                <w:szCs w:val="21"/>
                <w:highlight w:val="none"/>
              </w:rPr>
              <w:t xml:space="preserve">1、满足《中华人民共和国政府采购法》第二十二条规定； </w:t>
            </w:r>
          </w:p>
          <w:p>
            <w:pPr>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auto"/>
              <w:rPr>
                <w:rFonts w:ascii="宋体" w:hAnsi="宋体" w:cs="宋体"/>
                <w:color w:val="auto"/>
                <w:kern w:val="0"/>
                <w:sz w:val="21"/>
                <w:szCs w:val="21"/>
                <w:highlight w:val="none"/>
              </w:rPr>
            </w:pPr>
            <w:r>
              <w:rPr>
                <w:rFonts w:hint="eastAsia" w:ascii="宋体" w:hAnsi="宋体" w:cs="宋体"/>
                <w:kern w:val="0"/>
                <w:sz w:val="21"/>
                <w:szCs w:val="21"/>
                <w:highlight w:val="none"/>
              </w:rPr>
              <w:t>2、落实</w:t>
            </w:r>
            <w:r>
              <w:rPr>
                <w:rFonts w:hint="eastAsia" w:ascii="宋体" w:hAnsi="宋体" w:cs="宋体"/>
                <w:color w:val="auto"/>
                <w:kern w:val="0"/>
                <w:sz w:val="21"/>
                <w:szCs w:val="21"/>
                <w:highlight w:val="none"/>
              </w:rPr>
              <w:t>政府采购政策满足的资格要求：</w:t>
            </w:r>
          </w:p>
          <w:p>
            <w:pPr>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auto"/>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 xml:space="preserve">详见招标文件 </w:t>
            </w:r>
          </w:p>
          <w:p>
            <w:pPr>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 xml:space="preserve">3、本项目的特定资格要求 </w:t>
            </w:r>
          </w:p>
          <w:p>
            <w:pPr>
              <w:keepNext w:val="0"/>
              <w:keepLines w:val="0"/>
              <w:pageBreakBefore w:val="0"/>
              <w:widowControl/>
              <w:numPr>
                <w:ilvl w:val="0"/>
                <w:numId w:val="4"/>
              </w:numPr>
              <w:kinsoku/>
              <w:wordWrap/>
              <w:overflowPunct/>
              <w:topLinePunct w:val="0"/>
              <w:autoSpaceDE/>
              <w:autoSpaceDN/>
              <w:bidi w:val="0"/>
              <w:adjustRightInd w:val="0"/>
              <w:snapToGrid w:val="0"/>
              <w:spacing w:line="360" w:lineRule="auto"/>
              <w:ind w:left="0" w:firstLine="0"/>
              <w:jc w:val="both"/>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供应商应具备下列条件，并提供相应材料：</w:t>
            </w:r>
          </w:p>
          <w:p>
            <w:pPr>
              <w:keepNext w:val="0"/>
              <w:keepLines w:val="0"/>
              <w:pageBreakBefore w:val="0"/>
              <w:widowControl/>
              <w:numPr>
                <w:ilvl w:val="0"/>
                <w:numId w:val="5"/>
              </w:numPr>
              <w:kinsoku/>
              <w:wordWrap/>
              <w:overflowPunct/>
              <w:topLinePunct w:val="0"/>
              <w:autoSpaceDE/>
              <w:autoSpaceDN/>
              <w:bidi w:val="0"/>
              <w:adjustRightInd w:val="0"/>
              <w:snapToGrid w:val="0"/>
              <w:spacing w:line="360" w:lineRule="auto"/>
              <w:ind w:left="0" w:firstLine="0"/>
              <w:jc w:val="both"/>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营业执照等证明材料，具有独立承担民事责任的能力。（提供原件扫描件或电子证照，经营内容与本项目采购内容及履约能力相适合。不明确者同时提供显示经营范围的《国家企业信用信息公示系统》“营业执照信息”完整截图。）</w:t>
            </w:r>
          </w:p>
          <w:p>
            <w:pPr>
              <w:keepNext w:val="0"/>
              <w:keepLines w:val="0"/>
              <w:pageBreakBefore w:val="0"/>
              <w:widowControl/>
              <w:numPr>
                <w:ilvl w:val="0"/>
                <w:numId w:val="5"/>
              </w:numPr>
              <w:kinsoku/>
              <w:wordWrap/>
              <w:overflowPunct/>
              <w:topLinePunct w:val="0"/>
              <w:autoSpaceDE/>
              <w:autoSpaceDN/>
              <w:bidi w:val="0"/>
              <w:adjustRightInd w:val="0"/>
              <w:snapToGrid w:val="0"/>
              <w:spacing w:line="360" w:lineRule="auto"/>
              <w:ind w:left="0" w:firstLine="0"/>
              <w:jc w:val="both"/>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pPr>
              <w:keepNext w:val="0"/>
              <w:keepLines w:val="0"/>
              <w:pageBreakBefore w:val="0"/>
              <w:widowControl/>
              <w:numPr>
                <w:ilvl w:val="0"/>
                <w:numId w:val="5"/>
              </w:numPr>
              <w:kinsoku/>
              <w:wordWrap/>
              <w:overflowPunct/>
              <w:topLinePunct w:val="0"/>
              <w:autoSpaceDE/>
              <w:autoSpaceDN/>
              <w:bidi w:val="0"/>
              <w:adjustRightInd w:val="0"/>
              <w:snapToGrid w:val="0"/>
              <w:spacing w:line="360" w:lineRule="auto"/>
              <w:ind w:left="0" w:firstLine="0"/>
              <w:jc w:val="both"/>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依法缴纳税收的证明材料。【提供距开标不超过半年（缴款日期、入库日期等）任意一次经营缴税凭据或税务</w:t>
            </w:r>
            <w:r>
              <w:rPr>
                <w:rFonts w:hint="eastAsia" w:ascii="宋体" w:hAnsi="宋体" w:cs="宋体"/>
                <w:color w:val="auto"/>
                <w:kern w:val="0"/>
                <w:sz w:val="21"/>
                <w:szCs w:val="21"/>
                <w:highlight w:val="none"/>
                <w:lang w:val="en-US" w:eastAsia="zh-CN"/>
              </w:rPr>
              <w:t>部门</w:t>
            </w:r>
            <w:r>
              <w:rPr>
                <w:rFonts w:hint="eastAsia" w:ascii="宋体" w:hAnsi="宋体" w:cs="宋体"/>
                <w:color w:val="auto"/>
                <w:kern w:val="0"/>
                <w:sz w:val="21"/>
                <w:szCs w:val="21"/>
                <w:highlight w:val="none"/>
              </w:rPr>
              <w:t>出具的“无欠税证明”原件扫描件。属于免税对象者，自行出具免税声明或提供其他证明材料。】</w:t>
            </w:r>
          </w:p>
          <w:p>
            <w:pPr>
              <w:keepNext w:val="0"/>
              <w:keepLines w:val="0"/>
              <w:pageBreakBefore w:val="0"/>
              <w:widowControl/>
              <w:numPr>
                <w:ilvl w:val="0"/>
                <w:numId w:val="5"/>
              </w:numPr>
              <w:kinsoku/>
              <w:wordWrap/>
              <w:overflowPunct/>
              <w:topLinePunct w:val="0"/>
              <w:autoSpaceDE/>
              <w:autoSpaceDN/>
              <w:bidi w:val="0"/>
              <w:adjustRightInd w:val="0"/>
              <w:snapToGrid w:val="0"/>
              <w:spacing w:line="360" w:lineRule="auto"/>
              <w:ind w:left="0" w:firstLine="0"/>
              <w:jc w:val="both"/>
              <w:textAlignment w:val="auto"/>
              <w:rPr>
                <w:rFonts w:ascii="宋体" w:hAnsi="宋体" w:cs="宋体"/>
                <w:kern w:val="0"/>
                <w:sz w:val="21"/>
                <w:szCs w:val="21"/>
                <w:highlight w:val="none"/>
              </w:rPr>
            </w:pPr>
            <w:r>
              <w:rPr>
                <w:rFonts w:hint="eastAsia" w:ascii="宋体" w:hAnsi="宋体" w:cs="宋体"/>
                <w:color w:val="auto"/>
                <w:kern w:val="0"/>
                <w:sz w:val="21"/>
                <w:szCs w:val="21"/>
                <w:highlight w:val="none"/>
              </w:rPr>
              <w:t>依法缴纳社会保障资金的证明材料。（提供</w:t>
            </w:r>
            <w:r>
              <w:rPr>
                <w:rFonts w:hint="eastAsia" w:ascii="宋体" w:hAnsi="宋体" w:cs="宋体"/>
                <w:kern w:val="0"/>
                <w:sz w:val="21"/>
                <w:szCs w:val="21"/>
                <w:highlight w:val="none"/>
              </w:rPr>
              <w:t>距开标不超过半年任意一次为职工缴纳养老等社会保险的缴纳凭据或清单或社保部门证明。提供原件扫描件或电子凭证。）</w:t>
            </w:r>
          </w:p>
          <w:p>
            <w:pPr>
              <w:keepNext w:val="0"/>
              <w:keepLines w:val="0"/>
              <w:pageBreakBefore w:val="0"/>
              <w:widowControl/>
              <w:numPr>
                <w:ilvl w:val="0"/>
                <w:numId w:val="5"/>
              </w:numPr>
              <w:kinsoku/>
              <w:wordWrap/>
              <w:overflowPunct/>
              <w:topLinePunct w:val="0"/>
              <w:autoSpaceDE/>
              <w:autoSpaceDN/>
              <w:bidi w:val="0"/>
              <w:adjustRightInd w:val="0"/>
              <w:snapToGrid w:val="0"/>
              <w:spacing w:line="360" w:lineRule="auto"/>
              <w:ind w:left="0" w:firstLine="0"/>
              <w:jc w:val="both"/>
              <w:textAlignment w:val="auto"/>
              <w:rPr>
                <w:rFonts w:ascii="宋体" w:hAnsi="宋体" w:cs="宋体"/>
                <w:kern w:val="0"/>
                <w:sz w:val="21"/>
                <w:szCs w:val="21"/>
                <w:highlight w:val="none"/>
              </w:rPr>
            </w:pPr>
            <w:r>
              <w:rPr>
                <w:rFonts w:hint="eastAsia" w:ascii="宋体" w:hAnsi="宋体" w:cs="宋体"/>
                <w:kern w:val="0"/>
                <w:sz w:val="21"/>
                <w:szCs w:val="21"/>
                <w:highlight w:val="none"/>
              </w:rPr>
              <w:t>具备履行合同所必需的设备和专业技术能力的承诺。</w:t>
            </w:r>
          </w:p>
          <w:p>
            <w:pPr>
              <w:keepNext w:val="0"/>
              <w:keepLines w:val="0"/>
              <w:pageBreakBefore w:val="0"/>
              <w:widowControl/>
              <w:numPr>
                <w:ilvl w:val="0"/>
                <w:numId w:val="5"/>
              </w:numPr>
              <w:kinsoku/>
              <w:wordWrap/>
              <w:overflowPunct/>
              <w:topLinePunct w:val="0"/>
              <w:autoSpaceDE/>
              <w:autoSpaceDN/>
              <w:bidi w:val="0"/>
              <w:adjustRightInd w:val="0"/>
              <w:snapToGrid w:val="0"/>
              <w:spacing w:line="360" w:lineRule="auto"/>
              <w:ind w:left="0" w:firstLine="0"/>
              <w:jc w:val="both"/>
              <w:textAlignment w:val="auto"/>
              <w:rPr>
                <w:rFonts w:ascii="宋体" w:hAnsi="宋体" w:cs="宋体"/>
                <w:kern w:val="0"/>
                <w:sz w:val="21"/>
                <w:szCs w:val="21"/>
                <w:highlight w:val="none"/>
              </w:rPr>
            </w:pPr>
            <w:r>
              <w:rPr>
                <w:rFonts w:hint="eastAsia" w:ascii="宋体" w:hAnsi="宋体" w:cs="宋体"/>
                <w:kern w:val="0"/>
                <w:sz w:val="21"/>
                <w:szCs w:val="21"/>
                <w:highlight w:val="none"/>
              </w:rPr>
              <w:t>供应商开标前三年内在经营活动中无重大违法记录的书面声明。</w:t>
            </w:r>
          </w:p>
          <w:p>
            <w:pPr>
              <w:keepNext w:val="0"/>
              <w:keepLines w:val="0"/>
              <w:pageBreakBefore w:val="0"/>
              <w:widowControl/>
              <w:numPr>
                <w:ilvl w:val="0"/>
                <w:numId w:val="4"/>
              </w:numPr>
              <w:kinsoku/>
              <w:wordWrap/>
              <w:overflowPunct/>
              <w:topLinePunct w:val="0"/>
              <w:autoSpaceDE/>
              <w:autoSpaceDN/>
              <w:bidi w:val="0"/>
              <w:adjustRightInd w:val="0"/>
              <w:snapToGrid w:val="0"/>
              <w:spacing w:line="360" w:lineRule="auto"/>
              <w:ind w:left="0" w:firstLine="0"/>
              <w:jc w:val="both"/>
              <w:textAlignment w:val="auto"/>
              <w:rPr>
                <w:rFonts w:hint="eastAsia" w:ascii="宋体" w:hAnsi="宋体" w:eastAsia="宋体" w:cs="宋体"/>
                <w:highlight w:val="none"/>
              </w:rPr>
            </w:pPr>
            <w:r>
              <w:rPr>
                <w:rFonts w:hint="eastAsia" w:ascii="宋体" w:hAnsi="宋体" w:eastAsia="宋体" w:cs="宋体"/>
                <w:highlight w:val="none"/>
              </w:rPr>
              <w:t>具有良好的商业信誉。截至投标文件递交截止时间，供应商在“信用中国”网列入“失信被执行人、重大税收违法失信主体”，或者在“中国政府采购网”上列入“政府采购严重违法失信行为信息记录”的，</w:t>
            </w:r>
            <w:r>
              <w:rPr>
                <w:rFonts w:hint="eastAsia" w:ascii="宋体" w:hAnsi="宋体" w:eastAsia="宋体" w:cs="宋体"/>
                <w:highlight w:val="none"/>
                <w:lang w:val="en-US" w:eastAsia="zh-CN"/>
              </w:rPr>
              <w:t>为无效投标</w:t>
            </w:r>
            <w:r>
              <w:rPr>
                <w:rFonts w:hint="eastAsia" w:ascii="宋体" w:hAnsi="宋体" w:eastAsia="宋体" w:cs="宋体"/>
                <w:highlight w:val="none"/>
              </w:rPr>
              <w:t>。采购人、采购代理机构于开标后查询。【查询渠道：“信用中国”网站（http://www.creditchina.gov.cn）、中国政府采购网（http://www.ccgp.gov.cn）。】</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1.9.1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pPr>
              <w:pStyle w:val="9"/>
              <w:topLinePunct/>
              <w:spacing w:line="44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sym w:font="Wingdings" w:char="F0FE"/>
            </w:r>
            <w:r>
              <w:rPr>
                <w:rFonts w:hint="eastAsia" w:ascii="宋体" w:hAnsi="宋体" w:eastAsia="宋体" w:cs="宋体"/>
                <w:sz w:val="21"/>
                <w:szCs w:val="21"/>
                <w:highlight w:val="none"/>
              </w:rPr>
              <w:t>不组织，各供应商自行踏勘</w:t>
            </w:r>
          </w:p>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□组织，踏勘时间：　　　踏勘集中地点：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1.10.1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pPr>
              <w:pStyle w:val="9"/>
              <w:topLinePunct/>
              <w:spacing w:line="44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sym w:font="Wingdings" w:char="F0FE"/>
            </w:r>
            <w:r>
              <w:rPr>
                <w:rFonts w:hint="eastAsia" w:ascii="宋体" w:hAnsi="宋体" w:eastAsia="宋体" w:cs="宋体"/>
                <w:sz w:val="21"/>
                <w:szCs w:val="21"/>
                <w:highlight w:val="none"/>
              </w:rPr>
              <w:t>不召开</w:t>
            </w:r>
          </w:p>
          <w:p>
            <w:pPr>
              <w:spacing w:line="440" w:lineRule="atLeast"/>
              <w:rPr>
                <w:rFonts w:hint="eastAsia" w:ascii="宋体" w:hAnsi="宋体" w:eastAsia="宋体" w:cs="宋体"/>
                <w:szCs w:val="21"/>
                <w:highlight w:val="none"/>
              </w:rPr>
            </w:pPr>
            <w:r>
              <w:rPr>
                <w:rFonts w:hint="eastAsia" w:ascii="宋体" w:hAnsi="宋体" w:eastAsia="宋体" w:cs="宋体"/>
                <w:sz w:val="32"/>
                <w:szCs w:val="32"/>
                <w:highlight w:val="none"/>
              </w:rPr>
              <w:t>□</w:t>
            </w:r>
            <w:r>
              <w:rPr>
                <w:rFonts w:hint="eastAsia" w:ascii="宋体" w:hAnsi="宋体" w:eastAsia="宋体" w:cs="宋体"/>
                <w:highlight w:val="none"/>
              </w:rPr>
              <w:t>召开，召开时间：　　　　　召开地点：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1.11.1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pPr>
              <w:pStyle w:val="9"/>
              <w:topLinePunct/>
              <w:spacing w:line="44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1、“资格要求”内容。</w:t>
            </w:r>
          </w:p>
          <w:p>
            <w:pPr>
              <w:pStyle w:val="9"/>
              <w:topLinePunct/>
              <w:spacing w:line="44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2、评标办法前附表中“符合性审查”内容。</w:t>
            </w:r>
          </w:p>
          <w:p>
            <w:pPr>
              <w:pStyle w:val="9"/>
              <w:topLinePunct/>
              <w:spacing w:line="44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3、采购文件列明的其他构成无效投标的内容。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2.2.1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供应商要求对招标文件澄清的时间</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获得招标文件之日或招标公告期限届满之日起7个工作日内。</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2.2.2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在《河南省政府采购网》和《开封市公共资源交易信息网》公布。</w:t>
            </w:r>
          </w:p>
        </w:tc>
      </w:tr>
      <w:tr>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2.2.3</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Cs w:val="21"/>
                <w:highlight w:val="none"/>
              </w:rPr>
            </w:pPr>
            <w:r>
              <w:rPr>
                <w:rFonts w:hint="eastAsia" w:ascii="宋体" w:hAnsi="宋体" w:eastAsia="宋体" w:cs="宋体"/>
                <w:szCs w:val="21"/>
                <w:highlight w:val="none"/>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自招标文件澄清或修改在相关网站发布起，即默认为供应商收到。</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3.1.1</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Cs w:val="21"/>
                <w:highlight w:val="none"/>
              </w:rPr>
            </w:pPr>
            <w:r>
              <w:rPr>
                <w:rFonts w:hint="eastAsia" w:ascii="宋体" w:hAnsi="宋体" w:eastAsia="宋体" w:cs="宋体"/>
                <w:szCs w:val="21"/>
                <w:highlight w:val="none"/>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3.2.1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lang w:eastAsia="zh-CN"/>
              </w:rPr>
            </w:pPr>
            <w:r>
              <w:rPr>
                <w:rFonts w:hint="eastAsia" w:ascii="宋体" w:hAnsi="宋体" w:eastAsia="宋体" w:cs="宋体"/>
                <w:szCs w:val="21"/>
                <w:highlight w:val="none"/>
              </w:rPr>
              <w:t>投标人应按第五章“招标内容及商务技术要求”</w:t>
            </w:r>
            <w:r>
              <w:rPr>
                <w:rFonts w:hint="eastAsia" w:ascii="宋体" w:hAnsi="宋体" w:eastAsia="宋体" w:cs="宋体"/>
                <w:szCs w:val="21"/>
                <w:highlight w:val="none"/>
                <w:lang w:val="en-US" w:eastAsia="zh-CN"/>
              </w:rPr>
              <w:t>内容进行报价</w:t>
            </w:r>
            <w:r>
              <w:rPr>
                <w:rFonts w:hint="eastAsia" w:ascii="宋体" w:hAnsi="宋体" w:eastAsia="宋体" w:cs="宋体"/>
                <w:szCs w:val="21"/>
                <w:highlight w:val="none"/>
              </w:rPr>
              <w:t>。</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涉及货物者，</w:t>
            </w:r>
            <w:r>
              <w:rPr>
                <w:rFonts w:hint="eastAsia" w:ascii="宋体" w:hAnsi="宋体" w:eastAsia="宋体" w:cs="宋体"/>
                <w:szCs w:val="21"/>
                <w:highlight w:val="none"/>
              </w:rPr>
              <w:t>所报的价格中包含</w:t>
            </w:r>
            <w:r>
              <w:rPr>
                <w:rFonts w:hint="eastAsia" w:ascii="宋体" w:hAnsi="宋体" w:eastAsia="宋体" w:cs="宋体"/>
                <w:kern w:val="0"/>
                <w:szCs w:val="21"/>
                <w:highlight w:val="none"/>
              </w:rPr>
              <w:t>本招标采购对象及与之相关的</w:t>
            </w:r>
            <w:r>
              <w:rPr>
                <w:rFonts w:hint="eastAsia" w:ascii="宋体" w:hAnsi="宋体" w:eastAsia="宋体" w:cs="宋体"/>
                <w:szCs w:val="21"/>
                <w:highlight w:val="none"/>
              </w:rPr>
              <w:t>设计、制造、包装、运输、装卸、</w:t>
            </w:r>
            <w:r>
              <w:rPr>
                <w:rFonts w:hint="eastAsia" w:ascii="宋体" w:hAnsi="宋体" w:eastAsia="宋体" w:cs="宋体"/>
                <w:kern w:val="0"/>
                <w:szCs w:val="21"/>
                <w:highlight w:val="none"/>
              </w:rPr>
              <w:t>安装、调试、</w:t>
            </w:r>
            <w:r>
              <w:rPr>
                <w:rFonts w:hint="eastAsia" w:ascii="宋体" w:hAnsi="宋体" w:eastAsia="宋体" w:cs="宋体"/>
                <w:szCs w:val="21"/>
                <w:highlight w:val="none"/>
              </w:rPr>
              <w:t>质量检验、各项税费、保险费、意外事故等</w:t>
            </w:r>
            <w:r>
              <w:rPr>
                <w:rFonts w:hint="eastAsia" w:ascii="宋体" w:hAnsi="宋体" w:eastAsia="宋体" w:cs="宋体"/>
                <w:kern w:val="0"/>
                <w:szCs w:val="21"/>
                <w:highlight w:val="none"/>
              </w:rPr>
              <w:t>验收合格前全部</w:t>
            </w:r>
            <w:r>
              <w:rPr>
                <w:rFonts w:hint="eastAsia" w:ascii="宋体" w:hAnsi="宋体" w:eastAsia="宋体" w:cs="宋体"/>
                <w:szCs w:val="21"/>
                <w:highlight w:val="none"/>
              </w:rPr>
              <w:t>费用</w:t>
            </w:r>
            <w:r>
              <w:rPr>
                <w:rFonts w:hint="eastAsia" w:ascii="宋体" w:hAnsi="宋体" w:eastAsia="宋体" w:cs="宋体"/>
                <w:kern w:val="0"/>
                <w:szCs w:val="21"/>
                <w:highlight w:val="none"/>
              </w:rPr>
              <w:t>，以及备品备件、专用工具、技术培训、技术资料、保修期内的各项保修和系统维护、相应的伴随服务和售后服务费用等。</w:t>
            </w:r>
            <w:r>
              <w:rPr>
                <w:rFonts w:hint="eastAsia" w:ascii="宋体" w:hAnsi="宋体" w:eastAsia="宋体" w:cs="宋体"/>
                <w:kern w:val="0"/>
                <w:szCs w:val="21"/>
                <w:highlight w:val="none"/>
                <w:lang w:eastAsia="zh-CN"/>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3.2.3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最高限价</w:t>
            </w:r>
          </w:p>
          <w:p>
            <w:pPr>
              <w:spacing w:line="440" w:lineRule="atLeast"/>
              <w:jc w:val="center"/>
              <w:rPr>
                <w:rFonts w:hint="eastAsia" w:ascii="宋体" w:hAnsi="宋体" w:eastAsia="宋体" w:cs="宋体"/>
                <w:szCs w:val="21"/>
                <w:highlight w:val="none"/>
              </w:rPr>
            </w:pPr>
            <w:r>
              <w:rPr>
                <w:rFonts w:hint="eastAsia" w:ascii="宋体" w:hAnsi="宋体" w:eastAsia="宋体" w:cs="宋体"/>
                <w:sz w:val="32"/>
                <w:szCs w:val="32"/>
                <w:highlight w:val="none"/>
              </w:rPr>
              <w:t>/</w:t>
            </w:r>
            <w:r>
              <w:rPr>
                <w:rFonts w:hint="eastAsia" w:ascii="宋体" w:hAnsi="宋体" w:eastAsia="宋体" w:cs="宋体"/>
                <w:szCs w:val="21"/>
                <w:highlight w:val="none"/>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kern w:val="0"/>
                <w:szCs w:val="21"/>
                <w:highlight w:val="none"/>
              </w:rPr>
            </w:pPr>
            <w:r>
              <w:rPr>
                <w:rFonts w:hint="eastAsia" w:ascii="宋体" w:hAnsi="宋体" w:eastAsia="宋体" w:cs="宋体"/>
                <w:kern w:val="0"/>
                <w:szCs w:val="21"/>
                <w:highlight w:val="none"/>
              </w:rPr>
              <w:t>□不设最高限价。</w:t>
            </w:r>
          </w:p>
          <w:p>
            <w:pPr>
              <w:spacing w:line="440" w:lineRule="atLeast"/>
              <w:rPr>
                <w:rFonts w:hint="eastAsia" w:ascii="宋体" w:hAnsi="宋体" w:eastAsia="宋体" w:cs="宋体"/>
                <w:color w:val="auto"/>
                <w:szCs w:val="21"/>
                <w:highlight w:val="none"/>
              </w:rPr>
            </w:pPr>
            <w:r>
              <w:rPr>
                <w:rFonts w:hint="eastAsia" w:ascii="宋体" w:hAnsi="宋体" w:eastAsia="宋体" w:cs="宋体"/>
                <w:szCs w:val="21"/>
                <w:highlight w:val="none"/>
              </w:rPr>
              <w:sym w:font="Wingdings" w:char="F0FE"/>
            </w:r>
            <w:r>
              <w:rPr>
                <w:rFonts w:hint="eastAsia" w:ascii="宋体" w:hAnsi="宋体" w:eastAsia="宋体" w:cs="宋体"/>
                <w:szCs w:val="21"/>
                <w:highlight w:val="none"/>
              </w:rPr>
              <w:t>设最高限价</w:t>
            </w:r>
            <w:r>
              <w:rPr>
                <w:rFonts w:hint="eastAsia" w:ascii="宋体" w:hAnsi="宋体" w:eastAsia="宋体" w:cs="宋体"/>
                <w:color w:val="auto"/>
                <w:szCs w:val="21"/>
                <w:highlight w:val="none"/>
              </w:rPr>
              <w:t>，最高限价为</w:t>
            </w:r>
            <w:r>
              <w:rPr>
                <w:rFonts w:hint="eastAsia" w:ascii="宋体" w:hAnsi="宋体" w:eastAsia="宋体" w:cs="宋体"/>
                <w:color w:val="auto"/>
                <w:szCs w:val="21"/>
                <w:highlight w:val="none"/>
                <w:u w:val="single"/>
              </w:rPr>
              <w:t>　90089943　</w:t>
            </w:r>
            <w:r>
              <w:rPr>
                <w:rFonts w:hint="eastAsia" w:ascii="宋体" w:hAnsi="宋体" w:eastAsia="宋体" w:cs="宋体"/>
                <w:color w:val="auto"/>
                <w:szCs w:val="21"/>
                <w:highlight w:val="none"/>
              </w:rPr>
              <w:t>元。</w:t>
            </w:r>
          </w:p>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项目预算金额：</w:t>
            </w:r>
            <w:r>
              <w:rPr>
                <w:rFonts w:hint="eastAsia" w:ascii="宋体" w:hAnsi="宋体" w:eastAsia="宋体" w:cs="宋体"/>
                <w:color w:val="auto"/>
                <w:szCs w:val="21"/>
                <w:highlight w:val="none"/>
                <w:u w:val="single"/>
              </w:rPr>
              <w:t>　90089943　</w:t>
            </w:r>
            <w:r>
              <w:rPr>
                <w:rFonts w:hint="eastAsia" w:ascii="宋体" w:hAnsi="宋体" w:eastAsia="宋体" w:cs="宋体"/>
                <w:color w:val="auto"/>
                <w:szCs w:val="21"/>
                <w:highlight w:val="none"/>
              </w:rPr>
              <w:t>元。</w:t>
            </w:r>
          </w:p>
          <w:p>
            <w:pPr>
              <w:spacing w:line="440" w:lineRule="atLeast"/>
              <w:rPr>
                <w:rFonts w:hint="eastAsia" w:ascii="宋体" w:hAnsi="宋体" w:eastAsia="宋体" w:cs="宋体"/>
                <w:szCs w:val="21"/>
                <w:highlight w:val="none"/>
                <w:u w:val="single"/>
              </w:rPr>
            </w:pPr>
            <w:r>
              <w:rPr>
                <w:rFonts w:hint="eastAsia" w:ascii="宋体" w:hAnsi="宋体" w:eastAsia="宋体" w:cs="宋体"/>
                <w:color w:val="auto"/>
                <w:szCs w:val="21"/>
                <w:highlight w:val="none"/>
              </w:rPr>
              <w:t>投标报价高于最高限价的为无效投标</w:t>
            </w:r>
            <w:r>
              <w:rPr>
                <w:rFonts w:hint="eastAsia" w:ascii="宋体" w:hAnsi="宋体" w:eastAsia="宋体" w:cs="宋体"/>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3.2.4</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全部报价均应以人民币为计量货币，并以人民币进行结算。</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3.3.1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自投标截止日起</w:t>
            </w:r>
            <w:r>
              <w:rPr>
                <w:rFonts w:hint="eastAsia" w:ascii="宋体" w:hAnsi="宋体" w:eastAsia="宋体" w:cs="宋体"/>
                <w:szCs w:val="21"/>
                <w:highlight w:val="none"/>
                <w:u w:val="single"/>
              </w:rPr>
              <w:t>　60　</w:t>
            </w:r>
            <w:r>
              <w:rPr>
                <w:rFonts w:hint="eastAsia" w:ascii="宋体" w:hAnsi="宋体" w:eastAsia="宋体" w:cs="宋体"/>
                <w:szCs w:val="21"/>
                <w:highlight w:val="none"/>
              </w:rPr>
              <w:t>日历天（供应商承诺的投标有效期不得少于该时间要求）。</w:t>
            </w:r>
          </w:p>
        </w:tc>
      </w:tr>
      <w:tr>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3.4.1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免收。</w:t>
            </w:r>
          </w:p>
        </w:tc>
      </w:tr>
      <w:tr>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3.6.3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签字、盖章要求</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投标文件中投标函、法定代表人资格证明（或授权委托书）按投标文件格式要求签字、盖章。</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4.1.1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按照网上系统要求进行加密、解密。</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4.2.1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在投标截止时间前，通过原下载招标文件的电子交易系统上传、提交投标文件。</w:t>
            </w:r>
          </w:p>
        </w:tc>
      </w:tr>
      <w:tr>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5.1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投标截止及开标时间：</w:t>
            </w:r>
            <w:r>
              <w:rPr>
                <w:rFonts w:hint="eastAsia" w:ascii="宋体" w:hAnsi="宋体" w:eastAsia="宋体" w:cs="宋体"/>
                <w:color w:val="auto"/>
                <w:szCs w:val="21"/>
                <w:highlight w:val="none"/>
                <w:lang w:eastAsia="zh-CN"/>
              </w:rPr>
              <w:t>2024</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val="en-US" w:eastAsia="zh-CN"/>
              </w:rPr>
              <w:t>25</w:t>
            </w:r>
            <w:r>
              <w:rPr>
                <w:rFonts w:hint="eastAsia" w:ascii="宋体" w:hAnsi="宋体" w:eastAsia="宋体" w:cs="宋体"/>
                <w:color w:val="auto"/>
                <w:szCs w:val="21"/>
                <w:highlight w:val="none"/>
              </w:rPr>
              <w:t>日09时</w:t>
            </w:r>
            <w:r>
              <w:rPr>
                <w:rFonts w:hint="eastAsia" w:ascii="宋体" w:hAnsi="宋体" w:eastAsia="宋体" w:cs="宋体"/>
                <w:color w:val="auto"/>
                <w:szCs w:val="21"/>
                <w:highlight w:val="none"/>
                <w:lang w:val="en-US" w:eastAsia="zh-CN"/>
              </w:rPr>
              <w:t>20</w:t>
            </w:r>
            <w:r>
              <w:rPr>
                <w:rFonts w:hint="eastAsia" w:ascii="宋体" w:hAnsi="宋体" w:eastAsia="宋体" w:cs="宋体"/>
                <w:color w:val="auto"/>
                <w:szCs w:val="21"/>
                <w:highlight w:val="none"/>
              </w:rPr>
              <w:t>分</w:t>
            </w:r>
          </w:p>
          <w:p>
            <w:pPr>
              <w:spacing w:line="44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开标地点：《开封市公共资源交易信息网》（http://www.kfsggzyjyw.cn）</w:t>
            </w:r>
          </w:p>
        </w:tc>
      </w:tr>
      <w:tr>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5.2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网上开标。</w:t>
            </w:r>
          </w:p>
          <w:p>
            <w:pPr>
              <w:spacing w:line="440" w:lineRule="atLeas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1、网上解密投标文件。</w:t>
            </w:r>
          </w:p>
          <w:p>
            <w:pPr>
              <w:spacing w:line="440" w:lineRule="atLeas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网上解密投标文件。供应商应提前使用CA密钥进入电子交易系统，开标时间到，尽快对其电子投标文件完成解密（系统默认解密时长为40分钟），不能成功解密者，自行承担其投标文件不能开标的责任。</w:t>
            </w:r>
          </w:p>
          <w:p>
            <w:pPr>
              <w:spacing w:line="440" w:lineRule="atLeas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2、部分供应商投标文件未解密或解密失败的，程序可以继续进行。若解密成功的投标不足 3 家，该项目标段废标。</w:t>
            </w:r>
          </w:p>
          <w:p>
            <w:pPr>
              <w:spacing w:line="440" w:lineRule="atLeas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3、开标结束。</w:t>
            </w:r>
          </w:p>
        </w:tc>
      </w:tr>
      <w:tr>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6.1.1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评标委员会构成：由采购人代表和评审专家共</w:t>
            </w:r>
            <w:r>
              <w:rPr>
                <w:rFonts w:hint="eastAsia" w:ascii="宋体" w:hAnsi="宋体" w:cs="宋体"/>
                <w:color w:val="auto"/>
                <w:szCs w:val="21"/>
                <w:highlight w:val="none"/>
                <w:u w:val="single"/>
                <w:lang w:val="en-US" w:eastAsia="zh-CN"/>
              </w:rPr>
              <w:t>7</w:t>
            </w:r>
            <w:r>
              <w:rPr>
                <w:rFonts w:hint="eastAsia" w:ascii="宋体" w:hAnsi="宋体" w:eastAsia="宋体" w:cs="宋体"/>
                <w:color w:val="auto"/>
                <w:szCs w:val="21"/>
                <w:highlight w:val="none"/>
              </w:rPr>
              <w:t>人组成，其中评审专家不少于成员总数的三分之二。</w:t>
            </w:r>
          </w:p>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评标专家确定方式：从招投标主管部门专家库中随机抽取。</w:t>
            </w:r>
          </w:p>
        </w:tc>
      </w:tr>
      <w:tr>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7.1</w:t>
            </w:r>
          </w:p>
        </w:tc>
        <w:tc>
          <w:tcPr>
            <w:tcW w:w="1980" w:type="dxa"/>
            <w:tcBorders>
              <w:top w:val="single" w:color="auto" w:sz="4" w:space="0"/>
              <w:left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是否授权评标委员会确定中标人</w:t>
            </w:r>
          </w:p>
        </w:tc>
        <w:tc>
          <w:tcPr>
            <w:tcW w:w="5534" w:type="dxa"/>
            <w:tcBorders>
              <w:top w:val="single" w:color="auto" w:sz="4" w:space="0"/>
              <w:left w:val="single" w:color="auto" w:sz="4" w:space="0"/>
              <w:right w:val="single" w:color="auto" w:sz="4" w:space="0"/>
            </w:tcBorders>
            <w:vAlign w:val="center"/>
          </w:tcPr>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w:t>
            </w:r>
          </w:p>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F0FE"/>
            </w:r>
            <w:r>
              <w:rPr>
                <w:rFonts w:hint="eastAsia" w:ascii="宋体" w:hAnsi="宋体" w:eastAsia="宋体" w:cs="宋体"/>
                <w:color w:val="auto"/>
                <w:szCs w:val="21"/>
                <w:highlight w:val="none"/>
              </w:rPr>
              <w:t>否，推荐的中标候选人数：</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人。</w:t>
            </w:r>
          </w:p>
        </w:tc>
      </w:tr>
      <w:tr>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7.2</w:t>
            </w:r>
          </w:p>
        </w:tc>
        <w:tc>
          <w:tcPr>
            <w:tcW w:w="1980" w:type="dxa"/>
            <w:tcBorders>
              <w:top w:val="single" w:color="auto" w:sz="4" w:space="0"/>
              <w:left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中标人公布媒介</w:t>
            </w:r>
          </w:p>
        </w:tc>
        <w:tc>
          <w:tcPr>
            <w:tcW w:w="5534" w:type="dxa"/>
            <w:tcBorders>
              <w:top w:val="single" w:color="auto" w:sz="4" w:space="0"/>
              <w:left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《河南省政府采购网》《开封市公共资源交易信息网》</w:t>
            </w:r>
          </w:p>
        </w:tc>
      </w:tr>
      <w:tr>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7.3</w:t>
            </w:r>
          </w:p>
        </w:tc>
        <w:tc>
          <w:tcPr>
            <w:tcW w:w="1980" w:type="dxa"/>
            <w:tcBorders>
              <w:top w:val="single" w:color="auto" w:sz="4" w:space="0"/>
              <w:left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color w:val="000000"/>
                <w:szCs w:val="21"/>
                <w:highlight w:val="none"/>
              </w:rPr>
              <w:t>中标通知书</w:t>
            </w:r>
          </w:p>
        </w:tc>
        <w:tc>
          <w:tcPr>
            <w:tcW w:w="5534" w:type="dxa"/>
            <w:tcBorders>
              <w:top w:val="single" w:color="auto" w:sz="4" w:space="0"/>
              <w:left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color w:val="000000"/>
                <w:szCs w:val="21"/>
                <w:highlight w:val="none"/>
              </w:rPr>
              <w:t>中标人确定后，开封市政府采购中心协同采购人和开封市公共资源交易中心向中标人发出《中标通知书》。</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7.4.1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7.5.1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中标人按《中标通知书》约定时间（无约定时，应在中标通知书发出时间30日内），根据招标文件和中标人的投标文件与采购人签订合同。</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8.5</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询问和质疑</w:t>
            </w:r>
          </w:p>
          <w:p>
            <w:pPr>
              <w:spacing w:line="440" w:lineRule="atLeast"/>
              <w:jc w:val="center"/>
              <w:rPr>
                <w:rFonts w:hint="eastAsia" w:ascii="宋体" w:hAnsi="宋体" w:eastAsia="宋体" w:cs="宋体"/>
                <w:szCs w:val="21"/>
                <w:highlight w:val="none"/>
              </w:rPr>
            </w:pPr>
          </w:p>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　　1、询问。供应商有疑问的，可先按政府采购法第五十一条向采购人、代理机构提出询问，通过面对面、电话形式沟通，属于理解偏差等小问题可当即解决，如仍有异议可提出质疑。（联系人和电话见本表第1.1.2和1.1.3.）</w:t>
            </w:r>
          </w:p>
          <w:p>
            <w:pPr>
              <w:spacing w:line="440" w:lineRule="atLeast"/>
              <w:ind w:firstLine="426"/>
              <w:rPr>
                <w:rFonts w:hint="eastAsia" w:ascii="宋体" w:hAnsi="宋体" w:eastAsia="宋体" w:cs="宋体"/>
                <w:szCs w:val="21"/>
                <w:highlight w:val="none"/>
              </w:rPr>
            </w:pPr>
            <w:r>
              <w:rPr>
                <w:rFonts w:hint="eastAsia" w:ascii="宋体" w:hAnsi="宋体" w:eastAsia="宋体" w:cs="宋体"/>
                <w:szCs w:val="21"/>
                <w:highlight w:val="none"/>
              </w:rPr>
              <w:t>2、质疑（格式参照财政部2018年发布的《质疑函范本》）。对招标文件的质疑，应当在收到招标文件之日或招标公告期满之日起7个工作日内提出</w:t>
            </w:r>
            <w:r>
              <w:rPr>
                <w:rFonts w:hint="eastAsia" w:ascii="宋体" w:hAnsi="宋体" w:cs="宋体"/>
                <w:szCs w:val="21"/>
                <w:highlight w:val="none"/>
                <w:lang w:eastAsia="zh-CN"/>
              </w:rPr>
              <w:t>（</w:t>
            </w:r>
            <w:r>
              <w:rPr>
                <w:rFonts w:hint="eastAsia" w:ascii="宋体" w:hAnsi="宋体" w:eastAsia="宋体" w:cs="宋体"/>
                <w:color w:val="000000"/>
                <w:kern w:val="0"/>
                <w:szCs w:val="21"/>
                <w:highlight w:val="none"/>
              </w:rPr>
              <w:t>在招标公告期限届满之后下载招标文件的，对招标文件的质疑期限从公告期限届满之日起计算；在公告期限届满之前下载招标文件的，对招标文件的质疑期限从下载之日起计算</w:t>
            </w:r>
            <w:r>
              <w:rPr>
                <w:rFonts w:hint="eastAsia" w:ascii="宋体" w:hAnsi="宋体" w:cs="宋体"/>
                <w:szCs w:val="21"/>
                <w:highlight w:val="none"/>
                <w:lang w:eastAsia="zh-CN"/>
              </w:rPr>
              <w:t>）</w:t>
            </w:r>
            <w:r>
              <w:rPr>
                <w:rFonts w:hint="eastAsia" w:ascii="宋体" w:hAnsi="宋体" w:eastAsia="宋体" w:cs="宋体"/>
                <w:szCs w:val="21"/>
                <w:highlight w:val="none"/>
              </w:rPr>
              <w:t>；对招标、评标过程的质疑，应在知道或者应知其权益受到损害之日起7个工作日内提出； 对成交或成交结果有质疑的，应在成交或成交公告期满之日起7个工作日内提出。通过《开封市公共资源交易信息网》凭CA密钥登录，线上提起，并同时打电话提醒采购人和采购代理机构注意及时查收。</w:t>
            </w:r>
          </w:p>
          <w:p>
            <w:pPr>
              <w:spacing w:line="440" w:lineRule="atLeast"/>
              <w:ind w:firstLine="426"/>
              <w:rPr>
                <w:rFonts w:hint="eastAsia" w:ascii="宋体" w:hAnsi="宋体" w:eastAsia="宋体" w:cs="宋体"/>
                <w:szCs w:val="21"/>
                <w:highlight w:val="none"/>
              </w:rPr>
            </w:pPr>
            <w:r>
              <w:rPr>
                <w:rFonts w:hint="eastAsia" w:ascii="宋体" w:hAnsi="宋体" w:eastAsia="宋体" w:cs="宋体"/>
                <w:szCs w:val="21"/>
                <w:highlight w:val="none"/>
              </w:rPr>
              <w:t>供应商应在法定质疑期内一次性提出针对同一采购程序环节的质疑。</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b/>
                <w:szCs w:val="21"/>
                <w:highlight w:val="none"/>
              </w:rPr>
            </w:pPr>
            <w:r>
              <w:rPr>
                <w:rFonts w:hint="eastAsia" w:ascii="宋体" w:hAnsi="宋体" w:eastAsia="宋体" w:cs="宋体"/>
                <w:b/>
                <w:szCs w:val="21"/>
                <w:highlight w:val="none"/>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b/>
                <w:szCs w:val="21"/>
                <w:highlight w:val="none"/>
              </w:rPr>
            </w:pPr>
            <w:r>
              <w:rPr>
                <w:rFonts w:hint="eastAsia" w:ascii="宋体" w:hAnsi="宋体" w:eastAsia="宋体" w:cs="宋体"/>
                <w:b/>
                <w:szCs w:val="21"/>
                <w:highlight w:val="none"/>
              </w:rPr>
              <w:t>需要补充的其他内容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10.1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分六年期付款</w:t>
            </w:r>
          </w:p>
          <w:p>
            <w:pP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能按照合同履行期限及进度计划实施项目，保证项目质量，顺利通过项目验收。自合同履行之日起，分六年期付款</w:t>
            </w:r>
            <w:r>
              <w:rPr>
                <w:rFonts w:hint="eastAsia" w:ascii="宋体" w:hAnsi="宋体" w:cs="宋体"/>
                <w:color w:val="auto"/>
                <w:szCs w:val="21"/>
                <w:highlight w:val="none"/>
                <w:lang w:val="en-US" w:eastAsia="zh-CN"/>
              </w:rPr>
              <w:t>，第一</w:t>
            </w:r>
            <w:r>
              <w:rPr>
                <w:rFonts w:hint="eastAsia" w:ascii="宋体" w:hAnsi="宋体" w:cs="宋体"/>
                <w:color w:val="auto"/>
                <w:szCs w:val="21"/>
                <w:highlight w:val="none"/>
                <w:u w:val="none"/>
                <w:lang w:val="en-US" w:eastAsia="zh-CN"/>
              </w:rPr>
              <w:t>期</w:t>
            </w:r>
            <w:r>
              <w:rPr>
                <w:rFonts w:hint="eastAsia" w:ascii="宋体" w:hAnsi="宋体" w:cs="宋体"/>
                <w:color w:val="auto"/>
                <w:szCs w:val="21"/>
                <w:highlight w:val="none"/>
                <w:lang w:val="en-US" w:eastAsia="zh-CN"/>
              </w:rPr>
              <w:t>付合同金额的</w:t>
            </w:r>
            <w:r>
              <w:rPr>
                <w:rFonts w:hint="eastAsia" w:ascii="宋体" w:hAnsi="宋体" w:cs="宋体"/>
                <w:color w:val="auto"/>
                <w:szCs w:val="21"/>
                <w:highlight w:val="none"/>
                <w:u w:val="single"/>
                <w:lang w:val="en-US" w:eastAsia="zh-CN"/>
              </w:rPr>
              <w:t>15%</w:t>
            </w:r>
            <w:r>
              <w:rPr>
                <w:rFonts w:hint="eastAsia" w:ascii="宋体" w:hAnsi="宋体" w:cs="宋体"/>
                <w:color w:val="auto"/>
                <w:szCs w:val="21"/>
                <w:highlight w:val="none"/>
                <w:u w:val="none"/>
                <w:lang w:val="en-US" w:eastAsia="zh-CN"/>
              </w:rPr>
              <w:t>、第二期付合同金额的</w:t>
            </w:r>
            <w:r>
              <w:rPr>
                <w:rFonts w:hint="eastAsia" w:ascii="宋体" w:hAnsi="宋体" w:cs="宋体"/>
                <w:color w:val="auto"/>
                <w:szCs w:val="21"/>
                <w:highlight w:val="none"/>
                <w:u w:val="single"/>
                <w:lang w:val="en-US" w:eastAsia="zh-CN"/>
              </w:rPr>
              <w:t>25%</w:t>
            </w:r>
            <w:r>
              <w:rPr>
                <w:rFonts w:hint="eastAsia" w:ascii="宋体" w:hAnsi="宋体" w:cs="宋体"/>
                <w:color w:val="auto"/>
                <w:szCs w:val="21"/>
                <w:highlight w:val="none"/>
                <w:u w:val="none"/>
                <w:lang w:val="en-US" w:eastAsia="zh-CN"/>
              </w:rPr>
              <w:t>、第三期</w:t>
            </w:r>
            <w:r>
              <w:rPr>
                <w:rFonts w:hint="eastAsia" w:ascii="宋体" w:hAnsi="宋体" w:cs="宋体"/>
                <w:color w:val="auto"/>
                <w:szCs w:val="21"/>
                <w:highlight w:val="none"/>
                <w:lang w:val="en-US" w:eastAsia="zh-CN"/>
              </w:rPr>
              <w:t>付合同金额的</w:t>
            </w:r>
            <w:r>
              <w:rPr>
                <w:rFonts w:hint="eastAsia" w:ascii="宋体" w:hAnsi="宋体" w:cs="宋体"/>
                <w:color w:val="auto"/>
                <w:szCs w:val="21"/>
                <w:highlight w:val="none"/>
                <w:u w:val="single"/>
                <w:lang w:val="en-US" w:eastAsia="zh-CN"/>
              </w:rPr>
              <w:t>15%</w:t>
            </w:r>
            <w:r>
              <w:rPr>
                <w:rFonts w:hint="eastAsia" w:ascii="宋体" w:hAnsi="宋体" w:cs="宋体"/>
                <w:color w:val="auto"/>
                <w:szCs w:val="21"/>
                <w:highlight w:val="none"/>
                <w:u w:val="none"/>
                <w:lang w:val="en-US" w:eastAsia="zh-CN"/>
              </w:rPr>
              <w:t>、第四期</w:t>
            </w:r>
            <w:r>
              <w:rPr>
                <w:rFonts w:hint="eastAsia" w:ascii="宋体" w:hAnsi="宋体" w:cs="宋体"/>
                <w:color w:val="auto"/>
                <w:szCs w:val="21"/>
                <w:highlight w:val="none"/>
                <w:lang w:val="en-US" w:eastAsia="zh-CN"/>
              </w:rPr>
              <w:t>付合同金额的</w:t>
            </w:r>
            <w:r>
              <w:rPr>
                <w:rFonts w:hint="eastAsia" w:ascii="宋体" w:hAnsi="宋体" w:cs="宋体"/>
                <w:color w:val="auto"/>
                <w:szCs w:val="21"/>
                <w:highlight w:val="none"/>
                <w:u w:val="single"/>
                <w:lang w:val="en-US" w:eastAsia="zh-CN"/>
              </w:rPr>
              <w:t>15%</w:t>
            </w:r>
            <w:r>
              <w:rPr>
                <w:rFonts w:hint="eastAsia" w:ascii="宋体" w:hAnsi="宋体" w:cs="宋体"/>
                <w:color w:val="auto"/>
                <w:szCs w:val="21"/>
                <w:highlight w:val="none"/>
                <w:u w:val="none"/>
                <w:lang w:val="en-US" w:eastAsia="zh-CN"/>
              </w:rPr>
              <w:t>、第五期</w:t>
            </w:r>
            <w:r>
              <w:rPr>
                <w:rFonts w:hint="eastAsia" w:ascii="宋体" w:hAnsi="宋体" w:cs="宋体"/>
                <w:color w:val="auto"/>
                <w:szCs w:val="21"/>
                <w:highlight w:val="none"/>
                <w:lang w:val="en-US" w:eastAsia="zh-CN"/>
              </w:rPr>
              <w:t>付合同金额的</w:t>
            </w:r>
            <w:r>
              <w:rPr>
                <w:rFonts w:hint="eastAsia" w:ascii="宋体" w:hAnsi="宋体" w:cs="宋体"/>
                <w:color w:val="auto"/>
                <w:szCs w:val="21"/>
                <w:highlight w:val="none"/>
                <w:u w:val="single"/>
                <w:lang w:val="en-US" w:eastAsia="zh-CN"/>
              </w:rPr>
              <w:t>20%</w:t>
            </w:r>
            <w:r>
              <w:rPr>
                <w:rFonts w:hint="eastAsia" w:ascii="宋体" w:hAnsi="宋体" w:cs="宋体"/>
                <w:color w:val="auto"/>
                <w:szCs w:val="21"/>
                <w:highlight w:val="none"/>
                <w:u w:val="none"/>
                <w:lang w:val="en-US" w:eastAsia="zh-CN"/>
              </w:rPr>
              <w:t>、第六期</w:t>
            </w:r>
            <w:r>
              <w:rPr>
                <w:rFonts w:hint="eastAsia" w:ascii="宋体" w:hAnsi="宋体" w:cs="宋体"/>
                <w:color w:val="auto"/>
                <w:szCs w:val="21"/>
                <w:highlight w:val="none"/>
                <w:lang w:val="en-US" w:eastAsia="zh-CN"/>
              </w:rPr>
              <w:t>付合同金额的</w:t>
            </w:r>
            <w:r>
              <w:rPr>
                <w:rFonts w:hint="eastAsia" w:ascii="宋体" w:hAnsi="宋体" w:cs="宋体"/>
                <w:color w:val="auto"/>
                <w:szCs w:val="21"/>
                <w:highlight w:val="none"/>
                <w:u w:val="single"/>
                <w:lang w:val="en-US" w:eastAsia="zh-CN"/>
              </w:rPr>
              <w:t>10%</w:t>
            </w:r>
            <w:r>
              <w:rPr>
                <w:rFonts w:hint="eastAsia" w:ascii="宋体" w:hAnsi="宋体" w:eastAsia="宋体" w:cs="宋体"/>
                <w:color w:val="auto"/>
                <w:szCs w:val="21"/>
                <w:highlight w:val="none"/>
                <w:lang w:val="en-US" w:eastAsia="zh-CN"/>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10.2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szCs w:val="21"/>
                <w:highlight w:val="none"/>
              </w:rPr>
            </w:pPr>
            <w:r>
              <w:rPr>
                <w:rFonts w:hint="eastAsia" w:ascii="宋体" w:hAnsi="宋体" w:eastAsia="宋体" w:cs="宋体"/>
                <w:szCs w:val="21"/>
                <w:highlight w:val="none"/>
              </w:rPr>
              <w:t>免收。</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10.3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jc w:val="left"/>
              <w:rPr>
                <w:rFonts w:hint="eastAsia" w:ascii="宋体" w:hAnsi="宋体" w:eastAsia="宋体" w:cs="宋体"/>
                <w:szCs w:val="21"/>
                <w:highlight w:val="none"/>
              </w:rPr>
            </w:pPr>
            <w:r>
              <w:rPr>
                <w:rFonts w:hint="eastAsia" w:ascii="宋体" w:hAnsi="宋体" w:eastAsia="宋体" w:cs="宋体"/>
                <w:szCs w:val="21"/>
                <w:highlight w:val="none"/>
              </w:rPr>
              <w:t>免收。</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10.4</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解释权</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10.5</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开封市政府采购中心免费提供政府采购相关业务咨询。</w:t>
            </w:r>
          </w:p>
          <w:p>
            <w:pPr>
              <w:spacing w:line="44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电话：0371—23856102  23856103</w:t>
            </w:r>
          </w:p>
          <w:p>
            <w:pPr>
              <w:spacing w:line="44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地址：开封市郑开大道与三大街交汇处路北，开封市民之家6楼西头向北6067房间（政府采购）</w:t>
            </w:r>
          </w:p>
        </w:tc>
      </w:tr>
      <w:tr>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电子招标投标</w:t>
            </w:r>
          </w:p>
        </w:tc>
      </w:tr>
      <w:tr>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firstLineChars="200"/>
              <w:rPr>
                <w:rFonts w:hint="eastAsia" w:ascii="宋体" w:hAnsi="宋体" w:eastAsia="宋体" w:cs="宋体"/>
                <w:szCs w:val="21"/>
                <w:highlight w:val="none"/>
              </w:rPr>
            </w:pPr>
            <w:r>
              <w:rPr>
                <w:rFonts w:hint="eastAsia" w:ascii="宋体" w:hAnsi="宋体" w:eastAsia="宋体" w:cs="宋体"/>
                <w:color w:val="000000"/>
                <w:szCs w:val="21"/>
                <w:highlight w:val="none"/>
              </w:rPr>
              <w:t>本项目采用电子招标投标</w:t>
            </w:r>
          </w:p>
        </w:tc>
      </w:tr>
      <w:tr>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firstLineChars="200"/>
              <w:rPr>
                <w:rFonts w:hint="eastAsia" w:ascii="宋体" w:hAnsi="宋体" w:eastAsia="宋体" w:cs="宋体"/>
                <w:color w:val="000000"/>
                <w:highlight w:val="none"/>
              </w:rPr>
            </w:pPr>
            <w:r>
              <w:rPr>
                <w:rFonts w:hint="eastAsia" w:ascii="宋体" w:hAnsi="宋体" w:eastAsia="宋体" w:cs="宋体"/>
                <w:szCs w:val="21"/>
                <w:highlight w:val="none"/>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原件扫描件</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本项目所要求提供的原件扫描件均应为能准确反映原件色彩原貌的彩色扫描件。</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hint="eastAsia" w:ascii="宋体" w:hAnsi="宋体" w:eastAsia="宋体" w:cs="宋体"/>
                <w:szCs w:val="21"/>
                <w:highlight w:val="none"/>
              </w:rPr>
            </w:pPr>
            <w:r>
              <w:rPr>
                <w:rFonts w:hint="eastAsia" w:ascii="宋体" w:hAnsi="宋体" w:eastAsia="宋体" w:cs="宋体"/>
                <w:szCs w:val="21"/>
                <w:highlight w:val="none"/>
              </w:rPr>
              <w:t>…</w:t>
            </w:r>
          </w:p>
        </w:tc>
      </w:tr>
    </w:tbl>
    <w:p>
      <w:pPr>
        <w:pStyle w:val="3"/>
        <w:rPr>
          <w:rFonts w:ascii="宋体" w:hAnsi="宋体" w:eastAsia="宋体"/>
          <w:highlight w:val="none"/>
        </w:rPr>
      </w:pPr>
      <w:bookmarkStart w:id="55" w:name="_Toc247085689"/>
      <w:bookmarkStart w:id="56" w:name="_Toc246996918"/>
      <w:bookmarkStart w:id="57" w:name="_Toc152042305"/>
      <w:bookmarkStart w:id="58" w:name="_Toc338840481"/>
      <w:bookmarkStart w:id="59" w:name="_Toc246996175"/>
      <w:bookmarkStart w:id="60" w:name="_Toc338840442"/>
      <w:bookmarkStart w:id="61" w:name="_Toc494093429"/>
      <w:bookmarkStart w:id="62" w:name="_Toc144974497"/>
      <w:bookmarkStart w:id="63" w:name="_Toc346523465"/>
      <w:bookmarkStart w:id="64" w:name="_Toc338840187"/>
      <w:bookmarkStart w:id="65" w:name="_Toc179632546"/>
      <w:bookmarkStart w:id="66" w:name="_Toc346523402"/>
      <w:bookmarkStart w:id="67" w:name="_Toc152045529"/>
      <w:bookmarkStart w:id="68" w:name="_Toc494526401"/>
      <w:r>
        <w:rPr>
          <w:rFonts w:hint="eastAsia" w:ascii="宋体" w:hAnsi="宋体" w:eastAsia="宋体"/>
          <w:highlight w:val="none"/>
        </w:rPr>
        <w:br w:type="page"/>
      </w:r>
      <w:bookmarkStart w:id="69" w:name="_Toc25787"/>
      <w:bookmarkStart w:id="70" w:name="_Toc29445"/>
      <w:bookmarkStart w:id="71" w:name="_Toc28332"/>
      <w:bookmarkStart w:id="72" w:name="_Toc18686"/>
      <w:r>
        <w:rPr>
          <w:rFonts w:hint="eastAsia" w:ascii="宋体" w:hAnsi="宋体" w:eastAsia="宋体"/>
          <w:highlight w:val="none"/>
        </w:rPr>
        <w:t>1. 总则</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pPr>
        <w:pStyle w:val="4"/>
        <w:rPr>
          <w:rFonts w:ascii="宋体" w:hAnsi="宋体"/>
          <w:highlight w:val="none"/>
        </w:rPr>
      </w:pPr>
      <w:bookmarkStart w:id="73" w:name="_Toc144974498"/>
      <w:bookmarkStart w:id="74" w:name="_Toc338840188"/>
      <w:bookmarkStart w:id="75" w:name="_Toc152042306"/>
      <w:bookmarkStart w:id="76" w:name="_Toc246996176"/>
      <w:bookmarkStart w:id="77" w:name="_Toc152045530"/>
      <w:bookmarkStart w:id="78" w:name="_Toc246996919"/>
      <w:bookmarkStart w:id="79" w:name="_Toc179632547"/>
      <w:bookmarkStart w:id="80" w:name="_Toc247085690"/>
      <w:r>
        <w:rPr>
          <w:rFonts w:hint="eastAsia" w:ascii="宋体" w:hAnsi="宋体"/>
          <w:highlight w:val="none"/>
        </w:rPr>
        <w:t>1.1 项目概况</w:t>
      </w:r>
      <w:bookmarkEnd w:id="73"/>
      <w:bookmarkEnd w:id="74"/>
      <w:bookmarkEnd w:id="75"/>
      <w:bookmarkEnd w:id="76"/>
      <w:bookmarkEnd w:id="77"/>
      <w:bookmarkEnd w:id="78"/>
      <w:bookmarkEnd w:id="79"/>
      <w:bookmarkEnd w:id="80"/>
    </w:p>
    <w:p>
      <w:pPr>
        <w:spacing w:line="400" w:lineRule="exact"/>
        <w:ind w:firstLine="420" w:firstLineChars="200"/>
        <w:rPr>
          <w:rFonts w:ascii="宋体" w:hAnsi="宋体"/>
          <w:highlight w:val="none"/>
        </w:rPr>
      </w:pPr>
      <w:r>
        <w:rPr>
          <w:rFonts w:hint="eastAsia" w:ascii="宋体" w:hAnsi="宋体"/>
          <w:highlight w:val="none"/>
        </w:rPr>
        <w:t>1.1.1根据《中华人民共和国政府采购法》、《中华人民共和国招标投标法》等有关法律、法规和规章的规定，本招标项目已具备招标条件，现对本项目进行招标。</w:t>
      </w:r>
    </w:p>
    <w:p>
      <w:pPr>
        <w:spacing w:line="400" w:lineRule="exact"/>
        <w:ind w:firstLine="420" w:firstLineChars="200"/>
        <w:rPr>
          <w:rFonts w:ascii="宋体" w:hAnsi="宋体"/>
          <w:highlight w:val="none"/>
        </w:rPr>
      </w:pPr>
      <w:r>
        <w:rPr>
          <w:rFonts w:hint="eastAsia" w:ascii="宋体" w:hAnsi="宋体"/>
          <w:highlight w:val="none"/>
        </w:rPr>
        <w:t>1.1.2 本招标项目采购人：见供应商须知前附表。</w:t>
      </w:r>
    </w:p>
    <w:p>
      <w:pPr>
        <w:spacing w:line="400" w:lineRule="exact"/>
        <w:ind w:firstLine="420" w:firstLineChars="200"/>
        <w:rPr>
          <w:rFonts w:ascii="宋体" w:hAnsi="宋体"/>
          <w:highlight w:val="none"/>
        </w:rPr>
      </w:pPr>
      <w:r>
        <w:rPr>
          <w:rFonts w:hint="eastAsia" w:ascii="宋体" w:hAnsi="宋体"/>
          <w:highlight w:val="none"/>
        </w:rPr>
        <w:t>1.1.3 本招标项目采购代理机构：见供应商须知前附表。</w:t>
      </w:r>
    </w:p>
    <w:p>
      <w:pPr>
        <w:spacing w:line="400" w:lineRule="exact"/>
        <w:ind w:firstLine="420" w:firstLineChars="200"/>
        <w:rPr>
          <w:rFonts w:ascii="宋体" w:hAnsi="宋体"/>
          <w:highlight w:val="none"/>
        </w:rPr>
      </w:pPr>
      <w:r>
        <w:rPr>
          <w:rFonts w:hint="eastAsia" w:ascii="宋体" w:hAnsi="宋体"/>
          <w:highlight w:val="none"/>
        </w:rPr>
        <w:t>1.1.4 本招标项目名称：见供应商须知前附表。</w:t>
      </w:r>
    </w:p>
    <w:p>
      <w:pPr>
        <w:spacing w:line="400" w:lineRule="exact"/>
        <w:ind w:firstLine="420" w:firstLineChars="200"/>
        <w:rPr>
          <w:rFonts w:ascii="宋体" w:hAnsi="宋体"/>
          <w:highlight w:val="none"/>
        </w:rPr>
      </w:pPr>
      <w:r>
        <w:rPr>
          <w:rFonts w:hint="eastAsia" w:ascii="宋体" w:hAnsi="宋体"/>
          <w:highlight w:val="none"/>
        </w:rPr>
        <w:t>1.1.5 本招标项目</w:t>
      </w:r>
      <w:r>
        <w:rPr>
          <w:rFonts w:hint="eastAsia" w:ascii="宋体" w:hAnsi="宋体"/>
          <w:szCs w:val="21"/>
          <w:highlight w:val="none"/>
        </w:rPr>
        <w:t>合同履行地点</w:t>
      </w:r>
      <w:r>
        <w:rPr>
          <w:rFonts w:hint="eastAsia" w:ascii="宋体" w:hAnsi="宋体"/>
          <w:highlight w:val="none"/>
        </w:rPr>
        <w:t>：见供应商须知前附表。</w:t>
      </w:r>
    </w:p>
    <w:p>
      <w:pPr>
        <w:pStyle w:val="4"/>
        <w:rPr>
          <w:rFonts w:ascii="宋体" w:hAnsi="宋体"/>
          <w:highlight w:val="none"/>
        </w:rPr>
      </w:pPr>
      <w:bookmarkStart w:id="81" w:name="_Toc179632548"/>
      <w:bookmarkStart w:id="82" w:name="_Toc152042307"/>
      <w:bookmarkStart w:id="83" w:name="_Toc246996920"/>
      <w:bookmarkStart w:id="84" w:name="_Toc246996177"/>
      <w:bookmarkStart w:id="85" w:name="_Toc247085691"/>
      <w:bookmarkStart w:id="86" w:name="_Toc144974499"/>
      <w:bookmarkStart w:id="87" w:name="_Toc152045531"/>
      <w:bookmarkStart w:id="88" w:name="_Toc338840189"/>
      <w:r>
        <w:rPr>
          <w:rFonts w:hint="eastAsia" w:ascii="宋体" w:hAnsi="宋体"/>
          <w:highlight w:val="none"/>
        </w:rPr>
        <w:t>1.2 资金来源和落实情况</w:t>
      </w:r>
      <w:bookmarkEnd w:id="81"/>
      <w:bookmarkEnd w:id="82"/>
      <w:bookmarkEnd w:id="83"/>
      <w:bookmarkEnd w:id="84"/>
      <w:bookmarkEnd w:id="85"/>
      <w:bookmarkEnd w:id="86"/>
      <w:bookmarkEnd w:id="87"/>
      <w:bookmarkEnd w:id="88"/>
    </w:p>
    <w:p>
      <w:pPr>
        <w:spacing w:line="400" w:lineRule="exact"/>
        <w:ind w:firstLine="420" w:firstLineChars="200"/>
        <w:rPr>
          <w:rFonts w:ascii="宋体" w:hAnsi="宋体"/>
          <w:highlight w:val="none"/>
        </w:rPr>
      </w:pPr>
      <w:r>
        <w:rPr>
          <w:rFonts w:hint="eastAsia" w:ascii="宋体" w:hAnsi="宋体"/>
          <w:highlight w:val="none"/>
        </w:rPr>
        <w:t>1.2.1 本招标项目的资金来源及出资比例：见供应商须知前附表。</w:t>
      </w:r>
    </w:p>
    <w:p>
      <w:pPr>
        <w:spacing w:line="400" w:lineRule="exact"/>
        <w:ind w:firstLine="420" w:firstLineChars="200"/>
        <w:rPr>
          <w:rFonts w:ascii="宋体" w:hAnsi="宋体"/>
          <w:highlight w:val="none"/>
        </w:rPr>
      </w:pPr>
      <w:r>
        <w:rPr>
          <w:rFonts w:hint="eastAsia" w:ascii="宋体" w:hAnsi="宋体"/>
          <w:highlight w:val="none"/>
        </w:rPr>
        <w:t>1.2.2 本招标项目的资金落实情况：见供应商须知前附表。</w:t>
      </w:r>
    </w:p>
    <w:p>
      <w:pPr>
        <w:pStyle w:val="4"/>
        <w:rPr>
          <w:rFonts w:ascii="宋体" w:hAnsi="宋体"/>
          <w:highlight w:val="none"/>
        </w:rPr>
      </w:pPr>
      <w:bookmarkStart w:id="89" w:name="_Toc179632549"/>
      <w:bookmarkStart w:id="90" w:name="_Toc144974500"/>
      <w:bookmarkStart w:id="91" w:name="_Toc152045532"/>
      <w:bookmarkStart w:id="92" w:name="_Toc338840190"/>
      <w:bookmarkStart w:id="93" w:name="_Toc246996921"/>
      <w:bookmarkStart w:id="94" w:name="_Toc247085692"/>
      <w:bookmarkStart w:id="95" w:name="_Toc152042308"/>
      <w:bookmarkStart w:id="96" w:name="_Toc246996178"/>
      <w:r>
        <w:rPr>
          <w:rFonts w:hint="eastAsia" w:ascii="宋体" w:hAnsi="宋体"/>
          <w:highlight w:val="none"/>
        </w:rPr>
        <w:t>1.3 招标范围、合同履行期限、质量要求</w:t>
      </w:r>
      <w:bookmarkEnd w:id="89"/>
      <w:bookmarkEnd w:id="90"/>
      <w:bookmarkEnd w:id="91"/>
      <w:bookmarkEnd w:id="92"/>
      <w:bookmarkEnd w:id="93"/>
      <w:bookmarkEnd w:id="94"/>
      <w:bookmarkEnd w:id="95"/>
      <w:bookmarkEnd w:id="96"/>
    </w:p>
    <w:p>
      <w:pPr>
        <w:spacing w:line="400" w:lineRule="exact"/>
        <w:ind w:firstLine="420" w:firstLineChars="200"/>
        <w:rPr>
          <w:rFonts w:ascii="宋体" w:hAnsi="宋体"/>
          <w:highlight w:val="none"/>
        </w:rPr>
      </w:pPr>
      <w:r>
        <w:rPr>
          <w:rFonts w:hint="eastAsia" w:ascii="宋体" w:hAnsi="宋体"/>
          <w:highlight w:val="none"/>
        </w:rPr>
        <w:t>1.3.1 本次招标范围：见供应商须知前附表。</w:t>
      </w:r>
    </w:p>
    <w:p>
      <w:pPr>
        <w:spacing w:line="400" w:lineRule="exact"/>
        <w:ind w:firstLine="420" w:firstLineChars="200"/>
        <w:rPr>
          <w:rFonts w:ascii="宋体" w:hAnsi="宋体"/>
          <w:highlight w:val="none"/>
        </w:rPr>
      </w:pPr>
      <w:r>
        <w:rPr>
          <w:rFonts w:hint="eastAsia" w:ascii="宋体" w:hAnsi="宋体"/>
          <w:highlight w:val="none"/>
        </w:rPr>
        <w:t>1.3.2 本招标项目的合同履行期限：见供应商须知前附表。</w:t>
      </w:r>
    </w:p>
    <w:p>
      <w:pPr>
        <w:spacing w:line="400" w:lineRule="exact"/>
        <w:ind w:firstLine="420" w:firstLineChars="200"/>
        <w:rPr>
          <w:rFonts w:ascii="宋体" w:hAnsi="宋体"/>
          <w:highlight w:val="none"/>
        </w:rPr>
      </w:pPr>
      <w:r>
        <w:rPr>
          <w:rFonts w:hint="eastAsia" w:ascii="宋体" w:hAnsi="宋体"/>
          <w:highlight w:val="none"/>
        </w:rPr>
        <w:t>1.3.3 本招标项目的质量要求：见供应商须知前附表。</w:t>
      </w:r>
    </w:p>
    <w:p>
      <w:pPr>
        <w:spacing w:line="400" w:lineRule="exact"/>
        <w:ind w:firstLine="420" w:firstLineChars="200"/>
        <w:rPr>
          <w:rFonts w:ascii="宋体" w:hAnsi="宋体"/>
          <w:highlight w:val="none"/>
        </w:rPr>
      </w:pPr>
      <w:r>
        <w:rPr>
          <w:rFonts w:hint="eastAsia" w:ascii="宋体" w:hAnsi="宋体"/>
          <w:highlight w:val="none"/>
        </w:rPr>
        <w:t>1.3.4本招标项目的质量保证期：见供应商须知前附表。</w:t>
      </w:r>
    </w:p>
    <w:p>
      <w:pPr>
        <w:pStyle w:val="4"/>
        <w:rPr>
          <w:rFonts w:ascii="宋体" w:hAnsi="宋体"/>
          <w:highlight w:val="none"/>
        </w:rPr>
      </w:pPr>
      <w:bookmarkStart w:id="97" w:name="_Toc144974502"/>
      <w:bookmarkStart w:id="98" w:name="_Toc152042310"/>
      <w:bookmarkStart w:id="99" w:name="_Toc246996179"/>
      <w:bookmarkStart w:id="100" w:name="_Toc179632551"/>
      <w:bookmarkStart w:id="101" w:name="_Toc246996922"/>
      <w:bookmarkStart w:id="102" w:name="_Toc152045534"/>
      <w:bookmarkStart w:id="103" w:name="_Toc338840191"/>
      <w:bookmarkStart w:id="104" w:name="_Toc247085693"/>
      <w:r>
        <w:rPr>
          <w:rFonts w:hint="eastAsia" w:ascii="宋体" w:hAnsi="宋体"/>
          <w:highlight w:val="none"/>
        </w:rPr>
        <w:t>1.4 供应商资格要求</w:t>
      </w:r>
      <w:bookmarkEnd w:id="97"/>
      <w:bookmarkEnd w:id="98"/>
      <w:bookmarkEnd w:id="99"/>
      <w:bookmarkEnd w:id="100"/>
      <w:bookmarkEnd w:id="101"/>
      <w:bookmarkEnd w:id="102"/>
      <w:bookmarkEnd w:id="103"/>
      <w:bookmarkEnd w:id="104"/>
    </w:p>
    <w:p>
      <w:pPr>
        <w:spacing w:line="400" w:lineRule="exact"/>
        <w:ind w:firstLine="359" w:firstLineChars="171"/>
        <w:rPr>
          <w:rFonts w:ascii="宋体" w:hAnsi="宋体"/>
          <w:highlight w:val="none"/>
        </w:rPr>
      </w:pPr>
      <w:r>
        <w:rPr>
          <w:rFonts w:hint="eastAsia" w:ascii="宋体" w:hAnsi="宋体"/>
          <w:highlight w:val="none"/>
        </w:rPr>
        <w:t>1.4.1 供应商应具备承担本项目的资格条件。见供应商须知前附表；</w:t>
      </w:r>
    </w:p>
    <w:p>
      <w:pPr>
        <w:spacing w:line="400" w:lineRule="exact"/>
        <w:ind w:firstLine="359" w:firstLineChars="171"/>
        <w:rPr>
          <w:rFonts w:ascii="宋体" w:hAnsi="宋体"/>
          <w:highlight w:val="none"/>
        </w:rPr>
      </w:pPr>
      <w:r>
        <w:rPr>
          <w:rFonts w:hint="eastAsia" w:ascii="宋体" w:hAnsi="宋体"/>
          <w:highlight w:val="none"/>
        </w:rPr>
        <w:t>1.4.2 供应商不得存在下列情形之一：</w:t>
      </w:r>
    </w:p>
    <w:p>
      <w:pPr>
        <w:spacing w:line="400" w:lineRule="exact"/>
        <w:ind w:firstLine="359" w:firstLineChars="171"/>
        <w:rPr>
          <w:rFonts w:ascii="宋体" w:hAnsi="宋体"/>
          <w:highlight w:val="none"/>
        </w:rPr>
      </w:pPr>
      <w:r>
        <w:rPr>
          <w:rFonts w:hint="eastAsia" w:ascii="宋体" w:hAnsi="宋体"/>
          <w:highlight w:val="none"/>
        </w:rPr>
        <w:t>（1）为采购人不具有独立法人资格的附属机构（单位）；</w:t>
      </w:r>
    </w:p>
    <w:p>
      <w:pPr>
        <w:spacing w:line="400" w:lineRule="exact"/>
        <w:ind w:firstLine="359" w:firstLineChars="171"/>
        <w:rPr>
          <w:rFonts w:ascii="宋体" w:hAnsi="宋体"/>
          <w:highlight w:val="none"/>
        </w:rPr>
      </w:pPr>
      <w:r>
        <w:rPr>
          <w:rFonts w:hint="eastAsia" w:ascii="宋体" w:hAnsi="宋体"/>
          <w:highlight w:val="none"/>
        </w:rPr>
        <w:t xml:space="preserve">（2）为本招标项目前期准备提供专业设计或专业咨询服务的； </w:t>
      </w:r>
    </w:p>
    <w:p>
      <w:pPr>
        <w:spacing w:line="400" w:lineRule="exact"/>
        <w:ind w:firstLine="359" w:firstLineChars="171"/>
        <w:rPr>
          <w:rFonts w:ascii="宋体" w:hAnsi="宋体"/>
          <w:highlight w:val="none"/>
        </w:rPr>
      </w:pPr>
      <w:r>
        <w:rPr>
          <w:rFonts w:hint="eastAsia" w:ascii="宋体" w:hAnsi="宋体"/>
          <w:highlight w:val="none"/>
        </w:rPr>
        <w:t>（3）为本招标项目提供招标代理服务的；</w:t>
      </w:r>
    </w:p>
    <w:p>
      <w:pPr>
        <w:spacing w:line="400" w:lineRule="exact"/>
        <w:ind w:firstLine="359" w:firstLineChars="171"/>
        <w:rPr>
          <w:rFonts w:ascii="宋体" w:hAnsi="宋体"/>
          <w:highlight w:val="none"/>
        </w:rPr>
      </w:pPr>
      <w:r>
        <w:rPr>
          <w:rFonts w:hint="eastAsia" w:ascii="宋体" w:hAnsi="宋体"/>
          <w:highlight w:val="none"/>
        </w:rPr>
        <w:t>（4）被责令停业的；</w:t>
      </w:r>
    </w:p>
    <w:p>
      <w:pPr>
        <w:spacing w:line="400" w:lineRule="exact"/>
        <w:ind w:firstLine="359" w:firstLineChars="171"/>
        <w:rPr>
          <w:rFonts w:ascii="宋体" w:hAnsi="宋体"/>
          <w:highlight w:val="none"/>
        </w:rPr>
      </w:pPr>
      <w:r>
        <w:rPr>
          <w:rFonts w:hint="eastAsia" w:ascii="宋体" w:hAnsi="宋体"/>
          <w:highlight w:val="none"/>
        </w:rPr>
        <w:t>（5）被暂停或取消投标资格的；</w:t>
      </w:r>
    </w:p>
    <w:p>
      <w:pPr>
        <w:spacing w:line="400" w:lineRule="exact"/>
        <w:ind w:firstLine="359" w:firstLineChars="171"/>
        <w:rPr>
          <w:rFonts w:ascii="宋体" w:hAnsi="宋体"/>
          <w:highlight w:val="none"/>
        </w:rPr>
      </w:pPr>
      <w:r>
        <w:rPr>
          <w:rFonts w:hint="eastAsia" w:ascii="宋体" w:hAnsi="宋体"/>
          <w:highlight w:val="none"/>
        </w:rPr>
        <w:t>（6）财产被接管或冻结的；</w:t>
      </w:r>
    </w:p>
    <w:p>
      <w:pPr>
        <w:spacing w:line="400" w:lineRule="exact"/>
        <w:ind w:firstLine="359" w:firstLineChars="171"/>
        <w:rPr>
          <w:rFonts w:ascii="宋体" w:hAnsi="宋体"/>
          <w:highlight w:val="none"/>
        </w:rPr>
      </w:pPr>
      <w:r>
        <w:rPr>
          <w:rFonts w:hint="eastAsia" w:ascii="宋体" w:hAnsi="宋体"/>
          <w:highlight w:val="none"/>
        </w:rPr>
        <w:t>（7）在最近三年内有骗取中标或严重违约或重大质量问题的。</w:t>
      </w:r>
    </w:p>
    <w:p>
      <w:pPr>
        <w:pStyle w:val="4"/>
        <w:rPr>
          <w:rFonts w:ascii="宋体" w:hAnsi="宋体"/>
          <w:highlight w:val="none"/>
        </w:rPr>
      </w:pPr>
      <w:bookmarkStart w:id="105" w:name="_Toc338840192"/>
      <w:bookmarkStart w:id="106" w:name="_Toc246996923"/>
      <w:bookmarkStart w:id="107" w:name="_Toc179632552"/>
      <w:bookmarkStart w:id="108" w:name="_Toc246996180"/>
      <w:bookmarkStart w:id="109" w:name="_Toc144974503"/>
      <w:bookmarkStart w:id="110" w:name="_Toc152042311"/>
      <w:bookmarkStart w:id="111" w:name="_Toc152045535"/>
      <w:bookmarkStart w:id="112" w:name="_Toc247085694"/>
      <w:r>
        <w:rPr>
          <w:rFonts w:hint="eastAsia" w:ascii="宋体" w:hAnsi="宋体"/>
          <w:highlight w:val="none"/>
        </w:rPr>
        <w:t>1.5 费用承担</w:t>
      </w:r>
      <w:bookmarkEnd w:id="105"/>
      <w:bookmarkEnd w:id="106"/>
      <w:bookmarkEnd w:id="107"/>
      <w:bookmarkEnd w:id="108"/>
      <w:bookmarkEnd w:id="109"/>
      <w:bookmarkEnd w:id="110"/>
      <w:bookmarkEnd w:id="111"/>
      <w:bookmarkEnd w:id="112"/>
    </w:p>
    <w:p>
      <w:pPr>
        <w:spacing w:line="400" w:lineRule="exact"/>
        <w:ind w:firstLine="420" w:firstLineChars="200"/>
        <w:rPr>
          <w:rFonts w:ascii="宋体" w:hAnsi="宋体"/>
          <w:highlight w:val="none"/>
        </w:rPr>
      </w:pPr>
      <w:r>
        <w:rPr>
          <w:rFonts w:hint="eastAsia" w:ascii="宋体" w:hAnsi="宋体"/>
          <w:highlight w:val="none"/>
        </w:rPr>
        <w:t>供应商准备和参加投标活动发生的费用自理。</w:t>
      </w:r>
    </w:p>
    <w:p>
      <w:pPr>
        <w:pStyle w:val="4"/>
        <w:rPr>
          <w:rFonts w:ascii="宋体" w:hAnsi="宋体"/>
          <w:highlight w:val="none"/>
        </w:rPr>
      </w:pPr>
      <w:bookmarkStart w:id="113" w:name="_Toc179632553"/>
      <w:bookmarkStart w:id="114" w:name="_Toc247085695"/>
      <w:bookmarkStart w:id="115" w:name="_Toc338840193"/>
      <w:bookmarkStart w:id="116" w:name="_Toc246996181"/>
      <w:bookmarkStart w:id="117" w:name="_Toc246996924"/>
      <w:bookmarkStart w:id="118" w:name="_Toc144974504"/>
      <w:bookmarkStart w:id="119" w:name="_Toc152045536"/>
      <w:bookmarkStart w:id="120" w:name="_Toc152042312"/>
      <w:r>
        <w:rPr>
          <w:rFonts w:hint="eastAsia" w:ascii="宋体" w:hAnsi="宋体"/>
          <w:highlight w:val="none"/>
        </w:rPr>
        <w:t>1.6 保密</w:t>
      </w:r>
      <w:bookmarkEnd w:id="113"/>
      <w:bookmarkEnd w:id="114"/>
      <w:bookmarkEnd w:id="115"/>
      <w:bookmarkEnd w:id="116"/>
      <w:bookmarkEnd w:id="117"/>
      <w:bookmarkEnd w:id="118"/>
      <w:bookmarkEnd w:id="119"/>
      <w:bookmarkEnd w:id="120"/>
    </w:p>
    <w:p>
      <w:pPr>
        <w:spacing w:line="400" w:lineRule="exact"/>
        <w:ind w:firstLine="420" w:firstLineChars="200"/>
        <w:rPr>
          <w:rFonts w:ascii="宋体" w:hAnsi="宋体"/>
          <w:highlight w:val="none"/>
        </w:rPr>
      </w:pPr>
      <w:r>
        <w:rPr>
          <w:rFonts w:hint="eastAsia" w:ascii="宋体" w:hAnsi="宋体"/>
          <w:highlight w:val="none"/>
        </w:rPr>
        <w:t xml:space="preserve">参与招标投标活动的各方应对招标文件和投标文件中的商业和技术等秘密保密，违者应对由此造成的后果承担法律责任。 </w:t>
      </w:r>
    </w:p>
    <w:p>
      <w:pPr>
        <w:pStyle w:val="4"/>
        <w:rPr>
          <w:rFonts w:ascii="宋体" w:hAnsi="宋体"/>
          <w:highlight w:val="none"/>
        </w:rPr>
      </w:pPr>
      <w:bookmarkStart w:id="121" w:name="_Toc144974505"/>
      <w:bookmarkStart w:id="122" w:name="_Toc179632554"/>
      <w:bookmarkStart w:id="123" w:name="_Toc246996925"/>
      <w:bookmarkStart w:id="124" w:name="_Toc152045537"/>
      <w:bookmarkStart w:id="125" w:name="_Toc338840194"/>
      <w:bookmarkStart w:id="126" w:name="_Toc246996182"/>
      <w:bookmarkStart w:id="127" w:name="_Toc247085696"/>
      <w:bookmarkStart w:id="128" w:name="_Toc152042313"/>
      <w:r>
        <w:rPr>
          <w:rFonts w:hint="eastAsia" w:ascii="宋体" w:hAnsi="宋体"/>
          <w:highlight w:val="none"/>
        </w:rPr>
        <w:t>1.7 语言</w:t>
      </w:r>
      <w:bookmarkEnd w:id="121"/>
      <w:r>
        <w:rPr>
          <w:rFonts w:hint="eastAsia" w:ascii="宋体" w:hAnsi="宋体"/>
          <w:highlight w:val="none"/>
        </w:rPr>
        <w:t>文字</w:t>
      </w:r>
      <w:bookmarkEnd w:id="122"/>
      <w:bookmarkEnd w:id="123"/>
      <w:bookmarkEnd w:id="124"/>
      <w:bookmarkEnd w:id="125"/>
      <w:bookmarkEnd w:id="126"/>
      <w:bookmarkEnd w:id="127"/>
      <w:bookmarkEnd w:id="128"/>
    </w:p>
    <w:p>
      <w:pPr>
        <w:spacing w:line="400" w:lineRule="exact"/>
        <w:ind w:firstLine="420" w:firstLineChars="200"/>
        <w:rPr>
          <w:rFonts w:ascii="宋体" w:hAnsi="宋体"/>
          <w:highlight w:val="none"/>
        </w:rPr>
      </w:pPr>
      <w:bookmarkStart w:id="129" w:name="_Toc152042314"/>
      <w:bookmarkStart w:id="130" w:name="_Toc179632555"/>
      <w:bookmarkStart w:id="131" w:name="_Toc152045538"/>
      <w:bookmarkStart w:id="132" w:name="_Toc247085697"/>
      <w:bookmarkStart w:id="133" w:name="_Toc246996926"/>
      <w:bookmarkStart w:id="134" w:name="_Toc246996183"/>
      <w:bookmarkStart w:id="135" w:name="_Toc144974506"/>
      <w:r>
        <w:rPr>
          <w:rFonts w:hint="eastAsia" w:ascii="宋体" w:hAnsi="宋体"/>
          <w:highlight w:val="none"/>
        </w:rPr>
        <w:t>招标投标文件使用的语言文字为中文。专用术语使用外文的，应附有中文注释。证书证件应使用中文版本，无中文版本的应附相应的中文注释。</w:t>
      </w:r>
    </w:p>
    <w:p>
      <w:pPr>
        <w:pStyle w:val="4"/>
        <w:rPr>
          <w:rFonts w:ascii="宋体" w:hAnsi="宋体"/>
          <w:highlight w:val="none"/>
        </w:rPr>
      </w:pPr>
      <w:bookmarkStart w:id="136" w:name="_Toc338840195"/>
      <w:r>
        <w:rPr>
          <w:rFonts w:hint="eastAsia" w:ascii="宋体" w:hAnsi="宋体"/>
          <w:highlight w:val="none"/>
        </w:rPr>
        <w:t>1.8 计量单位</w:t>
      </w:r>
      <w:bookmarkEnd w:id="129"/>
      <w:bookmarkEnd w:id="130"/>
      <w:bookmarkEnd w:id="131"/>
      <w:bookmarkEnd w:id="132"/>
      <w:bookmarkEnd w:id="133"/>
      <w:bookmarkEnd w:id="134"/>
      <w:bookmarkEnd w:id="135"/>
      <w:bookmarkEnd w:id="136"/>
    </w:p>
    <w:p>
      <w:pPr>
        <w:spacing w:line="400" w:lineRule="exact"/>
        <w:ind w:firstLine="420" w:firstLineChars="200"/>
        <w:rPr>
          <w:rFonts w:ascii="宋体" w:hAnsi="宋体"/>
          <w:highlight w:val="none"/>
        </w:rPr>
      </w:pPr>
      <w:r>
        <w:rPr>
          <w:rFonts w:hint="eastAsia" w:ascii="宋体" w:hAnsi="宋体"/>
          <w:highlight w:val="none"/>
        </w:rPr>
        <w:t>所有计量均采用中华人民共和国法定计量单位。</w:t>
      </w:r>
    </w:p>
    <w:p>
      <w:pPr>
        <w:pStyle w:val="4"/>
        <w:rPr>
          <w:rFonts w:ascii="宋体" w:hAnsi="宋体"/>
          <w:highlight w:val="none"/>
        </w:rPr>
      </w:pPr>
      <w:bookmarkStart w:id="137" w:name="_Toc152045539"/>
      <w:bookmarkStart w:id="138" w:name="_Toc338840196"/>
      <w:bookmarkStart w:id="139" w:name="_Toc247527563"/>
      <w:bookmarkStart w:id="140" w:name="_Toc152042315"/>
      <w:bookmarkStart w:id="141" w:name="_Toc247592876"/>
      <w:bookmarkStart w:id="142" w:name="_Toc247513962"/>
      <w:bookmarkStart w:id="143" w:name="_Toc144974507"/>
      <w:r>
        <w:rPr>
          <w:rFonts w:hint="eastAsia" w:ascii="宋体" w:hAnsi="宋体"/>
          <w:highlight w:val="none"/>
        </w:rPr>
        <w:t>1.9 踏勘现场</w:t>
      </w:r>
      <w:bookmarkEnd w:id="137"/>
      <w:bookmarkEnd w:id="138"/>
      <w:bookmarkEnd w:id="139"/>
      <w:bookmarkEnd w:id="140"/>
      <w:bookmarkEnd w:id="141"/>
      <w:bookmarkEnd w:id="142"/>
      <w:bookmarkEnd w:id="143"/>
    </w:p>
    <w:p>
      <w:pPr>
        <w:spacing w:line="400" w:lineRule="exact"/>
        <w:ind w:firstLine="420" w:firstLineChars="200"/>
        <w:rPr>
          <w:rFonts w:ascii="宋体" w:hAnsi="宋体"/>
          <w:highlight w:val="none"/>
        </w:rPr>
      </w:pPr>
      <w:r>
        <w:rPr>
          <w:rFonts w:hint="eastAsia" w:ascii="宋体" w:hAnsi="宋体"/>
          <w:highlight w:val="none"/>
        </w:rPr>
        <w:t xml:space="preserve">1.9.1 供应商须知前附表规定组织踏勘现场的，采购人按供应商须知前附表规定的时间、地点组织供应商踏勘项目现场。 </w:t>
      </w:r>
    </w:p>
    <w:p>
      <w:pPr>
        <w:spacing w:line="400" w:lineRule="exact"/>
        <w:ind w:firstLine="420" w:firstLineChars="200"/>
        <w:rPr>
          <w:rFonts w:ascii="宋体" w:hAnsi="宋体"/>
          <w:highlight w:val="none"/>
        </w:rPr>
      </w:pPr>
      <w:r>
        <w:rPr>
          <w:rFonts w:hint="eastAsia" w:ascii="宋体" w:hAnsi="宋体"/>
          <w:highlight w:val="none"/>
        </w:rPr>
        <w:t>1.9.2 供应商踏勘现场发生的费用自理。</w:t>
      </w:r>
    </w:p>
    <w:p>
      <w:pPr>
        <w:spacing w:line="400" w:lineRule="exact"/>
        <w:ind w:firstLine="420" w:firstLineChars="200"/>
        <w:rPr>
          <w:rFonts w:ascii="宋体" w:hAnsi="宋体"/>
          <w:highlight w:val="none"/>
        </w:rPr>
      </w:pPr>
      <w:r>
        <w:rPr>
          <w:rFonts w:hint="eastAsia" w:ascii="宋体" w:hAnsi="宋体"/>
          <w:highlight w:val="none"/>
        </w:rPr>
        <w:t>1.9.3 除采购人的原因外，供应商自行负责在踏勘现场中所发生的人员伤亡和财产损失。</w:t>
      </w:r>
    </w:p>
    <w:p>
      <w:pPr>
        <w:spacing w:line="400" w:lineRule="exact"/>
        <w:ind w:firstLine="420" w:firstLineChars="200"/>
        <w:rPr>
          <w:rFonts w:ascii="宋体" w:hAnsi="宋体"/>
          <w:highlight w:val="none"/>
        </w:rPr>
      </w:pPr>
      <w:r>
        <w:rPr>
          <w:rFonts w:hint="eastAsia" w:ascii="宋体" w:hAnsi="宋体"/>
          <w:highlight w:val="none"/>
        </w:rPr>
        <w:t>1.9.4 采购人在踏勘现场中介绍的有关情况和相关的周边环境情况，供应商在编制投标文件时参考，采购人不对供应商据此作出的判断和决策负责。</w:t>
      </w:r>
    </w:p>
    <w:p>
      <w:pPr>
        <w:pStyle w:val="4"/>
        <w:rPr>
          <w:rFonts w:ascii="宋体" w:hAnsi="宋体"/>
          <w:highlight w:val="none"/>
        </w:rPr>
      </w:pPr>
      <w:bookmarkStart w:id="144" w:name="_Toc152042316"/>
      <w:bookmarkStart w:id="145" w:name="_Toc338840197"/>
      <w:bookmarkStart w:id="146" w:name="_Toc152045540"/>
      <w:bookmarkStart w:id="147" w:name="_Toc247513963"/>
      <w:bookmarkStart w:id="148" w:name="_Toc247592877"/>
      <w:bookmarkStart w:id="149" w:name="_Toc144974508"/>
      <w:bookmarkStart w:id="150" w:name="_Toc247527564"/>
      <w:r>
        <w:rPr>
          <w:rFonts w:hint="eastAsia" w:ascii="宋体" w:hAnsi="宋体"/>
          <w:highlight w:val="none"/>
        </w:rPr>
        <w:t>1.10 投标预备会</w:t>
      </w:r>
      <w:bookmarkEnd w:id="144"/>
      <w:bookmarkEnd w:id="145"/>
      <w:bookmarkEnd w:id="146"/>
      <w:bookmarkEnd w:id="147"/>
      <w:bookmarkEnd w:id="148"/>
      <w:bookmarkEnd w:id="149"/>
      <w:bookmarkEnd w:id="150"/>
    </w:p>
    <w:p>
      <w:pPr>
        <w:spacing w:line="400" w:lineRule="exact"/>
        <w:ind w:firstLine="420" w:firstLineChars="200"/>
        <w:rPr>
          <w:rFonts w:ascii="宋体" w:hAnsi="宋体"/>
          <w:highlight w:val="none"/>
        </w:rPr>
      </w:pPr>
      <w:r>
        <w:rPr>
          <w:rFonts w:hint="eastAsia" w:ascii="宋体" w:hAnsi="宋体"/>
          <w:highlight w:val="none"/>
        </w:rPr>
        <w:t>1.10.1 供应商须知前附表规定召开投标预备会的，采购人按供应商须知前附表规定的时间和地点召开投标预备会，澄清供应商提出的问题。</w:t>
      </w:r>
    </w:p>
    <w:p>
      <w:pPr>
        <w:spacing w:line="400" w:lineRule="exact"/>
        <w:ind w:firstLine="420" w:firstLineChars="200"/>
        <w:rPr>
          <w:rFonts w:ascii="宋体" w:hAnsi="宋体"/>
          <w:highlight w:val="none"/>
        </w:rPr>
      </w:pPr>
      <w:r>
        <w:rPr>
          <w:rFonts w:hint="eastAsia" w:ascii="宋体" w:hAnsi="宋体"/>
          <w:highlight w:val="none"/>
        </w:rPr>
        <w:t>1.10.2 供应商应在供应商须知前附表规定的时间，以书面形式将提出的问题送达采购人，以便采购人在会议期间澄清。</w:t>
      </w:r>
    </w:p>
    <w:p>
      <w:pPr>
        <w:spacing w:line="400" w:lineRule="exact"/>
        <w:ind w:firstLine="420" w:firstLineChars="200"/>
        <w:rPr>
          <w:rFonts w:ascii="宋体" w:hAnsi="宋体"/>
          <w:highlight w:val="none"/>
        </w:rPr>
      </w:pPr>
      <w:r>
        <w:rPr>
          <w:rFonts w:hint="eastAsia" w:ascii="宋体" w:hAnsi="宋体"/>
          <w:highlight w:val="none"/>
        </w:rPr>
        <w:t>1.10.3 投标预备会后，采购人在供应商须知前附表规定的时间内，将对供应商所提问题的澄清，以书面形式通知所有获取招标文件的供应商。该澄清内容为招标文件的组成部分。</w:t>
      </w:r>
    </w:p>
    <w:p>
      <w:pPr>
        <w:pStyle w:val="4"/>
        <w:rPr>
          <w:rFonts w:ascii="宋体" w:hAnsi="宋体"/>
          <w:highlight w:val="none"/>
        </w:rPr>
      </w:pPr>
      <w:bookmarkStart w:id="151" w:name="_Toc338840198"/>
      <w:r>
        <w:rPr>
          <w:rFonts w:hint="eastAsia" w:ascii="宋体" w:hAnsi="宋体"/>
          <w:highlight w:val="none"/>
        </w:rPr>
        <w:t>1.11 响应和偏差</w:t>
      </w:r>
      <w:bookmarkEnd w:id="151"/>
    </w:p>
    <w:p>
      <w:pPr>
        <w:spacing w:line="400" w:lineRule="exact"/>
        <w:ind w:firstLine="420" w:firstLineChars="200"/>
        <w:rPr>
          <w:rFonts w:ascii="宋体" w:hAnsi="宋体"/>
          <w:highlight w:val="none"/>
        </w:rPr>
      </w:pPr>
      <w:r>
        <w:rPr>
          <w:rFonts w:hint="eastAsia" w:ascii="宋体" w:hAnsi="宋体"/>
          <w:highlight w:val="none"/>
        </w:rPr>
        <w:t>1.11.1 投标文件应当对招标文件的实质性要求和条件做出实质性响应或更有利于采购人的响应，未实质性响应的投标为无效投标。实质性要求和条件见供应商须知前附表。</w:t>
      </w:r>
    </w:p>
    <w:p>
      <w:pPr>
        <w:spacing w:line="400" w:lineRule="exact"/>
        <w:ind w:firstLine="420" w:firstLineChars="200"/>
        <w:rPr>
          <w:rFonts w:ascii="宋体" w:hAnsi="宋体"/>
          <w:highlight w:val="none"/>
        </w:rPr>
      </w:pPr>
      <w:r>
        <w:rPr>
          <w:rFonts w:hint="eastAsia" w:ascii="宋体" w:hAnsi="宋体"/>
          <w:highlight w:val="none"/>
        </w:rPr>
        <w:t>1.11.2 供应商应详细写明投标设备的技术性能指标，详细写明服务计划和服务内容。针对投标设备的技术性能指标，提供生产企业关于该投标产品的相应技术支持资料。</w:t>
      </w:r>
    </w:p>
    <w:p>
      <w:pPr>
        <w:spacing w:line="400" w:lineRule="exact"/>
        <w:ind w:firstLine="420" w:firstLineChars="200"/>
        <w:rPr>
          <w:rFonts w:ascii="宋体" w:hAnsi="宋体"/>
          <w:highlight w:val="none"/>
        </w:rPr>
      </w:pPr>
      <w:r>
        <w:rPr>
          <w:rFonts w:hint="eastAsia" w:ascii="宋体" w:hAnsi="宋体"/>
          <w:highlight w:val="none"/>
        </w:rPr>
        <w:t>1.11.3</w:t>
      </w:r>
      <w:r>
        <w:rPr>
          <w:rFonts w:ascii="宋体" w:hAnsi="宋体"/>
          <w:highlight w:val="none"/>
        </w:rPr>
        <w:t xml:space="preserve"> </w:t>
      </w:r>
      <w:r>
        <w:rPr>
          <w:rFonts w:hint="eastAsia" w:ascii="宋体" w:hAnsi="宋体"/>
          <w:highlight w:val="none"/>
        </w:rPr>
        <w:t>投标文件</w:t>
      </w:r>
      <w:r>
        <w:rPr>
          <w:rFonts w:ascii="宋体" w:hAnsi="宋体"/>
          <w:highlight w:val="none"/>
        </w:rPr>
        <w:t>对</w:t>
      </w:r>
      <w:r>
        <w:rPr>
          <w:rFonts w:hint="eastAsia" w:ascii="宋体" w:hAnsi="宋体"/>
          <w:highlight w:val="none"/>
        </w:rPr>
        <w:t>招标文件的全部偏差，均应在投标文件的商务和技术偏差表中列明并做出详细说明。</w:t>
      </w:r>
    </w:p>
    <w:p>
      <w:pPr>
        <w:pStyle w:val="3"/>
        <w:rPr>
          <w:rFonts w:ascii="宋体" w:hAnsi="宋体" w:eastAsia="宋体"/>
          <w:highlight w:val="none"/>
        </w:rPr>
      </w:pPr>
      <w:bookmarkStart w:id="152" w:name="_Toc152042318"/>
      <w:bookmarkStart w:id="153" w:name="_Toc28300"/>
      <w:bookmarkStart w:id="154" w:name="_Toc338840482"/>
      <w:bookmarkStart w:id="155" w:name="_Toc346523466"/>
      <w:bookmarkStart w:id="156" w:name="_Toc247085701"/>
      <w:bookmarkStart w:id="157" w:name="_Toc9338"/>
      <w:bookmarkStart w:id="158" w:name="_Toc179632560"/>
      <w:bookmarkStart w:id="159" w:name="_Toc338840199"/>
      <w:bookmarkStart w:id="160" w:name="_Toc246996930"/>
      <w:bookmarkStart w:id="161" w:name="_Toc346523403"/>
      <w:bookmarkStart w:id="162" w:name="_Toc144974510"/>
      <w:bookmarkStart w:id="163" w:name="_Toc152045542"/>
      <w:bookmarkStart w:id="164" w:name="_Toc22322"/>
      <w:bookmarkStart w:id="165" w:name="_Toc246996187"/>
      <w:bookmarkStart w:id="166" w:name="_Toc494526402"/>
      <w:bookmarkStart w:id="167" w:name="_Toc494093430"/>
      <w:bookmarkStart w:id="168" w:name="_Toc338840443"/>
      <w:bookmarkStart w:id="169" w:name="_Toc25958"/>
      <w:r>
        <w:rPr>
          <w:rFonts w:hint="eastAsia" w:ascii="宋体" w:hAnsi="宋体" w:eastAsia="宋体"/>
          <w:highlight w:val="none"/>
        </w:rPr>
        <w:t>2. 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pPr>
        <w:pStyle w:val="4"/>
        <w:rPr>
          <w:rFonts w:ascii="宋体" w:hAnsi="宋体"/>
          <w:highlight w:val="none"/>
        </w:rPr>
      </w:pPr>
      <w:bookmarkStart w:id="170" w:name="_Toc247085702"/>
      <w:bookmarkStart w:id="171" w:name="_Toc179632561"/>
      <w:bookmarkStart w:id="172" w:name="_Toc246996931"/>
      <w:bookmarkStart w:id="173" w:name="_Toc152042319"/>
      <w:bookmarkStart w:id="174" w:name="_Toc246996188"/>
      <w:bookmarkStart w:id="175" w:name="_Toc144974511"/>
      <w:bookmarkStart w:id="176" w:name="_Toc152045543"/>
      <w:bookmarkStart w:id="177" w:name="_Toc338840200"/>
      <w:r>
        <w:rPr>
          <w:rFonts w:hint="eastAsia" w:ascii="宋体" w:hAnsi="宋体"/>
          <w:highlight w:val="none"/>
        </w:rPr>
        <w:t>2.1 招标文件的组成</w:t>
      </w:r>
      <w:bookmarkEnd w:id="170"/>
      <w:bookmarkEnd w:id="171"/>
      <w:bookmarkEnd w:id="172"/>
      <w:bookmarkEnd w:id="173"/>
      <w:bookmarkEnd w:id="174"/>
      <w:bookmarkEnd w:id="175"/>
      <w:bookmarkEnd w:id="176"/>
      <w:bookmarkEnd w:id="177"/>
    </w:p>
    <w:p>
      <w:pPr>
        <w:spacing w:line="400" w:lineRule="exact"/>
        <w:rPr>
          <w:rFonts w:ascii="宋体" w:hAnsi="宋体"/>
          <w:highlight w:val="none"/>
        </w:rPr>
      </w:pPr>
      <w:r>
        <w:rPr>
          <w:rFonts w:hint="eastAsia" w:ascii="宋体" w:hAnsi="宋体"/>
          <w:highlight w:val="none"/>
        </w:rPr>
        <w:t>　　2.1.1 本招标文件包括：</w:t>
      </w:r>
    </w:p>
    <w:p>
      <w:pPr>
        <w:spacing w:line="400" w:lineRule="exact"/>
        <w:ind w:firstLine="359" w:firstLineChars="171"/>
        <w:rPr>
          <w:rFonts w:ascii="宋体" w:hAnsi="宋体"/>
          <w:highlight w:val="none"/>
        </w:rPr>
      </w:pPr>
      <w:r>
        <w:rPr>
          <w:rFonts w:hint="eastAsia" w:ascii="宋体" w:hAnsi="宋体"/>
          <w:highlight w:val="none"/>
        </w:rPr>
        <w:t>（1）招标公告；</w:t>
      </w:r>
    </w:p>
    <w:p>
      <w:pPr>
        <w:spacing w:line="400" w:lineRule="exact"/>
        <w:ind w:firstLine="359" w:firstLineChars="171"/>
        <w:rPr>
          <w:rFonts w:ascii="宋体" w:hAnsi="宋体"/>
          <w:highlight w:val="none"/>
        </w:rPr>
      </w:pPr>
      <w:r>
        <w:rPr>
          <w:rFonts w:hint="eastAsia" w:ascii="宋体" w:hAnsi="宋体"/>
          <w:highlight w:val="none"/>
        </w:rPr>
        <w:t>（2）供应商须知；</w:t>
      </w:r>
    </w:p>
    <w:p>
      <w:pPr>
        <w:spacing w:line="400" w:lineRule="exact"/>
        <w:ind w:firstLine="359" w:firstLineChars="171"/>
        <w:rPr>
          <w:rFonts w:ascii="宋体" w:hAnsi="宋体"/>
          <w:highlight w:val="none"/>
        </w:rPr>
      </w:pPr>
      <w:r>
        <w:rPr>
          <w:rFonts w:hint="eastAsia" w:ascii="宋体" w:hAnsi="宋体"/>
          <w:highlight w:val="none"/>
        </w:rPr>
        <w:t>（3）评标办法；</w:t>
      </w:r>
    </w:p>
    <w:p>
      <w:pPr>
        <w:spacing w:line="400" w:lineRule="exact"/>
        <w:ind w:firstLine="359" w:firstLineChars="171"/>
        <w:rPr>
          <w:rFonts w:ascii="宋体" w:hAnsi="宋体"/>
          <w:highlight w:val="none"/>
        </w:rPr>
      </w:pPr>
      <w:r>
        <w:rPr>
          <w:rFonts w:hint="eastAsia" w:ascii="宋体" w:hAnsi="宋体"/>
          <w:highlight w:val="none"/>
        </w:rPr>
        <w:t>（4）合同条款及格式；</w:t>
      </w:r>
    </w:p>
    <w:p>
      <w:pPr>
        <w:spacing w:line="400" w:lineRule="exact"/>
        <w:ind w:firstLine="359" w:firstLineChars="171"/>
        <w:rPr>
          <w:rFonts w:ascii="宋体" w:hAnsi="宋体"/>
          <w:highlight w:val="none"/>
        </w:rPr>
      </w:pPr>
      <w:r>
        <w:rPr>
          <w:rFonts w:hint="eastAsia" w:ascii="宋体" w:hAnsi="宋体"/>
          <w:highlight w:val="none"/>
        </w:rPr>
        <w:t xml:space="preserve">（5）招标内容及商务技术要求； </w:t>
      </w:r>
    </w:p>
    <w:p>
      <w:pPr>
        <w:spacing w:line="400" w:lineRule="exact"/>
        <w:ind w:firstLine="359" w:firstLineChars="171"/>
        <w:rPr>
          <w:rFonts w:ascii="宋体" w:hAnsi="宋体"/>
          <w:highlight w:val="none"/>
        </w:rPr>
      </w:pPr>
      <w:r>
        <w:rPr>
          <w:rFonts w:hint="eastAsia" w:ascii="宋体" w:hAnsi="宋体"/>
          <w:highlight w:val="none"/>
        </w:rPr>
        <w:t>（6）投标文件格式；</w:t>
      </w:r>
    </w:p>
    <w:p>
      <w:pPr>
        <w:spacing w:line="400" w:lineRule="exact"/>
        <w:ind w:firstLine="359" w:firstLineChars="171"/>
        <w:rPr>
          <w:rFonts w:ascii="宋体" w:hAnsi="宋体"/>
          <w:highlight w:val="none"/>
        </w:rPr>
      </w:pPr>
      <w:r>
        <w:rPr>
          <w:rFonts w:hint="eastAsia" w:ascii="宋体" w:hAnsi="宋体"/>
          <w:highlight w:val="none"/>
        </w:rPr>
        <w:t>（7）供应商须知前附表规定的其他材料。</w:t>
      </w:r>
    </w:p>
    <w:p>
      <w:pPr>
        <w:spacing w:line="400" w:lineRule="exact"/>
        <w:ind w:firstLine="420" w:firstLineChars="200"/>
        <w:rPr>
          <w:rFonts w:ascii="宋体" w:hAnsi="宋体"/>
          <w:highlight w:val="none"/>
        </w:rPr>
      </w:pPr>
      <w:r>
        <w:rPr>
          <w:rFonts w:hint="eastAsia" w:ascii="宋体" w:hAnsi="宋体"/>
          <w:highlight w:val="none"/>
        </w:rPr>
        <w:t>2.1.2 根据本章第1.10款、第2.2款和第2.3款对招标文件所作的澄清、修改，构成招标文件的组成部分。</w:t>
      </w:r>
    </w:p>
    <w:p>
      <w:pPr>
        <w:pStyle w:val="4"/>
        <w:rPr>
          <w:rFonts w:ascii="宋体" w:hAnsi="宋体"/>
          <w:highlight w:val="none"/>
        </w:rPr>
      </w:pPr>
      <w:bookmarkStart w:id="178" w:name="_Toc152042320"/>
      <w:bookmarkStart w:id="179" w:name="_Toc144974512"/>
      <w:bookmarkStart w:id="180" w:name="_Toc246996932"/>
      <w:bookmarkStart w:id="181" w:name="_Toc152045544"/>
      <w:bookmarkStart w:id="182" w:name="_Toc338840201"/>
      <w:bookmarkStart w:id="183" w:name="_Toc246996189"/>
      <w:bookmarkStart w:id="184" w:name="_Toc247085703"/>
      <w:bookmarkStart w:id="185" w:name="_Toc179632562"/>
      <w:r>
        <w:rPr>
          <w:rFonts w:hint="eastAsia" w:ascii="宋体" w:hAnsi="宋体"/>
          <w:highlight w:val="none"/>
        </w:rPr>
        <w:t>2.2 招标文件的澄清</w:t>
      </w:r>
      <w:bookmarkEnd w:id="178"/>
      <w:bookmarkEnd w:id="179"/>
      <w:bookmarkEnd w:id="180"/>
      <w:bookmarkEnd w:id="181"/>
      <w:bookmarkEnd w:id="182"/>
      <w:bookmarkEnd w:id="183"/>
      <w:bookmarkEnd w:id="184"/>
      <w:bookmarkEnd w:id="185"/>
      <w:r>
        <w:rPr>
          <w:rFonts w:hint="eastAsia" w:ascii="宋体" w:hAnsi="宋体"/>
          <w:highlight w:val="none"/>
        </w:rPr>
        <w:t xml:space="preserve">和修改 </w:t>
      </w:r>
    </w:p>
    <w:p>
      <w:pPr>
        <w:spacing w:line="400" w:lineRule="exact"/>
        <w:ind w:firstLine="420" w:firstLineChars="200"/>
        <w:rPr>
          <w:rFonts w:ascii="宋体" w:hAnsi="宋体"/>
          <w:highlight w:val="none"/>
        </w:rPr>
      </w:pPr>
      <w:r>
        <w:rPr>
          <w:rFonts w:hint="eastAsia" w:ascii="宋体" w:hAnsi="宋体"/>
          <w:highlight w:val="none"/>
        </w:rPr>
        <w:t>2.2.1 供应商应仔细阅读和检查招标文件的全部内容。</w:t>
      </w:r>
      <w:r>
        <w:rPr>
          <w:rFonts w:hint="eastAsia" w:ascii="宋体" w:hAnsi="宋体"/>
          <w:szCs w:val="21"/>
          <w:highlight w:val="none"/>
        </w:rPr>
        <w:t>如发现缺页或附件不全，应及时向采购人提出，以便补齐。</w:t>
      </w:r>
      <w:r>
        <w:rPr>
          <w:rFonts w:hint="eastAsia" w:ascii="宋体" w:hAnsi="宋体"/>
          <w:highlight w:val="none"/>
        </w:rPr>
        <w:t>如有疑问，应在供应商须知前附表规定的时间前以书面形式提出，要求采购人对招标文件予以澄清。</w:t>
      </w:r>
    </w:p>
    <w:p>
      <w:pPr>
        <w:spacing w:line="400" w:lineRule="exact"/>
        <w:ind w:firstLine="420" w:firstLineChars="200"/>
        <w:rPr>
          <w:rFonts w:ascii="宋体" w:hAnsi="宋体"/>
          <w:highlight w:val="none"/>
        </w:rPr>
      </w:pPr>
      <w:r>
        <w:rPr>
          <w:rFonts w:hint="eastAsia" w:ascii="宋体" w:hAnsi="宋体"/>
          <w:highlight w:val="none"/>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pPr>
        <w:spacing w:line="400" w:lineRule="exact"/>
        <w:ind w:firstLine="420" w:firstLineChars="200"/>
        <w:rPr>
          <w:rFonts w:ascii="宋体" w:hAnsi="宋体"/>
          <w:highlight w:val="none"/>
        </w:rPr>
      </w:pPr>
      <w:r>
        <w:rPr>
          <w:rFonts w:hint="eastAsia" w:ascii="宋体" w:hAnsi="宋体"/>
          <w:highlight w:val="none"/>
        </w:rPr>
        <w:t>2.2.3 供应商应及时关注相关媒体，查看澄清和修改公告后无需以书面形式回复通知采购人。</w:t>
      </w:r>
    </w:p>
    <w:p>
      <w:pPr>
        <w:spacing w:line="400" w:lineRule="exact"/>
        <w:ind w:firstLine="420" w:firstLineChars="200"/>
        <w:rPr>
          <w:rFonts w:ascii="宋体" w:hAnsi="宋体"/>
          <w:highlight w:val="none"/>
        </w:rPr>
      </w:pPr>
      <w:r>
        <w:rPr>
          <w:rFonts w:hint="eastAsia" w:ascii="宋体" w:hAnsi="宋体"/>
          <w:highlight w:val="none"/>
        </w:rPr>
        <w:t>2.2.4 除非采购人认为确有必要答复，否则，采购人有权拒绝回复供应商在本章第 2.2.1 项规定的时间后的任何澄清要求。</w:t>
      </w:r>
    </w:p>
    <w:p>
      <w:pPr>
        <w:pStyle w:val="3"/>
        <w:rPr>
          <w:rFonts w:ascii="宋体" w:hAnsi="宋体" w:eastAsia="宋体"/>
          <w:highlight w:val="none"/>
        </w:rPr>
      </w:pPr>
      <w:bookmarkStart w:id="186" w:name="_Toc338840203"/>
      <w:bookmarkStart w:id="187" w:name="_Toc494093431"/>
      <w:bookmarkStart w:id="188" w:name="_Toc179632564"/>
      <w:bookmarkStart w:id="189" w:name="_Toc10395"/>
      <w:bookmarkStart w:id="190" w:name="_Toc8262"/>
      <w:bookmarkStart w:id="191" w:name="_Toc494526403"/>
      <w:bookmarkStart w:id="192" w:name="_Toc246996191"/>
      <w:bookmarkStart w:id="193" w:name="_Toc338840444"/>
      <w:bookmarkStart w:id="194" w:name="_Toc14285"/>
      <w:bookmarkStart w:id="195" w:name="_Toc9061"/>
      <w:bookmarkStart w:id="196" w:name="_Toc152042322"/>
      <w:bookmarkStart w:id="197" w:name="_Toc152045546"/>
      <w:bookmarkStart w:id="198" w:name="_Toc247085705"/>
      <w:bookmarkStart w:id="199" w:name="_Toc246996934"/>
      <w:bookmarkStart w:id="200" w:name="_Toc346523467"/>
      <w:bookmarkStart w:id="201" w:name="_Toc338840483"/>
      <w:bookmarkStart w:id="202" w:name="_Toc144974514"/>
      <w:bookmarkStart w:id="203" w:name="_Toc346523404"/>
      <w:r>
        <w:rPr>
          <w:rFonts w:hint="eastAsia" w:ascii="宋体" w:hAnsi="宋体" w:eastAsia="宋体"/>
          <w:highlight w:val="none"/>
        </w:rPr>
        <w:t>3. 投标文件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pPr>
        <w:pStyle w:val="4"/>
        <w:rPr>
          <w:rFonts w:ascii="宋体" w:hAnsi="宋体"/>
          <w:highlight w:val="none"/>
        </w:rPr>
      </w:pPr>
      <w:bookmarkStart w:id="204" w:name="_Toc179632565"/>
      <w:bookmarkStart w:id="205" w:name="_Toc246996935"/>
      <w:bookmarkStart w:id="206" w:name="_Toc152042323"/>
      <w:bookmarkStart w:id="207" w:name="_Toc144974515"/>
      <w:bookmarkStart w:id="208" w:name="_Toc246996192"/>
      <w:bookmarkStart w:id="209" w:name="_Toc152045547"/>
      <w:bookmarkStart w:id="210" w:name="_Toc247085706"/>
      <w:bookmarkStart w:id="211" w:name="_Toc338840204"/>
      <w:r>
        <w:rPr>
          <w:rFonts w:hint="eastAsia" w:ascii="宋体" w:hAnsi="宋体"/>
          <w:highlight w:val="none"/>
        </w:rPr>
        <w:t>3.1 投标文件的组成</w:t>
      </w:r>
      <w:bookmarkEnd w:id="204"/>
      <w:bookmarkEnd w:id="205"/>
      <w:bookmarkEnd w:id="206"/>
      <w:bookmarkEnd w:id="207"/>
      <w:bookmarkEnd w:id="208"/>
      <w:bookmarkEnd w:id="209"/>
      <w:bookmarkEnd w:id="210"/>
      <w:bookmarkEnd w:id="211"/>
    </w:p>
    <w:p>
      <w:pPr>
        <w:spacing w:line="400" w:lineRule="exact"/>
        <w:ind w:firstLine="420" w:firstLineChars="200"/>
        <w:rPr>
          <w:rFonts w:ascii="宋体" w:hAnsi="宋体"/>
          <w:highlight w:val="none"/>
        </w:rPr>
      </w:pPr>
      <w:r>
        <w:rPr>
          <w:rFonts w:hint="eastAsia" w:ascii="宋体" w:hAnsi="宋体"/>
          <w:highlight w:val="none"/>
        </w:rPr>
        <w:t>投标文件应包括的内容：见第六章投标文件格式。</w:t>
      </w:r>
    </w:p>
    <w:p>
      <w:pPr>
        <w:pStyle w:val="4"/>
        <w:rPr>
          <w:rFonts w:ascii="宋体" w:hAnsi="宋体"/>
          <w:sz w:val="21"/>
          <w:szCs w:val="21"/>
          <w:highlight w:val="none"/>
        </w:rPr>
      </w:pPr>
      <w:bookmarkStart w:id="212" w:name="_Toc247085707"/>
      <w:bookmarkStart w:id="213" w:name="_Toc144974516"/>
      <w:bookmarkStart w:id="214" w:name="_Toc152045548"/>
      <w:bookmarkStart w:id="215" w:name="_Toc152042324"/>
      <w:bookmarkStart w:id="216" w:name="_Toc179632566"/>
      <w:bookmarkStart w:id="217" w:name="_Toc246996193"/>
      <w:bookmarkStart w:id="218" w:name="_Toc246996936"/>
      <w:bookmarkStart w:id="219" w:name="_Toc338840205"/>
      <w:r>
        <w:rPr>
          <w:rFonts w:hint="eastAsia" w:ascii="宋体" w:hAnsi="宋体"/>
          <w:highlight w:val="none"/>
        </w:rPr>
        <w:t>3.2 投标报价</w:t>
      </w:r>
      <w:bookmarkEnd w:id="212"/>
      <w:bookmarkEnd w:id="213"/>
      <w:bookmarkEnd w:id="214"/>
      <w:bookmarkEnd w:id="215"/>
      <w:bookmarkEnd w:id="216"/>
      <w:bookmarkEnd w:id="217"/>
      <w:bookmarkEnd w:id="218"/>
      <w:bookmarkEnd w:id="219"/>
    </w:p>
    <w:p>
      <w:pPr>
        <w:spacing w:line="400" w:lineRule="exact"/>
        <w:ind w:firstLine="420" w:firstLineChars="200"/>
        <w:rPr>
          <w:rFonts w:ascii="宋体" w:hAnsi="宋体"/>
          <w:highlight w:val="none"/>
        </w:rPr>
      </w:pPr>
      <w:r>
        <w:rPr>
          <w:rFonts w:hint="eastAsia" w:ascii="宋体" w:hAnsi="宋体"/>
          <w:highlight w:val="none"/>
        </w:rPr>
        <w:t>3.2.1 报价范围：见供应商须知前附表。</w:t>
      </w:r>
    </w:p>
    <w:p>
      <w:pPr>
        <w:spacing w:line="400" w:lineRule="exact"/>
        <w:ind w:firstLine="420" w:firstLineChars="200"/>
        <w:rPr>
          <w:rFonts w:ascii="宋体" w:hAnsi="宋体"/>
          <w:highlight w:val="none"/>
        </w:rPr>
      </w:pPr>
      <w:r>
        <w:rPr>
          <w:rFonts w:hint="eastAsia" w:ascii="宋体" w:hAnsi="宋体"/>
          <w:highlight w:val="none"/>
        </w:rPr>
        <w:t xml:space="preserve">3.2.2 </w:t>
      </w:r>
      <w:r>
        <w:rPr>
          <w:rFonts w:hint="eastAsia" w:ascii="宋体" w:hAnsi="宋体"/>
          <w:szCs w:val="21"/>
          <w:highlight w:val="none"/>
        </w:rPr>
        <w:t>报价应具有唯一性，即投标函中只能有一个有效投标报价（招标文件另有要求的除外）。本项目</w:t>
      </w:r>
      <w:r>
        <w:rPr>
          <w:rFonts w:hint="eastAsia" w:ascii="宋体" w:hAnsi="宋体"/>
          <w:kern w:val="0"/>
          <w:szCs w:val="21"/>
          <w:highlight w:val="none"/>
        </w:rPr>
        <w:t>不接受任何有选择性的报价</w:t>
      </w:r>
      <w:bookmarkStart w:id="220" w:name="_Toc152042325"/>
      <w:bookmarkStart w:id="221" w:name="_Toc152045549"/>
      <w:bookmarkStart w:id="222" w:name="_Toc144974517"/>
      <w:bookmarkStart w:id="223" w:name="_Toc179632567"/>
      <w:r>
        <w:rPr>
          <w:rFonts w:hint="eastAsia" w:ascii="宋体" w:hAnsi="宋体"/>
          <w:kern w:val="0"/>
          <w:szCs w:val="21"/>
          <w:highlight w:val="none"/>
        </w:rPr>
        <w:t>。</w:t>
      </w:r>
    </w:p>
    <w:p>
      <w:pPr>
        <w:spacing w:line="400" w:lineRule="exact"/>
        <w:ind w:firstLine="420" w:firstLineChars="200"/>
        <w:rPr>
          <w:rFonts w:ascii="宋体" w:hAnsi="宋体"/>
          <w:highlight w:val="none"/>
        </w:rPr>
      </w:pPr>
      <w:r>
        <w:rPr>
          <w:rFonts w:hint="eastAsia" w:ascii="宋体" w:hAnsi="宋体"/>
          <w:highlight w:val="none"/>
        </w:rPr>
        <w:t>3.2.3 采购人设有最高限价的，最高限价在供应商须知前附表中载明。</w:t>
      </w:r>
    </w:p>
    <w:p>
      <w:pPr>
        <w:spacing w:line="400" w:lineRule="exact"/>
        <w:ind w:firstLine="420" w:firstLineChars="200"/>
        <w:rPr>
          <w:rFonts w:ascii="宋体" w:hAnsi="宋体"/>
          <w:highlight w:val="none"/>
        </w:rPr>
      </w:pPr>
      <w:r>
        <w:rPr>
          <w:rFonts w:hint="eastAsia" w:ascii="宋体" w:hAnsi="宋体"/>
          <w:highlight w:val="none"/>
        </w:rPr>
        <w:t>3.2.4 报价币种：见供应商须知前附表。</w:t>
      </w:r>
    </w:p>
    <w:p>
      <w:pPr>
        <w:pStyle w:val="4"/>
        <w:rPr>
          <w:rFonts w:ascii="宋体" w:hAnsi="宋体"/>
          <w:highlight w:val="none"/>
        </w:rPr>
      </w:pPr>
      <w:bookmarkStart w:id="224" w:name="_Toc246996194"/>
      <w:bookmarkStart w:id="225" w:name="_Toc338840206"/>
      <w:bookmarkStart w:id="226" w:name="_Toc246996937"/>
      <w:bookmarkStart w:id="227" w:name="_Toc247085708"/>
      <w:r>
        <w:rPr>
          <w:rFonts w:hint="eastAsia" w:ascii="宋体" w:hAnsi="宋体"/>
          <w:highlight w:val="none"/>
        </w:rPr>
        <w:t>3.3 投标有效期</w:t>
      </w:r>
      <w:bookmarkEnd w:id="220"/>
      <w:bookmarkEnd w:id="221"/>
      <w:bookmarkEnd w:id="222"/>
      <w:bookmarkEnd w:id="223"/>
      <w:bookmarkEnd w:id="224"/>
      <w:bookmarkEnd w:id="225"/>
      <w:bookmarkEnd w:id="226"/>
      <w:bookmarkEnd w:id="227"/>
    </w:p>
    <w:p>
      <w:pPr>
        <w:spacing w:line="400" w:lineRule="exact"/>
        <w:ind w:firstLine="420" w:firstLineChars="200"/>
        <w:rPr>
          <w:rFonts w:ascii="宋体" w:hAnsi="宋体"/>
          <w:highlight w:val="none"/>
        </w:rPr>
      </w:pPr>
      <w:r>
        <w:rPr>
          <w:rFonts w:hint="eastAsia" w:ascii="宋体" w:hAnsi="宋体"/>
          <w:highlight w:val="none"/>
        </w:rPr>
        <w:t>3.3.1 除供应商须知前附表另有规定外，投标有效期为60天。</w:t>
      </w:r>
    </w:p>
    <w:p>
      <w:pPr>
        <w:spacing w:line="400" w:lineRule="exact"/>
        <w:ind w:firstLine="420" w:firstLineChars="200"/>
        <w:rPr>
          <w:rFonts w:ascii="宋体" w:hAnsi="宋体"/>
          <w:highlight w:val="none"/>
        </w:rPr>
      </w:pPr>
      <w:r>
        <w:rPr>
          <w:rFonts w:hint="eastAsia" w:ascii="宋体" w:hAnsi="宋体"/>
          <w:highlight w:val="none"/>
        </w:rPr>
        <w:t>3.3.2在投标有效期内，供应商撤销或修改其投标文件的，应承担招标文件和法律规定的责任。</w:t>
      </w:r>
    </w:p>
    <w:p>
      <w:pPr>
        <w:spacing w:line="400" w:lineRule="exact"/>
        <w:ind w:firstLine="420" w:firstLineChars="200"/>
        <w:rPr>
          <w:rFonts w:ascii="宋体" w:hAnsi="宋体"/>
          <w:szCs w:val="21"/>
          <w:highlight w:val="none"/>
        </w:rPr>
      </w:pPr>
      <w:r>
        <w:rPr>
          <w:rFonts w:hint="eastAsia" w:ascii="宋体" w:hAnsi="宋体"/>
          <w:highlight w:val="none"/>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pPr>
        <w:pStyle w:val="4"/>
        <w:rPr>
          <w:rFonts w:ascii="宋体" w:hAnsi="宋体"/>
          <w:highlight w:val="none"/>
        </w:rPr>
      </w:pPr>
      <w:bookmarkStart w:id="228" w:name="_Toc246996195"/>
      <w:bookmarkStart w:id="229" w:name="_Toc338840207"/>
      <w:bookmarkStart w:id="230" w:name="_Toc144974518"/>
      <w:bookmarkStart w:id="231" w:name="_Toc152042326"/>
      <w:bookmarkStart w:id="232" w:name="_Toc247085709"/>
      <w:bookmarkStart w:id="233" w:name="_Toc179632568"/>
      <w:bookmarkStart w:id="234" w:name="_Toc246996938"/>
      <w:bookmarkStart w:id="235" w:name="_Toc152045550"/>
      <w:r>
        <w:rPr>
          <w:rFonts w:hint="eastAsia" w:ascii="宋体" w:hAnsi="宋体"/>
          <w:highlight w:val="none"/>
        </w:rPr>
        <w:t xml:space="preserve"> </w:t>
      </w:r>
      <w:bookmarkEnd w:id="228"/>
      <w:bookmarkEnd w:id="229"/>
      <w:bookmarkEnd w:id="230"/>
      <w:bookmarkEnd w:id="231"/>
      <w:bookmarkEnd w:id="232"/>
      <w:bookmarkEnd w:id="233"/>
      <w:bookmarkEnd w:id="234"/>
      <w:bookmarkEnd w:id="235"/>
      <w:r>
        <w:rPr>
          <w:rFonts w:hint="eastAsia" w:ascii="宋体" w:hAnsi="宋体"/>
          <w:highlight w:val="none"/>
        </w:rPr>
        <w:t>3.4 投标保证金</w:t>
      </w:r>
    </w:p>
    <w:p>
      <w:pPr>
        <w:spacing w:line="400" w:lineRule="exact"/>
        <w:ind w:firstLine="420" w:firstLineChars="200"/>
        <w:rPr>
          <w:rFonts w:ascii="宋体" w:hAnsi="宋体"/>
          <w:highlight w:val="none"/>
        </w:rPr>
      </w:pPr>
      <w:r>
        <w:rPr>
          <w:rFonts w:hint="eastAsia" w:ascii="宋体" w:hAnsi="宋体"/>
          <w:highlight w:val="none"/>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pPr>
        <w:spacing w:line="400" w:lineRule="exact"/>
        <w:ind w:firstLine="420" w:firstLineChars="200"/>
        <w:rPr>
          <w:rFonts w:ascii="宋体" w:hAnsi="宋体"/>
          <w:highlight w:val="none"/>
        </w:rPr>
      </w:pPr>
      <w:r>
        <w:rPr>
          <w:rFonts w:hint="eastAsia" w:ascii="宋体" w:hAnsi="宋体"/>
          <w:highlight w:val="none"/>
        </w:rPr>
        <w:t>3.4.2供应商不按本章第3.4.1项要求提交保证金的，评标委员会将否决其投标。</w:t>
      </w:r>
    </w:p>
    <w:p>
      <w:pPr>
        <w:spacing w:line="400" w:lineRule="exact"/>
        <w:ind w:firstLine="420" w:firstLineChars="200"/>
        <w:rPr>
          <w:rFonts w:ascii="宋体" w:hAnsi="宋体"/>
          <w:highlight w:val="none"/>
        </w:rPr>
      </w:pPr>
      <w:r>
        <w:rPr>
          <w:rFonts w:hint="eastAsia" w:ascii="宋体" w:hAnsi="宋体"/>
          <w:highlight w:val="none"/>
        </w:rPr>
        <w:t>3.4.3在中标人确定后5个工作日内退还未中标供应商的保证金；合同签订后5个工作日内退还中标人的保证金。</w:t>
      </w:r>
    </w:p>
    <w:p>
      <w:pPr>
        <w:spacing w:line="400" w:lineRule="exact"/>
        <w:ind w:firstLine="420" w:firstLineChars="200"/>
        <w:rPr>
          <w:rFonts w:ascii="宋体" w:hAnsi="宋体"/>
          <w:highlight w:val="none"/>
        </w:rPr>
      </w:pPr>
      <w:r>
        <w:rPr>
          <w:rFonts w:hint="eastAsia" w:ascii="宋体" w:hAnsi="宋体"/>
          <w:highlight w:val="none"/>
        </w:rPr>
        <w:t xml:space="preserve">3.4.4有下列情形之一的，投标保证金将不予退还： </w:t>
      </w:r>
    </w:p>
    <w:p>
      <w:pPr>
        <w:spacing w:line="400" w:lineRule="exact"/>
        <w:ind w:firstLine="718" w:firstLineChars="342"/>
        <w:rPr>
          <w:rFonts w:ascii="宋体" w:hAnsi="宋体"/>
          <w:highlight w:val="none"/>
        </w:rPr>
      </w:pPr>
      <w:r>
        <w:rPr>
          <w:rFonts w:hint="eastAsia" w:ascii="宋体" w:hAnsi="宋体"/>
          <w:highlight w:val="none"/>
        </w:rPr>
        <w:t>（1）供应商在规定的投标有效期内撤销或修改其投标文件；</w:t>
      </w:r>
    </w:p>
    <w:p>
      <w:pPr>
        <w:spacing w:line="400" w:lineRule="exact"/>
        <w:ind w:firstLine="718" w:firstLineChars="342"/>
        <w:rPr>
          <w:rFonts w:ascii="宋体" w:hAnsi="宋体"/>
          <w:highlight w:val="none"/>
        </w:rPr>
      </w:pPr>
      <w:r>
        <w:rPr>
          <w:rFonts w:hint="eastAsia" w:ascii="宋体" w:hAnsi="宋体"/>
          <w:highlight w:val="none"/>
        </w:rPr>
        <w:t>（2）中标人在收到中标通知书后，无正当理由拒签合同协议书或未按招标文件规定提交履约担保。</w:t>
      </w:r>
    </w:p>
    <w:p>
      <w:pPr>
        <w:spacing w:line="400" w:lineRule="exact"/>
        <w:ind w:firstLine="718" w:firstLineChars="342"/>
        <w:rPr>
          <w:rFonts w:ascii="宋体" w:hAnsi="宋体"/>
          <w:highlight w:val="none"/>
        </w:rPr>
      </w:pPr>
      <w:r>
        <w:rPr>
          <w:rFonts w:hint="eastAsia" w:ascii="宋体" w:hAnsi="宋体"/>
          <w:highlight w:val="none"/>
        </w:rPr>
        <w:t>（3）提供虚假资料或存在违法违规行为的。</w:t>
      </w:r>
    </w:p>
    <w:p>
      <w:pPr>
        <w:pStyle w:val="4"/>
        <w:rPr>
          <w:rFonts w:ascii="宋体" w:hAnsi="宋体"/>
          <w:highlight w:val="none"/>
        </w:rPr>
      </w:pPr>
      <w:bookmarkStart w:id="236" w:name="_Toc246996939"/>
      <w:bookmarkStart w:id="237" w:name="_Toc144974520"/>
      <w:bookmarkStart w:id="238" w:name="_Toc338840208"/>
      <w:bookmarkStart w:id="239" w:name="_Toc247085710"/>
      <w:bookmarkStart w:id="240" w:name="_Toc152045552"/>
      <w:bookmarkStart w:id="241" w:name="_Toc246996196"/>
      <w:bookmarkStart w:id="242" w:name="_Toc179632570"/>
      <w:bookmarkStart w:id="243" w:name="_Toc152042328"/>
      <w:r>
        <w:rPr>
          <w:rFonts w:hint="eastAsia" w:ascii="宋体" w:hAnsi="宋体"/>
          <w:highlight w:val="none"/>
        </w:rPr>
        <w:t>3.5 资格审查资料</w:t>
      </w:r>
      <w:bookmarkEnd w:id="236"/>
      <w:bookmarkEnd w:id="237"/>
      <w:bookmarkEnd w:id="238"/>
      <w:bookmarkEnd w:id="239"/>
      <w:bookmarkEnd w:id="240"/>
      <w:bookmarkEnd w:id="241"/>
      <w:bookmarkEnd w:id="242"/>
      <w:bookmarkEnd w:id="243"/>
    </w:p>
    <w:p>
      <w:pPr>
        <w:spacing w:line="400" w:lineRule="exact"/>
        <w:ind w:firstLine="420" w:firstLineChars="200"/>
        <w:rPr>
          <w:rFonts w:ascii="宋体" w:hAnsi="宋体"/>
          <w:highlight w:val="none"/>
        </w:rPr>
      </w:pPr>
      <w:r>
        <w:rPr>
          <w:rFonts w:hint="eastAsia" w:ascii="宋体" w:hAnsi="宋体"/>
          <w:highlight w:val="none"/>
        </w:rPr>
        <w:t>3.5.1 资格要求：见供应商须知前附表。</w:t>
      </w:r>
    </w:p>
    <w:p>
      <w:pPr>
        <w:spacing w:line="400" w:lineRule="exact"/>
        <w:ind w:firstLine="420" w:firstLineChars="200"/>
        <w:rPr>
          <w:rFonts w:ascii="宋体" w:hAnsi="宋体"/>
          <w:highlight w:val="none"/>
        </w:rPr>
      </w:pPr>
      <w:r>
        <w:rPr>
          <w:rFonts w:hint="eastAsia" w:ascii="宋体" w:hAnsi="宋体"/>
          <w:highlight w:val="none"/>
        </w:rPr>
        <w:t>供应商须知前附表中要求的供应商资格审查材料应将</w:t>
      </w:r>
      <w:r>
        <w:rPr>
          <w:rFonts w:ascii="宋体" w:hAnsi="宋体"/>
          <w:highlight w:val="none"/>
        </w:rPr>
        <w:t>原件</w:t>
      </w:r>
      <w:r>
        <w:rPr>
          <w:rFonts w:hint="eastAsia" w:ascii="宋体" w:hAnsi="宋体"/>
          <w:highlight w:val="none"/>
        </w:rPr>
        <w:t>扫描件附到投标文件中。</w:t>
      </w:r>
    </w:p>
    <w:p>
      <w:pPr>
        <w:pStyle w:val="4"/>
        <w:rPr>
          <w:rFonts w:ascii="宋体" w:hAnsi="宋体"/>
          <w:highlight w:val="none"/>
        </w:rPr>
      </w:pPr>
      <w:bookmarkStart w:id="244" w:name="_Toc338840209"/>
      <w:bookmarkStart w:id="245" w:name="_Toc246996940"/>
      <w:bookmarkStart w:id="246" w:name="_Toc246996197"/>
      <w:bookmarkStart w:id="247" w:name="_Toc144974521"/>
      <w:bookmarkStart w:id="248" w:name="_Toc247085711"/>
      <w:bookmarkStart w:id="249" w:name="_Toc152042329"/>
      <w:bookmarkStart w:id="250" w:name="_Toc179632571"/>
      <w:bookmarkStart w:id="251" w:name="_Toc152045553"/>
      <w:r>
        <w:rPr>
          <w:rFonts w:hint="eastAsia" w:ascii="宋体" w:hAnsi="宋体"/>
          <w:highlight w:val="none"/>
        </w:rPr>
        <w:t>3.6投标文件的编制</w:t>
      </w:r>
      <w:bookmarkEnd w:id="244"/>
    </w:p>
    <w:p>
      <w:pPr>
        <w:spacing w:line="400" w:lineRule="exact"/>
        <w:ind w:firstLine="420" w:firstLineChars="200"/>
        <w:rPr>
          <w:rFonts w:ascii="宋体" w:hAnsi="宋体"/>
          <w:highlight w:val="none"/>
        </w:rPr>
      </w:pPr>
      <w:r>
        <w:rPr>
          <w:rFonts w:hint="eastAsia" w:ascii="宋体" w:hAnsi="宋体"/>
          <w:highlight w:val="none"/>
        </w:rPr>
        <w:t>3.6.1投标文件应按第六章“投标文件格式”进行编写，如有必要，可以增加附页，作为投标文件的组成部分。在满足招标文件实质性要求的基础上，可以提出比招标文件要求更有利于采购人的承诺。</w:t>
      </w:r>
    </w:p>
    <w:p>
      <w:pPr>
        <w:spacing w:line="400" w:lineRule="exact"/>
        <w:ind w:firstLine="420" w:firstLineChars="200"/>
        <w:rPr>
          <w:rFonts w:ascii="宋体" w:hAnsi="宋体"/>
          <w:szCs w:val="21"/>
          <w:highlight w:val="none"/>
        </w:rPr>
      </w:pPr>
      <w:r>
        <w:rPr>
          <w:rFonts w:hint="eastAsia" w:ascii="宋体" w:hAnsi="宋体"/>
          <w:highlight w:val="none"/>
        </w:rPr>
        <w:t>3.6.2 投标文件应当对招标文件有关供应商资格要求、符合性审查要求</w:t>
      </w:r>
      <w:r>
        <w:rPr>
          <w:rFonts w:hint="eastAsia" w:ascii="宋体" w:hAnsi="宋体"/>
          <w:szCs w:val="21"/>
          <w:highlight w:val="none"/>
        </w:rPr>
        <w:t>等实质性内容作出响应。</w:t>
      </w:r>
    </w:p>
    <w:p>
      <w:pPr>
        <w:spacing w:line="400" w:lineRule="exact"/>
        <w:ind w:firstLine="420" w:firstLineChars="200"/>
        <w:rPr>
          <w:rFonts w:ascii="宋体" w:hAnsi="宋体"/>
          <w:highlight w:val="none"/>
        </w:rPr>
      </w:pPr>
      <w:r>
        <w:rPr>
          <w:rFonts w:ascii="宋体" w:hAnsi="宋体"/>
          <w:highlight w:val="none"/>
        </w:rPr>
        <w:t>3.</w:t>
      </w:r>
      <w:r>
        <w:rPr>
          <w:rFonts w:hint="eastAsia" w:ascii="宋体" w:hAnsi="宋体"/>
          <w:highlight w:val="none"/>
        </w:rPr>
        <w:t>6</w:t>
      </w:r>
      <w:r>
        <w:rPr>
          <w:rFonts w:ascii="宋体" w:hAnsi="宋体"/>
          <w:highlight w:val="none"/>
        </w:rPr>
        <w:t>.3</w:t>
      </w:r>
      <w:r>
        <w:rPr>
          <w:rFonts w:hint="eastAsia" w:ascii="宋体" w:hAnsi="宋体"/>
          <w:highlight w:val="none"/>
        </w:rPr>
        <w:t>实行电子招标投标时，</w:t>
      </w:r>
      <w:r>
        <w:rPr>
          <w:rFonts w:ascii="宋体" w:hAnsi="宋体"/>
          <w:highlight w:val="none"/>
        </w:rPr>
        <w:t>投标文件全部采用电子文档，除供应商须知前附表另有规定外，投标文件所附证书证件均为原件扫描件，并采用</w:t>
      </w:r>
      <w:r>
        <w:rPr>
          <w:rFonts w:hint="eastAsia" w:ascii="宋体" w:hAnsi="宋体"/>
          <w:szCs w:val="21"/>
          <w:highlight w:val="none"/>
          <w:lang w:val="zh-CN"/>
        </w:rPr>
        <w:t>CA密钥</w:t>
      </w:r>
      <w:r>
        <w:rPr>
          <w:rFonts w:ascii="宋体" w:hAnsi="宋体"/>
          <w:highlight w:val="none"/>
        </w:rPr>
        <w:t>，按招标文件要求在相应位置加盖电子印章。签字或盖章的具体要求见供应商须知前附表。</w:t>
      </w:r>
    </w:p>
    <w:bookmarkEnd w:id="245"/>
    <w:bookmarkEnd w:id="246"/>
    <w:bookmarkEnd w:id="247"/>
    <w:bookmarkEnd w:id="248"/>
    <w:bookmarkEnd w:id="249"/>
    <w:bookmarkEnd w:id="250"/>
    <w:bookmarkEnd w:id="251"/>
    <w:p>
      <w:pPr>
        <w:pStyle w:val="3"/>
        <w:rPr>
          <w:rFonts w:ascii="宋体" w:hAnsi="宋体" w:eastAsia="宋体"/>
          <w:highlight w:val="none"/>
        </w:rPr>
      </w:pPr>
      <w:bookmarkStart w:id="252" w:name="_Toc152042331"/>
      <w:bookmarkStart w:id="253" w:name="_Toc494526404"/>
      <w:bookmarkStart w:id="254" w:name="_Toc494093432"/>
      <w:bookmarkStart w:id="255" w:name="_Toc338840484"/>
      <w:bookmarkStart w:id="256" w:name="_Toc8915"/>
      <w:bookmarkStart w:id="257" w:name="_Toc179632573"/>
      <w:bookmarkStart w:id="258" w:name="_Toc246996199"/>
      <w:bookmarkStart w:id="259" w:name="_Toc152045555"/>
      <w:bookmarkStart w:id="260" w:name="_Toc2826"/>
      <w:bookmarkStart w:id="261" w:name="_Toc346523468"/>
      <w:bookmarkStart w:id="262" w:name="_Toc26446"/>
      <w:bookmarkStart w:id="263" w:name="_Toc247085713"/>
      <w:bookmarkStart w:id="264" w:name="_Toc338840445"/>
      <w:bookmarkStart w:id="265" w:name="_Toc346523405"/>
      <w:bookmarkStart w:id="266" w:name="_Toc14743"/>
      <w:bookmarkStart w:id="267" w:name="_Toc246996942"/>
      <w:bookmarkStart w:id="268" w:name="_Toc144974523"/>
      <w:bookmarkStart w:id="269" w:name="_Toc338840210"/>
      <w:r>
        <w:rPr>
          <w:rFonts w:hint="eastAsia" w:ascii="宋体" w:hAnsi="宋体" w:eastAsia="宋体"/>
          <w:highlight w:val="none"/>
        </w:rPr>
        <w:t>4. 投标</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pPr>
        <w:pStyle w:val="4"/>
        <w:rPr>
          <w:rFonts w:ascii="宋体" w:hAnsi="宋体"/>
          <w:highlight w:val="none"/>
        </w:rPr>
      </w:pPr>
      <w:bookmarkStart w:id="270" w:name="_Toc246996943"/>
      <w:bookmarkStart w:id="271" w:name="_Toc246996200"/>
      <w:bookmarkStart w:id="272" w:name="_Toc338840211"/>
      <w:bookmarkStart w:id="273" w:name="_Toc152045556"/>
      <w:bookmarkStart w:id="274" w:name="_Toc247085714"/>
      <w:bookmarkStart w:id="275" w:name="_Toc179632574"/>
      <w:bookmarkStart w:id="276" w:name="_Toc152042332"/>
      <w:bookmarkStart w:id="277" w:name="_Toc144974524"/>
      <w:r>
        <w:rPr>
          <w:rFonts w:hint="eastAsia" w:ascii="宋体" w:hAnsi="宋体"/>
          <w:highlight w:val="none"/>
        </w:rPr>
        <w:t>4.1 投标文件的加密</w:t>
      </w:r>
      <w:bookmarkEnd w:id="270"/>
      <w:bookmarkEnd w:id="271"/>
      <w:bookmarkEnd w:id="272"/>
      <w:bookmarkEnd w:id="273"/>
      <w:bookmarkEnd w:id="274"/>
      <w:bookmarkEnd w:id="275"/>
      <w:bookmarkEnd w:id="276"/>
      <w:bookmarkEnd w:id="277"/>
    </w:p>
    <w:p>
      <w:pPr>
        <w:spacing w:line="400" w:lineRule="exact"/>
        <w:ind w:firstLine="420" w:firstLineChars="200"/>
        <w:rPr>
          <w:rFonts w:ascii="宋体" w:hAnsi="宋体"/>
          <w:highlight w:val="none"/>
        </w:rPr>
      </w:pPr>
      <w:bookmarkStart w:id="278" w:name="_Toc246996201"/>
      <w:bookmarkStart w:id="279" w:name="_Toc152042333"/>
      <w:bookmarkStart w:id="280" w:name="_Toc179632575"/>
      <w:bookmarkStart w:id="281" w:name="_Toc144974525"/>
      <w:bookmarkStart w:id="282" w:name="_Toc246996944"/>
      <w:bookmarkStart w:id="283" w:name="_Toc152045557"/>
      <w:bookmarkStart w:id="284" w:name="_Toc247085715"/>
      <w:r>
        <w:rPr>
          <w:rFonts w:hint="eastAsia" w:ascii="宋体" w:hAnsi="宋体"/>
          <w:highlight w:val="none"/>
        </w:rPr>
        <w:t>4.1.1实行电子招标投标时，</w:t>
      </w:r>
      <w:r>
        <w:rPr>
          <w:rFonts w:ascii="宋体" w:hAnsi="宋体"/>
          <w:highlight w:val="none"/>
        </w:rPr>
        <w:t>供应商应当按照招标文件和电子招标投标交易平台的要求加密投标文件，具体要求见供应商须知前附表。</w:t>
      </w:r>
    </w:p>
    <w:p>
      <w:pPr>
        <w:pStyle w:val="4"/>
        <w:rPr>
          <w:rFonts w:ascii="宋体" w:hAnsi="宋体"/>
          <w:highlight w:val="none"/>
        </w:rPr>
      </w:pPr>
      <w:bookmarkStart w:id="285" w:name="_Toc338840212"/>
      <w:r>
        <w:rPr>
          <w:rFonts w:hint="eastAsia" w:ascii="宋体" w:hAnsi="宋体"/>
          <w:highlight w:val="none"/>
        </w:rPr>
        <w:t>4.2 投标文件的递交</w:t>
      </w:r>
      <w:bookmarkEnd w:id="278"/>
      <w:bookmarkEnd w:id="279"/>
      <w:bookmarkEnd w:id="280"/>
      <w:bookmarkEnd w:id="281"/>
      <w:bookmarkEnd w:id="282"/>
      <w:bookmarkEnd w:id="283"/>
      <w:bookmarkEnd w:id="284"/>
      <w:bookmarkEnd w:id="285"/>
    </w:p>
    <w:p>
      <w:pPr>
        <w:spacing w:line="400" w:lineRule="exact"/>
        <w:ind w:firstLine="420" w:firstLineChars="200"/>
        <w:rPr>
          <w:rFonts w:ascii="宋体" w:hAnsi="宋体"/>
          <w:highlight w:val="none"/>
        </w:rPr>
      </w:pPr>
      <w:r>
        <w:rPr>
          <w:rFonts w:hint="eastAsia" w:ascii="宋体" w:hAnsi="宋体"/>
          <w:highlight w:val="none"/>
        </w:rPr>
        <w:t>4.2.1 供应商应在规定的投标截止时间前，通过下载招标文件的电子招标投标交易平台上传提交电子投标文件。</w:t>
      </w:r>
    </w:p>
    <w:p>
      <w:pPr>
        <w:spacing w:line="400" w:lineRule="exact"/>
        <w:ind w:firstLine="420" w:firstLineChars="200"/>
        <w:rPr>
          <w:rFonts w:ascii="宋体" w:hAnsi="宋体"/>
          <w:highlight w:val="none"/>
        </w:rPr>
      </w:pPr>
      <w:r>
        <w:rPr>
          <w:rFonts w:hint="eastAsia" w:ascii="宋体" w:hAnsi="宋体"/>
          <w:highlight w:val="none"/>
        </w:rPr>
        <w:t>4.2.2除供应商须知前附表另有规定外，供应商所递交的投标文件不予退还。</w:t>
      </w:r>
    </w:p>
    <w:p>
      <w:pPr>
        <w:spacing w:line="400" w:lineRule="exact"/>
        <w:ind w:firstLine="420" w:firstLineChars="200"/>
        <w:rPr>
          <w:rFonts w:ascii="宋体" w:hAnsi="宋体"/>
          <w:highlight w:val="none"/>
        </w:rPr>
      </w:pPr>
      <w:r>
        <w:rPr>
          <w:rFonts w:hint="eastAsia" w:ascii="宋体" w:hAnsi="宋体"/>
          <w:highlight w:val="none"/>
        </w:rPr>
        <w:t>4.2.3逾期送达的投标文件，电子招标投标交易平台将予以拒收。</w:t>
      </w:r>
    </w:p>
    <w:p>
      <w:pPr>
        <w:pStyle w:val="4"/>
        <w:rPr>
          <w:rFonts w:ascii="宋体" w:hAnsi="宋体"/>
          <w:highlight w:val="none"/>
        </w:rPr>
      </w:pPr>
      <w:bookmarkStart w:id="286" w:name="_Toc152045558"/>
      <w:bookmarkStart w:id="287" w:name="_Toc246996945"/>
      <w:bookmarkStart w:id="288" w:name="_Toc247085716"/>
      <w:bookmarkStart w:id="289" w:name="_Toc179632576"/>
      <w:bookmarkStart w:id="290" w:name="_Toc152042334"/>
      <w:bookmarkStart w:id="291" w:name="_Toc144974526"/>
      <w:bookmarkStart w:id="292" w:name="_Toc338840213"/>
      <w:bookmarkStart w:id="293" w:name="_Toc246996202"/>
      <w:r>
        <w:rPr>
          <w:rFonts w:hint="eastAsia" w:ascii="宋体" w:hAnsi="宋体"/>
          <w:highlight w:val="none"/>
        </w:rPr>
        <w:t>4.3 投标文件的修改与撤回</w:t>
      </w:r>
      <w:bookmarkEnd w:id="286"/>
      <w:bookmarkEnd w:id="287"/>
      <w:bookmarkEnd w:id="288"/>
      <w:bookmarkEnd w:id="289"/>
      <w:bookmarkEnd w:id="290"/>
      <w:bookmarkEnd w:id="291"/>
      <w:bookmarkEnd w:id="292"/>
      <w:bookmarkEnd w:id="293"/>
    </w:p>
    <w:p>
      <w:pPr>
        <w:spacing w:line="400" w:lineRule="exact"/>
        <w:ind w:firstLine="420" w:firstLineChars="200"/>
        <w:rPr>
          <w:rFonts w:ascii="宋体" w:hAnsi="宋体"/>
          <w:highlight w:val="none"/>
        </w:rPr>
      </w:pPr>
      <w:r>
        <w:rPr>
          <w:rFonts w:hint="eastAsia" w:ascii="宋体" w:hAnsi="宋体"/>
          <w:highlight w:val="none"/>
        </w:rPr>
        <w:t>4.3.1 在规定的投标截止及开标时间前，供应商可以修改或撤回已上传的投标文件。</w:t>
      </w:r>
    </w:p>
    <w:p>
      <w:pPr>
        <w:pStyle w:val="3"/>
        <w:rPr>
          <w:rFonts w:ascii="宋体" w:hAnsi="宋体" w:eastAsia="宋体"/>
          <w:highlight w:val="none"/>
        </w:rPr>
      </w:pPr>
      <w:bookmarkStart w:id="294" w:name="_Toc346523406"/>
      <w:bookmarkStart w:id="295" w:name="_Toc246996203"/>
      <w:bookmarkStart w:id="296" w:name="_Toc19059"/>
      <w:bookmarkStart w:id="297" w:name="_Toc179632577"/>
      <w:bookmarkStart w:id="298" w:name="_Toc246996946"/>
      <w:bookmarkStart w:id="299" w:name="_Toc338840485"/>
      <w:bookmarkStart w:id="300" w:name="_Toc152045559"/>
      <w:bookmarkStart w:id="301" w:name="_Toc494093433"/>
      <w:bookmarkStart w:id="302" w:name="_Toc338840214"/>
      <w:bookmarkStart w:id="303" w:name="_Toc346523469"/>
      <w:bookmarkStart w:id="304" w:name="_Toc11800"/>
      <w:bookmarkStart w:id="305" w:name="_Toc494526405"/>
      <w:bookmarkStart w:id="306" w:name="_Toc152042335"/>
      <w:bookmarkStart w:id="307" w:name="_Toc22635"/>
      <w:bookmarkStart w:id="308" w:name="_Toc247085717"/>
      <w:bookmarkStart w:id="309" w:name="_Toc144974527"/>
      <w:bookmarkStart w:id="310" w:name="_Toc338840446"/>
      <w:bookmarkStart w:id="311" w:name="_Toc20438"/>
      <w:r>
        <w:rPr>
          <w:rFonts w:hint="eastAsia" w:ascii="宋体" w:hAnsi="宋体" w:eastAsia="宋体"/>
          <w:highlight w:val="none"/>
        </w:rPr>
        <w:t>5. 开标</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pPr>
        <w:pStyle w:val="4"/>
        <w:rPr>
          <w:rFonts w:ascii="宋体" w:hAnsi="宋体"/>
          <w:highlight w:val="none"/>
        </w:rPr>
      </w:pPr>
      <w:r>
        <w:rPr>
          <w:rFonts w:hint="eastAsia" w:ascii="宋体" w:hAnsi="宋体"/>
          <w:highlight w:val="none"/>
        </w:rPr>
        <w:t>5.1 投标截止及开标时间、地点</w:t>
      </w:r>
    </w:p>
    <w:p>
      <w:pPr>
        <w:spacing w:line="400" w:lineRule="exact"/>
        <w:ind w:firstLine="420" w:firstLineChars="200"/>
        <w:rPr>
          <w:rFonts w:ascii="宋体" w:hAnsi="宋体"/>
          <w:highlight w:val="none"/>
        </w:rPr>
      </w:pPr>
      <w:r>
        <w:rPr>
          <w:rFonts w:hint="eastAsia" w:ascii="宋体" w:hAnsi="宋体"/>
          <w:highlight w:val="none"/>
        </w:rPr>
        <w:t>采购人在规定的投标截止时间（开标时间）,通过电子招标投标交易平台公开开标，邀请所有供应商的法定代表人（单位负责人）或其委托代理人准时参加。</w:t>
      </w:r>
    </w:p>
    <w:p>
      <w:pPr>
        <w:pStyle w:val="4"/>
        <w:rPr>
          <w:rFonts w:ascii="宋体" w:hAnsi="宋体"/>
          <w:highlight w:val="none"/>
        </w:rPr>
      </w:pPr>
      <w:bookmarkStart w:id="312" w:name="_Toc338840216"/>
      <w:bookmarkStart w:id="313" w:name="_Toc144974529"/>
      <w:bookmarkStart w:id="314" w:name="_Toc179632579"/>
      <w:bookmarkStart w:id="315" w:name="_Toc152045561"/>
      <w:bookmarkStart w:id="316" w:name="_Toc152042337"/>
      <w:bookmarkStart w:id="317" w:name="_Toc246996948"/>
      <w:bookmarkStart w:id="318" w:name="_Toc247085719"/>
      <w:bookmarkStart w:id="319" w:name="_Toc246996205"/>
      <w:r>
        <w:rPr>
          <w:rFonts w:hint="eastAsia" w:ascii="宋体" w:hAnsi="宋体"/>
          <w:highlight w:val="none"/>
        </w:rPr>
        <w:t>5.2 开标程序</w:t>
      </w:r>
      <w:bookmarkEnd w:id="312"/>
      <w:bookmarkEnd w:id="313"/>
      <w:bookmarkEnd w:id="314"/>
      <w:bookmarkEnd w:id="315"/>
      <w:bookmarkEnd w:id="316"/>
      <w:bookmarkEnd w:id="317"/>
      <w:bookmarkEnd w:id="318"/>
      <w:bookmarkEnd w:id="319"/>
    </w:p>
    <w:p>
      <w:pPr>
        <w:spacing w:line="400" w:lineRule="exact"/>
        <w:ind w:firstLine="359" w:firstLineChars="171"/>
        <w:rPr>
          <w:rFonts w:ascii="宋体" w:hAnsi="宋体"/>
          <w:highlight w:val="none"/>
        </w:rPr>
      </w:pPr>
      <w:r>
        <w:rPr>
          <w:rFonts w:hint="eastAsia" w:ascii="宋体" w:hAnsi="宋体"/>
          <w:highlight w:val="none"/>
        </w:rPr>
        <w:t xml:space="preserve">详见供应商须知前附表 </w:t>
      </w:r>
    </w:p>
    <w:p>
      <w:pPr>
        <w:pStyle w:val="4"/>
        <w:rPr>
          <w:rFonts w:ascii="宋体" w:hAnsi="宋体"/>
          <w:highlight w:val="none"/>
        </w:rPr>
      </w:pPr>
      <w:bookmarkStart w:id="320" w:name="_Toc338840217"/>
      <w:r>
        <w:rPr>
          <w:rFonts w:hint="eastAsia" w:ascii="宋体" w:hAnsi="宋体"/>
          <w:highlight w:val="none"/>
        </w:rPr>
        <w:t>5.3 开标异议</w:t>
      </w:r>
      <w:bookmarkEnd w:id="320"/>
    </w:p>
    <w:p>
      <w:pPr>
        <w:spacing w:line="400" w:lineRule="exact"/>
        <w:ind w:firstLine="359" w:firstLineChars="171"/>
        <w:rPr>
          <w:rFonts w:ascii="宋体" w:hAnsi="宋体"/>
          <w:highlight w:val="none"/>
        </w:rPr>
      </w:pPr>
      <w:r>
        <w:rPr>
          <w:rFonts w:hint="eastAsia" w:ascii="宋体" w:hAnsi="宋体"/>
          <w:highlight w:val="none"/>
        </w:rPr>
        <w:t>供应商对开标有异议的，应当在开标现场提出，采购人当场作出答复，并记录。</w:t>
      </w:r>
    </w:p>
    <w:p>
      <w:pPr>
        <w:pStyle w:val="3"/>
        <w:rPr>
          <w:rFonts w:ascii="宋体" w:hAnsi="宋体" w:eastAsia="宋体"/>
          <w:highlight w:val="none"/>
        </w:rPr>
      </w:pPr>
      <w:bookmarkStart w:id="321" w:name="_Toc494526406"/>
      <w:bookmarkStart w:id="322" w:name="_Toc338840447"/>
      <w:bookmarkStart w:id="323" w:name="_Toc338840218"/>
      <w:bookmarkStart w:id="324" w:name="_Toc247085720"/>
      <w:bookmarkStart w:id="325" w:name="_Toc338840486"/>
      <w:bookmarkStart w:id="326" w:name="_Toc152045562"/>
      <w:bookmarkStart w:id="327" w:name="_Toc246996206"/>
      <w:bookmarkStart w:id="328" w:name="_Toc346523470"/>
      <w:bookmarkStart w:id="329" w:name="_Toc346523407"/>
      <w:bookmarkStart w:id="330" w:name="_Toc246996949"/>
      <w:bookmarkStart w:id="331" w:name="_Toc23221"/>
      <w:bookmarkStart w:id="332" w:name="_Toc15053"/>
      <w:bookmarkStart w:id="333" w:name="_Toc152042338"/>
      <w:bookmarkStart w:id="334" w:name="_Toc494093434"/>
      <w:bookmarkStart w:id="335" w:name="_Toc144974530"/>
      <w:bookmarkStart w:id="336" w:name="_Toc23925"/>
      <w:bookmarkStart w:id="337" w:name="_Toc25260"/>
      <w:bookmarkStart w:id="338" w:name="_Toc179632580"/>
      <w:r>
        <w:rPr>
          <w:rFonts w:hint="eastAsia" w:ascii="宋体" w:hAnsi="宋体" w:eastAsia="宋体"/>
          <w:highlight w:val="none"/>
        </w:rPr>
        <w:t>6. 评标</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pPr>
        <w:pStyle w:val="4"/>
        <w:rPr>
          <w:rFonts w:ascii="宋体" w:hAnsi="宋体"/>
          <w:highlight w:val="none"/>
        </w:rPr>
      </w:pPr>
      <w:bookmarkStart w:id="339" w:name="_Toc152045563"/>
      <w:bookmarkStart w:id="340" w:name="_Toc152042339"/>
      <w:bookmarkStart w:id="341" w:name="_Toc247085721"/>
      <w:bookmarkStart w:id="342" w:name="_Toc246996950"/>
      <w:bookmarkStart w:id="343" w:name="_Toc338840219"/>
      <w:bookmarkStart w:id="344" w:name="_Toc246996207"/>
      <w:bookmarkStart w:id="345" w:name="_Toc179632581"/>
      <w:bookmarkStart w:id="346" w:name="_Toc144974531"/>
      <w:r>
        <w:rPr>
          <w:rFonts w:hint="eastAsia" w:ascii="宋体" w:hAnsi="宋体"/>
          <w:highlight w:val="none"/>
        </w:rPr>
        <w:t>6.1 评标委员会</w:t>
      </w:r>
      <w:bookmarkEnd w:id="339"/>
      <w:bookmarkEnd w:id="340"/>
      <w:bookmarkEnd w:id="341"/>
      <w:bookmarkEnd w:id="342"/>
      <w:bookmarkEnd w:id="343"/>
      <w:bookmarkEnd w:id="344"/>
      <w:bookmarkEnd w:id="345"/>
      <w:bookmarkEnd w:id="346"/>
    </w:p>
    <w:p>
      <w:pPr>
        <w:spacing w:line="400" w:lineRule="exact"/>
        <w:ind w:firstLine="420" w:firstLineChars="200"/>
        <w:rPr>
          <w:rFonts w:ascii="宋体" w:hAnsi="宋体"/>
          <w:highlight w:val="none"/>
        </w:rPr>
      </w:pPr>
      <w:r>
        <w:rPr>
          <w:rFonts w:hint="eastAsia" w:ascii="宋体" w:hAnsi="宋体"/>
          <w:highlight w:val="none"/>
        </w:rPr>
        <w:t>6.1.1 评标由采购人依法组建的评标委员会负责。评标委员会由采购人熟悉相关业务的代表以及评审专家组成。评标委员会成员人数以及评审专家的确定方式见供应商须知前附表。</w:t>
      </w:r>
    </w:p>
    <w:p>
      <w:pPr>
        <w:spacing w:line="400" w:lineRule="exact"/>
        <w:ind w:firstLine="420" w:firstLineChars="200"/>
        <w:rPr>
          <w:rFonts w:ascii="宋体" w:hAnsi="宋体"/>
          <w:highlight w:val="none"/>
        </w:rPr>
      </w:pPr>
      <w:r>
        <w:rPr>
          <w:rFonts w:hint="eastAsia" w:ascii="宋体" w:hAnsi="宋体"/>
          <w:highlight w:val="none"/>
        </w:rPr>
        <w:t>6.1.2 评标委员会成员有下列情形之一的，应当回避：</w:t>
      </w:r>
    </w:p>
    <w:p>
      <w:pPr>
        <w:spacing w:line="400" w:lineRule="exact"/>
        <w:ind w:left="420" w:firstLine="420" w:firstLineChars="200"/>
        <w:rPr>
          <w:rFonts w:ascii="宋体" w:hAnsi="宋体"/>
          <w:highlight w:val="none"/>
        </w:rPr>
      </w:pPr>
      <w:r>
        <w:rPr>
          <w:rFonts w:hint="eastAsia" w:ascii="宋体" w:hAnsi="宋体"/>
          <w:highlight w:val="none"/>
        </w:rPr>
        <w:t>（1）供应商或供应商主要负责人的近亲属；</w:t>
      </w:r>
    </w:p>
    <w:p>
      <w:pPr>
        <w:spacing w:line="400" w:lineRule="exact"/>
        <w:ind w:left="420" w:firstLine="420" w:firstLineChars="200"/>
        <w:rPr>
          <w:rFonts w:ascii="宋体" w:hAnsi="宋体"/>
          <w:highlight w:val="none"/>
        </w:rPr>
      </w:pPr>
      <w:r>
        <w:rPr>
          <w:rFonts w:hint="eastAsia" w:ascii="宋体" w:hAnsi="宋体"/>
          <w:highlight w:val="none"/>
        </w:rPr>
        <w:t>（2）项目主管部门或者行政监督部门的人员；</w:t>
      </w:r>
    </w:p>
    <w:p>
      <w:pPr>
        <w:spacing w:line="400" w:lineRule="exact"/>
        <w:ind w:left="420" w:firstLine="420" w:firstLineChars="200"/>
        <w:rPr>
          <w:rFonts w:ascii="宋体" w:hAnsi="宋体"/>
          <w:highlight w:val="none"/>
        </w:rPr>
      </w:pPr>
      <w:r>
        <w:rPr>
          <w:rFonts w:hint="eastAsia" w:ascii="宋体" w:hAnsi="宋体"/>
          <w:highlight w:val="none"/>
        </w:rPr>
        <w:t>（3）与供应商有经济利益关系，可能影响对投标公正评审的；</w:t>
      </w:r>
    </w:p>
    <w:p>
      <w:pPr>
        <w:spacing w:line="400" w:lineRule="exact"/>
        <w:ind w:left="420" w:firstLine="420" w:firstLineChars="200"/>
        <w:rPr>
          <w:rFonts w:ascii="宋体" w:hAnsi="宋体"/>
          <w:highlight w:val="none"/>
        </w:rPr>
      </w:pPr>
      <w:r>
        <w:rPr>
          <w:rFonts w:hint="eastAsia" w:ascii="宋体" w:hAnsi="宋体"/>
          <w:highlight w:val="none"/>
        </w:rPr>
        <w:t>（4）曾因在招标、评标以及其他与招标投标有关活动中从事违法行为而受过行政处罚或刑事处罚期限未满的；</w:t>
      </w:r>
    </w:p>
    <w:p>
      <w:pPr>
        <w:spacing w:line="400" w:lineRule="exact"/>
        <w:ind w:left="420" w:firstLine="420" w:firstLineChars="200"/>
        <w:rPr>
          <w:rFonts w:ascii="宋体" w:hAnsi="宋体"/>
          <w:highlight w:val="none"/>
        </w:rPr>
      </w:pPr>
      <w:r>
        <w:rPr>
          <w:rFonts w:hint="eastAsia" w:ascii="宋体" w:hAnsi="宋体"/>
          <w:highlight w:val="none"/>
        </w:rPr>
        <w:t>（5）与供应商有其他利害关系。</w:t>
      </w:r>
    </w:p>
    <w:p>
      <w:pPr>
        <w:spacing w:line="400" w:lineRule="exact"/>
        <w:ind w:firstLine="420" w:firstLineChars="200"/>
        <w:rPr>
          <w:rFonts w:ascii="宋体" w:hAnsi="宋体"/>
          <w:highlight w:val="none"/>
        </w:rPr>
      </w:pPr>
      <w:r>
        <w:rPr>
          <w:rFonts w:hint="eastAsia" w:ascii="宋体" w:hAnsi="宋体"/>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pPr>
        <w:pStyle w:val="4"/>
        <w:rPr>
          <w:rFonts w:ascii="宋体" w:hAnsi="宋体"/>
          <w:highlight w:val="none"/>
        </w:rPr>
      </w:pPr>
      <w:bookmarkStart w:id="347" w:name="_Toc179632582"/>
      <w:bookmarkStart w:id="348" w:name="_Toc152042340"/>
      <w:bookmarkStart w:id="349" w:name="_Toc246996208"/>
      <w:bookmarkStart w:id="350" w:name="_Toc247085722"/>
      <w:bookmarkStart w:id="351" w:name="_Toc338840220"/>
      <w:bookmarkStart w:id="352" w:name="_Toc246996951"/>
      <w:bookmarkStart w:id="353" w:name="_Toc152045564"/>
      <w:bookmarkStart w:id="354" w:name="_Toc144974532"/>
      <w:r>
        <w:rPr>
          <w:rFonts w:hint="eastAsia" w:ascii="宋体" w:hAnsi="宋体"/>
          <w:highlight w:val="none"/>
        </w:rPr>
        <w:t>6.2 评标原则</w:t>
      </w:r>
      <w:bookmarkEnd w:id="347"/>
      <w:bookmarkEnd w:id="348"/>
      <w:bookmarkEnd w:id="349"/>
      <w:bookmarkEnd w:id="350"/>
      <w:bookmarkEnd w:id="351"/>
      <w:bookmarkEnd w:id="352"/>
      <w:bookmarkEnd w:id="353"/>
      <w:bookmarkEnd w:id="354"/>
    </w:p>
    <w:p>
      <w:pPr>
        <w:spacing w:line="400" w:lineRule="exact"/>
        <w:ind w:firstLine="420" w:firstLineChars="200"/>
        <w:rPr>
          <w:rFonts w:ascii="宋体" w:hAnsi="宋体"/>
          <w:highlight w:val="none"/>
        </w:rPr>
      </w:pPr>
      <w:r>
        <w:rPr>
          <w:rFonts w:hint="eastAsia" w:ascii="宋体" w:hAnsi="宋体"/>
          <w:highlight w:val="none"/>
        </w:rPr>
        <w:t>评标活动遵循公平、公正、科学和择优的原则。</w:t>
      </w:r>
    </w:p>
    <w:p>
      <w:pPr>
        <w:pStyle w:val="4"/>
        <w:rPr>
          <w:rFonts w:ascii="宋体" w:hAnsi="宋体"/>
          <w:highlight w:val="none"/>
        </w:rPr>
      </w:pPr>
      <w:bookmarkStart w:id="355" w:name="_Toc246996209"/>
      <w:bookmarkStart w:id="356" w:name="_Toc247085723"/>
      <w:bookmarkStart w:id="357" w:name="_Toc338840221"/>
      <w:bookmarkStart w:id="358" w:name="_Toc246996952"/>
      <w:bookmarkStart w:id="359" w:name="_Toc179632583"/>
      <w:bookmarkStart w:id="360" w:name="_Toc152045565"/>
      <w:bookmarkStart w:id="361" w:name="_Toc144974533"/>
      <w:bookmarkStart w:id="362" w:name="_Toc152042341"/>
      <w:r>
        <w:rPr>
          <w:rFonts w:hint="eastAsia" w:ascii="宋体" w:hAnsi="宋体"/>
          <w:highlight w:val="none"/>
        </w:rPr>
        <w:t>6.3 评标</w:t>
      </w:r>
      <w:bookmarkEnd w:id="355"/>
      <w:bookmarkEnd w:id="356"/>
      <w:bookmarkEnd w:id="357"/>
      <w:bookmarkEnd w:id="358"/>
      <w:bookmarkEnd w:id="359"/>
      <w:bookmarkEnd w:id="360"/>
      <w:bookmarkEnd w:id="361"/>
      <w:bookmarkEnd w:id="362"/>
    </w:p>
    <w:p>
      <w:pPr>
        <w:spacing w:line="400" w:lineRule="exact"/>
        <w:ind w:firstLine="420" w:firstLineChars="200"/>
        <w:rPr>
          <w:rFonts w:ascii="宋体" w:hAnsi="宋体"/>
          <w:highlight w:val="none"/>
        </w:rPr>
      </w:pPr>
      <w:r>
        <w:rPr>
          <w:rFonts w:hint="eastAsia" w:ascii="宋体" w:hAnsi="宋体"/>
          <w:highlight w:val="none"/>
        </w:rPr>
        <w:t>6.3.1评标委员会按照第三章“评标办法”规定的方法、评审因素、标准和程序对投标文件进行评审。第三章“评标办法”没有规定的方法、评审因素和标准，不作为评标依据。</w:t>
      </w:r>
    </w:p>
    <w:p>
      <w:pPr>
        <w:spacing w:line="400" w:lineRule="exact"/>
        <w:ind w:firstLine="420" w:firstLineChars="200"/>
        <w:rPr>
          <w:rFonts w:ascii="宋体" w:hAnsi="宋体"/>
          <w:highlight w:val="none"/>
        </w:rPr>
      </w:pPr>
      <w:r>
        <w:rPr>
          <w:rFonts w:hint="eastAsia" w:ascii="宋体" w:hAnsi="宋体"/>
          <w:highlight w:val="none"/>
        </w:rPr>
        <w:t>6.3.2评标完成后，评标委员会应当向采购人提交书面评标报告和中标候选人名单。评标委员会推荐中标候选人的人数见供应商须知前附表。</w:t>
      </w:r>
    </w:p>
    <w:p>
      <w:pPr>
        <w:pStyle w:val="3"/>
        <w:rPr>
          <w:rFonts w:ascii="宋体" w:hAnsi="宋体" w:eastAsia="宋体"/>
          <w:highlight w:val="none"/>
        </w:rPr>
      </w:pPr>
      <w:bookmarkStart w:id="363" w:name="_Toc338840222"/>
      <w:bookmarkStart w:id="364" w:name="_Toc346523471"/>
      <w:bookmarkStart w:id="365" w:name="_Toc144974534"/>
      <w:bookmarkStart w:id="366" w:name="_Toc346523408"/>
      <w:bookmarkStart w:id="367" w:name="_Toc338840487"/>
      <w:bookmarkStart w:id="368" w:name="_Toc247085724"/>
      <w:bookmarkStart w:id="369" w:name="_Toc179632584"/>
      <w:bookmarkStart w:id="370" w:name="_Toc246996953"/>
      <w:bookmarkStart w:id="371" w:name="_Toc11962"/>
      <w:bookmarkStart w:id="372" w:name="_Toc338840448"/>
      <w:bookmarkStart w:id="373" w:name="_Toc494093435"/>
      <w:bookmarkStart w:id="374" w:name="_Toc494526407"/>
      <w:bookmarkStart w:id="375" w:name="_Toc152045566"/>
      <w:bookmarkStart w:id="376" w:name="_Toc30344"/>
      <w:bookmarkStart w:id="377" w:name="_Toc3710"/>
      <w:bookmarkStart w:id="378" w:name="_Toc7858"/>
      <w:bookmarkStart w:id="379" w:name="_Toc152042342"/>
      <w:bookmarkStart w:id="380" w:name="_Toc246996210"/>
      <w:r>
        <w:rPr>
          <w:rFonts w:hint="eastAsia" w:ascii="宋体" w:hAnsi="宋体" w:eastAsia="宋体"/>
          <w:highlight w:val="none"/>
        </w:rPr>
        <w:t>7. 合同授予</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pPr>
        <w:pStyle w:val="4"/>
        <w:rPr>
          <w:rFonts w:ascii="宋体" w:hAnsi="宋体"/>
          <w:highlight w:val="none"/>
        </w:rPr>
      </w:pPr>
      <w:bookmarkStart w:id="381" w:name="_Toc152042343"/>
      <w:bookmarkStart w:id="382" w:name="_Toc152045567"/>
      <w:bookmarkStart w:id="383" w:name="_Toc247085725"/>
      <w:bookmarkStart w:id="384" w:name="_Toc338840223"/>
      <w:bookmarkStart w:id="385" w:name="_Toc179632585"/>
      <w:bookmarkStart w:id="386" w:name="_Toc144974535"/>
      <w:bookmarkStart w:id="387" w:name="_Toc246996954"/>
      <w:bookmarkStart w:id="388" w:name="_Toc246996211"/>
      <w:r>
        <w:rPr>
          <w:rFonts w:hint="eastAsia" w:ascii="宋体" w:hAnsi="宋体"/>
          <w:highlight w:val="none"/>
        </w:rPr>
        <w:t>7.1 定标方式</w:t>
      </w:r>
      <w:bookmarkEnd w:id="381"/>
      <w:bookmarkEnd w:id="382"/>
      <w:bookmarkEnd w:id="383"/>
      <w:bookmarkEnd w:id="384"/>
      <w:bookmarkEnd w:id="385"/>
      <w:bookmarkEnd w:id="386"/>
      <w:bookmarkEnd w:id="387"/>
      <w:bookmarkEnd w:id="388"/>
    </w:p>
    <w:p>
      <w:pPr>
        <w:spacing w:line="400" w:lineRule="exact"/>
        <w:ind w:firstLine="420" w:firstLineChars="200"/>
        <w:rPr>
          <w:rFonts w:ascii="宋体" w:hAnsi="宋体"/>
          <w:highlight w:val="none"/>
        </w:rPr>
      </w:pPr>
      <w:r>
        <w:rPr>
          <w:rFonts w:hint="eastAsia" w:ascii="宋体" w:hAnsi="宋体"/>
          <w:highlight w:val="none"/>
        </w:rPr>
        <w:t>除供应商须知前附表规定评标委员会直接确定中标人外，采购人依据评标委员会推荐的中标候选人名单，按排序确定中标人，评标委员会推荐中标候选人的人数见供应商须知前附表。</w:t>
      </w:r>
    </w:p>
    <w:p>
      <w:pPr>
        <w:pStyle w:val="4"/>
        <w:rPr>
          <w:rFonts w:ascii="宋体" w:hAnsi="宋体"/>
          <w:highlight w:val="none"/>
        </w:rPr>
      </w:pPr>
      <w:bookmarkStart w:id="389" w:name="_Toc338840224"/>
      <w:r>
        <w:rPr>
          <w:rFonts w:hint="eastAsia" w:ascii="宋体" w:hAnsi="宋体"/>
          <w:highlight w:val="none"/>
        </w:rPr>
        <w:t>7.2 中标人公布</w:t>
      </w:r>
      <w:bookmarkEnd w:id="389"/>
      <w:r>
        <w:rPr>
          <w:rFonts w:hint="eastAsia" w:ascii="宋体" w:hAnsi="宋体"/>
          <w:highlight w:val="none"/>
        </w:rPr>
        <w:t>媒介</w:t>
      </w:r>
    </w:p>
    <w:p>
      <w:pPr>
        <w:spacing w:line="400" w:lineRule="exact"/>
        <w:ind w:firstLine="420" w:firstLineChars="200"/>
        <w:rPr>
          <w:rFonts w:ascii="宋体" w:hAnsi="宋体"/>
          <w:highlight w:val="none"/>
        </w:rPr>
      </w:pPr>
      <w:r>
        <w:rPr>
          <w:rFonts w:hint="eastAsia" w:ascii="宋体" w:hAnsi="宋体"/>
          <w:highlight w:val="none"/>
        </w:rPr>
        <w:t>采购人在供应商须知前附表规定的媒介公布中标人。</w:t>
      </w:r>
    </w:p>
    <w:p>
      <w:pPr>
        <w:pStyle w:val="4"/>
        <w:rPr>
          <w:rFonts w:ascii="宋体" w:hAnsi="宋体"/>
          <w:highlight w:val="none"/>
        </w:rPr>
      </w:pPr>
      <w:bookmarkStart w:id="390" w:name="_Toc152045568"/>
      <w:bookmarkStart w:id="391" w:name="_Toc246996212"/>
      <w:bookmarkStart w:id="392" w:name="_Toc152042344"/>
      <w:bookmarkStart w:id="393" w:name="_Toc179632586"/>
      <w:bookmarkStart w:id="394" w:name="_Toc338840225"/>
      <w:bookmarkStart w:id="395" w:name="_Toc144974536"/>
      <w:bookmarkStart w:id="396" w:name="_Toc246996955"/>
      <w:bookmarkStart w:id="397" w:name="_Toc247085726"/>
      <w:r>
        <w:rPr>
          <w:rFonts w:hint="eastAsia" w:ascii="宋体" w:hAnsi="宋体"/>
          <w:highlight w:val="none"/>
        </w:rPr>
        <w:t>7.3 中标通知</w:t>
      </w:r>
      <w:bookmarkEnd w:id="390"/>
      <w:bookmarkEnd w:id="391"/>
      <w:bookmarkEnd w:id="392"/>
      <w:bookmarkEnd w:id="393"/>
      <w:bookmarkEnd w:id="394"/>
      <w:bookmarkEnd w:id="395"/>
      <w:bookmarkEnd w:id="396"/>
      <w:bookmarkEnd w:id="397"/>
    </w:p>
    <w:p>
      <w:pPr>
        <w:spacing w:line="400" w:lineRule="exact"/>
        <w:ind w:firstLine="420" w:firstLineChars="200"/>
        <w:rPr>
          <w:rFonts w:ascii="宋体" w:hAnsi="宋体"/>
          <w:highlight w:val="none"/>
        </w:rPr>
      </w:pPr>
      <w:r>
        <w:rPr>
          <w:rFonts w:hint="eastAsia" w:ascii="宋体" w:hAnsi="宋体"/>
          <w:highlight w:val="none"/>
        </w:rPr>
        <w:t>采购人确定中标人后，在规定的中标人公布媒介公布，以书面形式向中标人发出中标通知书，其他未中标的供应商自行查看结果，不再另行通知。详见供应商须知前附表。</w:t>
      </w:r>
    </w:p>
    <w:p>
      <w:pPr>
        <w:pStyle w:val="4"/>
        <w:rPr>
          <w:rFonts w:ascii="宋体" w:hAnsi="宋体"/>
          <w:highlight w:val="none"/>
        </w:rPr>
      </w:pPr>
      <w:bookmarkStart w:id="398" w:name="_Toc179632587"/>
      <w:bookmarkStart w:id="399" w:name="_Toc246996213"/>
      <w:bookmarkStart w:id="400" w:name="_Toc338840226"/>
      <w:bookmarkStart w:id="401" w:name="_Toc152042345"/>
      <w:bookmarkStart w:id="402" w:name="_Toc247085727"/>
      <w:bookmarkStart w:id="403" w:name="_Toc152045569"/>
      <w:bookmarkStart w:id="404" w:name="_Toc246996956"/>
      <w:bookmarkStart w:id="405" w:name="_Toc144974537"/>
      <w:r>
        <w:rPr>
          <w:rFonts w:hint="eastAsia" w:ascii="宋体" w:hAnsi="宋体"/>
          <w:highlight w:val="none"/>
        </w:rPr>
        <w:t>7.4 履约担保</w:t>
      </w:r>
      <w:bookmarkEnd w:id="398"/>
      <w:bookmarkEnd w:id="399"/>
      <w:bookmarkEnd w:id="400"/>
      <w:bookmarkEnd w:id="401"/>
      <w:bookmarkEnd w:id="402"/>
      <w:bookmarkEnd w:id="403"/>
      <w:bookmarkEnd w:id="404"/>
      <w:bookmarkEnd w:id="405"/>
    </w:p>
    <w:p>
      <w:pPr>
        <w:spacing w:line="400" w:lineRule="exact"/>
        <w:ind w:firstLine="420" w:firstLineChars="200"/>
        <w:rPr>
          <w:rFonts w:ascii="宋体" w:hAnsi="宋体"/>
          <w:highlight w:val="none"/>
        </w:rPr>
      </w:pPr>
      <w:r>
        <w:rPr>
          <w:rFonts w:hint="eastAsia" w:ascii="宋体" w:hAnsi="宋体"/>
          <w:highlight w:val="none"/>
        </w:rPr>
        <w:t>7.4.1在签订合同前，中标人应按供应商须知前附表规定的担保形式和招标文件第四章“合同条款及格式”规定的或者事先经过采购人书面认可的履约担保方式向采购人提交履约担保。</w:t>
      </w:r>
    </w:p>
    <w:p>
      <w:pPr>
        <w:spacing w:line="400" w:lineRule="exact"/>
        <w:ind w:firstLine="420" w:firstLineChars="200"/>
        <w:rPr>
          <w:rFonts w:ascii="宋体" w:hAnsi="宋体"/>
          <w:highlight w:val="none"/>
        </w:rPr>
      </w:pPr>
      <w:r>
        <w:rPr>
          <w:rFonts w:hint="eastAsia" w:ascii="宋体" w:hAnsi="宋体"/>
          <w:highlight w:val="none"/>
        </w:rPr>
        <w:t>7.4.2 中标人不能按本章第7.4.1项要求提交履约担保的，视为放弃中标，其投标保证金不予退还，给采购人造成的损失超过投标保证金数额的，中标人还应当对超过部分予以赔偿。</w:t>
      </w:r>
    </w:p>
    <w:p>
      <w:pPr>
        <w:pStyle w:val="4"/>
        <w:rPr>
          <w:rFonts w:ascii="宋体" w:hAnsi="宋体"/>
          <w:highlight w:val="none"/>
        </w:rPr>
      </w:pPr>
      <w:bookmarkStart w:id="406" w:name="_Toc246996214"/>
      <w:bookmarkStart w:id="407" w:name="_Toc144974538"/>
      <w:bookmarkStart w:id="408" w:name="_Toc179632588"/>
      <w:bookmarkStart w:id="409" w:name="_Toc152045570"/>
      <w:bookmarkStart w:id="410" w:name="_Toc247085728"/>
      <w:bookmarkStart w:id="411" w:name="_Toc246996957"/>
      <w:bookmarkStart w:id="412" w:name="_Toc338840227"/>
      <w:bookmarkStart w:id="413" w:name="_Toc152042346"/>
      <w:r>
        <w:rPr>
          <w:rFonts w:hint="eastAsia" w:ascii="宋体" w:hAnsi="宋体"/>
          <w:highlight w:val="none"/>
        </w:rPr>
        <w:t>7.5 签订合同</w:t>
      </w:r>
      <w:bookmarkEnd w:id="406"/>
      <w:bookmarkEnd w:id="407"/>
      <w:bookmarkEnd w:id="408"/>
      <w:bookmarkEnd w:id="409"/>
      <w:bookmarkEnd w:id="410"/>
      <w:bookmarkEnd w:id="411"/>
      <w:bookmarkEnd w:id="412"/>
      <w:bookmarkEnd w:id="413"/>
    </w:p>
    <w:p>
      <w:pPr>
        <w:spacing w:line="400" w:lineRule="exact"/>
        <w:ind w:firstLine="420" w:firstLineChars="200"/>
        <w:rPr>
          <w:rFonts w:ascii="宋体" w:hAnsi="宋体"/>
          <w:highlight w:val="none"/>
        </w:rPr>
      </w:pPr>
      <w:r>
        <w:rPr>
          <w:rFonts w:hint="eastAsia" w:ascii="宋体" w:hAnsi="宋体"/>
          <w:highlight w:val="none"/>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pPr>
        <w:spacing w:line="400" w:lineRule="exact"/>
        <w:ind w:firstLine="420" w:firstLineChars="200"/>
        <w:rPr>
          <w:rFonts w:ascii="宋体" w:hAnsi="宋体"/>
          <w:highlight w:val="none"/>
        </w:rPr>
      </w:pPr>
      <w:r>
        <w:rPr>
          <w:rFonts w:hint="eastAsia" w:ascii="宋体" w:hAnsi="宋体"/>
          <w:highlight w:val="none"/>
        </w:rPr>
        <w:t>7.5.2 发出中标通知书后，采购人无正当理由拒签合同的，采购人向中标人退还投标保证金；给中标人造成损失的，还应当赔偿损失。</w:t>
      </w:r>
    </w:p>
    <w:p>
      <w:pPr>
        <w:spacing w:line="400" w:lineRule="exact"/>
        <w:ind w:firstLine="420" w:firstLineChars="200"/>
        <w:rPr>
          <w:rFonts w:ascii="宋体" w:hAnsi="宋体"/>
          <w:highlight w:val="none"/>
        </w:rPr>
      </w:pPr>
      <w:r>
        <w:rPr>
          <w:rFonts w:hint="eastAsia" w:ascii="宋体" w:hAnsi="宋体"/>
          <w:highlight w:val="none"/>
        </w:rPr>
        <w:t>7.5.3联合体中标的，联合体各方应当共同与采购人签订合同，就中标项目向采购人承担连带责任。</w:t>
      </w:r>
    </w:p>
    <w:p>
      <w:pPr>
        <w:pStyle w:val="3"/>
        <w:rPr>
          <w:rFonts w:ascii="宋体" w:hAnsi="宋体" w:eastAsia="宋体"/>
          <w:highlight w:val="none"/>
        </w:rPr>
      </w:pPr>
      <w:bookmarkStart w:id="414" w:name="_Toc338840228"/>
      <w:bookmarkStart w:id="415" w:name="_Toc346523472"/>
      <w:bookmarkStart w:id="416" w:name="_Toc494526408"/>
      <w:bookmarkStart w:id="417" w:name="_Toc1612"/>
      <w:bookmarkStart w:id="418" w:name="_Toc338840449"/>
      <w:bookmarkStart w:id="419" w:name="_Toc346523409"/>
      <w:bookmarkStart w:id="420" w:name="_Toc19232"/>
      <w:bookmarkStart w:id="421" w:name="_Toc338840488"/>
      <w:bookmarkStart w:id="422" w:name="_Toc494093436"/>
      <w:bookmarkStart w:id="423" w:name="_Toc4153"/>
      <w:bookmarkStart w:id="424" w:name="_Toc21421"/>
      <w:r>
        <w:rPr>
          <w:rFonts w:hint="eastAsia" w:ascii="宋体" w:hAnsi="宋体" w:eastAsia="宋体"/>
          <w:highlight w:val="none"/>
        </w:rPr>
        <w:t>8. 纪律和监督</w:t>
      </w:r>
      <w:bookmarkEnd w:id="414"/>
      <w:bookmarkEnd w:id="415"/>
      <w:bookmarkEnd w:id="416"/>
      <w:bookmarkEnd w:id="417"/>
      <w:bookmarkEnd w:id="418"/>
      <w:bookmarkEnd w:id="419"/>
      <w:bookmarkEnd w:id="420"/>
      <w:bookmarkEnd w:id="421"/>
      <w:bookmarkEnd w:id="422"/>
      <w:bookmarkEnd w:id="423"/>
      <w:bookmarkEnd w:id="424"/>
    </w:p>
    <w:p>
      <w:pPr>
        <w:pStyle w:val="4"/>
        <w:rPr>
          <w:rFonts w:ascii="宋体" w:hAnsi="宋体"/>
          <w:highlight w:val="none"/>
        </w:rPr>
      </w:pPr>
      <w:bookmarkStart w:id="425" w:name="_Toc179632593"/>
      <w:bookmarkStart w:id="426" w:name="_Toc338840229"/>
      <w:bookmarkStart w:id="427" w:name="_Toc247085733"/>
      <w:bookmarkStart w:id="428" w:name="_Toc296590983"/>
      <w:bookmarkStart w:id="429" w:name="_Toc152042351"/>
      <w:bookmarkStart w:id="430" w:name="_Toc246996962"/>
      <w:bookmarkStart w:id="431" w:name="_Toc144974543"/>
      <w:bookmarkStart w:id="432" w:name="_Toc246996219"/>
      <w:bookmarkStart w:id="433" w:name="_Toc152045575"/>
      <w:r>
        <w:rPr>
          <w:rFonts w:hint="eastAsia" w:ascii="宋体" w:hAnsi="宋体"/>
          <w:highlight w:val="none"/>
        </w:rPr>
        <w:t>8.1 对采购人的纪律要求</w:t>
      </w:r>
      <w:bookmarkEnd w:id="425"/>
      <w:bookmarkEnd w:id="426"/>
      <w:bookmarkEnd w:id="427"/>
      <w:bookmarkEnd w:id="428"/>
      <w:bookmarkEnd w:id="429"/>
      <w:bookmarkEnd w:id="430"/>
      <w:bookmarkEnd w:id="431"/>
      <w:bookmarkEnd w:id="432"/>
      <w:bookmarkEnd w:id="433"/>
    </w:p>
    <w:p>
      <w:pPr>
        <w:spacing w:line="400" w:lineRule="exact"/>
        <w:ind w:firstLine="420" w:firstLineChars="200"/>
        <w:rPr>
          <w:rFonts w:ascii="宋体" w:hAnsi="宋体"/>
          <w:highlight w:val="none"/>
        </w:rPr>
      </w:pPr>
      <w:r>
        <w:rPr>
          <w:rFonts w:hint="eastAsia" w:ascii="宋体" w:hAnsi="宋体"/>
          <w:highlight w:val="none"/>
        </w:rPr>
        <w:t>采购人不得泄漏招标投标活动中应当保密的情况和资料，不得与供应商串通损害国家利益、社会公共利益或者他人合法权益。</w:t>
      </w:r>
    </w:p>
    <w:p>
      <w:pPr>
        <w:pStyle w:val="4"/>
        <w:rPr>
          <w:rFonts w:ascii="宋体" w:hAnsi="宋体"/>
          <w:highlight w:val="none"/>
        </w:rPr>
      </w:pPr>
      <w:bookmarkStart w:id="434" w:name="_Toc246996220"/>
      <w:bookmarkStart w:id="435" w:name="_Toc152045576"/>
      <w:bookmarkStart w:id="436" w:name="_Toc152042352"/>
      <w:bookmarkStart w:id="437" w:name="_Toc247085734"/>
      <w:bookmarkStart w:id="438" w:name="_Toc246996963"/>
      <w:bookmarkStart w:id="439" w:name="_Toc338840230"/>
      <w:bookmarkStart w:id="440" w:name="_Toc179632594"/>
      <w:bookmarkStart w:id="441" w:name="_Toc144974544"/>
      <w:r>
        <w:rPr>
          <w:rFonts w:hint="eastAsia" w:ascii="宋体" w:hAnsi="宋体"/>
          <w:highlight w:val="none"/>
        </w:rPr>
        <w:t>8.2 对供应商的纪律要求</w:t>
      </w:r>
      <w:bookmarkEnd w:id="434"/>
      <w:bookmarkEnd w:id="435"/>
      <w:bookmarkEnd w:id="436"/>
      <w:bookmarkEnd w:id="437"/>
      <w:bookmarkEnd w:id="438"/>
      <w:bookmarkEnd w:id="439"/>
      <w:bookmarkEnd w:id="440"/>
      <w:bookmarkEnd w:id="441"/>
    </w:p>
    <w:p>
      <w:pPr>
        <w:spacing w:line="400" w:lineRule="exact"/>
        <w:ind w:firstLine="420" w:firstLineChars="200"/>
        <w:rPr>
          <w:rFonts w:ascii="宋体" w:hAnsi="宋体"/>
          <w:highlight w:val="none"/>
        </w:rPr>
      </w:pPr>
      <w:r>
        <w:rPr>
          <w:rFonts w:hint="eastAsia" w:ascii="宋体" w:hAnsi="宋体"/>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pPr>
        <w:pStyle w:val="4"/>
        <w:rPr>
          <w:rFonts w:ascii="宋体" w:hAnsi="宋体"/>
          <w:highlight w:val="none"/>
        </w:rPr>
      </w:pPr>
      <w:bookmarkStart w:id="442" w:name="_Toc338840231"/>
      <w:bookmarkStart w:id="443" w:name="_Toc152045577"/>
      <w:bookmarkStart w:id="444" w:name="_Toc247085735"/>
      <w:bookmarkStart w:id="445" w:name="_Toc144974545"/>
      <w:bookmarkStart w:id="446" w:name="_Toc246996964"/>
      <w:bookmarkStart w:id="447" w:name="_Toc152042353"/>
      <w:bookmarkStart w:id="448" w:name="_Toc246996221"/>
      <w:bookmarkStart w:id="449" w:name="_Toc179632595"/>
      <w:r>
        <w:rPr>
          <w:rFonts w:hint="eastAsia" w:ascii="宋体" w:hAnsi="宋体"/>
          <w:highlight w:val="none"/>
        </w:rPr>
        <w:t>8.3 对评标委员会成员的纪律要求</w:t>
      </w:r>
      <w:bookmarkEnd w:id="442"/>
      <w:bookmarkEnd w:id="443"/>
      <w:bookmarkEnd w:id="444"/>
      <w:bookmarkEnd w:id="445"/>
      <w:bookmarkEnd w:id="446"/>
      <w:bookmarkEnd w:id="447"/>
      <w:bookmarkEnd w:id="448"/>
      <w:bookmarkEnd w:id="449"/>
    </w:p>
    <w:p>
      <w:pPr>
        <w:spacing w:line="400" w:lineRule="exact"/>
        <w:ind w:firstLine="420" w:firstLineChars="200"/>
        <w:rPr>
          <w:rFonts w:ascii="宋体" w:hAnsi="宋体"/>
          <w:highlight w:val="none"/>
        </w:rPr>
      </w:pPr>
      <w:r>
        <w:rPr>
          <w:rFonts w:hint="eastAsia" w:ascii="宋体" w:hAnsi="宋体"/>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pPr>
        <w:pStyle w:val="4"/>
        <w:rPr>
          <w:rFonts w:ascii="宋体" w:hAnsi="宋体"/>
          <w:highlight w:val="none"/>
        </w:rPr>
      </w:pPr>
      <w:bookmarkStart w:id="450" w:name="_Toc152042354"/>
      <w:bookmarkStart w:id="451" w:name="_Toc179632596"/>
      <w:bookmarkStart w:id="452" w:name="_Toc152045578"/>
      <w:bookmarkStart w:id="453" w:name="_Toc246996222"/>
      <w:bookmarkStart w:id="454" w:name="_Toc338840232"/>
      <w:bookmarkStart w:id="455" w:name="_Toc247085736"/>
      <w:bookmarkStart w:id="456" w:name="_Toc246996965"/>
      <w:bookmarkStart w:id="457" w:name="_Toc144974546"/>
      <w:r>
        <w:rPr>
          <w:rFonts w:hint="eastAsia" w:ascii="宋体" w:hAnsi="宋体"/>
          <w:highlight w:val="none"/>
        </w:rPr>
        <w:t>8.4 对有关招投标工作人员的纪律要求</w:t>
      </w:r>
      <w:bookmarkEnd w:id="450"/>
      <w:bookmarkEnd w:id="451"/>
      <w:bookmarkEnd w:id="452"/>
      <w:bookmarkEnd w:id="453"/>
      <w:bookmarkEnd w:id="454"/>
      <w:bookmarkEnd w:id="455"/>
      <w:bookmarkEnd w:id="456"/>
    </w:p>
    <w:p>
      <w:pPr>
        <w:spacing w:line="400" w:lineRule="exact"/>
        <w:ind w:firstLine="420" w:firstLineChars="200"/>
        <w:rPr>
          <w:rFonts w:ascii="宋体" w:hAnsi="宋体"/>
          <w:highlight w:val="none"/>
        </w:rPr>
      </w:pPr>
      <w:bookmarkStart w:id="458" w:name="_Toc152042355"/>
      <w:r>
        <w:rPr>
          <w:rFonts w:hint="eastAsia" w:ascii="宋体" w:hAnsi="宋体"/>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58"/>
    </w:p>
    <w:p>
      <w:pPr>
        <w:pStyle w:val="4"/>
        <w:rPr>
          <w:rFonts w:ascii="宋体" w:hAnsi="宋体"/>
          <w:highlight w:val="none"/>
        </w:rPr>
      </w:pPr>
      <w:bookmarkStart w:id="459" w:name="_Toc338840233"/>
      <w:bookmarkStart w:id="460" w:name="_Toc179632597"/>
      <w:bookmarkStart w:id="461" w:name="_Toc247085737"/>
      <w:bookmarkStart w:id="462" w:name="_Toc152045579"/>
      <w:bookmarkStart w:id="463" w:name="_Toc246996223"/>
      <w:bookmarkStart w:id="464" w:name="_Toc246996966"/>
      <w:bookmarkStart w:id="465" w:name="_Toc152042356"/>
      <w:r>
        <w:rPr>
          <w:rFonts w:hint="eastAsia" w:ascii="宋体" w:hAnsi="宋体"/>
          <w:highlight w:val="none"/>
        </w:rPr>
        <w:t>8.5 质疑</w:t>
      </w:r>
      <w:bookmarkEnd w:id="459"/>
    </w:p>
    <w:p>
      <w:pPr>
        <w:spacing w:line="400" w:lineRule="exact"/>
        <w:ind w:firstLine="420" w:firstLineChars="200"/>
        <w:rPr>
          <w:rFonts w:ascii="宋体" w:hAnsi="宋体"/>
          <w:highlight w:val="none"/>
        </w:rPr>
      </w:pPr>
      <w:r>
        <w:rPr>
          <w:rFonts w:hint="eastAsia" w:ascii="宋体" w:hAnsi="宋体"/>
          <w:highlight w:val="none"/>
        </w:rPr>
        <w:t>供应商认为采购文件、采购过程和中标、成交结果使自己的权益受到损害，可以规定时间内向采购人或代理机构提出质疑。详见供应商须知前附表。</w:t>
      </w:r>
    </w:p>
    <w:p>
      <w:pPr>
        <w:spacing w:line="400" w:lineRule="exact"/>
        <w:ind w:firstLine="420" w:firstLineChars="200"/>
        <w:rPr>
          <w:rFonts w:ascii="宋体" w:hAnsi="宋体"/>
          <w:highlight w:val="none"/>
        </w:rPr>
      </w:pPr>
      <w:r>
        <w:rPr>
          <w:rFonts w:hint="eastAsia" w:ascii="宋体" w:hAnsi="宋体"/>
          <w:highlight w:val="none"/>
        </w:rPr>
        <w:t>供应商在法定质疑期内一次性提出针对同一采购程序环节的质疑。</w:t>
      </w:r>
    </w:p>
    <w:p>
      <w:pPr>
        <w:spacing w:line="400" w:lineRule="exact"/>
        <w:ind w:firstLine="420" w:firstLineChars="200"/>
        <w:rPr>
          <w:rFonts w:ascii="宋体" w:hAnsi="宋体"/>
          <w:highlight w:val="none"/>
        </w:rPr>
      </w:pPr>
      <w:r>
        <w:rPr>
          <w:rFonts w:hint="eastAsia" w:ascii="宋体" w:hAnsi="宋体"/>
          <w:highlight w:val="none"/>
        </w:rPr>
        <w:t>提出质疑的供应商（以下简称质疑供应商）应当是参与所质疑项目采购活动的供应商。</w:t>
      </w:r>
    </w:p>
    <w:p>
      <w:pPr>
        <w:spacing w:line="400" w:lineRule="exact"/>
        <w:ind w:firstLine="420" w:firstLineChars="200"/>
        <w:rPr>
          <w:rFonts w:ascii="宋体" w:hAnsi="宋体"/>
          <w:highlight w:val="none"/>
        </w:rPr>
      </w:pPr>
      <w:r>
        <w:rPr>
          <w:rFonts w:hint="eastAsia" w:ascii="宋体" w:hAnsi="宋体"/>
          <w:highlight w:val="none"/>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pPr>
        <w:spacing w:line="400" w:lineRule="exact"/>
        <w:ind w:firstLine="420" w:firstLineChars="200"/>
        <w:rPr>
          <w:rFonts w:ascii="宋体" w:hAnsi="宋体"/>
          <w:highlight w:val="none"/>
        </w:rPr>
      </w:pPr>
      <w:r>
        <w:rPr>
          <w:rFonts w:hint="eastAsia" w:ascii="宋体" w:hAnsi="宋体"/>
          <w:highlight w:val="none"/>
        </w:rPr>
        <w:t>代理人提出质疑和投诉，应当提交供应商签署的授权委托书。</w:t>
      </w:r>
    </w:p>
    <w:p>
      <w:pPr>
        <w:pStyle w:val="4"/>
        <w:rPr>
          <w:rFonts w:ascii="宋体" w:hAnsi="宋体"/>
          <w:highlight w:val="none"/>
        </w:rPr>
      </w:pPr>
      <w:bookmarkStart w:id="466" w:name="_Toc338840234"/>
      <w:r>
        <w:rPr>
          <w:rFonts w:hint="eastAsia" w:ascii="宋体" w:hAnsi="宋体"/>
          <w:highlight w:val="none"/>
        </w:rPr>
        <w:t>8.6 投诉</w:t>
      </w:r>
      <w:bookmarkEnd w:id="457"/>
      <w:bookmarkEnd w:id="460"/>
      <w:bookmarkEnd w:id="461"/>
      <w:bookmarkEnd w:id="462"/>
      <w:bookmarkEnd w:id="463"/>
      <w:bookmarkEnd w:id="464"/>
      <w:bookmarkEnd w:id="465"/>
      <w:bookmarkEnd w:id="466"/>
    </w:p>
    <w:p>
      <w:pPr>
        <w:spacing w:line="400" w:lineRule="exact"/>
        <w:ind w:firstLine="420" w:firstLineChars="200"/>
        <w:rPr>
          <w:rFonts w:ascii="宋体" w:hAnsi="宋体"/>
          <w:highlight w:val="none"/>
        </w:rPr>
      </w:pPr>
      <w:r>
        <w:rPr>
          <w:rFonts w:hint="eastAsia" w:ascii="宋体" w:hAnsi="宋体"/>
          <w:highlight w:val="none"/>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67" w:name="_Toc419645322"/>
    </w:p>
    <w:p>
      <w:pPr>
        <w:pStyle w:val="3"/>
        <w:rPr>
          <w:rFonts w:ascii="宋体" w:hAnsi="宋体" w:eastAsia="宋体"/>
          <w:highlight w:val="none"/>
        </w:rPr>
      </w:pPr>
      <w:bookmarkStart w:id="468" w:name="_Toc31310"/>
      <w:bookmarkStart w:id="469" w:name="_Toc6099"/>
      <w:bookmarkStart w:id="470" w:name="_Toc10773"/>
      <w:bookmarkStart w:id="471" w:name="_Toc17117"/>
      <w:r>
        <w:rPr>
          <w:rFonts w:hint="eastAsia" w:ascii="宋体" w:hAnsi="宋体" w:eastAsia="宋体"/>
          <w:highlight w:val="none"/>
        </w:rPr>
        <w:t>9. 关于中小企业、监狱企业、残疾人福利性单位投标的</w:t>
      </w:r>
      <w:bookmarkEnd w:id="467"/>
      <w:bookmarkStart w:id="472" w:name="_Toc419645323"/>
      <w:r>
        <w:rPr>
          <w:rFonts w:hint="eastAsia" w:ascii="宋体" w:hAnsi="宋体" w:eastAsia="宋体"/>
          <w:highlight w:val="none"/>
        </w:rPr>
        <w:t>说明</w:t>
      </w:r>
      <w:bookmarkEnd w:id="468"/>
      <w:bookmarkEnd w:id="469"/>
      <w:bookmarkEnd w:id="470"/>
      <w:bookmarkEnd w:id="471"/>
    </w:p>
    <w:p>
      <w:pPr>
        <w:pStyle w:val="4"/>
        <w:rPr>
          <w:rFonts w:ascii="宋体" w:hAnsi="宋体"/>
          <w:highlight w:val="none"/>
        </w:rPr>
      </w:pPr>
      <w:r>
        <w:rPr>
          <w:rFonts w:hint="eastAsia" w:ascii="宋体" w:hAnsi="宋体"/>
          <w:highlight w:val="none"/>
        </w:rPr>
        <w:t xml:space="preserve">9.1 </w:t>
      </w:r>
      <w:bookmarkEnd w:id="472"/>
      <w:r>
        <w:rPr>
          <w:rFonts w:hint="eastAsia" w:ascii="宋体" w:hAnsi="宋体"/>
          <w:highlight w:val="none"/>
        </w:rPr>
        <w:t>含义</w:t>
      </w:r>
    </w:p>
    <w:p>
      <w:pPr>
        <w:spacing w:line="400" w:lineRule="exact"/>
        <w:ind w:firstLine="420" w:firstLineChars="200"/>
        <w:rPr>
          <w:rFonts w:ascii="宋体" w:hAnsi="宋体"/>
          <w:highlight w:val="none"/>
        </w:rPr>
      </w:pPr>
      <w:r>
        <w:rPr>
          <w:rFonts w:hint="eastAsia" w:ascii="宋体" w:hAnsi="宋体"/>
          <w:highlight w:val="none"/>
        </w:rPr>
        <w:t>9.1.1中小企业。符合国务院有关部门制定的中小企业划型标准</w:t>
      </w:r>
      <w:bookmarkStart w:id="473" w:name="_Toc419645324"/>
      <w:r>
        <w:rPr>
          <w:rFonts w:hint="eastAsia" w:ascii="宋体" w:hAnsi="宋体"/>
          <w:highlight w:val="none"/>
        </w:rPr>
        <w:t>，提供本企业制造的货物、承担的工程或者服务，或者提供其他中小企业制造的货物。</w:t>
      </w:r>
    </w:p>
    <w:p>
      <w:pPr>
        <w:spacing w:line="400" w:lineRule="exact"/>
        <w:ind w:firstLine="420" w:firstLineChars="200"/>
        <w:rPr>
          <w:rFonts w:ascii="宋体" w:hAnsi="宋体"/>
          <w:highlight w:val="none"/>
        </w:rPr>
      </w:pPr>
      <w:r>
        <w:rPr>
          <w:rFonts w:hint="eastAsia" w:ascii="宋体" w:hAnsi="宋体"/>
          <w:highlight w:val="none"/>
        </w:rPr>
        <w:t>9.1.2监狱企业。监狱企业参加政府采购活动时，应当提供由省级以上监狱管理局、戒毒管理局（含新疆生产建设兵团）出具的属于监狱企业的证明文件，才可享受相关政策。</w:t>
      </w:r>
      <w:r>
        <w:rPr>
          <w:rFonts w:hint="eastAsia" w:ascii="宋体" w:hAnsi="宋体"/>
          <w:highlight w:val="none"/>
        </w:rPr>
        <w:br w:type="textWrapping"/>
      </w:r>
      <w:r>
        <w:rPr>
          <w:rFonts w:hint="eastAsia" w:ascii="宋体" w:hAnsi="宋体"/>
          <w:highlight w:val="none"/>
        </w:rPr>
        <w:t>　　在政府采购活动中监狱企业视同小型、微型企业并适用其相关规定，提供本企业制造的货物、承担的工程或服务，享受预留份额、评审中价格扣除等政府采购促进中小企业发展的政府采购政策。</w:t>
      </w:r>
    </w:p>
    <w:p>
      <w:pPr>
        <w:spacing w:line="400" w:lineRule="exact"/>
        <w:ind w:firstLine="420" w:firstLineChars="200"/>
        <w:rPr>
          <w:rFonts w:ascii="宋体" w:hAnsi="宋体"/>
          <w:highlight w:val="none"/>
        </w:rPr>
      </w:pPr>
      <w:r>
        <w:rPr>
          <w:rFonts w:hint="eastAsia" w:ascii="宋体" w:hAnsi="宋体"/>
          <w:highlight w:val="none"/>
        </w:rPr>
        <w:t>9.1.3残疾人福利性单位。</w:t>
      </w:r>
    </w:p>
    <w:p>
      <w:pPr>
        <w:spacing w:line="400" w:lineRule="exact"/>
        <w:ind w:firstLine="420" w:firstLineChars="200"/>
        <w:rPr>
          <w:rFonts w:ascii="宋体" w:hAnsi="宋体"/>
          <w:highlight w:val="none"/>
        </w:rPr>
      </w:pPr>
      <w:r>
        <w:rPr>
          <w:rFonts w:hint="eastAsia" w:ascii="宋体" w:hAnsi="宋体"/>
          <w:highlight w:val="none"/>
        </w:rPr>
        <w:t>9.1.3.1享受政府采购支持政策的残疾人福利性单位应当同时满足以下条件：</w:t>
      </w:r>
    </w:p>
    <w:p>
      <w:pPr>
        <w:spacing w:line="400" w:lineRule="exact"/>
        <w:ind w:firstLine="420" w:firstLineChars="200"/>
        <w:rPr>
          <w:rFonts w:ascii="宋体" w:hAnsi="宋体"/>
          <w:highlight w:val="none"/>
        </w:rPr>
      </w:pPr>
      <w:r>
        <w:rPr>
          <w:rFonts w:hint="eastAsia" w:ascii="宋体" w:hAnsi="宋体"/>
          <w:highlight w:val="none"/>
        </w:rPr>
        <w:t>　　（一）安置的残疾人占本单位在职职工人数的比例不低于25%（含25%），并且安置的残疾人人数不少于10人（含10人）；</w:t>
      </w:r>
    </w:p>
    <w:p>
      <w:pPr>
        <w:spacing w:line="400" w:lineRule="exact"/>
        <w:ind w:firstLine="420" w:firstLineChars="200"/>
        <w:rPr>
          <w:rFonts w:ascii="宋体" w:hAnsi="宋体"/>
          <w:highlight w:val="none"/>
        </w:rPr>
      </w:pPr>
      <w:r>
        <w:rPr>
          <w:rFonts w:hint="eastAsia" w:ascii="宋体" w:hAnsi="宋体"/>
          <w:highlight w:val="none"/>
        </w:rPr>
        <w:t>　　（二）依法与安置的每位残疾人签订了一年以上（含一年）的劳动合同或服务协议；</w:t>
      </w:r>
    </w:p>
    <w:p>
      <w:pPr>
        <w:spacing w:line="400" w:lineRule="exact"/>
        <w:ind w:firstLine="420" w:firstLineChars="200"/>
        <w:rPr>
          <w:rFonts w:ascii="宋体" w:hAnsi="宋体"/>
          <w:highlight w:val="none"/>
        </w:rPr>
      </w:pPr>
      <w:r>
        <w:rPr>
          <w:rFonts w:hint="eastAsia" w:ascii="宋体" w:hAnsi="宋体"/>
          <w:highlight w:val="none"/>
        </w:rPr>
        <w:t>　　（三）为安置的每位残疾人按月足额缴纳了基本养老保险、基本医疗保险、失业保险、工伤保险和生育保险等社会保险费；</w:t>
      </w:r>
    </w:p>
    <w:p>
      <w:pPr>
        <w:spacing w:line="400" w:lineRule="exact"/>
        <w:ind w:firstLine="420" w:firstLineChars="200"/>
        <w:rPr>
          <w:rFonts w:ascii="宋体" w:hAnsi="宋体"/>
          <w:highlight w:val="none"/>
        </w:rPr>
      </w:pPr>
      <w:r>
        <w:rPr>
          <w:rFonts w:hint="eastAsia" w:ascii="宋体" w:hAnsi="宋体"/>
          <w:highlight w:val="none"/>
        </w:rPr>
        <w:t>　　（四）通过银行等金融机构向安置的每位残疾人，按月支付了不低于单位所在区县适用的经省级人民政府批准的月最低工资标准的工资；</w:t>
      </w:r>
    </w:p>
    <w:p>
      <w:pPr>
        <w:spacing w:line="400" w:lineRule="exact"/>
        <w:ind w:firstLine="420" w:firstLineChars="200"/>
        <w:rPr>
          <w:rFonts w:ascii="宋体" w:hAnsi="宋体"/>
          <w:highlight w:val="none"/>
        </w:rPr>
      </w:pPr>
      <w:r>
        <w:rPr>
          <w:rFonts w:hint="eastAsia" w:ascii="宋体" w:hAnsi="宋体"/>
          <w:highlight w:val="none"/>
        </w:rPr>
        <w:t>　　（五）提供本单位制造的货物、承担的工程或者服务（以下简称产品），或者提供其他残疾人福利性单位制造的货物（不包括使用非残疾人福利性单位注册商标的货物）。</w:t>
      </w:r>
    </w:p>
    <w:p>
      <w:pPr>
        <w:spacing w:line="400" w:lineRule="exact"/>
        <w:ind w:firstLine="420" w:firstLineChars="200"/>
        <w:rPr>
          <w:rFonts w:ascii="宋体" w:hAnsi="宋体"/>
          <w:highlight w:val="none"/>
        </w:rPr>
      </w:pPr>
      <w:r>
        <w:rPr>
          <w:rFonts w:hint="eastAsia" w:ascii="宋体" w:hAnsi="宋体"/>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400" w:lineRule="exact"/>
        <w:ind w:firstLine="420" w:firstLineChars="200"/>
        <w:rPr>
          <w:rFonts w:ascii="宋体" w:hAnsi="宋体"/>
          <w:highlight w:val="none"/>
        </w:rPr>
      </w:pPr>
      <w:r>
        <w:rPr>
          <w:rFonts w:hint="eastAsia" w:ascii="宋体" w:hAnsi="宋体"/>
          <w:highlight w:val="none"/>
        </w:rPr>
        <w:t>9.1.3.2、符合条件的残疾人福利性单位在参加政府采购活动时，应当提供规定的《残疾人福利性单位声明函》（见附件），并对声明的真实性负责。</w:t>
      </w:r>
    </w:p>
    <w:p>
      <w:pPr>
        <w:spacing w:line="400" w:lineRule="exact"/>
        <w:ind w:firstLine="420" w:firstLineChars="200"/>
        <w:rPr>
          <w:rFonts w:ascii="宋体" w:hAnsi="宋体"/>
          <w:highlight w:val="none"/>
        </w:rPr>
      </w:pPr>
      <w:r>
        <w:rPr>
          <w:rFonts w:hint="eastAsia" w:ascii="宋体" w:hAnsi="宋体"/>
          <w:highlight w:val="none"/>
        </w:rPr>
        <w:t>供应商提供的《残疾人福利性单位声明函》与事实不符的，依照《政府采购法》第七十七条第一款和招标文件规定追究法律责任。</w:t>
      </w:r>
    </w:p>
    <w:p>
      <w:pPr>
        <w:spacing w:line="400" w:lineRule="exact"/>
        <w:ind w:firstLine="420" w:firstLineChars="200"/>
        <w:rPr>
          <w:rFonts w:ascii="宋体" w:hAnsi="宋体"/>
          <w:highlight w:val="none"/>
        </w:rPr>
      </w:pPr>
      <w:r>
        <w:rPr>
          <w:rFonts w:hint="eastAsia" w:ascii="宋体" w:hAnsi="宋体"/>
          <w:highlight w:val="none"/>
        </w:rPr>
        <w:t>9.1.3.3、在政府采购活动中残疾人福利性单位视同小型、微型企业并适用其相关规定，提供本企业制造的货物、承担的工程或服务，享受预留份额、评审中价格扣除等促进中小企业发展的政府采购政策。</w:t>
      </w:r>
    </w:p>
    <w:p>
      <w:pPr>
        <w:rPr>
          <w:rFonts w:ascii="宋体" w:hAnsi="宋体"/>
          <w:highlight w:val="none"/>
        </w:rPr>
      </w:pPr>
      <w:r>
        <w:rPr>
          <w:rFonts w:hint="eastAsia" w:ascii="宋体" w:hAnsi="宋体"/>
          <w:highlight w:val="none"/>
        </w:rPr>
        <w:t>　　9.1.4 中标、成交结果公告同时公告其小微企业、监狱企业、残疾人福利性单位的证明材料及相关资料，接受社会监督。</w:t>
      </w:r>
    </w:p>
    <w:p>
      <w:pPr>
        <w:pStyle w:val="4"/>
        <w:rPr>
          <w:rFonts w:ascii="宋体" w:hAnsi="宋体"/>
          <w:highlight w:val="none"/>
        </w:rPr>
      </w:pPr>
      <w:r>
        <w:rPr>
          <w:rFonts w:hint="eastAsia" w:ascii="宋体" w:hAnsi="宋体"/>
          <w:highlight w:val="none"/>
        </w:rPr>
        <w:t>9.2价格扣除</w:t>
      </w:r>
    </w:p>
    <w:p>
      <w:pPr>
        <w:spacing w:line="400" w:lineRule="exact"/>
        <w:ind w:firstLine="420" w:firstLineChars="200"/>
        <w:rPr>
          <w:rFonts w:ascii="宋体" w:hAnsi="宋体"/>
          <w:highlight w:val="none"/>
        </w:rPr>
      </w:pPr>
      <w:r>
        <w:rPr>
          <w:rFonts w:hint="eastAsia" w:ascii="宋体" w:hAnsi="宋体"/>
          <w:highlight w:val="none"/>
        </w:rPr>
        <w:t xml:space="preserve">9.2.1供应商按要求出具《中小企业声明函》，符合下列情形的，可享受中小企业扶持政策：（一）在货物采购项目中，货物由中小企业制造，即货物由中小企业生产且使用该中小企业商号或者注册商标；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 </w:t>
      </w:r>
    </w:p>
    <w:p>
      <w:pPr>
        <w:spacing w:line="400" w:lineRule="exact"/>
        <w:ind w:firstLine="420" w:firstLineChars="200"/>
        <w:rPr>
          <w:rFonts w:ascii="宋体" w:hAnsi="宋体"/>
          <w:highlight w:val="none"/>
        </w:rPr>
      </w:pPr>
      <w:r>
        <w:rPr>
          <w:rFonts w:hint="eastAsia" w:ascii="宋体" w:hAnsi="宋体"/>
          <w:highlight w:val="none"/>
        </w:rPr>
        <w:t>在货物采购项目中，供应商提供的货物既有中小企业制造货物，也有大型企业制造货物的，不享受本办法规定的中小企业扶持政策。</w:t>
      </w:r>
    </w:p>
    <w:p>
      <w:pPr>
        <w:spacing w:line="400" w:lineRule="exact"/>
        <w:ind w:firstLine="420" w:firstLineChars="200"/>
        <w:rPr>
          <w:rFonts w:ascii="宋体" w:hAnsi="宋体"/>
          <w:highlight w:val="none"/>
        </w:rPr>
      </w:pPr>
      <w:r>
        <w:rPr>
          <w:rFonts w:hint="eastAsia" w:ascii="宋体" w:hAnsi="宋体"/>
          <w:highlight w:val="none"/>
        </w:rPr>
        <w:t>以联合体形式参加政府采购活动，联合体各方均为中小企业的，联合体视同中小企业。其中，联合体各方均为小微企业的，联合体视同小微企业。</w:t>
      </w:r>
    </w:p>
    <w:p>
      <w:pPr>
        <w:spacing w:line="400" w:lineRule="exact"/>
        <w:ind w:firstLine="420" w:firstLineChars="200"/>
        <w:rPr>
          <w:rFonts w:ascii="宋体" w:hAnsi="宋体"/>
          <w:highlight w:val="none"/>
        </w:rPr>
      </w:pPr>
      <w:r>
        <w:rPr>
          <w:rFonts w:hint="eastAsia" w:ascii="宋体" w:hAnsi="宋体"/>
          <w:highlight w:val="none"/>
        </w:rPr>
        <w:t>9.2.2供应商属于监狱企业并以该身份投标，按要求提供《监狱企业证明》，视同小型、微型企业，对该企业生产的货物、提供的工程或服务在评审时给予价格扣除。</w:t>
      </w:r>
    </w:p>
    <w:p>
      <w:pPr>
        <w:spacing w:line="400" w:lineRule="exact"/>
        <w:ind w:firstLine="420" w:firstLineChars="200"/>
        <w:rPr>
          <w:rFonts w:ascii="宋体" w:hAnsi="宋体"/>
          <w:highlight w:val="none"/>
        </w:rPr>
      </w:pPr>
      <w:r>
        <w:rPr>
          <w:rFonts w:hint="eastAsia" w:ascii="宋体" w:hAnsi="宋体"/>
          <w:highlight w:val="none"/>
        </w:rPr>
        <w:t>9.2.3、供应商属于残疾人福利性单位并以该身份投标，按要求提供《残疾人福利性单位声明函》，提供本单位制造的货物、承担的工程或者服务，或者提供其他残疾人福利性单位制造的货物（不包括使用非残疾人福利性单位注册商标的货物），视同小型、微型企业，在评审时给予价格扣除。</w:t>
      </w:r>
    </w:p>
    <w:p>
      <w:pPr>
        <w:spacing w:line="400" w:lineRule="exact"/>
        <w:ind w:firstLine="420" w:firstLineChars="200"/>
        <w:rPr>
          <w:rFonts w:ascii="宋体" w:hAnsi="宋体"/>
          <w:highlight w:val="none"/>
        </w:rPr>
      </w:pPr>
      <w:r>
        <w:rPr>
          <w:rFonts w:hint="eastAsia" w:ascii="宋体" w:hAnsi="宋体"/>
          <w:highlight w:val="none"/>
        </w:rPr>
        <w:t>供应商对其提供的资料真实性自行负责，如有虚假，列入财政部“政府采购严重违法失信行为信息记录”，若为中标人者其中标资格将被取消。</w:t>
      </w:r>
    </w:p>
    <w:p>
      <w:pPr>
        <w:pStyle w:val="4"/>
        <w:rPr>
          <w:rFonts w:ascii="宋体" w:hAnsi="宋体"/>
          <w:highlight w:val="none"/>
        </w:rPr>
      </w:pPr>
      <w:r>
        <w:rPr>
          <w:rFonts w:hint="eastAsia" w:ascii="宋体" w:hAnsi="宋体"/>
          <w:highlight w:val="none"/>
        </w:rPr>
        <w:t>9.3</w:t>
      </w:r>
      <w:bookmarkEnd w:id="473"/>
      <w:r>
        <w:rPr>
          <w:rFonts w:hint="eastAsia" w:ascii="宋体" w:hAnsi="宋体"/>
          <w:highlight w:val="none"/>
        </w:rPr>
        <w:t>中小企业划型标准（国家政策和标准如有调整时以最新为准）</w:t>
      </w:r>
    </w:p>
    <w:p>
      <w:pPr>
        <w:spacing w:line="400" w:lineRule="exact"/>
        <w:rPr>
          <w:rFonts w:ascii="宋体" w:hAnsi="宋体" w:cs="宋体"/>
          <w:highlight w:val="none"/>
        </w:rPr>
      </w:pPr>
      <w:bookmarkStart w:id="474" w:name="_Toc6557"/>
      <w:bookmarkStart w:id="475" w:name="_Hlk161150004"/>
      <w:bookmarkStart w:id="476" w:name="_Toc144974547"/>
      <w:bookmarkStart w:id="477" w:name="_Toc338840235"/>
      <w:bookmarkStart w:id="478" w:name="_Toc346523410"/>
      <w:bookmarkStart w:id="479" w:name="_Toc16148"/>
      <w:bookmarkStart w:id="480" w:name="_Toc30779"/>
      <w:bookmarkStart w:id="481" w:name="_Toc346523473"/>
      <w:bookmarkStart w:id="482" w:name="_Toc179632598"/>
      <w:bookmarkStart w:id="483" w:name="_Toc152045580"/>
      <w:bookmarkStart w:id="484" w:name="_Toc246996224"/>
      <w:bookmarkStart w:id="485" w:name="_Toc247085738"/>
      <w:bookmarkStart w:id="486" w:name="_Toc246996967"/>
      <w:bookmarkStart w:id="487" w:name="_Toc338840450"/>
      <w:bookmarkStart w:id="488" w:name="_Toc338840489"/>
      <w:bookmarkStart w:id="489" w:name="_Toc152042357"/>
      <w:bookmarkStart w:id="490" w:name="_Toc5690"/>
      <w:r>
        <w:rPr>
          <w:rFonts w:hint="eastAsia" w:ascii="宋体" w:hAnsi="宋体" w:cs="宋体"/>
          <w:highlight w:val="none"/>
        </w:rPr>
        <w:t>中小企业划型标准规定</w:t>
      </w:r>
      <w:bookmarkEnd w:id="474"/>
      <w:r>
        <w:rPr>
          <w:rFonts w:hint="eastAsia" w:ascii="宋体" w:hAnsi="宋体" w:cs="宋体"/>
          <w:highlight w:val="none"/>
        </w:rPr>
        <w:t>（工信部联企业〔2011〕300号）</w:t>
      </w:r>
      <w:bookmarkEnd w:id="475"/>
      <w:r>
        <w:rPr>
          <w:rFonts w:hint="eastAsia" w:ascii="宋体" w:hAnsi="宋体" w:cs="宋体"/>
          <w:highlight w:val="none"/>
        </w:rPr>
        <w:t>： </w:t>
      </w:r>
    </w:p>
    <w:p>
      <w:pPr>
        <w:spacing w:line="400" w:lineRule="exact"/>
        <w:ind w:firstLine="420" w:firstLineChars="200"/>
        <w:rPr>
          <w:rFonts w:ascii="宋体" w:hAnsi="宋体" w:cs="宋体"/>
          <w:highlight w:val="none"/>
        </w:rPr>
      </w:pPr>
      <w:r>
        <w:rPr>
          <w:rFonts w:hint="eastAsia" w:ascii="宋体" w:hAnsi="宋体" w:cs="宋体"/>
          <w:highlight w:val="none"/>
        </w:rPr>
        <w:t>一、根据《中华人民共和国中小企业促进法》和《国务院关于进一步促进中小企业发展的若干意见》(国发〔2009〕36号)，制定本规定。</w:t>
      </w:r>
    </w:p>
    <w:p>
      <w:pPr>
        <w:spacing w:line="400" w:lineRule="exact"/>
        <w:ind w:firstLine="420" w:firstLineChars="200"/>
        <w:rPr>
          <w:rFonts w:ascii="宋体" w:hAnsi="宋体" w:cs="宋体"/>
          <w:highlight w:val="none"/>
        </w:rPr>
      </w:pPr>
      <w:r>
        <w:rPr>
          <w:rFonts w:hint="eastAsia" w:ascii="宋体" w:hAnsi="宋体" w:cs="宋体"/>
          <w:highlight w:val="none"/>
        </w:rPr>
        <w:t>二、中小企业划分为中型、小型、微型三种类型，具体标准根据企业从业人员、营业收入、资产总额等指标，结合行业特点制定。</w:t>
      </w:r>
    </w:p>
    <w:p>
      <w:pPr>
        <w:spacing w:line="400" w:lineRule="exact"/>
        <w:ind w:firstLine="420" w:firstLineChars="200"/>
        <w:rPr>
          <w:rFonts w:ascii="宋体" w:hAnsi="宋体" w:cs="宋体"/>
          <w:highlight w:val="none"/>
        </w:rPr>
      </w:pPr>
      <w:r>
        <w:rPr>
          <w:rFonts w:hint="eastAsia" w:ascii="宋体" w:hAnsi="宋体" w:cs="宋体"/>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400" w:lineRule="exact"/>
        <w:ind w:firstLine="420" w:firstLineChars="200"/>
        <w:rPr>
          <w:rFonts w:ascii="宋体" w:hAnsi="宋体" w:cs="宋体"/>
          <w:highlight w:val="none"/>
        </w:rPr>
      </w:pPr>
      <w:r>
        <w:rPr>
          <w:rFonts w:hint="eastAsia" w:ascii="宋体" w:hAnsi="宋体" w:cs="宋体"/>
          <w:highlight w:val="none"/>
        </w:rPr>
        <w:t>四、各行业划型标准为：</w:t>
      </w:r>
    </w:p>
    <w:p>
      <w:pPr>
        <w:spacing w:line="400" w:lineRule="exact"/>
        <w:ind w:firstLine="420" w:firstLineChars="200"/>
        <w:rPr>
          <w:rFonts w:ascii="宋体" w:hAnsi="宋体" w:cs="宋体"/>
          <w:highlight w:val="none"/>
        </w:rPr>
      </w:pPr>
      <w:r>
        <w:rPr>
          <w:rFonts w:hint="eastAsia" w:ascii="宋体" w:hAnsi="宋体" w:cs="宋体"/>
          <w:highlight w:val="none"/>
        </w:rPr>
        <w:t>（一）农、林、牧、渔业。营业收入20000万元以下的为中小微型企业。其中，营业收入500万元及以上的为中型企业，营业收入50万元及以上的为小型企业，营业收入50万元以下的为微型企业。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（十六）其他未列明行业。从业人员300人以下的为中小微型企业。其中，从业人员100人及以上的为中型企业；从业人员10人及以上的为小型企业；从业人员10人以下的为微型企业。</w:t>
      </w:r>
    </w:p>
    <w:p>
      <w:pPr>
        <w:spacing w:line="400" w:lineRule="exact"/>
        <w:ind w:firstLine="420" w:firstLineChars="200"/>
        <w:rPr>
          <w:rFonts w:ascii="宋体" w:hAnsi="宋体" w:cs="宋体"/>
          <w:highlight w:val="none"/>
        </w:rPr>
      </w:pPr>
      <w:r>
        <w:rPr>
          <w:rFonts w:hint="eastAsia" w:ascii="宋体" w:hAnsi="宋体" w:cs="宋体"/>
          <w:highlight w:val="none"/>
        </w:rPr>
        <w:t>五、企业类型的划分以统计部门的统计数据为依据。</w:t>
      </w:r>
    </w:p>
    <w:p>
      <w:pPr>
        <w:spacing w:line="400" w:lineRule="exact"/>
        <w:ind w:firstLine="420" w:firstLineChars="200"/>
        <w:rPr>
          <w:rFonts w:ascii="宋体" w:hAnsi="宋体" w:cs="宋体"/>
          <w:highlight w:val="none"/>
        </w:rPr>
      </w:pPr>
      <w:r>
        <w:rPr>
          <w:rFonts w:hint="eastAsia" w:ascii="宋体" w:hAnsi="宋体" w:cs="宋体"/>
          <w:highlight w:val="none"/>
        </w:rPr>
        <w:t>六、本规定适用于在中华人民共和国境内依法设立的各类所有制和各种组织形式的企业。个体工商户和本规定以外的行业，参照本规定进行划型。</w:t>
      </w:r>
    </w:p>
    <w:p>
      <w:pPr>
        <w:spacing w:line="400" w:lineRule="exact"/>
        <w:ind w:firstLine="420" w:firstLineChars="200"/>
        <w:rPr>
          <w:rFonts w:ascii="宋体" w:hAnsi="宋体" w:cs="宋体"/>
          <w:highlight w:val="none"/>
        </w:rPr>
      </w:pPr>
      <w:r>
        <w:rPr>
          <w:rFonts w:hint="eastAsia" w:ascii="宋体" w:hAnsi="宋体" w:cs="宋体"/>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400" w:lineRule="exact"/>
        <w:ind w:firstLine="420" w:firstLineChars="200"/>
        <w:rPr>
          <w:rFonts w:ascii="宋体" w:hAnsi="宋体" w:cs="宋体"/>
          <w:highlight w:val="none"/>
        </w:rPr>
      </w:pPr>
      <w:r>
        <w:rPr>
          <w:rFonts w:hint="eastAsia" w:ascii="宋体" w:hAnsi="宋体" w:cs="宋体"/>
          <w:highlight w:val="none"/>
        </w:rPr>
        <w:t>八、本规定由工业和信息化部、国家统计局会同有关部门根据《国民经济行业分类》修订情况和企业发展变化情况适时修订。</w:t>
      </w:r>
    </w:p>
    <w:p>
      <w:pPr>
        <w:spacing w:line="400" w:lineRule="exact"/>
        <w:ind w:firstLine="420" w:firstLineChars="200"/>
        <w:rPr>
          <w:rFonts w:ascii="宋体" w:hAnsi="宋体" w:cs="宋体"/>
          <w:highlight w:val="none"/>
        </w:rPr>
      </w:pPr>
      <w:r>
        <w:rPr>
          <w:rFonts w:hint="eastAsia" w:ascii="宋体" w:hAnsi="宋体" w:cs="宋体"/>
          <w:highlight w:val="none"/>
        </w:rPr>
        <w:t>九、本规定由工业和信息化部、国家统计局会同有关部门负责解释。</w:t>
      </w:r>
    </w:p>
    <w:p>
      <w:pPr>
        <w:spacing w:line="400" w:lineRule="exact"/>
        <w:ind w:firstLine="420" w:firstLineChars="200"/>
        <w:rPr>
          <w:rFonts w:ascii="宋体" w:hAnsi="宋体" w:cs="宋体"/>
          <w:highlight w:val="none"/>
        </w:rPr>
      </w:pPr>
      <w:r>
        <w:rPr>
          <w:rFonts w:hint="eastAsia" w:ascii="宋体" w:hAnsi="宋体" w:cs="宋体"/>
          <w:highlight w:val="none"/>
        </w:rPr>
        <w:t>十、本规定自发布之日起执行，原国家经贸委、原国家计委、财政部和国家统计局2003年颁布的《中小企业标准暂行规定》同时废止。</w:t>
      </w:r>
    </w:p>
    <w:p>
      <w:pPr>
        <w:pStyle w:val="3"/>
        <w:rPr>
          <w:rFonts w:ascii="宋体" w:hAnsi="宋体" w:eastAsia="宋体"/>
          <w:highlight w:val="none"/>
        </w:rPr>
      </w:pPr>
      <w:bookmarkStart w:id="491" w:name="_Toc615"/>
      <w:r>
        <w:rPr>
          <w:rFonts w:hint="eastAsia" w:ascii="宋体" w:hAnsi="宋体" w:eastAsia="宋体"/>
          <w:highlight w:val="none"/>
        </w:rPr>
        <w:t>10. 需要补充的其他内容</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pPr>
        <w:spacing w:line="400" w:lineRule="exact"/>
        <w:ind w:firstLine="420" w:firstLineChars="200"/>
        <w:rPr>
          <w:rFonts w:ascii="宋体" w:hAnsi="宋体"/>
          <w:highlight w:val="none"/>
        </w:rPr>
      </w:pPr>
      <w:r>
        <w:rPr>
          <w:rFonts w:hint="eastAsia" w:ascii="宋体" w:hAnsi="宋体"/>
          <w:highlight w:val="none"/>
        </w:rPr>
        <w:t>需要补充的其他内容：见供应商须知前附表。</w:t>
      </w:r>
    </w:p>
    <w:p>
      <w:pPr>
        <w:pStyle w:val="3"/>
        <w:rPr>
          <w:rFonts w:ascii="宋体" w:hAnsi="宋体" w:eastAsia="宋体"/>
          <w:highlight w:val="none"/>
        </w:rPr>
      </w:pPr>
      <w:bookmarkStart w:id="492" w:name="_Toc494526409"/>
      <w:bookmarkStart w:id="493" w:name="_Toc494093437"/>
      <w:bookmarkStart w:id="494" w:name="_Toc338840236"/>
      <w:bookmarkStart w:id="495" w:name="_Toc338840490"/>
      <w:bookmarkStart w:id="496" w:name="_Toc346523411"/>
      <w:bookmarkStart w:id="497" w:name="_Toc16122"/>
      <w:bookmarkStart w:id="498" w:name="_Toc346523474"/>
      <w:bookmarkStart w:id="499" w:name="_Toc338840451"/>
      <w:bookmarkStart w:id="500" w:name="_Toc29712"/>
      <w:bookmarkStart w:id="501" w:name="_Toc13623"/>
      <w:bookmarkStart w:id="502" w:name="_Toc23287"/>
      <w:r>
        <w:rPr>
          <w:rFonts w:hint="eastAsia" w:ascii="宋体" w:hAnsi="宋体" w:eastAsia="宋体"/>
          <w:highlight w:val="none"/>
        </w:rPr>
        <w:t>11．电子招标投标</w:t>
      </w:r>
      <w:bookmarkEnd w:id="492"/>
      <w:bookmarkEnd w:id="493"/>
      <w:bookmarkEnd w:id="494"/>
      <w:bookmarkEnd w:id="495"/>
      <w:bookmarkEnd w:id="496"/>
      <w:bookmarkEnd w:id="497"/>
      <w:bookmarkEnd w:id="498"/>
      <w:bookmarkEnd w:id="499"/>
      <w:bookmarkEnd w:id="500"/>
      <w:bookmarkEnd w:id="501"/>
      <w:bookmarkEnd w:id="502"/>
    </w:p>
    <w:p>
      <w:pPr>
        <w:spacing w:line="400" w:lineRule="exact"/>
        <w:ind w:firstLine="420" w:firstLineChars="200"/>
        <w:rPr>
          <w:rFonts w:ascii="宋体" w:hAnsi="宋体"/>
          <w:highlight w:val="none"/>
        </w:rPr>
      </w:pPr>
      <w:r>
        <w:rPr>
          <w:rFonts w:hint="eastAsia" w:ascii="宋体" w:hAnsi="宋体"/>
          <w:highlight w:val="none"/>
        </w:rPr>
        <w:t xml:space="preserve">采用电子招标投标，对投标文件的编制、密封和标记、递交、开标、评标等的具体要求，见供应商须知前附表。 </w:t>
      </w:r>
    </w:p>
    <w:p>
      <w:pPr>
        <w:spacing w:line="480" w:lineRule="exact"/>
        <w:jc w:val="center"/>
        <w:rPr>
          <w:rStyle w:val="39"/>
          <w:highlight w:val="none"/>
        </w:rPr>
      </w:pPr>
      <w:bookmarkStart w:id="503" w:name="_Toc346523412"/>
      <w:bookmarkStart w:id="504" w:name="_Toc152045598"/>
      <w:bookmarkStart w:id="505" w:name="_Toc346523475"/>
      <w:bookmarkStart w:id="506" w:name="_Toc246996984"/>
      <w:bookmarkStart w:id="507" w:name="_Toc338840452"/>
      <w:bookmarkStart w:id="508" w:name="_Toc246996241"/>
      <w:bookmarkStart w:id="509" w:name="_Toc144974565"/>
      <w:bookmarkStart w:id="510" w:name="_Toc152042375"/>
      <w:bookmarkStart w:id="511" w:name="_Toc338840237"/>
      <w:bookmarkStart w:id="512" w:name="_Toc338840491"/>
      <w:bookmarkStart w:id="513" w:name="_Toc494093438"/>
      <w:bookmarkStart w:id="514" w:name="_Toc494526410"/>
      <w:bookmarkStart w:id="515" w:name="_Toc179632616"/>
      <w:bookmarkStart w:id="516" w:name="_Toc247085756"/>
      <w:r>
        <w:rPr>
          <w:rFonts w:hint="eastAsia" w:ascii="宋体" w:hAnsi="宋体"/>
          <w:sz w:val="44"/>
          <w:szCs w:val="44"/>
          <w:highlight w:val="none"/>
        </w:rPr>
        <w:br w:type="page"/>
      </w:r>
      <w:bookmarkStart w:id="517" w:name="_Toc24747"/>
      <w:r>
        <w:rPr>
          <w:rStyle w:val="39"/>
          <w:rFonts w:hint="eastAsia"/>
          <w:highlight w:val="none"/>
        </w:rPr>
        <w:t>第三章 评标办法</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Start w:id="518" w:name="_Toc152045599"/>
      <w:bookmarkStart w:id="519" w:name="_Toc246996242"/>
      <w:bookmarkStart w:id="520" w:name="_Toc246996985"/>
      <w:bookmarkStart w:id="521" w:name="_Toc144974566"/>
      <w:bookmarkStart w:id="522" w:name="_Toc179632617"/>
      <w:bookmarkStart w:id="523" w:name="_Toc152042376"/>
      <w:bookmarkStart w:id="524" w:name="_Toc247085757"/>
    </w:p>
    <w:bookmarkEnd w:id="517"/>
    <w:p>
      <w:pPr>
        <w:pStyle w:val="3"/>
        <w:rPr>
          <w:rFonts w:ascii="宋体" w:hAnsi="宋体" w:eastAsia="宋体"/>
          <w:highlight w:val="none"/>
        </w:rPr>
      </w:pPr>
      <w:bookmarkStart w:id="525" w:name="_Toc494526411"/>
      <w:bookmarkStart w:id="526" w:name="_Toc338840453"/>
      <w:bookmarkStart w:id="527" w:name="_Toc346523476"/>
      <w:bookmarkStart w:id="528" w:name="_Toc31260"/>
      <w:bookmarkStart w:id="529" w:name="_Toc338840238"/>
      <w:bookmarkStart w:id="530" w:name="_Toc3628"/>
      <w:bookmarkStart w:id="531" w:name="_Toc346523413"/>
      <w:bookmarkStart w:id="532" w:name="_Toc338840492"/>
      <w:bookmarkStart w:id="533" w:name="_Toc494093439"/>
      <w:bookmarkStart w:id="534" w:name="_Toc32258"/>
      <w:bookmarkStart w:id="535" w:name="_Toc452"/>
      <w:r>
        <w:rPr>
          <w:rFonts w:hint="eastAsia" w:ascii="宋体" w:hAnsi="宋体" w:eastAsia="宋体"/>
          <w:highlight w:val="none"/>
        </w:rPr>
        <w:t>评标办法前附表</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pPr>
        <w:ind w:left="826" w:hanging="826" w:hangingChars="343"/>
        <w:rPr>
          <w:rFonts w:ascii="宋体" w:hAnsi="宋体"/>
          <w:b/>
          <w:sz w:val="24"/>
          <w:highlight w:val="none"/>
        </w:rPr>
      </w:pPr>
      <w:r>
        <w:rPr>
          <w:rFonts w:hint="eastAsia" w:ascii="宋体" w:hAnsi="宋体"/>
          <w:b/>
          <w:sz w:val="24"/>
          <w:highlight w:val="none"/>
        </w:rPr>
        <w:t>注：1、评标办法前附表内容与评标办法正文内容不一致时以本表内容为准。</w:t>
      </w:r>
    </w:p>
    <w:p>
      <w:pPr>
        <w:ind w:left="833" w:leftChars="228" w:hanging="354" w:hangingChars="147"/>
        <w:rPr>
          <w:rFonts w:ascii="宋体" w:hAnsi="宋体"/>
          <w:b/>
          <w:sz w:val="24"/>
          <w:highlight w:val="none"/>
        </w:rPr>
      </w:pPr>
      <w:r>
        <w:rPr>
          <w:rFonts w:hint="eastAsia" w:ascii="宋体" w:hAnsi="宋体"/>
          <w:b/>
          <w:sz w:val="24"/>
          <w:highlight w:val="none"/>
        </w:rPr>
        <w:t>2、评标办法前附表中涉及到的有关内容均应体现在投标文件中。</w:t>
      </w:r>
    </w:p>
    <w:p>
      <w:pPr>
        <w:ind w:left="787" w:leftChars="228" w:hanging="308" w:hangingChars="147"/>
        <w:rPr>
          <w:rFonts w:ascii="宋体" w:hAnsi="宋体"/>
          <w:highlight w:val="none"/>
        </w:rPr>
      </w:pPr>
    </w:p>
    <w:tbl>
      <w:tblPr>
        <w:tblStyle w:val="3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440"/>
        <w:gridCol w:w="55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pPr>
              <w:spacing w:line="440" w:lineRule="exact"/>
              <w:jc w:val="center"/>
              <w:rPr>
                <w:rFonts w:ascii="宋体" w:hAnsi="宋体"/>
                <w:b/>
                <w:szCs w:val="21"/>
                <w:highlight w:val="none"/>
              </w:rPr>
            </w:pPr>
            <w:r>
              <w:rPr>
                <w:rFonts w:hint="eastAsia" w:ascii="宋体" w:hAnsi="宋体"/>
                <w:b/>
                <w:szCs w:val="21"/>
                <w:highlight w:val="none"/>
              </w:rPr>
              <w:t>1</w:t>
            </w:r>
          </w:p>
        </w:tc>
        <w:tc>
          <w:tcPr>
            <w:tcW w:w="5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szCs w:val="21"/>
                <w:highlight w:val="none"/>
              </w:rPr>
            </w:pPr>
            <w:r>
              <w:rPr>
                <w:rFonts w:hint="eastAsia" w:ascii="宋体" w:hAnsi="宋体"/>
                <w:b/>
                <w:szCs w:val="21"/>
                <w:highlight w:val="none"/>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pPr>
              <w:tabs>
                <w:tab w:val="left" w:pos="72"/>
              </w:tabs>
              <w:spacing w:line="400" w:lineRule="exact"/>
              <w:ind w:firstLine="422" w:firstLineChars="200"/>
              <w:rPr>
                <w:rFonts w:hint="eastAsia" w:ascii="宋体" w:hAnsi="宋体"/>
                <w:b/>
                <w:szCs w:val="21"/>
                <w:highlight w:val="none"/>
              </w:rPr>
            </w:pPr>
            <w:r>
              <w:rPr>
                <w:rFonts w:hint="eastAsia" w:ascii="宋体" w:hAnsi="宋体"/>
                <w:b/>
                <w:szCs w:val="21"/>
                <w:highlight w:val="none"/>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pPr>
              <w:tabs>
                <w:tab w:val="left" w:pos="72"/>
              </w:tabs>
              <w:spacing w:line="400" w:lineRule="exact"/>
              <w:ind w:firstLine="422" w:firstLineChars="200"/>
              <w:rPr>
                <w:rFonts w:hint="eastAsia" w:ascii="宋体" w:hAnsi="宋体"/>
                <w:b/>
                <w:szCs w:val="21"/>
                <w:highlight w:val="none"/>
              </w:rPr>
            </w:pPr>
            <w:r>
              <w:rPr>
                <w:rFonts w:hint="eastAsia" w:ascii="宋体" w:hAnsi="宋体"/>
                <w:b/>
                <w:szCs w:val="21"/>
                <w:highlight w:val="none"/>
              </w:rPr>
              <w:t>2、</w:t>
            </w:r>
            <w:r>
              <w:rPr>
                <w:rFonts w:hint="eastAsia" w:ascii="宋体" w:hAnsi="宋体"/>
                <w:b/>
                <w:szCs w:val="21"/>
                <w:highlight w:val="none"/>
                <w:u w:val="single"/>
              </w:rPr>
              <w:t>评审。采购人和代理机构负责资格审查；评标委员会负责符合性审查、商务和技术评审。</w:t>
            </w:r>
            <w:r>
              <w:rPr>
                <w:rFonts w:hint="eastAsia" w:ascii="宋体" w:hAnsi="宋体"/>
                <w:b/>
                <w:szCs w:val="21"/>
                <w:highlight w:val="none"/>
              </w:rPr>
              <w:t>（</w:t>
            </w:r>
            <w:r>
              <w:rPr>
                <w:rFonts w:hint="eastAsia" w:ascii="宋体" w:hAnsi="宋体"/>
                <w:b/>
                <w:szCs w:val="21"/>
                <w:highlight w:val="none"/>
                <w:lang w:val="en-US" w:eastAsia="zh-CN"/>
              </w:rPr>
              <w:t>资格审查、符合性审查</w:t>
            </w:r>
            <w:r>
              <w:rPr>
                <w:rFonts w:hint="eastAsia" w:ascii="宋体" w:hAnsi="宋体"/>
                <w:b/>
                <w:szCs w:val="21"/>
                <w:highlight w:val="none"/>
              </w:rPr>
              <w:t>不满足者为无效投标）</w:t>
            </w:r>
          </w:p>
          <w:p>
            <w:pPr>
              <w:tabs>
                <w:tab w:val="left" w:pos="252"/>
              </w:tabs>
              <w:spacing w:line="400" w:lineRule="exact"/>
              <w:ind w:firstLine="422" w:firstLineChars="200"/>
              <w:jc w:val="left"/>
              <w:rPr>
                <w:rFonts w:ascii="宋体" w:hAnsi="宋体"/>
                <w:b/>
                <w:strike/>
                <w:szCs w:val="21"/>
                <w:highlight w:val="none"/>
              </w:rPr>
            </w:pPr>
            <w:r>
              <w:rPr>
                <w:rFonts w:hint="eastAsia" w:ascii="宋体" w:hAnsi="宋体" w:cs="宋体"/>
                <w:b/>
                <w:szCs w:val="21"/>
                <w:highlight w:val="none"/>
              </w:rPr>
              <w:t>3、</w:t>
            </w:r>
            <w:r>
              <w:rPr>
                <w:rFonts w:hint="eastAsia" w:ascii="宋体" w:hAnsi="宋体"/>
                <w:b/>
                <w:szCs w:val="21"/>
                <w:highlight w:val="none"/>
              </w:rPr>
              <w:t>推荐中标候选人。按得分由高到低顺序推荐中标候选人。得分相同者按投标报价由低到高排序。报价也相同者用随机抽取法确定排序。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pPr>
              <w:spacing w:line="440" w:lineRule="exact"/>
              <w:jc w:val="center"/>
              <w:rPr>
                <w:rFonts w:ascii="宋体" w:hAnsi="宋体"/>
                <w:b/>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highlight w:val="none"/>
              </w:rPr>
            </w:pPr>
            <w:r>
              <w:rPr>
                <w:rFonts w:hint="eastAsia" w:ascii="宋体" w:hAnsi="宋体" w:cs="宋体"/>
                <w:b/>
                <w:szCs w:val="21"/>
                <w:highlight w:val="none"/>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pPr>
              <w:tabs>
                <w:tab w:val="left" w:pos="252"/>
              </w:tabs>
              <w:spacing w:line="400" w:lineRule="exact"/>
              <w:jc w:val="left"/>
              <w:rPr>
                <w:rFonts w:ascii="宋体" w:hAnsi="宋体" w:cs="宋体"/>
                <w:b/>
                <w:szCs w:val="21"/>
                <w:highlight w:val="none"/>
              </w:rPr>
            </w:pPr>
            <w:r>
              <w:rPr>
                <w:rFonts w:hint="eastAsia" w:ascii="宋体" w:hAnsi="宋体" w:cs="宋体"/>
                <w:b/>
                <w:szCs w:val="21"/>
                <w:highlight w:val="none"/>
              </w:rPr>
              <w:t>　　评标委员会可以通过</w:t>
            </w:r>
            <w:r>
              <w:rPr>
                <w:rFonts w:hint="eastAsia" w:ascii="宋体" w:hAnsi="宋体"/>
                <w:b/>
                <w:szCs w:val="21"/>
                <w:highlight w:val="none"/>
              </w:rPr>
              <w:t>电子交易系统</w:t>
            </w:r>
            <w:r>
              <w:rPr>
                <w:rFonts w:hint="eastAsia" w:ascii="宋体" w:hAnsi="宋体" w:cs="宋体"/>
                <w:b/>
                <w:szCs w:val="21"/>
                <w:highlight w:val="none"/>
              </w:rPr>
              <w:t>要求供应商对投标文件中有关问题做出答复，但答复内容不得超出投标文件范围或者改变投标文件的实质性内容。</w:t>
            </w:r>
          </w:p>
          <w:p>
            <w:pPr>
              <w:tabs>
                <w:tab w:val="left" w:pos="252"/>
              </w:tabs>
              <w:spacing w:line="400" w:lineRule="exact"/>
              <w:ind w:firstLine="421"/>
              <w:jc w:val="left"/>
              <w:rPr>
                <w:rFonts w:ascii="宋体" w:hAnsi="宋体"/>
                <w:b/>
                <w:szCs w:val="21"/>
                <w:highlight w:val="none"/>
              </w:rPr>
            </w:pPr>
            <w:r>
              <w:rPr>
                <w:rFonts w:hint="eastAsia" w:ascii="宋体" w:hAnsi="宋体" w:cs="宋体"/>
                <w:b/>
                <w:szCs w:val="21"/>
                <w:highlight w:val="none"/>
              </w:rPr>
              <w:t>供应商应时刻通过电子交易系统关注项目情况，评标委员会向供应商提出的澄清要求等，供应商应自系统发出30分钟（另有约定的从其约定）内回复，否则供应商自行承担责任。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11" w:hRule="atLeast"/>
        </w:trPr>
        <w:tc>
          <w:tcPr>
            <w:tcW w:w="720" w:type="dxa"/>
            <w:vMerge w:val="continue"/>
            <w:tcBorders>
              <w:right w:val="single" w:color="auto" w:sz="4" w:space="0"/>
            </w:tcBorders>
            <w:vAlign w:val="center"/>
          </w:tcPr>
          <w:p>
            <w:pPr>
              <w:spacing w:line="440" w:lineRule="exact"/>
              <w:jc w:val="center"/>
              <w:rPr>
                <w:rFonts w:ascii="宋体" w:hAnsi="宋体"/>
                <w:b/>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b/>
                <w:szCs w:val="21"/>
                <w:highlight w:val="none"/>
              </w:rPr>
            </w:pPr>
            <w:r>
              <w:rPr>
                <w:rFonts w:hint="eastAsia" w:ascii="宋体" w:hAnsi="宋体"/>
                <w:b/>
                <w:szCs w:val="21"/>
                <w:highlight w:val="none"/>
              </w:rPr>
              <w:t>同品牌产品</w:t>
            </w:r>
          </w:p>
        </w:tc>
        <w:tc>
          <w:tcPr>
            <w:tcW w:w="7020" w:type="dxa"/>
            <w:gridSpan w:val="2"/>
            <w:tcBorders>
              <w:top w:val="single" w:color="auto" w:sz="4" w:space="0"/>
              <w:left w:val="single" w:color="auto" w:sz="4" w:space="0"/>
              <w:bottom w:val="single" w:color="auto" w:sz="4" w:space="0"/>
              <w:right w:val="single" w:color="auto" w:sz="4" w:space="0"/>
            </w:tcBorders>
            <w:vAlign w:val="center"/>
          </w:tcPr>
          <w:p>
            <w:pPr>
              <w:tabs>
                <w:tab w:val="left" w:pos="252"/>
              </w:tabs>
              <w:spacing w:line="400" w:lineRule="exact"/>
              <w:ind w:firstLine="422" w:firstLineChars="200"/>
              <w:jc w:val="left"/>
              <w:rPr>
                <w:rFonts w:ascii="宋体" w:hAnsi="宋体"/>
                <w:b/>
                <w:szCs w:val="21"/>
                <w:highlight w:val="none"/>
              </w:rPr>
            </w:pPr>
            <w:r>
              <w:rPr>
                <w:rFonts w:hint="eastAsia" w:ascii="宋体" w:hAnsi="宋体"/>
                <w:b/>
                <w:szCs w:val="21"/>
                <w:highlight w:val="none"/>
              </w:rPr>
              <w:t>提供相同品牌产品（多产品采购时指招标文件标明的核心产品）且通过资格审查、符合性审查的不同供应商参加同一合同项下投标的，按一家供应商计算，评审后得分最高（相同时随机抽取）的同品牌供应商获得中标人推荐资格，其他同品牌供应商不作为中标候选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pPr>
              <w:spacing w:line="440" w:lineRule="exact"/>
              <w:jc w:val="center"/>
              <w:rPr>
                <w:rFonts w:ascii="宋体" w:hAnsi="宋体"/>
                <w:b/>
                <w:szCs w:val="21"/>
                <w:highlight w:val="none"/>
              </w:rPr>
            </w:pPr>
            <w:r>
              <w:rPr>
                <w:rFonts w:ascii="宋体" w:hAnsi="宋体"/>
                <w:b/>
                <w:szCs w:val="21"/>
                <w:highlight w:val="none"/>
              </w:rPr>
              <w:t>条款号</w:t>
            </w:r>
          </w:p>
        </w:tc>
        <w:tc>
          <w:tcPr>
            <w:tcW w:w="540" w:type="dxa"/>
            <w:tcBorders>
              <w:top w:val="single" w:color="auto" w:sz="4" w:space="0"/>
              <w:bottom w:val="single" w:color="auto" w:sz="4" w:space="0"/>
              <w:right w:val="single" w:color="auto" w:sz="4" w:space="0"/>
            </w:tcBorders>
            <w:vAlign w:val="center"/>
          </w:tcPr>
          <w:p>
            <w:pPr>
              <w:jc w:val="center"/>
              <w:rPr>
                <w:rFonts w:ascii="宋体" w:hAnsi="宋体"/>
                <w:b/>
                <w:szCs w:val="21"/>
                <w:highlight w:val="none"/>
              </w:rPr>
            </w:pPr>
            <w:r>
              <w:rPr>
                <w:rFonts w:hint="eastAsia" w:ascii="宋体" w:hAnsi="宋体"/>
                <w:b/>
                <w:szCs w:val="21"/>
                <w:highlight w:val="none"/>
              </w:rPr>
              <w:t>审查　内容</w:t>
            </w: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szCs w:val="21"/>
                <w:highlight w:val="none"/>
              </w:rPr>
            </w:pPr>
            <w:r>
              <w:rPr>
                <w:rFonts w:ascii="宋体" w:hAnsi="宋体"/>
                <w:b/>
                <w:szCs w:val="21"/>
                <w:highlight w:val="none"/>
              </w:rPr>
              <w:t>评审因素</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szCs w:val="21"/>
                <w:highlight w:val="none"/>
              </w:rPr>
            </w:pPr>
            <w:r>
              <w:rPr>
                <w:rFonts w:ascii="宋体" w:hAnsi="宋体"/>
                <w:b/>
                <w:szCs w:val="21"/>
                <w:highlight w:val="none"/>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pPr>
              <w:spacing w:line="440" w:lineRule="exact"/>
              <w:jc w:val="center"/>
              <w:rPr>
                <w:rFonts w:ascii="宋体" w:hAnsi="宋体"/>
                <w:szCs w:val="21"/>
                <w:highlight w:val="none"/>
              </w:rPr>
            </w:pPr>
            <w:r>
              <w:rPr>
                <w:rFonts w:hint="eastAsia" w:ascii="宋体" w:hAnsi="宋体"/>
                <w:szCs w:val="21"/>
                <w:highlight w:val="none"/>
              </w:rPr>
              <w:t>2.1.1</w:t>
            </w:r>
          </w:p>
        </w:tc>
        <w:tc>
          <w:tcPr>
            <w:tcW w:w="540" w:type="dxa"/>
            <w:tcBorders>
              <w:top w:val="single" w:color="auto" w:sz="4" w:space="0"/>
              <w:bottom w:val="single" w:color="auto" w:sz="4" w:space="0"/>
              <w:right w:val="single" w:color="auto" w:sz="4" w:space="0"/>
            </w:tcBorders>
            <w:vAlign w:val="center"/>
          </w:tcPr>
          <w:p>
            <w:pPr>
              <w:spacing w:line="360" w:lineRule="exact"/>
              <w:jc w:val="center"/>
              <w:rPr>
                <w:rFonts w:ascii="宋体" w:hAnsi="宋体"/>
                <w:szCs w:val="21"/>
                <w:highlight w:val="none"/>
              </w:rPr>
            </w:pPr>
            <w:r>
              <w:rPr>
                <w:rFonts w:ascii="宋体" w:hAnsi="宋体"/>
                <w:szCs w:val="21"/>
                <w:highlight w:val="none"/>
              </w:rPr>
              <w:t>资格</w:t>
            </w:r>
            <w:r>
              <w:rPr>
                <w:rFonts w:hint="eastAsia" w:ascii="宋体" w:hAnsi="宋体"/>
                <w:szCs w:val="21"/>
                <w:highlight w:val="none"/>
              </w:rPr>
              <w:t>　</w:t>
            </w:r>
            <w:r>
              <w:rPr>
                <w:rFonts w:ascii="宋体" w:hAnsi="宋体"/>
                <w:szCs w:val="21"/>
                <w:highlight w:val="none"/>
              </w:rPr>
              <w:t>审查</w:t>
            </w: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szCs w:val="21"/>
                <w:highlight w:val="none"/>
              </w:rPr>
            </w:pPr>
            <w:r>
              <w:rPr>
                <w:rFonts w:hint="eastAsia" w:ascii="宋体" w:hAnsi="宋体"/>
                <w:szCs w:val="21"/>
                <w:highlight w:val="none"/>
              </w:rPr>
              <w:t>供应商资格</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2" w:firstLineChars="200"/>
              <w:rPr>
                <w:rFonts w:ascii="宋体" w:hAnsi="宋体"/>
                <w:szCs w:val="21"/>
                <w:highlight w:val="none"/>
              </w:rPr>
            </w:pPr>
            <w:r>
              <w:rPr>
                <w:rFonts w:hint="eastAsia" w:ascii="宋体" w:hAnsi="宋体" w:cs="宋体"/>
                <w:b/>
                <w:bCs/>
                <w:szCs w:val="21"/>
                <w:highlight w:val="none"/>
              </w:rPr>
              <w:t>由采购人、代理机构于开标后进行资格审查，</w:t>
            </w:r>
            <w:r>
              <w:rPr>
                <w:rFonts w:hint="eastAsia" w:ascii="宋体" w:hAnsi="宋体" w:cs="宋体"/>
                <w:b/>
                <w:bCs/>
                <w:szCs w:val="32"/>
                <w:highlight w:val="none"/>
              </w:rPr>
              <w:t>未通过者注明原因</w:t>
            </w:r>
            <w:r>
              <w:rPr>
                <w:rFonts w:hint="eastAsia" w:ascii="宋体" w:hAnsi="宋体" w:cs="宋体"/>
                <w:b/>
                <w:bCs/>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pPr>
              <w:spacing w:line="440" w:lineRule="exact"/>
              <w:jc w:val="center"/>
              <w:rPr>
                <w:rFonts w:ascii="宋体" w:hAnsi="宋体"/>
                <w:szCs w:val="21"/>
                <w:highlight w:val="none"/>
              </w:rPr>
            </w:pPr>
          </w:p>
          <w:p>
            <w:pPr>
              <w:spacing w:line="440" w:lineRule="exact"/>
              <w:jc w:val="center"/>
              <w:rPr>
                <w:rFonts w:ascii="宋体" w:hAnsi="宋体"/>
                <w:szCs w:val="21"/>
                <w:highlight w:val="none"/>
              </w:rPr>
            </w:pPr>
          </w:p>
          <w:p>
            <w:pPr>
              <w:spacing w:line="440" w:lineRule="exact"/>
              <w:jc w:val="center"/>
              <w:rPr>
                <w:rFonts w:ascii="宋体" w:hAnsi="宋体"/>
                <w:szCs w:val="21"/>
                <w:highlight w:val="none"/>
              </w:rPr>
            </w:pPr>
          </w:p>
          <w:p>
            <w:pPr>
              <w:spacing w:line="440" w:lineRule="exact"/>
              <w:jc w:val="center"/>
              <w:rPr>
                <w:rFonts w:ascii="宋体" w:hAnsi="宋体"/>
                <w:szCs w:val="21"/>
                <w:highlight w:val="none"/>
              </w:rPr>
            </w:pPr>
            <w:r>
              <w:rPr>
                <w:rFonts w:hint="eastAsia" w:ascii="宋体" w:hAnsi="宋体"/>
                <w:szCs w:val="21"/>
                <w:highlight w:val="none"/>
              </w:rPr>
              <w:t>2.1.2</w:t>
            </w:r>
          </w:p>
          <w:p>
            <w:pPr>
              <w:spacing w:line="440" w:lineRule="exact"/>
              <w:jc w:val="center"/>
              <w:rPr>
                <w:rFonts w:ascii="宋体" w:hAnsi="宋体"/>
                <w:szCs w:val="21"/>
                <w:highlight w:val="none"/>
              </w:rPr>
            </w:pPr>
          </w:p>
          <w:p>
            <w:pPr>
              <w:spacing w:line="440" w:lineRule="exact"/>
              <w:jc w:val="center"/>
              <w:rPr>
                <w:rFonts w:ascii="宋体" w:hAnsi="宋体"/>
                <w:szCs w:val="21"/>
                <w:highlight w:val="none"/>
              </w:rPr>
            </w:pPr>
          </w:p>
          <w:p>
            <w:pPr>
              <w:spacing w:line="440" w:lineRule="exact"/>
              <w:jc w:val="center"/>
              <w:rPr>
                <w:rFonts w:ascii="宋体" w:hAnsi="宋体"/>
                <w:szCs w:val="21"/>
                <w:highlight w:val="none"/>
              </w:rPr>
            </w:pPr>
          </w:p>
        </w:tc>
        <w:tc>
          <w:tcPr>
            <w:tcW w:w="540" w:type="dxa"/>
            <w:vMerge w:val="restart"/>
            <w:tcBorders>
              <w:top w:val="single" w:color="auto" w:sz="4" w:space="0"/>
              <w:right w:val="single" w:color="auto" w:sz="4" w:space="0"/>
            </w:tcBorders>
            <w:vAlign w:val="center"/>
          </w:tcPr>
          <w:p>
            <w:pPr>
              <w:spacing w:line="440" w:lineRule="exact"/>
              <w:jc w:val="center"/>
              <w:rPr>
                <w:rFonts w:ascii="宋体" w:hAnsi="宋体"/>
                <w:szCs w:val="21"/>
                <w:highlight w:val="none"/>
              </w:rPr>
            </w:pPr>
          </w:p>
          <w:p>
            <w:pPr>
              <w:spacing w:line="440" w:lineRule="exact"/>
              <w:jc w:val="center"/>
              <w:rPr>
                <w:rFonts w:ascii="宋体" w:hAnsi="宋体"/>
                <w:szCs w:val="21"/>
                <w:highlight w:val="none"/>
              </w:rPr>
            </w:pPr>
          </w:p>
          <w:p>
            <w:pPr>
              <w:spacing w:line="440" w:lineRule="exact"/>
              <w:jc w:val="center"/>
              <w:rPr>
                <w:rFonts w:ascii="宋体" w:hAnsi="宋体"/>
                <w:szCs w:val="21"/>
                <w:highlight w:val="none"/>
              </w:rPr>
            </w:pPr>
            <w:r>
              <w:rPr>
                <w:rFonts w:hint="eastAsia" w:ascii="宋体" w:hAnsi="宋体"/>
                <w:szCs w:val="21"/>
                <w:highlight w:val="none"/>
              </w:rPr>
              <w:t>符合性审查</w:t>
            </w:r>
          </w:p>
          <w:p>
            <w:pPr>
              <w:spacing w:line="440" w:lineRule="exact"/>
              <w:jc w:val="center"/>
              <w:rPr>
                <w:rFonts w:ascii="宋体" w:hAnsi="宋体"/>
                <w:szCs w:val="21"/>
                <w:highlight w:val="none"/>
              </w:rPr>
            </w:pPr>
          </w:p>
          <w:p>
            <w:pPr>
              <w:spacing w:line="440" w:lineRule="exact"/>
              <w:jc w:val="center"/>
              <w:rPr>
                <w:rFonts w:ascii="宋体" w:hAnsi="宋体"/>
                <w:szCs w:val="21"/>
                <w:highlight w:val="none"/>
              </w:rPr>
            </w:pPr>
          </w:p>
          <w:p>
            <w:pPr>
              <w:spacing w:line="440" w:lineRule="exact"/>
              <w:jc w:val="center"/>
              <w:rPr>
                <w:rFonts w:ascii="宋体" w:hAnsi="宋体"/>
                <w:szCs w:val="21"/>
                <w:highlight w:val="none"/>
              </w:rPr>
            </w:pPr>
          </w:p>
          <w:p>
            <w:pPr>
              <w:spacing w:line="440" w:lineRule="exact"/>
              <w:jc w:val="center"/>
              <w:rPr>
                <w:rFonts w:ascii="宋体" w:hAnsi="宋体"/>
                <w:szCs w:val="21"/>
                <w:highlight w:val="none"/>
              </w:rPr>
            </w:pPr>
          </w:p>
          <w:p>
            <w:pPr>
              <w:spacing w:line="440" w:lineRule="exact"/>
              <w:jc w:val="center"/>
              <w:rPr>
                <w:rFonts w:ascii="宋体" w:hAnsi="宋体"/>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szCs w:val="21"/>
                <w:highlight w:val="none"/>
              </w:rPr>
            </w:pPr>
            <w:r>
              <w:rPr>
                <w:rFonts w:hint="eastAsia" w:ascii="宋体" w:hAnsi="宋体" w:cs="宋体"/>
                <w:szCs w:val="21"/>
                <w:highlight w:val="none"/>
              </w:rPr>
              <w:t>供应商名称</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szCs w:val="21"/>
                <w:highlight w:val="none"/>
              </w:rPr>
            </w:pPr>
            <w:r>
              <w:rPr>
                <w:rFonts w:hint="eastAsia" w:ascii="宋体" w:hAnsi="宋体" w:cs="宋体"/>
                <w:szCs w:val="21"/>
                <w:highlight w:val="none"/>
              </w:rPr>
              <w:t>供应商名称与单位盖章、资格证明材料相一致。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szCs w:val="21"/>
                <w:highlight w:val="none"/>
              </w:rPr>
            </w:pPr>
            <w:r>
              <w:rPr>
                <w:rFonts w:ascii="宋体" w:hAnsi="宋体"/>
                <w:szCs w:val="21"/>
                <w:highlight w:val="none"/>
              </w:rPr>
              <w:t>签字盖章</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szCs w:val="21"/>
                <w:highlight w:val="none"/>
              </w:rPr>
            </w:pPr>
            <w:r>
              <w:rPr>
                <w:rFonts w:hint="eastAsia" w:ascii="宋体" w:hAnsi="宋体"/>
                <w:szCs w:val="21"/>
                <w:highlight w:val="none"/>
              </w:rPr>
              <w:t>投标函、法定代表人资格证明（或授权委托书）按投标文件格式要求签字、盖章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72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szCs w:val="21"/>
                <w:highlight w:val="none"/>
              </w:rPr>
            </w:pPr>
            <w:r>
              <w:rPr>
                <w:rFonts w:hint="eastAsia" w:ascii="宋体" w:hAnsi="宋体"/>
                <w:szCs w:val="21"/>
                <w:highlight w:val="none"/>
              </w:rPr>
              <w:t>投标报价</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highlight w:val="none"/>
              </w:rPr>
            </w:pPr>
            <w:r>
              <w:rPr>
                <w:rFonts w:hint="eastAsia"/>
                <w:highlight w:val="none"/>
              </w:rPr>
              <w:t>1、投标函中只能有一个有效投标报价（招标文件另有要求者除外）。</w:t>
            </w:r>
          </w:p>
          <w:p>
            <w:pPr>
              <w:spacing w:line="440" w:lineRule="atLeast"/>
              <w:rPr>
                <w:highlight w:val="none"/>
              </w:rPr>
            </w:pPr>
            <w:r>
              <w:rPr>
                <w:rFonts w:hint="eastAsia"/>
                <w:highlight w:val="none"/>
              </w:rPr>
              <w:t>2、设有最高限价者不得高于最高限价。</w:t>
            </w:r>
          </w:p>
          <w:p>
            <w:pPr>
              <w:spacing w:line="440" w:lineRule="atLeast"/>
              <w:rPr>
                <w:highlight w:val="none"/>
              </w:rPr>
            </w:pPr>
            <w:r>
              <w:rPr>
                <w:rFonts w:hint="eastAsia"/>
                <w:highlight w:val="none"/>
              </w:rPr>
              <w:t>3、明显低价。评标委员会认为供应商的报价明显低于其他通过符合性审查供应商的报价，有可能影响产品质量或者不能诚信履约的，应当通过电子交易系统向该供应商提出，供应商在30分钟内（另有约定者按约定）通过该系统提供书面说明，必要时提交相关证明材料；供应商不能证明其报价合理性的，评标委员会应当将其作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1440" w:type="dxa"/>
            <w:tcBorders>
              <w:top w:val="single" w:color="auto" w:sz="4" w:space="0"/>
              <w:left w:val="single" w:color="auto" w:sz="4" w:space="0"/>
              <w:right w:val="single" w:color="auto" w:sz="4" w:space="0"/>
            </w:tcBorders>
            <w:vAlign w:val="center"/>
          </w:tcPr>
          <w:p>
            <w:pPr>
              <w:spacing w:line="440" w:lineRule="exact"/>
              <w:jc w:val="center"/>
              <w:rPr>
                <w:rFonts w:ascii="宋体" w:hAnsi="宋体"/>
                <w:szCs w:val="21"/>
                <w:highlight w:val="none"/>
              </w:rPr>
            </w:pPr>
            <w:r>
              <w:rPr>
                <w:rFonts w:hint="eastAsia" w:ascii="宋体" w:hAnsi="宋体"/>
                <w:szCs w:val="21"/>
                <w:highlight w:val="none"/>
              </w:rPr>
              <w:t>合同履行期限</w:t>
            </w:r>
          </w:p>
        </w:tc>
        <w:tc>
          <w:tcPr>
            <w:tcW w:w="5580" w:type="dxa"/>
            <w:tcBorders>
              <w:top w:val="single" w:color="auto" w:sz="4" w:space="0"/>
              <w:left w:val="single" w:color="auto" w:sz="4" w:space="0"/>
              <w:right w:val="single" w:color="auto" w:sz="4" w:space="0"/>
            </w:tcBorders>
            <w:vAlign w:val="center"/>
          </w:tcPr>
          <w:p>
            <w:pPr>
              <w:spacing w:line="440" w:lineRule="atLeast"/>
              <w:rPr>
                <w:rFonts w:hint="default" w:ascii="宋体" w:hAnsi="宋体" w:eastAsia="宋体"/>
                <w:szCs w:val="21"/>
                <w:highlight w:val="none"/>
                <w:lang w:val="en-US" w:eastAsia="zh-CN"/>
              </w:rPr>
            </w:pPr>
            <w:r>
              <w:rPr>
                <w:rFonts w:hint="eastAsia" w:ascii="宋体" w:hAnsi="宋体"/>
                <w:szCs w:val="21"/>
                <w:highlight w:val="none"/>
              </w:rPr>
              <w:t>不</w:t>
            </w:r>
            <w:r>
              <w:rPr>
                <w:rFonts w:hint="eastAsia" w:ascii="宋体" w:hAnsi="宋体"/>
                <w:szCs w:val="21"/>
                <w:highlight w:val="none"/>
                <w:lang w:val="en-US" w:eastAsia="zh-CN"/>
              </w:rPr>
              <w:t>多</w:t>
            </w:r>
            <w:r>
              <w:rPr>
                <w:rFonts w:hint="eastAsia" w:ascii="宋体" w:hAnsi="宋体"/>
                <w:szCs w:val="21"/>
                <w:highlight w:val="none"/>
              </w:rPr>
              <w:t>于“供应商须知前附表”规定的时间</w:t>
            </w:r>
            <w:r>
              <w:rPr>
                <w:rFonts w:hint="eastAsia" w:ascii="宋体" w:hAnsi="宋体"/>
                <w:szCs w:val="21"/>
                <w:highlight w:val="none"/>
                <w:lang w:eastAsia="zh-CN"/>
              </w:rPr>
              <w:t>。（</w:t>
            </w:r>
            <w:r>
              <w:rPr>
                <w:rFonts w:hint="eastAsia" w:ascii="宋体" w:hAnsi="宋体"/>
                <w:szCs w:val="21"/>
                <w:highlight w:val="none"/>
                <w:lang w:val="en-US" w:eastAsia="zh-CN"/>
              </w:rPr>
              <w:t>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1440" w:type="dxa"/>
            <w:tcBorders>
              <w:top w:val="single" w:color="auto" w:sz="4" w:space="0"/>
              <w:left w:val="single" w:color="auto" w:sz="4" w:space="0"/>
              <w:right w:val="single" w:color="auto" w:sz="4" w:space="0"/>
            </w:tcBorders>
            <w:vAlign w:val="center"/>
          </w:tcPr>
          <w:p>
            <w:pPr>
              <w:spacing w:line="440" w:lineRule="exact"/>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质量要求</w:t>
            </w:r>
          </w:p>
        </w:tc>
        <w:tc>
          <w:tcPr>
            <w:tcW w:w="5580" w:type="dxa"/>
            <w:tcBorders>
              <w:top w:val="single" w:color="auto" w:sz="4" w:space="0"/>
              <w:left w:val="single" w:color="auto" w:sz="4" w:space="0"/>
              <w:right w:val="single" w:color="auto" w:sz="4" w:space="0"/>
            </w:tcBorders>
            <w:vAlign w:val="center"/>
          </w:tcPr>
          <w:p>
            <w:pPr>
              <w:spacing w:line="440" w:lineRule="atLeast"/>
              <w:rPr>
                <w:rFonts w:hint="eastAsia" w:ascii="宋体" w:hAnsi="宋体" w:eastAsia="宋体"/>
                <w:szCs w:val="21"/>
                <w:highlight w:val="none"/>
                <w:lang w:eastAsia="zh-CN"/>
              </w:rPr>
            </w:pPr>
            <w:r>
              <w:rPr>
                <w:rFonts w:hint="eastAsia" w:ascii="宋体" w:hAnsi="宋体"/>
                <w:szCs w:val="21"/>
                <w:highlight w:val="none"/>
                <w:lang w:val="en-US" w:eastAsia="zh-CN"/>
              </w:rPr>
              <w:t>响应</w:t>
            </w:r>
            <w:r>
              <w:rPr>
                <w:rFonts w:hint="eastAsia" w:ascii="宋体" w:hAnsi="宋体"/>
                <w:szCs w:val="21"/>
                <w:highlight w:val="none"/>
              </w:rPr>
              <w:t>“供应商须知前附表”要求</w:t>
            </w:r>
            <w:r>
              <w:rPr>
                <w:rFonts w:hint="eastAsia" w:ascii="宋体" w:hAnsi="宋体"/>
                <w:szCs w:val="21"/>
                <w:highlight w:val="none"/>
                <w:lang w:eastAsia="zh-CN"/>
              </w:rPr>
              <w:t>。（</w:t>
            </w:r>
            <w:r>
              <w:rPr>
                <w:rFonts w:hint="eastAsia" w:ascii="宋体" w:hAnsi="宋体"/>
                <w:szCs w:val="21"/>
                <w:highlight w:val="none"/>
                <w:lang w:val="en-US" w:eastAsia="zh-CN"/>
              </w:rPr>
              <w:t>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szCs w:val="21"/>
                <w:highlight w:val="none"/>
              </w:rPr>
            </w:pPr>
            <w:r>
              <w:rPr>
                <w:rFonts w:hint="eastAsia" w:ascii="宋体" w:hAnsi="宋体"/>
                <w:szCs w:val="21"/>
                <w:highlight w:val="none"/>
              </w:rPr>
              <w:t>投标有效期</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szCs w:val="21"/>
                <w:highlight w:val="none"/>
                <w:lang w:eastAsia="zh-CN"/>
              </w:rPr>
            </w:pPr>
            <w:r>
              <w:rPr>
                <w:rFonts w:hint="eastAsia" w:ascii="宋体" w:hAnsi="宋体"/>
                <w:szCs w:val="21"/>
                <w:highlight w:val="none"/>
              </w:rPr>
              <w:t>不少于“供应商须知前附表”规定的时间</w:t>
            </w:r>
            <w:r>
              <w:rPr>
                <w:rFonts w:hint="eastAsia" w:ascii="宋体" w:hAnsi="宋体"/>
                <w:szCs w:val="21"/>
                <w:highlight w:val="none"/>
                <w:lang w:eastAsia="zh-CN"/>
              </w:rPr>
              <w:t>。（</w:t>
            </w:r>
            <w:r>
              <w:rPr>
                <w:rFonts w:hint="eastAsia" w:ascii="宋体" w:hAnsi="宋体"/>
                <w:szCs w:val="21"/>
                <w:highlight w:val="none"/>
                <w:lang w:val="en-US" w:eastAsia="zh-CN"/>
              </w:rPr>
              <w:t>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szCs w:val="21"/>
                <w:highlight w:val="none"/>
              </w:rPr>
            </w:pPr>
            <w:r>
              <w:rPr>
                <w:rFonts w:hint="eastAsia" w:ascii="宋体" w:hAnsi="宋体"/>
                <w:szCs w:val="21"/>
                <w:highlight w:val="none"/>
              </w:rPr>
              <w:t>付款方式</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szCs w:val="21"/>
                <w:highlight w:val="none"/>
                <w:lang w:eastAsia="zh-CN"/>
              </w:rPr>
            </w:pPr>
            <w:r>
              <w:rPr>
                <w:rFonts w:hint="eastAsia" w:ascii="宋体" w:hAnsi="宋体"/>
                <w:szCs w:val="21"/>
                <w:highlight w:val="none"/>
              </w:rPr>
              <w:t>响应“供应商须知前附表”要求</w:t>
            </w:r>
            <w:r>
              <w:rPr>
                <w:rFonts w:hint="eastAsia" w:ascii="宋体" w:hAnsi="宋体"/>
                <w:szCs w:val="21"/>
                <w:highlight w:val="none"/>
                <w:lang w:eastAsia="zh-CN"/>
              </w:rPr>
              <w:t>。（</w:t>
            </w:r>
            <w:r>
              <w:rPr>
                <w:rFonts w:hint="eastAsia" w:ascii="宋体" w:hAnsi="宋体"/>
                <w:szCs w:val="21"/>
                <w:highlight w:val="none"/>
                <w:lang w:val="en-US" w:eastAsia="zh-CN"/>
              </w:rPr>
              <w:t>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0"/>
                <w:szCs w:val="20"/>
                <w:highlight w:val="none"/>
              </w:rPr>
            </w:pPr>
            <w:r>
              <w:rPr>
                <w:rFonts w:hint="eastAsia" w:ascii="宋体" w:hAnsi="宋体" w:cs="宋体"/>
                <w:sz w:val="20"/>
                <w:szCs w:val="20"/>
                <w:highlight w:val="none"/>
              </w:rPr>
              <w:t>硬件特征码</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s="宋体"/>
                <w:szCs w:val="21"/>
                <w:highlight w:val="none"/>
              </w:rPr>
            </w:pPr>
            <w:r>
              <w:rPr>
                <w:rFonts w:hint="eastAsia" w:ascii="宋体" w:hAnsi="宋体" w:cs="宋体"/>
                <w:szCs w:val="21"/>
                <w:highlight w:val="none"/>
              </w:rPr>
              <w:t>供应商上传投标文件的计算机“硬件特征码”不得与本项目其他供应商相同。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0"/>
                <w:szCs w:val="20"/>
                <w:highlight w:val="none"/>
              </w:rPr>
            </w:pPr>
            <w:r>
              <w:rPr>
                <w:rFonts w:hint="eastAsia" w:ascii="宋体" w:hAnsi="宋体" w:cs="宋体"/>
                <w:sz w:val="20"/>
                <w:szCs w:val="20"/>
                <w:highlight w:val="none"/>
              </w:rPr>
              <w:t>其他无效投标情形</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highlight w:val="none"/>
              </w:rPr>
            </w:pPr>
            <w:r>
              <w:rPr>
                <w:rFonts w:hint="eastAsia"/>
                <w:highlight w:val="none"/>
              </w:rPr>
              <w:t>不存在本章“附件Ａ　无效投标条件”所列情形。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pPr>
              <w:spacing w:line="440" w:lineRule="exact"/>
              <w:ind w:firstLine="420" w:firstLineChars="200"/>
              <w:jc w:val="left"/>
              <w:rPr>
                <w:highlight w:val="none"/>
              </w:rPr>
            </w:pPr>
            <w:r>
              <w:rPr>
                <w:rFonts w:hint="eastAsia"/>
                <w:highlight w:val="none"/>
              </w:rPr>
              <w:t>对于无效投标，评标委员会应详细写明具体原因以及采购文件或法律依据，并写入评标报告。</w:t>
            </w:r>
          </w:p>
        </w:tc>
      </w:tr>
    </w:tbl>
    <w:p>
      <w:pPr>
        <w:spacing w:line="440" w:lineRule="exact"/>
        <w:rPr>
          <w:rFonts w:ascii="宋体" w:hAnsi="宋体"/>
          <w:b/>
          <w:bCs/>
          <w:highlight w:val="none"/>
        </w:rPr>
      </w:pPr>
    </w:p>
    <w:p>
      <w:pPr>
        <w:spacing w:line="440" w:lineRule="exact"/>
        <w:rPr>
          <w:rFonts w:ascii="宋体" w:hAnsi="宋体"/>
          <w:b/>
          <w:bCs/>
          <w:highlight w:val="none"/>
        </w:rPr>
      </w:pPr>
      <w:r>
        <w:rPr>
          <w:rFonts w:hint="eastAsia" w:ascii="宋体" w:hAnsi="宋体"/>
          <w:b/>
          <w:bCs/>
          <w:highlight w:val="none"/>
        </w:rPr>
        <w:t>商务和技术评审内容如下：</w:t>
      </w:r>
    </w:p>
    <w:tbl>
      <w:tblPr>
        <w:tblStyle w:val="3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b/>
                <w:bCs/>
                <w:szCs w:val="21"/>
                <w:highlight w:val="none"/>
              </w:rPr>
            </w:pPr>
            <w:r>
              <w:rPr>
                <w:rFonts w:hint="eastAsia" w:ascii="宋体" w:hAnsi="宋体"/>
                <w:b/>
                <w:bCs/>
                <w:highlight w:val="none"/>
              </w:rPr>
              <w:t>条款号</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szCs w:val="21"/>
                <w:highlight w:val="none"/>
              </w:rPr>
            </w:pPr>
            <w:r>
              <w:rPr>
                <w:rFonts w:hint="eastAsia" w:ascii="宋体" w:hAnsi="宋体"/>
                <w:b/>
                <w:bCs/>
                <w:highlight w:val="none"/>
              </w:rPr>
              <w:t>条款内容</w:t>
            </w:r>
          </w:p>
        </w:tc>
        <w:tc>
          <w:tcPr>
            <w:tcW w:w="5437" w:type="dxa"/>
            <w:gridSpan w:val="2"/>
            <w:tcBorders>
              <w:top w:val="single" w:color="auto" w:sz="4" w:space="0"/>
              <w:left w:val="single" w:color="auto" w:sz="4" w:space="0"/>
              <w:right w:val="single" w:color="auto" w:sz="4" w:space="0"/>
            </w:tcBorders>
            <w:vAlign w:val="center"/>
          </w:tcPr>
          <w:p>
            <w:pPr>
              <w:spacing w:line="440" w:lineRule="exact"/>
              <w:jc w:val="center"/>
              <w:rPr>
                <w:rFonts w:ascii="宋体" w:hAnsi="宋体"/>
                <w:b/>
                <w:bCs/>
                <w:szCs w:val="21"/>
                <w:highlight w:val="none"/>
              </w:rPr>
            </w:pPr>
            <w:r>
              <w:rPr>
                <w:rFonts w:hint="eastAsia" w:ascii="宋体" w:hAnsi="宋体"/>
                <w:b/>
                <w:bCs/>
                <w:highlight w:val="none"/>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szCs w:val="21"/>
                <w:highlight w:val="none"/>
              </w:rPr>
            </w:pPr>
            <w:r>
              <w:rPr>
                <w:rFonts w:hint="eastAsia" w:ascii="宋体" w:hAnsi="宋体"/>
                <w:szCs w:val="21"/>
                <w:highlight w:val="none"/>
              </w:rPr>
              <w:t>2.2.1</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szCs w:val="21"/>
                <w:highlight w:val="none"/>
              </w:rPr>
            </w:pPr>
            <w:r>
              <w:rPr>
                <w:rFonts w:hint="eastAsia" w:ascii="宋体" w:hAnsi="宋体"/>
                <w:szCs w:val="21"/>
                <w:highlight w:val="none"/>
              </w:rPr>
              <w:t>分值构成</w:t>
            </w:r>
          </w:p>
          <w:p>
            <w:pPr>
              <w:spacing w:line="440" w:lineRule="exact"/>
              <w:jc w:val="center"/>
              <w:rPr>
                <w:rFonts w:ascii="宋体" w:hAnsi="宋体"/>
                <w:szCs w:val="21"/>
                <w:highlight w:val="none"/>
              </w:rPr>
            </w:pPr>
            <w:r>
              <w:rPr>
                <w:rFonts w:hint="eastAsia" w:ascii="宋体" w:hAnsi="宋体"/>
                <w:szCs w:val="21"/>
                <w:highlight w:val="none"/>
              </w:rPr>
              <w:t>(总分 100 分)</w:t>
            </w:r>
          </w:p>
        </w:tc>
        <w:tc>
          <w:tcPr>
            <w:tcW w:w="5437" w:type="dxa"/>
            <w:gridSpan w:val="2"/>
            <w:tcBorders>
              <w:top w:val="single" w:color="auto" w:sz="4" w:space="0"/>
              <w:left w:val="single" w:color="auto" w:sz="4" w:space="0"/>
              <w:right w:val="single" w:color="auto" w:sz="4" w:space="0"/>
            </w:tcBorders>
            <w:vAlign w:val="center"/>
          </w:tcPr>
          <w:p>
            <w:pPr>
              <w:spacing w:line="440" w:lineRule="exact"/>
              <w:jc w:val="left"/>
              <w:rPr>
                <w:rFonts w:ascii="宋体" w:hAnsi="宋体"/>
                <w:color w:val="auto"/>
                <w:highlight w:val="none"/>
              </w:rPr>
            </w:pPr>
            <w:r>
              <w:rPr>
                <w:rFonts w:hint="eastAsia" w:ascii="宋体" w:hAnsi="宋体"/>
                <w:color w:val="auto"/>
                <w:highlight w:val="none"/>
              </w:rPr>
              <w:t>投标报价：</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30</w:t>
            </w:r>
            <w:r>
              <w:rPr>
                <w:rFonts w:hint="eastAsia" w:ascii="宋体" w:hAnsi="宋体"/>
                <w:color w:val="auto"/>
                <w:highlight w:val="none"/>
                <w:u w:val="single"/>
              </w:rPr>
              <w:t xml:space="preserve">  </w:t>
            </w:r>
            <w:r>
              <w:rPr>
                <w:rFonts w:hint="eastAsia" w:ascii="宋体" w:hAnsi="宋体"/>
                <w:color w:val="auto"/>
                <w:highlight w:val="none"/>
              </w:rPr>
              <w:t>分</w:t>
            </w:r>
          </w:p>
          <w:p>
            <w:pPr>
              <w:spacing w:line="440" w:lineRule="exact"/>
              <w:jc w:val="left"/>
              <w:rPr>
                <w:rFonts w:ascii="宋体" w:hAnsi="宋体"/>
                <w:color w:val="auto"/>
                <w:highlight w:val="none"/>
              </w:rPr>
            </w:pPr>
            <w:r>
              <w:rPr>
                <w:rFonts w:hint="eastAsia" w:ascii="宋体" w:hAnsi="宋体"/>
                <w:color w:val="auto"/>
                <w:highlight w:val="none"/>
              </w:rPr>
              <w:t>商务部分：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11</w:t>
            </w:r>
            <w:r>
              <w:rPr>
                <w:rFonts w:hint="eastAsia" w:ascii="宋体" w:hAnsi="宋体"/>
                <w:color w:val="auto"/>
                <w:highlight w:val="none"/>
                <w:u w:val="single"/>
              </w:rPr>
              <w:t xml:space="preserve">  </w:t>
            </w:r>
            <w:r>
              <w:rPr>
                <w:rFonts w:hint="eastAsia" w:ascii="宋体" w:hAnsi="宋体"/>
                <w:color w:val="auto"/>
                <w:highlight w:val="none"/>
              </w:rPr>
              <w:t>分</w:t>
            </w:r>
          </w:p>
          <w:p>
            <w:pPr>
              <w:spacing w:line="440" w:lineRule="exact"/>
              <w:jc w:val="left"/>
              <w:rPr>
                <w:rFonts w:ascii="宋体" w:hAnsi="宋体"/>
                <w:highlight w:val="none"/>
              </w:rPr>
            </w:pPr>
            <w:r>
              <w:rPr>
                <w:rFonts w:hint="eastAsia" w:ascii="宋体" w:hAnsi="宋体"/>
                <w:color w:val="auto"/>
                <w:highlight w:val="none"/>
              </w:rPr>
              <w:t>技术部分：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59</w:t>
            </w:r>
            <w:r>
              <w:rPr>
                <w:rFonts w:hint="eastAsia" w:ascii="宋体" w:hAnsi="宋体"/>
                <w:color w:val="auto"/>
                <w:highlight w:val="none"/>
                <w:u w:val="single"/>
              </w:rPr>
              <w:t xml:space="preserve">  </w:t>
            </w:r>
            <w:r>
              <w:rPr>
                <w:rFonts w:hint="eastAsia" w:ascii="宋体" w:hAnsi="宋体"/>
                <w:color w:val="auto"/>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highlight w:val="none"/>
              </w:rPr>
            </w:pPr>
            <w:r>
              <w:rPr>
                <w:rFonts w:ascii="宋体" w:hAnsi="宋体"/>
                <w:szCs w:val="21"/>
                <w:highlight w:val="none"/>
              </w:rPr>
              <w:t>2.2.</w:t>
            </w:r>
            <w:r>
              <w:rPr>
                <w:rFonts w:hint="eastAsia" w:ascii="宋体" w:hAnsi="宋体"/>
                <w:szCs w:val="21"/>
                <w:highlight w:val="none"/>
              </w:rPr>
              <w:t>2</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ascii="宋体" w:hAnsi="宋体"/>
                <w:color w:val="auto"/>
                <w:szCs w:val="21"/>
                <w:highlight w:val="none"/>
              </w:rPr>
              <w:t>投标报价</w:t>
            </w:r>
          </w:p>
        </w:tc>
        <w:tc>
          <w:tcPr>
            <w:tcW w:w="5437" w:type="dxa"/>
            <w:gridSpan w:val="2"/>
            <w:tcBorders>
              <w:top w:val="single" w:color="auto" w:sz="4" w:space="0"/>
              <w:left w:val="single" w:color="auto" w:sz="4" w:space="0"/>
              <w:right w:val="single" w:color="auto" w:sz="4" w:space="0"/>
            </w:tcBorders>
            <w:vAlign w:val="center"/>
          </w:tcPr>
          <w:p>
            <w:pPr>
              <w:numPr>
                <w:ilvl w:val="0"/>
                <w:numId w:val="6"/>
              </w:numPr>
              <w:ind w:firstLine="420" w:firstLineChars="200"/>
              <w:rPr>
                <w:color w:val="auto"/>
                <w:highlight w:val="none"/>
              </w:rPr>
            </w:pPr>
            <w:r>
              <w:rPr>
                <w:rFonts w:hint="eastAsia"/>
                <w:color w:val="auto"/>
                <w:highlight w:val="none"/>
              </w:rPr>
              <w:t>价格分采用低价优先法计算，即满足项目需求且投标报价最低的有效投标报价为评标基准价，其价格分为满分。</w:t>
            </w:r>
          </w:p>
          <w:p>
            <w:pPr>
              <w:spacing w:line="440" w:lineRule="exact"/>
              <w:rPr>
                <w:color w:val="auto"/>
                <w:highlight w:val="none"/>
              </w:rPr>
            </w:pPr>
            <w:r>
              <w:rPr>
                <w:rFonts w:hint="eastAsia"/>
                <w:color w:val="auto"/>
                <w:highlight w:val="none"/>
              </w:rPr>
              <w:t>投标报价得分＝（评标基准价/投标报价）×价格分值</w:t>
            </w:r>
          </w:p>
          <w:p>
            <w:pPr>
              <w:ind w:firstLine="210" w:firstLineChars="100"/>
              <w:rPr>
                <w:color w:val="auto"/>
                <w:highlight w:val="none"/>
              </w:rPr>
            </w:pPr>
            <w:r>
              <w:rPr>
                <w:rFonts w:hint="eastAsia"/>
                <w:color w:val="auto"/>
                <w:highlight w:val="none"/>
              </w:rPr>
              <w:t>（公式中的评标基准价、投标报价，涉及价格扣除时指扣除后价格）</w:t>
            </w:r>
          </w:p>
          <w:p>
            <w:pPr>
              <w:numPr>
                <w:ilvl w:val="0"/>
                <w:numId w:val="6"/>
              </w:numPr>
              <w:ind w:left="0" w:leftChars="0" w:firstLine="420" w:firstLineChars="200"/>
              <w:rPr>
                <w:rFonts w:hint="eastAsia"/>
                <w:color w:val="auto"/>
                <w:highlight w:val="none"/>
              </w:rPr>
            </w:pPr>
            <w:r>
              <w:rPr>
                <w:rFonts w:hint="eastAsia"/>
                <w:color w:val="auto"/>
                <w:highlight w:val="none"/>
                <w:lang w:val="en-US" w:eastAsia="zh-CN"/>
              </w:rPr>
              <w:t>非</w:t>
            </w:r>
            <w:r>
              <w:rPr>
                <w:rFonts w:hint="eastAsia"/>
                <w:color w:val="auto"/>
                <w:highlight w:val="none"/>
              </w:rPr>
              <w:t>专门面向中小企业采购项目，小型、微型企业</w:t>
            </w:r>
            <w:r>
              <w:rPr>
                <w:rFonts w:hint="eastAsia"/>
                <w:color w:val="auto"/>
                <w:highlight w:val="none"/>
                <w:lang w:val="en-US" w:eastAsia="zh-CN"/>
              </w:rPr>
              <w:t>按</w:t>
            </w:r>
            <w:r>
              <w:rPr>
                <w:rFonts w:hint="eastAsia"/>
                <w:color w:val="auto"/>
                <w:highlight w:val="none"/>
              </w:rPr>
              <w:t>要求提供《中小企业声明函》</w:t>
            </w:r>
            <w:r>
              <w:rPr>
                <w:rFonts w:hint="eastAsia"/>
                <w:color w:val="auto"/>
                <w:highlight w:val="none"/>
                <w:lang w:val="en-US" w:eastAsia="zh-CN"/>
              </w:rPr>
              <w:t>[若为</w:t>
            </w:r>
            <w:r>
              <w:rPr>
                <w:rFonts w:hint="eastAsia"/>
                <w:color w:val="auto"/>
                <w:highlight w:val="none"/>
              </w:rPr>
              <w:t>货物类采购项目</w:t>
            </w:r>
            <w:r>
              <w:rPr>
                <w:rFonts w:hint="eastAsia"/>
                <w:color w:val="auto"/>
                <w:highlight w:val="none"/>
                <w:lang w:eastAsia="zh-CN"/>
              </w:rPr>
              <w:t>，</w:t>
            </w:r>
            <w:r>
              <w:rPr>
                <w:rFonts w:hint="eastAsia"/>
                <w:color w:val="auto"/>
                <w:highlight w:val="none"/>
                <w:lang w:val="en-US" w:eastAsia="zh-CN"/>
              </w:rPr>
              <w:t>其</w:t>
            </w:r>
            <w:r>
              <w:rPr>
                <w:rFonts w:hint="eastAsia"/>
                <w:color w:val="auto"/>
                <w:highlight w:val="none"/>
              </w:rPr>
              <w:t>全部标的（产品）</w:t>
            </w:r>
            <w:r>
              <w:rPr>
                <w:rFonts w:hint="eastAsia"/>
                <w:color w:val="auto"/>
                <w:highlight w:val="none"/>
                <w:lang w:val="en-US" w:eastAsia="zh-CN"/>
              </w:rPr>
              <w:t>应</w:t>
            </w:r>
            <w:r>
              <w:rPr>
                <w:rFonts w:hint="eastAsia"/>
                <w:color w:val="auto"/>
                <w:highlight w:val="none"/>
              </w:rPr>
              <w:t>均为小型、微型企业生产</w:t>
            </w:r>
            <w:r>
              <w:rPr>
                <w:rFonts w:hint="eastAsia"/>
                <w:color w:val="auto"/>
                <w:highlight w:val="none"/>
                <w:lang w:eastAsia="zh-CN"/>
              </w:rPr>
              <w:t>，</w:t>
            </w:r>
            <w:r>
              <w:rPr>
                <w:rFonts w:hint="eastAsia"/>
                <w:color w:val="auto"/>
                <w:highlight w:val="none"/>
                <w:lang w:val="en-US" w:eastAsia="zh-CN"/>
              </w:rPr>
              <w:t>并</w:t>
            </w:r>
            <w:r>
              <w:rPr>
                <w:rFonts w:hint="eastAsia"/>
                <w:color w:val="auto"/>
                <w:highlight w:val="none"/>
              </w:rPr>
              <w:t>在声明函中分别列明与“投标内容及报价明细表”中对应的每一标的（产品）及其生产制造商情况</w:t>
            </w:r>
            <w:r>
              <w:rPr>
                <w:rFonts w:hint="eastAsia"/>
                <w:color w:val="auto"/>
                <w:highlight w:val="none"/>
                <w:lang w:val="en-US" w:eastAsia="zh-CN"/>
              </w:rPr>
              <w:t>]</w:t>
            </w:r>
            <w:r>
              <w:rPr>
                <w:rFonts w:hint="eastAsia"/>
                <w:color w:val="auto"/>
                <w:highlight w:val="none"/>
              </w:rPr>
              <w:t>，</w:t>
            </w:r>
            <w:r>
              <w:rPr>
                <w:rFonts w:hint="eastAsia"/>
                <w:color w:val="auto"/>
                <w:highlight w:val="none"/>
                <w:lang w:val="en-US" w:eastAsia="zh-CN"/>
              </w:rPr>
              <w:t>符合要求者</w:t>
            </w:r>
            <w:r>
              <w:rPr>
                <w:rFonts w:hint="eastAsia"/>
                <w:color w:val="auto"/>
                <w:highlight w:val="none"/>
              </w:rPr>
              <w:t>在评标时给予20%价格扣除。符合要求的监狱企业、残疾人福利性单位视同小型、微型企业。</w:t>
            </w:r>
            <w:r>
              <w:rPr>
                <w:rFonts w:hint="eastAsia"/>
                <w:color w:val="auto"/>
                <w:highlight w:val="none"/>
                <w:lang w:val="en-US" w:eastAsia="zh-CN"/>
              </w:rPr>
              <w:t>多重身份者不重复计算。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szCs w:val="21"/>
                <w:highlight w:val="none"/>
              </w:rPr>
            </w:pPr>
            <w:r>
              <w:rPr>
                <w:rFonts w:hint="eastAsia" w:ascii="宋体" w:hAnsi="宋体"/>
                <w:b/>
                <w:bCs/>
                <w:highlight w:val="none"/>
              </w:rPr>
              <w:t>条款号</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sz w:val="32"/>
                <w:szCs w:val="32"/>
                <w:highlight w:val="none"/>
              </w:rPr>
            </w:pPr>
            <w:r>
              <w:rPr>
                <w:rFonts w:hint="eastAsia" w:ascii="宋体" w:hAnsi="宋体"/>
                <w:b/>
                <w:bCs/>
                <w:color w:val="auto"/>
                <w:highlight w:val="none"/>
              </w:rPr>
              <w:t>评审因素</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highlight w:val="none"/>
              </w:rPr>
            </w:pPr>
            <w:r>
              <w:rPr>
                <w:rFonts w:hint="eastAsia" w:ascii="宋体" w:hAnsi="宋体"/>
                <w:b/>
                <w:bCs/>
                <w:color w:val="auto"/>
                <w:highlight w:val="none"/>
              </w:rPr>
              <w:t>分值</w:t>
            </w:r>
          </w:p>
        </w:tc>
        <w:tc>
          <w:tcPr>
            <w:tcW w:w="4736"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highlight w:val="none"/>
              </w:rPr>
            </w:pPr>
            <w:r>
              <w:rPr>
                <w:rFonts w:hint="eastAsia" w:ascii="宋体" w:hAnsi="宋体"/>
                <w:b/>
                <w:bCs/>
                <w:color w:val="auto"/>
                <w:highlight w:val="none"/>
              </w:rPr>
              <w:t>细化、量化评审标准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pPr>
              <w:spacing w:line="440" w:lineRule="exact"/>
              <w:jc w:val="center"/>
              <w:rPr>
                <w:rFonts w:ascii="宋体" w:hAnsi="宋体"/>
                <w:highlight w:val="none"/>
              </w:rPr>
            </w:pPr>
            <w:r>
              <w:rPr>
                <w:rFonts w:hint="eastAsia" w:ascii="宋体" w:hAnsi="宋体"/>
                <w:highlight w:val="none"/>
              </w:rPr>
              <w:t>2.2.4</w:t>
            </w:r>
          </w:p>
        </w:tc>
        <w:tc>
          <w:tcPr>
            <w:tcW w:w="642" w:type="dxa"/>
            <w:vMerge w:val="restart"/>
            <w:tcBorders>
              <w:top w:val="single" w:color="auto" w:sz="4" w:space="0"/>
              <w:left w:val="single" w:color="auto" w:sz="4" w:space="0"/>
              <w:right w:val="single" w:color="auto" w:sz="4" w:space="0"/>
            </w:tcBorders>
            <w:vAlign w:val="center"/>
          </w:tcPr>
          <w:p>
            <w:pPr>
              <w:spacing w:line="440" w:lineRule="exact"/>
              <w:jc w:val="center"/>
              <w:rPr>
                <w:rFonts w:ascii="宋体" w:hAnsi="宋体"/>
                <w:highlight w:val="none"/>
              </w:rPr>
            </w:pPr>
            <w:r>
              <w:rPr>
                <w:rFonts w:hint="eastAsia" w:ascii="宋体" w:hAnsi="宋体"/>
                <w:highlight w:val="none"/>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业绩合同</w:t>
            </w: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2分</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lang w:val="en-US" w:eastAsia="zh-CN"/>
              </w:rPr>
              <w:t>2021</w:t>
            </w:r>
            <w:r>
              <w:rPr>
                <w:rFonts w:hint="eastAsia" w:ascii="宋体" w:hAnsi="宋体"/>
                <w:color w:val="auto"/>
                <w:szCs w:val="21"/>
                <w:highlight w:val="none"/>
              </w:rPr>
              <w:t>年1月1日以来（签订日期）相同或类似项目业绩合同及中标通知书。</w:t>
            </w:r>
          </w:p>
          <w:p>
            <w:pPr>
              <w:spacing w:line="440" w:lineRule="exact"/>
              <w:ind w:firstLine="420" w:firstLineChars="200"/>
              <w:rPr>
                <w:rFonts w:ascii="宋体" w:hAnsi="宋体"/>
                <w:color w:val="auto"/>
                <w:highlight w:val="none"/>
              </w:rPr>
            </w:pPr>
            <w:r>
              <w:rPr>
                <w:rFonts w:hint="eastAsia" w:ascii="宋体" w:hAnsi="宋体"/>
                <w:color w:val="auto"/>
                <w:szCs w:val="21"/>
                <w:highlight w:val="none"/>
              </w:rPr>
              <w:t>评审标准：一份合同得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分（附原件扫描件）。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9"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企业荣誉、信誉</w:t>
            </w: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4分</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firstLineChars="200"/>
              <w:jc w:val="left"/>
              <w:rPr>
                <w:color w:val="auto"/>
                <w:highlight w:val="none"/>
              </w:rPr>
            </w:pPr>
            <w:r>
              <w:rPr>
                <w:rFonts w:hint="eastAsia"/>
                <w:color w:val="auto"/>
                <w:highlight w:val="none"/>
              </w:rPr>
              <w:t>1、有效的GB/T19001/ISO9001质量管理体系认证。</w:t>
            </w:r>
          </w:p>
          <w:p>
            <w:pPr>
              <w:spacing w:line="440" w:lineRule="exact"/>
              <w:ind w:firstLine="420" w:firstLineChars="200"/>
              <w:jc w:val="left"/>
              <w:rPr>
                <w:color w:val="auto"/>
                <w:highlight w:val="none"/>
              </w:rPr>
            </w:pPr>
            <w:r>
              <w:rPr>
                <w:rFonts w:hint="eastAsia"/>
                <w:color w:val="auto"/>
                <w:highlight w:val="none"/>
              </w:rPr>
              <w:t>2、有效的GB/T24001/ISO14001环境管理体系认证。</w:t>
            </w:r>
          </w:p>
          <w:p>
            <w:pPr>
              <w:spacing w:line="440" w:lineRule="exact"/>
              <w:ind w:firstLine="420" w:firstLineChars="200"/>
              <w:jc w:val="left"/>
              <w:rPr>
                <w:rFonts w:ascii="宋体" w:hAnsi="宋体"/>
                <w:color w:val="auto"/>
                <w:szCs w:val="21"/>
                <w:highlight w:val="none"/>
              </w:rPr>
            </w:pPr>
            <w:r>
              <w:rPr>
                <w:rFonts w:hint="eastAsia"/>
                <w:color w:val="auto"/>
                <w:highlight w:val="none"/>
              </w:rPr>
              <w:t>3、有效的GB/T45001/ISO45001职业健康安全管理体系认证</w:t>
            </w:r>
            <w:r>
              <w:rPr>
                <w:rFonts w:hint="eastAsia" w:ascii="宋体" w:hAnsi="宋体"/>
                <w:color w:val="auto"/>
                <w:szCs w:val="21"/>
                <w:highlight w:val="none"/>
              </w:rPr>
              <w:t>。</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lang w:val="en-US" w:eastAsia="zh-CN"/>
              </w:rPr>
              <w:t>有效的</w:t>
            </w:r>
            <w:r>
              <w:rPr>
                <w:rFonts w:hint="eastAsia" w:ascii="宋体" w:hAnsi="宋体"/>
                <w:color w:val="auto"/>
                <w:szCs w:val="21"/>
                <w:highlight w:val="none"/>
              </w:rPr>
              <w:t>GB/T 31950企业诚信管理体系</w:t>
            </w:r>
            <w:r>
              <w:rPr>
                <w:rFonts w:hint="eastAsia" w:ascii="宋体" w:hAnsi="宋体"/>
                <w:color w:val="auto"/>
                <w:szCs w:val="21"/>
                <w:highlight w:val="none"/>
                <w:lang w:val="en-US" w:eastAsia="zh-CN"/>
              </w:rPr>
              <w:t>认证</w:t>
            </w:r>
            <w:r>
              <w:rPr>
                <w:rFonts w:hint="eastAsia" w:ascii="宋体" w:hAnsi="宋体"/>
                <w:color w:val="auto"/>
                <w:szCs w:val="21"/>
                <w:highlight w:val="none"/>
              </w:rPr>
              <w:t>。</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评审标准：一项证书得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r>
              <w:rPr>
                <w:rFonts w:hint="eastAsia" w:ascii="宋体" w:hAnsi="宋体"/>
                <w:color w:val="auto"/>
                <w:szCs w:val="21"/>
                <w:highlight w:val="none"/>
              </w:rPr>
              <w:t>分（附原件扫描件）。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质量</w:t>
            </w:r>
            <w:r>
              <w:rPr>
                <w:rFonts w:hint="eastAsia" w:ascii="宋体" w:hAnsi="宋体"/>
                <w:color w:val="auto"/>
                <w:szCs w:val="21"/>
                <w:highlight w:val="none"/>
                <w:lang w:val="en-US" w:eastAsia="zh-CN"/>
              </w:rPr>
              <w:t>保证期</w:t>
            </w: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1分</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对“供应商须知前附表”中的“质量保证期”响应情况。</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查看投标函</w:t>
            </w:r>
            <w:r>
              <w:rPr>
                <w:rFonts w:hint="eastAsia" w:ascii="宋体" w:hAnsi="宋体"/>
                <w:color w:val="auto"/>
                <w:szCs w:val="21"/>
                <w:highlight w:val="none"/>
                <w:lang w:eastAsia="zh-CN"/>
              </w:rPr>
              <w:t>）</w:t>
            </w:r>
          </w:p>
          <w:p>
            <w:pPr>
              <w:spacing w:line="440" w:lineRule="exact"/>
              <w:ind w:firstLine="420" w:firstLineChars="200"/>
              <w:jc w:val="left"/>
              <w:rPr>
                <w:rFonts w:ascii="宋体" w:hAnsi="宋体"/>
                <w:color w:val="auto"/>
                <w:szCs w:val="21"/>
                <w:highlight w:val="none"/>
                <w:u w:val="single"/>
              </w:rPr>
            </w:pPr>
            <w:r>
              <w:rPr>
                <w:rFonts w:hint="eastAsia" w:ascii="宋体" w:hAnsi="宋体"/>
                <w:color w:val="auto"/>
                <w:szCs w:val="21"/>
                <w:highlight w:val="none"/>
              </w:rPr>
              <w:t>评审标准：</w:t>
            </w:r>
            <w:r>
              <w:rPr>
                <w:rFonts w:hint="eastAsia" w:ascii="宋体" w:hAnsi="宋体"/>
                <w:color w:val="auto"/>
                <w:szCs w:val="21"/>
                <w:highlight w:val="none"/>
                <w:lang w:val="en-US" w:eastAsia="zh-CN"/>
              </w:rPr>
              <w:t>符合要求</w:t>
            </w:r>
            <w:r>
              <w:rPr>
                <w:rFonts w:hint="eastAsia" w:ascii="宋体" w:hAnsi="宋体"/>
                <w:color w:val="auto"/>
                <w:szCs w:val="21"/>
                <w:highlight w:val="none"/>
              </w:rPr>
              <w:t>得</w:t>
            </w:r>
            <w:r>
              <w:rPr>
                <w:rFonts w:hint="eastAsia" w:ascii="宋体" w:hAnsi="宋体"/>
                <w:color w:val="auto"/>
                <w:szCs w:val="21"/>
                <w:highlight w:val="none"/>
                <w:u w:val="single"/>
                <w:lang w:val="en-US" w:eastAsia="zh-CN"/>
              </w:rPr>
              <w:t xml:space="preserve"> 1</w:t>
            </w:r>
            <w:r>
              <w:rPr>
                <w:rFonts w:hint="eastAsia" w:ascii="宋体" w:hAnsi="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售后服务方案</w:t>
            </w:r>
          </w:p>
          <w:p>
            <w:pPr>
              <w:spacing w:line="440" w:lineRule="exact"/>
              <w:jc w:val="center"/>
              <w:rPr>
                <w:rFonts w:ascii="宋体" w:hAnsi="宋体"/>
                <w:color w:val="auto"/>
                <w:szCs w:val="21"/>
                <w:highlight w:val="none"/>
              </w:rPr>
            </w:pP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default" w:ascii="宋体" w:hAnsi="宋体"/>
                <w:color w:val="auto"/>
                <w:highlight w:val="none"/>
                <w:lang w:val="en-US" w:eastAsia="zh-CN"/>
              </w:rPr>
            </w:pPr>
            <w:r>
              <w:rPr>
                <w:rFonts w:hint="eastAsia" w:ascii="宋体" w:hAnsi="宋体"/>
                <w:color w:val="auto"/>
                <w:highlight w:val="none"/>
                <w:lang w:val="en-US" w:eastAsia="zh-CN"/>
              </w:rPr>
              <w:t>4分</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lang w:val="en-US" w:eastAsia="zh-CN"/>
              </w:rPr>
              <w:t>内容</w:t>
            </w:r>
            <w:r>
              <w:rPr>
                <w:rFonts w:hint="eastAsia" w:ascii="宋体" w:hAnsi="宋体"/>
                <w:color w:val="auto"/>
                <w:kern w:val="0"/>
                <w:szCs w:val="21"/>
                <w:highlight w:val="none"/>
              </w:rPr>
              <w:t>包括但不限于：</w:t>
            </w:r>
          </w:p>
          <w:p>
            <w:pPr>
              <w:spacing w:line="440" w:lineRule="exact"/>
              <w:ind w:firstLine="420" w:firstLineChars="200"/>
              <w:jc w:val="left"/>
              <w:rPr>
                <w:rFonts w:hint="eastAsia" w:ascii="Calibri" w:hAnsi="Calibri" w:cs="Calibri"/>
                <w:color w:val="auto"/>
                <w:szCs w:val="21"/>
                <w:highlight w:val="none"/>
                <w:lang w:eastAsia="zh-CN"/>
              </w:rPr>
            </w:pPr>
            <w:r>
              <w:rPr>
                <w:rFonts w:hint="eastAsia" w:ascii="Calibri" w:hAnsi="Calibri" w:cs="Calibri"/>
                <w:color w:val="auto"/>
                <w:szCs w:val="21"/>
                <w:highlight w:val="none"/>
              </w:rPr>
              <w:t>①故障响应时间、到达现场时间，故障排除时间，7×24小时服务情况</w:t>
            </w:r>
            <w:r>
              <w:rPr>
                <w:rFonts w:hint="eastAsia" w:ascii="Calibri" w:hAnsi="Calibri" w:cs="Calibri"/>
                <w:color w:val="auto"/>
                <w:szCs w:val="21"/>
                <w:highlight w:val="none"/>
                <w:lang w:eastAsia="zh-CN"/>
              </w:rPr>
              <w:t>；</w:t>
            </w:r>
          </w:p>
          <w:p>
            <w:pPr>
              <w:spacing w:line="440" w:lineRule="exact"/>
              <w:ind w:firstLine="420" w:firstLineChars="200"/>
              <w:jc w:val="left"/>
              <w:rPr>
                <w:rFonts w:hint="eastAsia" w:ascii="Calibri" w:hAnsi="Calibri" w:cs="Calibri"/>
                <w:color w:val="auto"/>
                <w:szCs w:val="21"/>
                <w:highlight w:val="none"/>
              </w:rPr>
            </w:pPr>
            <w:r>
              <w:rPr>
                <w:rFonts w:hint="eastAsia" w:ascii="Calibri" w:hAnsi="Calibri" w:cs="Calibri"/>
                <w:color w:val="auto"/>
                <w:szCs w:val="21"/>
                <w:highlight w:val="none"/>
              </w:rPr>
              <w:t>②本地化服务情况；</w:t>
            </w:r>
          </w:p>
          <w:p>
            <w:pPr>
              <w:spacing w:line="440" w:lineRule="exact"/>
              <w:ind w:firstLine="420" w:firstLineChars="200"/>
              <w:jc w:val="left"/>
              <w:rPr>
                <w:rFonts w:hint="eastAsia" w:ascii="Calibri" w:hAnsi="Calibri" w:cs="Calibri"/>
                <w:color w:val="auto"/>
                <w:szCs w:val="21"/>
                <w:highlight w:val="none"/>
              </w:rPr>
            </w:pPr>
            <w:r>
              <w:rPr>
                <w:rFonts w:hint="eastAsia" w:ascii="Calibri" w:hAnsi="Calibri" w:cs="Calibri"/>
                <w:color w:val="auto"/>
                <w:szCs w:val="21"/>
                <w:highlight w:val="none"/>
              </w:rPr>
              <w:t>③质量保证期内，提供</w:t>
            </w:r>
            <w:r>
              <w:rPr>
                <w:rFonts w:hint="eastAsia" w:ascii="Calibri" w:hAnsi="Calibri" w:cs="Calibri"/>
                <w:color w:val="auto"/>
                <w:szCs w:val="21"/>
                <w:highlight w:val="none"/>
                <w:lang w:val="en-US" w:eastAsia="zh-CN"/>
              </w:rPr>
              <w:t>硬件维保</w:t>
            </w:r>
            <w:r>
              <w:rPr>
                <w:rFonts w:hint="eastAsia" w:ascii="Calibri" w:hAnsi="Calibri" w:cs="Calibri"/>
                <w:color w:val="auto"/>
                <w:szCs w:val="21"/>
                <w:highlight w:val="none"/>
              </w:rPr>
              <w:t>、系统维护、</w:t>
            </w:r>
            <w:r>
              <w:rPr>
                <w:rFonts w:hint="eastAsia" w:ascii="Calibri" w:hAnsi="Calibri" w:cs="Calibri"/>
                <w:color w:val="auto"/>
                <w:szCs w:val="21"/>
                <w:highlight w:val="none"/>
                <w:lang w:val="en-US" w:eastAsia="zh-CN"/>
              </w:rPr>
              <w:t>系统升级、定期巡检、</w:t>
            </w:r>
            <w:r>
              <w:rPr>
                <w:rFonts w:hint="eastAsia" w:ascii="Calibri" w:hAnsi="Calibri" w:cs="Calibri"/>
                <w:color w:val="auto"/>
                <w:szCs w:val="21"/>
                <w:highlight w:val="none"/>
              </w:rPr>
              <w:t>技术指导等免费上门服务内容，维修时提供备用机、提供配件优惠等情况；</w:t>
            </w:r>
          </w:p>
          <w:p>
            <w:pPr>
              <w:spacing w:line="440" w:lineRule="exact"/>
              <w:ind w:firstLine="420" w:firstLineChars="200"/>
              <w:jc w:val="left"/>
              <w:rPr>
                <w:rFonts w:hint="eastAsia" w:ascii="宋体" w:hAnsi="宋体"/>
                <w:color w:val="auto"/>
                <w:szCs w:val="21"/>
                <w:highlight w:val="none"/>
              </w:rPr>
            </w:pPr>
            <w:r>
              <w:rPr>
                <w:rFonts w:hint="eastAsia" w:ascii="Calibri" w:hAnsi="Calibri" w:cs="Calibri"/>
                <w:color w:val="auto"/>
                <w:szCs w:val="21"/>
                <w:highlight w:val="none"/>
              </w:rPr>
              <w:t>④质量</w:t>
            </w:r>
            <w:r>
              <w:rPr>
                <w:rFonts w:hint="eastAsia" w:ascii="宋体" w:hAnsi="宋体"/>
                <w:color w:val="auto"/>
                <w:szCs w:val="21"/>
                <w:highlight w:val="none"/>
              </w:rPr>
              <w:t>保证期外，</w:t>
            </w:r>
            <w:r>
              <w:rPr>
                <w:rFonts w:hint="eastAsia" w:ascii="宋体" w:hAnsi="宋体"/>
                <w:color w:val="auto"/>
                <w:szCs w:val="21"/>
                <w:highlight w:val="none"/>
                <w:lang w:val="en-US" w:eastAsia="zh-CN"/>
              </w:rPr>
              <w:t>提供</w:t>
            </w:r>
            <w:r>
              <w:rPr>
                <w:rFonts w:hint="eastAsia" w:ascii="Calibri" w:hAnsi="Calibri" w:cs="Calibri"/>
                <w:color w:val="auto"/>
                <w:szCs w:val="21"/>
                <w:highlight w:val="none"/>
                <w:lang w:val="en-US" w:eastAsia="zh-CN"/>
              </w:rPr>
              <w:t>硬件维保</w:t>
            </w:r>
            <w:r>
              <w:rPr>
                <w:rFonts w:hint="eastAsia" w:ascii="Calibri" w:hAnsi="Calibri" w:cs="Calibri"/>
                <w:color w:val="auto"/>
                <w:szCs w:val="21"/>
                <w:highlight w:val="none"/>
              </w:rPr>
              <w:t>、系统维护</w:t>
            </w:r>
            <w:r>
              <w:rPr>
                <w:rFonts w:hint="eastAsia" w:ascii="Calibri" w:hAnsi="Calibri" w:cs="Calibri"/>
                <w:color w:val="auto"/>
                <w:szCs w:val="21"/>
                <w:highlight w:val="none"/>
                <w:lang w:val="en-US" w:eastAsia="zh-CN"/>
              </w:rPr>
              <w:t>等</w:t>
            </w:r>
            <w:r>
              <w:rPr>
                <w:rFonts w:hint="eastAsia" w:ascii="宋体" w:hAnsi="宋体"/>
                <w:color w:val="auto"/>
                <w:szCs w:val="21"/>
                <w:highlight w:val="none"/>
              </w:rPr>
              <w:t>服务内容及费用情况，配件优惠情况等；</w:t>
            </w:r>
          </w:p>
          <w:p>
            <w:pPr>
              <w:spacing w:line="440" w:lineRule="exact"/>
              <w:ind w:firstLine="420" w:firstLineChars="200"/>
              <w:jc w:val="left"/>
              <w:rPr>
                <w:rFonts w:ascii="宋体" w:hAnsi="宋体"/>
                <w:color w:val="auto"/>
                <w:szCs w:val="21"/>
                <w:highlight w:val="none"/>
              </w:rPr>
            </w:pPr>
            <w:r>
              <w:rPr>
                <w:rFonts w:hint="eastAsia" w:ascii="微软雅黑" w:hAnsi="微软雅黑" w:eastAsia="微软雅黑" w:cs="微软雅黑"/>
                <w:color w:val="auto"/>
                <w:szCs w:val="21"/>
                <w:highlight w:val="none"/>
              </w:rPr>
              <w:t>⑤</w:t>
            </w:r>
            <w:r>
              <w:rPr>
                <w:rFonts w:hint="eastAsia" w:ascii="Calibri" w:hAnsi="Calibri" w:cs="Calibri"/>
                <w:color w:val="auto"/>
                <w:szCs w:val="21"/>
                <w:highlight w:val="none"/>
              </w:rPr>
              <w:t>其他</w:t>
            </w:r>
            <w:r>
              <w:rPr>
                <w:rFonts w:hint="eastAsia" w:ascii="宋体" w:hAnsi="宋体"/>
                <w:color w:val="auto"/>
                <w:szCs w:val="21"/>
                <w:highlight w:val="none"/>
              </w:rPr>
              <w:t>适合本项目的服务范围和内容。</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pPr>
              <w:spacing w:line="440" w:lineRule="exact"/>
              <w:jc w:val="left"/>
              <w:rPr>
                <w:rFonts w:ascii="宋体" w:hAnsi="宋体"/>
                <w:color w:val="auto"/>
                <w:szCs w:val="21"/>
                <w:highlight w:val="none"/>
              </w:rPr>
            </w:pPr>
            <w:r>
              <w:rPr>
                <w:rFonts w:hint="eastAsia" w:ascii="宋体" w:hAnsi="宋体"/>
                <w:color w:val="auto"/>
                <w:szCs w:val="21"/>
                <w:highlight w:val="none"/>
              </w:rPr>
              <w:t>1、内容</w:t>
            </w:r>
            <w:r>
              <w:rPr>
                <w:rFonts w:hint="eastAsia" w:ascii="宋体" w:hAnsi="宋体"/>
                <w:color w:val="auto"/>
                <w:szCs w:val="21"/>
                <w:highlight w:val="none"/>
                <w:lang w:val="en-US" w:eastAsia="zh-CN"/>
              </w:rPr>
              <w:t>完善</w:t>
            </w:r>
            <w:r>
              <w:rPr>
                <w:rFonts w:hint="eastAsia" w:ascii="宋体" w:hAnsi="宋体"/>
                <w:color w:val="auto"/>
                <w:szCs w:val="21"/>
                <w:highlight w:val="none"/>
              </w:rPr>
              <w:t>、全面、科学、合理，可行性强，充分满足采购需求，得</w:t>
            </w:r>
            <w:r>
              <w:rPr>
                <w:rFonts w:hint="eastAsia" w:ascii="宋体" w:hAnsi="宋体"/>
                <w:color w:val="auto"/>
                <w:szCs w:val="21"/>
                <w:highlight w:val="none"/>
                <w:u w:val="single"/>
                <w:lang w:val="en-US" w:eastAsia="zh-CN"/>
              </w:rPr>
              <w:t>4</w:t>
            </w:r>
            <w:r>
              <w:rPr>
                <w:rFonts w:hint="eastAsia" w:ascii="宋体" w:hAnsi="宋体"/>
                <w:color w:val="auto"/>
                <w:szCs w:val="21"/>
                <w:highlight w:val="none"/>
              </w:rPr>
              <w:t>分。</w:t>
            </w:r>
          </w:p>
          <w:p>
            <w:pPr>
              <w:spacing w:line="440" w:lineRule="exact"/>
              <w:jc w:val="left"/>
              <w:rPr>
                <w:rFonts w:hint="eastAsia" w:ascii="宋体" w:hAnsi="宋体"/>
                <w:color w:val="auto"/>
                <w:szCs w:val="21"/>
                <w:highlight w:val="none"/>
              </w:rPr>
            </w:pPr>
            <w:r>
              <w:rPr>
                <w:rFonts w:hint="eastAsia" w:ascii="宋体" w:hAnsi="宋体"/>
                <w:color w:val="auto"/>
                <w:szCs w:val="21"/>
                <w:highlight w:val="none"/>
              </w:rPr>
              <w:t>2、内容</w:t>
            </w:r>
            <w:r>
              <w:rPr>
                <w:rFonts w:hint="eastAsia" w:ascii="宋体" w:hAnsi="宋体"/>
                <w:color w:val="auto"/>
                <w:szCs w:val="21"/>
                <w:highlight w:val="none"/>
                <w:lang w:val="en-US" w:eastAsia="zh-CN"/>
              </w:rPr>
              <w:t>完善</w:t>
            </w:r>
            <w:r>
              <w:rPr>
                <w:rFonts w:hint="eastAsia" w:ascii="宋体" w:hAnsi="宋体"/>
                <w:color w:val="auto"/>
                <w:szCs w:val="21"/>
                <w:highlight w:val="none"/>
              </w:rPr>
              <w:t>，合理</w:t>
            </w:r>
            <w:r>
              <w:rPr>
                <w:rFonts w:hint="eastAsia" w:ascii="宋体" w:hAnsi="宋体"/>
                <w:color w:val="auto"/>
                <w:szCs w:val="21"/>
                <w:highlight w:val="none"/>
                <w:lang w:val="en-US" w:eastAsia="zh-CN"/>
              </w:rPr>
              <w:t>可行，满足采购需求，</w:t>
            </w:r>
            <w:r>
              <w:rPr>
                <w:rFonts w:hint="eastAsia" w:ascii="宋体" w:hAnsi="宋体"/>
                <w:color w:val="auto"/>
                <w:szCs w:val="21"/>
                <w:highlight w:val="none"/>
              </w:rPr>
              <w:t>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3</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p>
            <w:pPr>
              <w:spacing w:line="440" w:lineRule="exact"/>
              <w:jc w:val="left"/>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基本</w:t>
            </w:r>
            <w:r>
              <w:rPr>
                <w:rFonts w:hint="eastAsia" w:ascii="宋体" w:hAnsi="宋体"/>
                <w:color w:val="auto"/>
                <w:szCs w:val="21"/>
                <w:highlight w:val="none"/>
                <w:lang w:val="en-US" w:eastAsia="zh-CN"/>
              </w:rPr>
              <w:t>能满足</w:t>
            </w:r>
            <w:r>
              <w:rPr>
                <w:rFonts w:hint="eastAsia" w:ascii="宋体" w:hAnsi="宋体"/>
                <w:color w:val="auto"/>
                <w:szCs w:val="21"/>
                <w:highlight w:val="none"/>
              </w:rPr>
              <w:t>采购需求，得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p>
            <w:pPr>
              <w:spacing w:line="440" w:lineRule="exact"/>
              <w:jc w:val="left"/>
              <w:rPr>
                <w:rFonts w:ascii="宋体" w:hAnsi="宋体"/>
                <w:color w:val="auto"/>
                <w:szCs w:val="21"/>
                <w:highlight w:val="none"/>
                <w:u w:val="single"/>
              </w:rPr>
            </w:pPr>
            <w:r>
              <w:rPr>
                <w:rFonts w:hint="eastAsia" w:ascii="宋体" w:hAnsi="宋体"/>
                <w:color w:val="auto"/>
                <w:szCs w:val="21"/>
                <w:highlight w:val="none"/>
                <w:lang w:val="en-US" w:eastAsia="zh-CN"/>
              </w:rPr>
              <w:t>4</w:t>
            </w:r>
            <w:r>
              <w:rPr>
                <w:rFonts w:hint="eastAsia" w:ascii="宋体" w:hAnsi="宋体"/>
                <w:color w:val="auto"/>
                <w:szCs w:val="21"/>
                <w:highlight w:val="none"/>
              </w:rPr>
              <w:t>、内容简单，可行性不强，得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restart"/>
            <w:tcBorders>
              <w:right w:val="single" w:color="auto" w:sz="4" w:space="0"/>
            </w:tcBorders>
            <w:vAlign w:val="center"/>
          </w:tcPr>
          <w:p>
            <w:pPr>
              <w:spacing w:line="440" w:lineRule="exact"/>
              <w:jc w:val="center"/>
              <w:rPr>
                <w:rFonts w:ascii="宋体" w:hAnsi="宋体"/>
                <w:highlight w:val="none"/>
              </w:rPr>
            </w:pPr>
            <w:r>
              <w:rPr>
                <w:rFonts w:hint="eastAsia" w:ascii="宋体" w:hAnsi="宋体"/>
                <w:highlight w:val="none"/>
              </w:rPr>
              <w:t>2.2.5</w:t>
            </w:r>
          </w:p>
        </w:tc>
        <w:tc>
          <w:tcPr>
            <w:tcW w:w="642" w:type="dxa"/>
            <w:vMerge w:val="restart"/>
            <w:tcBorders>
              <w:left w:val="single" w:color="auto" w:sz="4" w:space="0"/>
              <w:right w:val="single" w:color="auto" w:sz="4" w:space="0"/>
            </w:tcBorders>
            <w:vAlign w:val="center"/>
          </w:tcPr>
          <w:p>
            <w:pPr>
              <w:spacing w:line="440" w:lineRule="exact"/>
              <w:jc w:val="center"/>
              <w:rPr>
                <w:rFonts w:ascii="宋体" w:hAnsi="宋体"/>
                <w:highlight w:val="none"/>
              </w:rPr>
            </w:pPr>
            <w:r>
              <w:rPr>
                <w:rFonts w:hint="eastAsia" w:ascii="宋体" w:hAnsi="宋体"/>
                <w:highlight w:val="none"/>
              </w:rPr>
              <w:t>技术评审内容</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szCs w:val="21"/>
                <w:highlight w:val="none"/>
              </w:rPr>
              <w:t>技术指标完整性</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1分</w:t>
            </w:r>
          </w:p>
        </w:tc>
        <w:tc>
          <w:tcPr>
            <w:tcW w:w="4736" w:type="dxa"/>
            <w:tcBorders>
              <w:top w:val="single" w:color="auto" w:sz="4" w:space="0"/>
              <w:left w:val="single" w:color="auto" w:sz="4" w:space="0"/>
              <w:right w:val="single" w:color="auto" w:sz="4" w:space="0"/>
            </w:tcBorders>
            <w:vAlign w:val="center"/>
          </w:tcPr>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投标产品的名称、品牌、生产企业、规格型号、主要技术参数、性能、配置等内容的完整性。</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r>
              <w:rPr>
                <w:rFonts w:ascii="宋体" w:hAnsi="宋体"/>
                <w:color w:val="auto"/>
                <w:szCs w:val="21"/>
                <w:highlight w:val="none"/>
              </w:rPr>
              <w:t xml:space="preserve"> </w:t>
            </w:r>
          </w:p>
          <w:p>
            <w:pPr>
              <w:spacing w:line="440" w:lineRule="exact"/>
              <w:jc w:val="left"/>
              <w:rPr>
                <w:rFonts w:ascii="宋体" w:hAnsi="宋体"/>
                <w:color w:val="auto"/>
                <w:szCs w:val="21"/>
                <w:highlight w:val="none"/>
              </w:rPr>
            </w:pPr>
            <w:r>
              <w:rPr>
                <w:rFonts w:ascii="Calibri" w:hAnsi="Calibri" w:cs="Calibri"/>
                <w:color w:val="auto"/>
                <w:szCs w:val="21"/>
                <w:highlight w:val="none"/>
              </w:rPr>
              <w:t>①</w:t>
            </w:r>
            <w:r>
              <w:rPr>
                <w:rFonts w:hint="eastAsia" w:ascii="宋体" w:hAnsi="宋体"/>
                <w:color w:val="auto"/>
                <w:szCs w:val="21"/>
                <w:highlight w:val="none"/>
              </w:rPr>
              <w:t>内容完整、详细、准确，得满分。</w:t>
            </w:r>
          </w:p>
          <w:p>
            <w:pPr>
              <w:spacing w:line="440" w:lineRule="exact"/>
              <w:jc w:val="left"/>
              <w:rPr>
                <w:rFonts w:ascii="宋体" w:hAnsi="宋体"/>
                <w:color w:val="auto"/>
                <w:szCs w:val="21"/>
                <w:highlight w:val="none"/>
              </w:rPr>
            </w:pPr>
            <w:r>
              <w:rPr>
                <w:rFonts w:ascii="Calibri" w:hAnsi="Calibri" w:cs="Calibri"/>
                <w:color w:val="auto"/>
                <w:szCs w:val="21"/>
                <w:highlight w:val="none"/>
              </w:rPr>
              <w:t>②</w:t>
            </w:r>
            <w:r>
              <w:rPr>
                <w:rFonts w:hint="eastAsia" w:ascii="Calibri" w:hAnsi="Calibri" w:cs="Calibri"/>
                <w:color w:val="auto"/>
                <w:szCs w:val="21"/>
                <w:highlight w:val="none"/>
              </w:rPr>
              <w:t>有</w:t>
            </w:r>
            <w:r>
              <w:rPr>
                <w:rFonts w:hint="eastAsia" w:ascii="宋体" w:hAnsi="宋体"/>
                <w:color w:val="auto"/>
                <w:szCs w:val="21"/>
                <w:highlight w:val="none"/>
              </w:rPr>
              <w:t>缺项，或</w:t>
            </w:r>
            <w:r>
              <w:rPr>
                <w:rFonts w:hint="eastAsia" w:ascii="宋体" w:hAnsi="宋体"/>
                <w:color w:val="auto"/>
                <w:szCs w:val="21"/>
                <w:highlight w:val="none"/>
                <w:lang w:val="en-US" w:eastAsia="zh-CN"/>
              </w:rPr>
              <w:t>部分</w:t>
            </w:r>
            <w:r>
              <w:rPr>
                <w:rFonts w:hint="eastAsia" w:ascii="宋体" w:hAnsi="宋体"/>
                <w:color w:val="auto"/>
                <w:szCs w:val="21"/>
                <w:highlight w:val="none"/>
              </w:rPr>
              <w:t>内容不</w:t>
            </w:r>
            <w:r>
              <w:rPr>
                <w:rFonts w:hint="eastAsia" w:ascii="宋体" w:hAnsi="宋体"/>
                <w:color w:val="auto"/>
                <w:szCs w:val="21"/>
                <w:highlight w:val="none"/>
                <w:lang w:val="en-US" w:eastAsia="zh-CN"/>
              </w:rPr>
              <w:t>明确</w:t>
            </w:r>
            <w:r>
              <w:rPr>
                <w:rFonts w:hint="eastAsia" w:ascii="宋体" w:hAnsi="宋体"/>
                <w:color w:val="auto"/>
                <w:szCs w:val="21"/>
                <w:highlight w:val="none"/>
              </w:rPr>
              <w:t>，得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0.5</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分。</w:t>
            </w:r>
          </w:p>
          <w:p>
            <w:pPr>
              <w:spacing w:line="440" w:lineRule="exact"/>
              <w:jc w:val="left"/>
              <w:rPr>
                <w:rFonts w:ascii="宋体" w:hAnsi="宋体"/>
                <w:color w:val="auto"/>
                <w:szCs w:val="21"/>
                <w:highlight w:val="none"/>
              </w:rPr>
            </w:pPr>
            <w:r>
              <w:rPr>
                <w:rFonts w:ascii="Calibri" w:hAnsi="Calibri" w:cs="Calibri"/>
                <w:color w:val="auto"/>
                <w:szCs w:val="21"/>
                <w:highlight w:val="none"/>
              </w:rPr>
              <w:t>③</w:t>
            </w:r>
            <w:r>
              <w:rPr>
                <w:rFonts w:hint="eastAsia" w:ascii="Calibri" w:hAnsi="Calibri" w:cs="Calibri"/>
                <w:color w:val="auto"/>
                <w:szCs w:val="21"/>
                <w:highlight w:val="none"/>
                <w:lang w:val="en-US" w:eastAsia="zh-CN"/>
              </w:rPr>
              <w:t>缺项较多，或多数内容不明确，</w:t>
            </w:r>
            <w:r>
              <w:rPr>
                <w:rFonts w:hint="eastAsia" w:ascii="宋体" w:hAnsi="宋体"/>
                <w:color w:val="auto"/>
                <w:szCs w:val="21"/>
                <w:highlight w:val="none"/>
              </w:rPr>
              <w:t>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pPr>
              <w:spacing w:line="440" w:lineRule="exact"/>
              <w:jc w:val="center"/>
              <w:rPr>
                <w:rFonts w:ascii="宋体" w:hAnsi="宋体"/>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szCs w:val="21"/>
                <w:highlight w:val="none"/>
              </w:rPr>
              <w:t>技术指标符合性</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30分</w:t>
            </w:r>
          </w:p>
        </w:tc>
        <w:tc>
          <w:tcPr>
            <w:tcW w:w="4736" w:type="dxa"/>
            <w:tcBorders>
              <w:top w:val="single" w:color="auto" w:sz="4" w:space="0"/>
              <w:left w:val="single" w:color="auto" w:sz="4" w:space="0"/>
              <w:right w:val="single" w:color="auto" w:sz="4" w:space="0"/>
            </w:tcBorders>
            <w:vAlign w:val="center"/>
          </w:tcPr>
          <w:p>
            <w:pPr>
              <w:spacing w:line="440" w:lineRule="exact"/>
              <w:ind w:firstLine="420" w:firstLineChars="200"/>
              <w:rPr>
                <w:rFonts w:ascii="宋体" w:hAnsi="宋体" w:cs="宋体"/>
                <w:color w:val="auto"/>
                <w:highlight w:val="none"/>
              </w:rPr>
            </w:pPr>
            <w:r>
              <w:rPr>
                <w:rFonts w:hint="eastAsia"/>
                <w:color w:val="auto"/>
                <w:highlight w:val="none"/>
              </w:rPr>
              <w:t>加“</w:t>
            </w:r>
            <w:r>
              <w:rPr>
                <w:rFonts w:hint="eastAsia"/>
                <w:color w:val="auto"/>
                <w:sz w:val="28"/>
                <w:szCs w:val="28"/>
                <w:highlight w:val="none"/>
              </w:rPr>
              <w:t>*</w:t>
            </w:r>
            <w:r>
              <w:rPr>
                <w:rFonts w:hint="eastAsia"/>
                <w:color w:val="auto"/>
                <w:highlight w:val="none"/>
              </w:rPr>
              <w:t>”的指标为实质性</w:t>
            </w:r>
            <w:r>
              <w:rPr>
                <w:rFonts w:hint="eastAsia" w:ascii="宋体" w:hAnsi="宋体" w:cs="宋体"/>
                <w:color w:val="auto"/>
                <w:highlight w:val="none"/>
              </w:rPr>
              <w:t xml:space="preserve">要求，不满足者为无效投标。 </w:t>
            </w:r>
          </w:p>
          <w:p>
            <w:pPr>
              <w:spacing w:line="440" w:lineRule="exact"/>
              <w:ind w:firstLine="420" w:firstLineChars="200"/>
              <w:rPr>
                <w:rFonts w:ascii="宋体" w:hAnsi="宋体"/>
                <w:color w:val="auto"/>
                <w:szCs w:val="21"/>
                <w:highlight w:val="none"/>
              </w:rPr>
            </w:pPr>
            <w:r>
              <w:rPr>
                <w:rFonts w:hint="eastAsia" w:ascii="宋体" w:hAnsi="宋体" w:cs="宋体"/>
                <w:color w:val="auto"/>
                <w:highlight w:val="none"/>
              </w:rPr>
              <w:t>其他指标</w:t>
            </w:r>
            <w:r>
              <w:rPr>
                <w:rFonts w:hint="eastAsia" w:ascii="宋体" w:hAnsi="宋体"/>
                <w:color w:val="auto"/>
                <w:szCs w:val="21"/>
                <w:highlight w:val="none"/>
              </w:rPr>
              <w:t>根据投标产品技术内容并参考有关技术支持资料，按下列标准评审。</w:t>
            </w:r>
          </w:p>
          <w:p>
            <w:pPr>
              <w:spacing w:line="440" w:lineRule="exact"/>
              <w:ind w:left="360"/>
              <w:rPr>
                <w:rFonts w:ascii="宋体" w:hAnsi="宋体"/>
                <w:color w:val="auto"/>
                <w:szCs w:val="21"/>
                <w:highlight w:val="none"/>
              </w:rPr>
            </w:pPr>
            <w:r>
              <w:rPr>
                <w:rFonts w:hint="eastAsia" w:ascii="宋体" w:hAnsi="宋体"/>
                <w:color w:val="auto"/>
                <w:szCs w:val="21"/>
                <w:highlight w:val="none"/>
              </w:rPr>
              <w:t>评审标准：</w:t>
            </w:r>
          </w:p>
          <w:p>
            <w:pPr>
              <w:spacing w:line="440" w:lineRule="exact"/>
              <w:rPr>
                <w:rFonts w:ascii="宋体" w:hAnsi="宋体"/>
                <w:color w:val="auto"/>
                <w:szCs w:val="21"/>
                <w:highlight w:val="none"/>
              </w:rPr>
            </w:pPr>
            <w:r>
              <w:rPr>
                <w:rFonts w:ascii="Calibri" w:hAnsi="Calibri" w:cs="Calibri"/>
                <w:color w:val="auto"/>
                <w:szCs w:val="21"/>
                <w:highlight w:val="none"/>
              </w:rPr>
              <w:t>①</w:t>
            </w:r>
            <w:r>
              <w:rPr>
                <w:rFonts w:hint="eastAsia" w:ascii="宋体" w:hAnsi="宋体"/>
                <w:color w:val="auto"/>
                <w:szCs w:val="21"/>
                <w:highlight w:val="none"/>
              </w:rPr>
              <w:t>技术指标均满足项目需求，得满分。</w:t>
            </w:r>
          </w:p>
          <w:p>
            <w:pPr>
              <w:tabs>
                <w:tab w:val="left" w:pos="0"/>
                <w:tab w:val="left" w:pos="417"/>
              </w:tabs>
              <w:spacing w:line="440" w:lineRule="exact"/>
              <w:rPr>
                <w:rFonts w:ascii="宋体" w:hAnsi="宋体"/>
                <w:color w:val="auto"/>
                <w:szCs w:val="21"/>
                <w:highlight w:val="none"/>
              </w:rPr>
            </w:pPr>
            <w:r>
              <w:rPr>
                <w:rFonts w:ascii="Calibri" w:hAnsi="Calibri" w:cs="Calibri"/>
                <w:color w:val="auto"/>
                <w:szCs w:val="21"/>
                <w:highlight w:val="none"/>
              </w:rPr>
              <w:t>②</w:t>
            </w:r>
            <w:r>
              <w:rPr>
                <w:rFonts w:hint="eastAsia" w:ascii="宋体" w:hAnsi="宋体"/>
                <w:color w:val="auto"/>
                <w:szCs w:val="21"/>
                <w:highlight w:val="none"/>
              </w:rPr>
              <w:t>一般指标不满足需求，每出现一项扣</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0.1</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p>
            <w:pPr>
              <w:tabs>
                <w:tab w:val="left" w:pos="417"/>
              </w:tabs>
              <w:spacing w:line="440" w:lineRule="exact"/>
              <w:rPr>
                <w:rFonts w:ascii="宋体" w:hAnsi="宋体"/>
                <w:color w:val="auto"/>
                <w:szCs w:val="21"/>
                <w:highlight w:val="none"/>
              </w:rPr>
            </w:pPr>
            <w:r>
              <w:rPr>
                <w:rFonts w:ascii="Calibri" w:hAnsi="Calibri" w:cs="Calibri"/>
                <w:color w:val="auto"/>
                <w:szCs w:val="21"/>
                <w:highlight w:val="none"/>
              </w:rPr>
              <w:t>③</w:t>
            </w:r>
            <w:r>
              <w:rPr>
                <w:rFonts w:hint="eastAsia" w:ascii="Calibri" w:hAnsi="Calibri" w:cs="Calibri"/>
                <w:color w:val="auto"/>
                <w:szCs w:val="21"/>
                <w:highlight w:val="none"/>
              </w:rPr>
              <w:t>加</w:t>
            </w:r>
            <w:r>
              <w:rPr>
                <w:rFonts w:hint="eastAsia" w:ascii="宋体" w:hAnsi="宋体"/>
                <w:color w:val="auto"/>
                <w:szCs w:val="21"/>
                <w:highlight w:val="none"/>
              </w:rPr>
              <w:t>“</w:t>
            </w:r>
            <w:r>
              <w:rPr>
                <w:rFonts w:hint="eastAsia" w:ascii="宋体" w:hAnsi="宋体" w:cs="宋体"/>
                <w:color w:val="auto"/>
                <w:kern w:val="0"/>
                <w:szCs w:val="21"/>
                <w:highlight w:val="none"/>
              </w:rPr>
              <w:t>●</w:t>
            </w:r>
            <w:r>
              <w:rPr>
                <w:rFonts w:hint="eastAsia" w:ascii="宋体" w:hAnsi="宋体"/>
                <w:color w:val="auto"/>
                <w:szCs w:val="21"/>
                <w:highlight w:val="none"/>
              </w:rPr>
              <w:t>”的主要指标不满足需求，每出现一项扣</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0.5</w:t>
            </w:r>
            <w:r>
              <w:rPr>
                <w:rFonts w:hint="eastAsia" w:ascii="宋体" w:hAnsi="宋体"/>
                <w:color w:val="auto"/>
                <w:szCs w:val="21"/>
                <w:highlight w:val="none"/>
                <w:u w:val="single"/>
              </w:rPr>
              <w:t>　</w:t>
            </w:r>
            <w:r>
              <w:rPr>
                <w:rFonts w:hint="eastAsia" w:ascii="宋体" w:hAnsi="宋体"/>
                <w:color w:val="auto"/>
                <w:szCs w:val="21"/>
                <w:highlight w:val="none"/>
              </w:rPr>
              <w:t xml:space="preserve">分。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pPr>
              <w:spacing w:line="440" w:lineRule="exact"/>
              <w:jc w:val="center"/>
              <w:rPr>
                <w:rFonts w:ascii="宋体" w:hAnsi="宋体"/>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技术相关证明材料</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2分</w:t>
            </w:r>
          </w:p>
        </w:tc>
        <w:tc>
          <w:tcPr>
            <w:tcW w:w="4736" w:type="dxa"/>
            <w:tcBorders>
              <w:top w:val="single" w:color="auto" w:sz="4" w:space="0"/>
              <w:left w:val="single" w:color="auto" w:sz="4" w:space="0"/>
              <w:right w:val="single" w:color="auto" w:sz="4" w:space="0"/>
            </w:tcBorders>
            <w:vAlign w:val="center"/>
          </w:tcPr>
          <w:p>
            <w:pPr>
              <w:tabs>
                <w:tab w:val="left" w:pos="417"/>
              </w:tabs>
              <w:spacing w:line="440" w:lineRule="exact"/>
              <w:ind w:firstLine="420" w:firstLineChars="200"/>
              <w:rPr>
                <w:rFonts w:ascii="Calibri" w:hAnsi="Calibri" w:cs="Calibri"/>
                <w:color w:val="auto"/>
                <w:szCs w:val="21"/>
                <w:highlight w:val="none"/>
              </w:rPr>
            </w:pPr>
            <w:r>
              <w:rPr>
                <w:rFonts w:hint="eastAsia" w:ascii="Calibri" w:hAnsi="Calibri" w:cs="Calibri"/>
                <w:color w:val="auto"/>
                <w:szCs w:val="21"/>
                <w:highlight w:val="none"/>
              </w:rPr>
              <w:t>针对所投产品技术参数，提供生产商技术支持材料（投标产品的生产制造商官网公布资料、说明书、彩页、检验报告等）。</w:t>
            </w:r>
          </w:p>
          <w:p>
            <w:pPr>
              <w:tabs>
                <w:tab w:val="left" w:pos="417"/>
              </w:tabs>
              <w:spacing w:line="440" w:lineRule="exact"/>
              <w:ind w:firstLine="420" w:firstLineChars="200"/>
              <w:rPr>
                <w:rFonts w:ascii="Calibri" w:hAnsi="Calibri" w:cs="Calibri"/>
                <w:color w:val="auto"/>
                <w:szCs w:val="21"/>
                <w:highlight w:val="none"/>
              </w:rPr>
            </w:pPr>
            <w:r>
              <w:rPr>
                <w:rFonts w:hint="eastAsia" w:ascii="Calibri" w:hAnsi="Calibri" w:cs="Calibri"/>
                <w:color w:val="auto"/>
                <w:szCs w:val="21"/>
                <w:highlight w:val="none"/>
              </w:rPr>
              <w:t>评审标准：</w:t>
            </w:r>
          </w:p>
          <w:p>
            <w:pPr>
              <w:tabs>
                <w:tab w:val="left" w:pos="417"/>
              </w:tabs>
              <w:spacing w:line="440" w:lineRule="exact"/>
              <w:rPr>
                <w:rFonts w:ascii="Calibri" w:hAnsi="Calibri" w:cs="Calibri"/>
                <w:color w:val="auto"/>
                <w:szCs w:val="21"/>
                <w:highlight w:val="none"/>
              </w:rPr>
            </w:pPr>
            <w:r>
              <w:rPr>
                <w:rFonts w:hint="eastAsia" w:ascii="Calibri" w:hAnsi="Calibri" w:cs="Calibri"/>
                <w:color w:val="auto"/>
                <w:szCs w:val="21"/>
                <w:highlight w:val="none"/>
              </w:rPr>
              <w:t>①资料完善，内容齐全，能有力支持投标技术内容，得满分。</w:t>
            </w:r>
          </w:p>
          <w:p>
            <w:pPr>
              <w:tabs>
                <w:tab w:val="left" w:pos="417"/>
              </w:tabs>
              <w:spacing w:line="440" w:lineRule="exact"/>
              <w:rPr>
                <w:rFonts w:ascii="Calibri" w:hAnsi="Calibri" w:cs="Calibri"/>
                <w:color w:val="auto"/>
                <w:szCs w:val="21"/>
                <w:highlight w:val="none"/>
              </w:rPr>
            </w:pPr>
            <w:r>
              <w:rPr>
                <w:rFonts w:hint="eastAsia" w:ascii="Calibri" w:hAnsi="Calibri" w:cs="Calibri"/>
                <w:color w:val="auto"/>
                <w:szCs w:val="21"/>
                <w:highlight w:val="none"/>
              </w:rPr>
              <w:t>②资料、内容不全，对投标技术内容支持力较弱，得</w:t>
            </w:r>
            <w:r>
              <w:rPr>
                <w:rFonts w:hint="eastAsia" w:ascii="Calibri" w:hAnsi="Calibri" w:cs="Calibri"/>
                <w:color w:val="auto"/>
                <w:szCs w:val="21"/>
                <w:highlight w:val="none"/>
                <w:u w:val="single"/>
              </w:rPr>
              <w:t xml:space="preserve"> </w:t>
            </w:r>
            <w:r>
              <w:rPr>
                <w:rFonts w:hint="eastAsia" w:ascii="Calibri" w:hAnsi="Calibri" w:cs="Calibri"/>
                <w:color w:val="auto"/>
                <w:szCs w:val="21"/>
                <w:highlight w:val="none"/>
                <w:u w:val="single"/>
                <w:lang w:val="en-US" w:eastAsia="zh-CN"/>
              </w:rPr>
              <w:t>1</w:t>
            </w:r>
            <w:r>
              <w:rPr>
                <w:rFonts w:hint="eastAsia" w:ascii="Calibri" w:hAnsi="Calibri" w:cs="Calibri"/>
                <w:color w:val="auto"/>
                <w:szCs w:val="21"/>
                <w:highlight w:val="none"/>
                <w:u w:val="single"/>
              </w:rPr>
              <w:t xml:space="preserve">  </w:t>
            </w:r>
            <w:r>
              <w:rPr>
                <w:rFonts w:hint="eastAsia" w:ascii="Calibri" w:hAnsi="Calibri" w:cs="Calibri"/>
                <w:color w:val="auto"/>
                <w:szCs w:val="21"/>
                <w:highlight w:val="none"/>
              </w:rPr>
              <w:t>分。</w:t>
            </w:r>
          </w:p>
          <w:p>
            <w:pPr>
              <w:tabs>
                <w:tab w:val="left" w:pos="417"/>
              </w:tabs>
              <w:spacing w:line="440" w:lineRule="exact"/>
              <w:rPr>
                <w:rFonts w:ascii="Calibri" w:hAnsi="Calibri" w:cs="Calibri"/>
                <w:color w:val="auto"/>
                <w:szCs w:val="21"/>
                <w:highlight w:val="none"/>
              </w:rPr>
            </w:pPr>
            <w:r>
              <w:rPr>
                <w:rFonts w:hint="eastAsia" w:ascii="Calibri" w:hAnsi="Calibri" w:cs="Calibri"/>
                <w:color w:val="auto"/>
                <w:szCs w:val="21"/>
                <w:highlight w:val="none"/>
              </w:rPr>
              <w:t>③资料、内容严重缺乏，不能支持投标技术内容，不得分。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pPr>
              <w:spacing w:line="440" w:lineRule="exact"/>
              <w:jc w:val="center"/>
              <w:rPr>
                <w:rFonts w:ascii="宋体" w:hAnsi="宋体"/>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进度计划</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1</w:t>
            </w:r>
            <w:r>
              <w:rPr>
                <w:rFonts w:hint="eastAsia" w:ascii="宋体" w:hAnsi="宋体"/>
                <w:color w:val="auto"/>
                <w:highlight w:val="none"/>
                <w:lang w:val="en-US" w:eastAsia="zh-CN"/>
              </w:rPr>
              <w:t>分</w:t>
            </w:r>
          </w:p>
        </w:tc>
        <w:tc>
          <w:tcPr>
            <w:tcW w:w="4736" w:type="dxa"/>
            <w:tcBorders>
              <w:top w:val="single" w:color="auto" w:sz="4" w:space="0"/>
              <w:left w:val="single" w:color="auto" w:sz="4" w:space="0"/>
              <w:right w:val="single" w:color="auto" w:sz="4" w:space="0"/>
            </w:tcBorders>
            <w:vAlign w:val="center"/>
          </w:tcPr>
          <w:p>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按承诺的合同履行期限制订</w:t>
            </w:r>
            <w:r>
              <w:rPr>
                <w:rFonts w:hint="eastAsia" w:ascii="宋体" w:hAnsi="宋体"/>
                <w:color w:val="auto"/>
                <w:szCs w:val="21"/>
                <w:highlight w:val="none"/>
                <w:lang w:val="en-US" w:eastAsia="zh-CN"/>
              </w:rPr>
              <w:t>项目</w:t>
            </w:r>
            <w:r>
              <w:rPr>
                <w:rFonts w:hint="eastAsia" w:ascii="宋体" w:hAnsi="宋体"/>
                <w:color w:val="auto"/>
                <w:szCs w:val="21"/>
                <w:highlight w:val="none"/>
              </w:rPr>
              <w:t>进度计划。</w:t>
            </w:r>
          </w:p>
          <w:p>
            <w:pPr>
              <w:spacing w:line="440" w:lineRule="exact"/>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 xml:space="preserve">    评审标准：满足项目要求得满分，否则不得分。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pPr>
              <w:spacing w:line="440" w:lineRule="exact"/>
              <w:jc w:val="center"/>
              <w:rPr>
                <w:rFonts w:ascii="宋体" w:hAnsi="宋体"/>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投入</w:t>
            </w:r>
            <w:r>
              <w:rPr>
                <w:rFonts w:hint="eastAsia" w:ascii="宋体" w:hAnsi="宋体"/>
                <w:color w:val="auto"/>
                <w:szCs w:val="21"/>
                <w:highlight w:val="none"/>
              </w:rPr>
              <w:t>技术力量</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w:t>
            </w:r>
            <w:r>
              <w:rPr>
                <w:rFonts w:hint="eastAsia" w:ascii="宋体" w:hAnsi="宋体"/>
                <w:color w:val="auto"/>
                <w:highlight w:val="none"/>
                <w:lang w:val="en-US" w:eastAsia="zh-CN"/>
              </w:rPr>
              <w:t>分</w:t>
            </w:r>
          </w:p>
        </w:tc>
        <w:tc>
          <w:tcPr>
            <w:tcW w:w="4736" w:type="dxa"/>
            <w:tcBorders>
              <w:top w:val="single" w:color="auto" w:sz="4" w:space="0"/>
              <w:left w:val="single" w:color="auto" w:sz="4" w:space="0"/>
              <w:right w:val="single" w:color="auto" w:sz="4" w:space="0"/>
            </w:tcBorders>
            <w:vAlign w:val="center"/>
          </w:tcPr>
          <w:p>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针对本项目</w:t>
            </w:r>
            <w:r>
              <w:rPr>
                <w:rFonts w:hint="eastAsia" w:ascii="宋体" w:hAnsi="宋体"/>
                <w:color w:val="auto"/>
                <w:szCs w:val="21"/>
                <w:highlight w:val="none"/>
                <w:lang w:val="en-US" w:eastAsia="zh-CN"/>
              </w:rPr>
              <w:t>安排</w:t>
            </w:r>
            <w:r>
              <w:rPr>
                <w:rFonts w:hint="eastAsia" w:ascii="宋体" w:hAnsi="宋体"/>
                <w:color w:val="auto"/>
                <w:szCs w:val="21"/>
                <w:highlight w:val="none"/>
              </w:rPr>
              <w:t>的</w:t>
            </w:r>
            <w:r>
              <w:rPr>
                <w:rFonts w:hint="eastAsia" w:ascii="宋体" w:hAnsi="宋体"/>
                <w:color w:val="auto"/>
                <w:szCs w:val="21"/>
                <w:highlight w:val="none"/>
                <w:lang w:val="en-US" w:eastAsia="zh-CN"/>
              </w:rPr>
              <w:t>技术团队、</w:t>
            </w:r>
            <w:r>
              <w:rPr>
                <w:rFonts w:hint="eastAsia" w:ascii="宋体" w:hAnsi="宋体"/>
                <w:color w:val="auto"/>
                <w:szCs w:val="21"/>
                <w:highlight w:val="none"/>
              </w:rPr>
              <w:t>专业人员、</w:t>
            </w:r>
            <w:r>
              <w:rPr>
                <w:rFonts w:hint="eastAsia" w:ascii="宋体" w:hAnsi="宋体"/>
                <w:color w:val="auto"/>
                <w:szCs w:val="21"/>
                <w:highlight w:val="none"/>
                <w:lang w:val="en-US" w:eastAsia="zh-CN"/>
              </w:rPr>
              <w:t>相关</w:t>
            </w:r>
            <w:r>
              <w:rPr>
                <w:rFonts w:hint="eastAsia" w:ascii="宋体" w:hAnsi="宋体"/>
                <w:color w:val="auto"/>
                <w:szCs w:val="21"/>
                <w:highlight w:val="none"/>
              </w:rPr>
              <w:t>设备等情况。</w:t>
            </w:r>
          </w:p>
          <w:p>
            <w:pPr>
              <w:spacing w:line="44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 xml:space="preserve">    评审标准：满足项目需求得满分，否则不得分。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pPr>
              <w:spacing w:line="440" w:lineRule="exact"/>
              <w:jc w:val="center"/>
              <w:rPr>
                <w:rFonts w:ascii="宋体" w:hAnsi="宋体"/>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整体技术实施方案</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eastAsia="宋体"/>
                <w:color w:val="auto"/>
                <w:szCs w:val="21"/>
                <w:highlight w:val="none"/>
                <w:lang w:val="en-US" w:eastAsia="zh-CN"/>
              </w:rPr>
            </w:pPr>
            <w:r>
              <w:rPr>
                <w:rFonts w:hint="eastAsia" w:ascii="宋体" w:hAnsi="宋体"/>
                <w:color w:val="auto"/>
                <w:highlight w:val="none"/>
                <w:lang w:val="en-US" w:eastAsia="zh-CN"/>
              </w:rPr>
              <w:t>6分</w:t>
            </w:r>
          </w:p>
        </w:tc>
        <w:tc>
          <w:tcPr>
            <w:tcW w:w="4736" w:type="dxa"/>
            <w:tcBorders>
              <w:top w:val="single" w:color="auto" w:sz="4" w:space="0"/>
              <w:left w:val="single" w:color="auto" w:sz="4" w:space="0"/>
              <w:right w:val="single" w:color="auto" w:sz="4" w:space="0"/>
            </w:tcBorders>
            <w:vAlign w:val="center"/>
          </w:tcPr>
          <w:p>
            <w:pPr>
              <w:spacing w:line="440" w:lineRule="exact"/>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en-US" w:eastAsia="zh-CN"/>
              </w:rPr>
              <w:t>针对项目的技术特点、难点、重点等进行分析，制订确保项目质量的整体技术实施方案。</w:t>
            </w:r>
          </w:p>
          <w:p>
            <w:pPr>
              <w:spacing w:line="440" w:lineRule="exact"/>
              <w:ind w:firstLine="420" w:firstLineChars="200"/>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评审标准：</w:t>
            </w:r>
          </w:p>
          <w:p>
            <w:pPr>
              <w:numPr>
                <w:ilvl w:val="0"/>
                <w:numId w:val="0"/>
              </w:numPr>
              <w:spacing w:line="440" w:lineRule="exact"/>
              <w:rPr>
                <w:rFonts w:hint="eastAsia" w:ascii="宋体" w:hAnsi="宋体"/>
                <w:color w:val="auto"/>
                <w:szCs w:val="21"/>
                <w:highlight w:val="none"/>
                <w:lang w:val="zh-CN"/>
              </w:rPr>
            </w:pPr>
            <w:r>
              <w:rPr>
                <w:rFonts w:hint="eastAsia" w:ascii="宋体" w:hAnsi="宋体"/>
                <w:color w:val="auto"/>
                <w:szCs w:val="21"/>
                <w:highlight w:val="none"/>
                <w:lang w:val="en-US" w:eastAsia="zh-CN"/>
              </w:rPr>
              <w:t>1、方案科学，</w:t>
            </w:r>
            <w:r>
              <w:rPr>
                <w:rFonts w:hint="eastAsia" w:ascii="宋体" w:hAnsi="宋体"/>
                <w:color w:val="auto"/>
                <w:szCs w:val="21"/>
                <w:highlight w:val="none"/>
                <w:lang w:val="zh-CN"/>
              </w:rPr>
              <w:t>技术先进，</w:t>
            </w:r>
            <w:r>
              <w:rPr>
                <w:rFonts w:hint="eastAsia" w:ascii="宋体" w:hAnsi="宋体"/>
                <w:color w:val="auto"/>
                <w:szCs w:val="21"/>
                <w:highlight w:val="none"/>
                <w:lang w:val="en-US" w:eastAsia="zh-CN"/>
              </w:rPr>
              <w:t>完善合理，</w:t>
            </w:r>
            <w:r>
              <w:rPr>
                <w:rFonts w:hint="eastAsia" w:ascii="宋体" w:hAnsi="宋体"/>
                <w:color w:val="auto"/>
                <w:szCs w:val="21"/>
                <w:highlight w:val="none"/>
                <w:lang w:val="zh-CN"/>
              </w:rPr>
              <w:t>可行</w:t>
            </w:r>
            <w:r>
              <w:rPr>
                <w:rFonts w:hint="eastAsia" w:ascii="宋体" w:hAnsi="宋体"/>
                <w:color w:val="auto"/>
                <w:szCs w:val="21"/>
                <w:highlight w:val="none"/>
                <w:lang w:val="en-US" w:eastAsia="zh-CN"/>
              </w:rPr>
              <w:t>性强</w:t>
            </w:r>
            <w:r>
              <w:rPr>
                <w:rFonts w:hint="eastAsia" w:ascii="宋体" w:hAnsi="宋体"/>
                <w:color w:val="auto"/>
                <w:szCs w:val="21"/>
                <w:highlight w:val="none"/>
                <w:lang w:val="zh-CN"/>
              </w:rPr>
              <w:t>，</w:t>
            </w:r>
            <w:r>
              <w:rPr>
                <w:rFonts w:hint="eastAsia" w:ascii="宋体" w:hAnsi="宋体"/>
                <w:color w:val="auto"/>
                <w:szCs w:val="21"/>
                <w:highlight w:val="none"/>
              </w:rPr>
              <w:t>得</w:t>
            </w:r>
            <w:r>
              <w:rPr>
                <w:rFonts w:hint="eastAsia" w:ascii="宋体" w:hAnsi="宋体"/>
                <w:color w:val="auto"/>
                <w:szCs w:val="21"/>
                <w:highlight w:val="none"/>
                <w:u w:val="single"/>
                <w:lang w:val="en-US" w:eastAsia="zh-CN"/>
              </w:rPr>
              <w:t xml:space="preserve"> 6 </w:t>
            </w:r>
            <w:r>
              <w:rPr>
                <w:rFonts w:hint="eastAsia" w:ascii="宋体" w:hAnsi="宋体"/>
                <w:color w:val="auto"/>
                <w:szCs w:val="21"/>
                <w:highlight w:val="none"/>
              </w:rPr>
              <w:t>分</w:t>
            </w:r>
            <w:r>
              <w:rPr>
                <w:rFonts w:hint="eastAsia" w:ascii="宋体" w:hAnsi="宋体"/>
                <w:color w:val="auto"/>
                <w:szCs w:val="21"/>
                <w:highlight w:val="none"/>
                <w:lang w:val="zh-CN"/>
              </w:rPr>
              <w:t>；</w:t>
            </w:r>
          </w:p>
          <w:p>
            <w:pPr>
              <w:numPr>
                <w:ilvl w:val="0"/>
                <w:numId w:val="0"/>
              </w:numPr>
              <w:spacing w:line="44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2、方案完善，</w:t>
            </w:r>
            <w:r>
              <w:rPr>
                <w:rFonts w:hint="eastAsia" w:ascii="宋体" w:hAnsi="宋体"/>
                <w:color w:val="auto"/>
                <w:szCs w:val="21"/>
                <w:highlight w:val="none"/>
              </w:rPr>
              <w:t>基本</w:t>
            </w:r>
            <w:r>
              <w:rPr>
                <w:rFonts w:hint="eastAsia" w:ascii="宋体" w:hAnsi="宋体"/>
                <w:color w:val="auto"/>
                <w:szCs w:val="21"/>
                <w:highlight w:val="none"/>
                <w:lang w:val="en-US" w:eastAsia="zh-CN"/>
              </w:rPr>
              <w:t>可行，能满足项目需求，</w:t>
            </w:r>
            <w:r>
              <w:rPr>
                <w:rFonts w:hint="eastAsia" w:ascii="宋体" w:hAnsi="宋体"/>
                <w:color w:val="auto"/>
                <w:szCs w:val="21"/>
                <w:highlight w:val="none"/>
              </w:rPr>
              <w:t>得</w:t>
            </w:r>
            <w:r>
              <w:rPr>
                <w:rFonts w:hint="eastAsia" w:ascii="宋体" w:hAnsi="宋体"/>
                <w:color w:val="auto"/>
                <w:szCs w:val="21"/>
                <w:highlight w:val="none"/>
                <w:lang w:val="en-US" w:eastAsia="zh-CN"/>
              </w:rPr>
              <w:t>4</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val="zh-CN"/>
              </w:rPr>
              <w:t>分；</w:t>
            </w:r>
          </w:p>
          <w:p>
            <w:pPr>
              <w:numPr>
                <w:ilvl w:val="0"/>
                <w:numId w:val="0"/>
              </w:numPr>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3、基本能满足项目需求，得</w:t>
            </w:r>
            <w:r>
              <w:rPr>
                <w:rFonts w:hint="eastAsia" w:ascii="宋体" w:hAnsi="宋体"/>
                <w:color w:val="auto"/>
                <w:szCs w:val="21"/>
                <w:highlight w:val="none"/>
                <w:u w:val="single"/>
                <w:lang w:val="en-US" w:eastAsia="zh-CN"/>
              </w:rPr>
              <w:t xml:space="preserve"> 2</w:t>
            </w:r>
            <w:r>
              <w:rPr>
                <w:rFonts w:hint="eastAsia" w:ascii="宋体" w:hAnsi="宋体"/>
                <w:color w:val="auto"/>
                <w:szCs w:val="21"/>
                <w:highlight w:val="none"/>
                <w:lang w:val="en-US" w:eastAsia="zh-CN"/>
              </w:rPr>
              <w:t xml:space="preserve">分； </w:t>
            </w:r>
          </w:p>
          <w:p>
            <w:pPr>
              <w:numPr>
                <w:ilvl w:val="0"/>
                <w:numId w:val="0"/>
              </w:numPr>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4、内容不完善，可行性不强</w:t>
            </w:r>
            <w:r>
              <w:rPr>
                <w:rFonts w:hint="eastAsia" w:ascii="宋体" w:hAnsi="宋体"/>
                <w:color w:val="auto"/>
                <w:szCs w:val="21"/>
                <w:highlight w:val="none"/>
                <w:lang w:val="zh-CN"/>
              </w:rPr>
              <w:t>，</w:t>
            </w:r>
            <w:r>
              <w:rPr>
                <w:rFonts w:hint="eastAsia" w:ascii="宋体" w:hAnsi="宋体"/>
                <w:color w:val="auto"/>
                <w:szCs w:val="21"/>
                <w:highlight w:val="none"/>
              </w:rPr>
              <w:t>得</w:t>
            </w:r>
            <w:r>
              <w:rPr>
                <w:rFonts w:hint="eastAsia" w:ascii="宋体" w:hAnsi="宋体"/>
                <w:color w:val="auto"/>
                <w:szCs w:val="21"/>
                <w:highlight w:val="none"/>
                <w:u w:val="single"/>
                <w:lang w:val="en-US" w:eastAsia="zh-CN"/>
              </w:rPr>
              <w:t xml:space="preserve"> 1  </w:t>
            </w:r>
            <w:r>
              <w:rPr>
                <w:rFonts w:hint="eastAsia" w:ascii="宋体" w:hAnsi="宋体"/>
                <w:color w:val="auto"/>
                <w:szCs w:val="21"/>
                <w:highlight w:val="none"/>
                <w:lang w:val="zh-CN"/>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pPr>
              <w:spacing w:line="440" w:lineRule="exact"/>
              <w:jc w:val="center"/>
              <w:rPr>
                <w:rFonts w:ascii="宋体" w:hAnsi="宋体"/>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color w:val="auto"/>
                <w:szCs w:val="21"/>
                <w:highlight w:val="none"/>
              </w:rPr>
            </w:pPr>
            <w:r>
              <w:rPr>
                <w:rFonts w:hint="eastAsia" w:ascii="宋体" w:hAnsi="宋体"/>
                <w:color w:val="auto"/>
                <w:szCs w:val="21"/>
                <w:highlight w:val="none"/>
              </w:rPr>
              <w:t>供货安装方案</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color w:val="auto"/>
                <w:szCs w:val="21"/>
                <w:highlight w:val="none"/>
              </w:rPr>
            </w:pPr>
            <w:r>
              <w:rPr>
                <w:rFonts w:hint="eastAsia" w:ascii="宋体" w:hAnsi="宋体"/>
                <w:color w:val="auto"/>
                <w:highlight w:val="none"/>
                <w:lang w:val="en-US" w:eastAsia="zh-CN"/>
              </w:rPr>
              <w:t>6分</w:t>
            </w:r>
          </w:p>
        </w:tc>
        <w:tc>
          <w:tcPr>
            <w:tcW w:w="4736" w:type="dxa"/>
            <w:tcBorders>
              <w:top w:val="single" w:color="auto" w:sz="4" w:space="0"/>
              <w:left w:val="single" w:color="auto" w:sz="4" w:space="0"/>
              <w:right w:val="single" w:color="auto" w:sz="4" w:space="0"/>
            </w:tcBorders>
            <w:vAlign w:val="center"/>
          </w:tcPr>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包括但不限于：产品的设计制造或采购，包装运输，交货保管，安装调试，检测检验，</w:t>
            </w:r>
            <w:r>
              <w:rPr>
                <w:rFonts w:hint="eastAsia" w:ascii="宋体" w:hAnsi="宋体"/>
                <w:color w:val="auto"/>
                <w:szCs w:val="21"/>
                <w:highlight w:val="none"/>
                <w:lang w:val="en-US" w:eastAsia="zh-CN"/>
              </w:rPr>
              <w:t>技术指导等内容</w:t>
            </w:r>
            <w:r>
              <w:rPr>
                <w:rFonts w:hint="eastAsia" w:ascii="宋体" w:hAnsi="宋体"/>
                <w:color w:val="auto"/>
                <w:szCs w:val="21"/>
                <w:highlight w:val="none"/>
              </w:rPr>
              <w:t>。</w:t>
            </w:r>
          </w:p>
          <w:p>
            <w:pPr>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评审标准：</w:t>
            </w:r>
          </w:p>
          <w:p>
            <w:pPr>
              <w:spacing w:line="440" w:lineRule="exact"/>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w:t>
            </w:r>
            <w:r>
              <w:rPr>
                <w:rFonts w:hint="eastAsia" w:ascii="宋体" w:hAnsi="宋体"/>
                <w:color w:val="auto"/>
                <w:szCs w:val="21"/>
                <w:highlight w:val="none"/>
              </w:rPr>
              <w:t>方案科学，完善合理，可行性强，得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6</w:t>
            </w:r>
            <w:r>
              <w:rPr>
                <w:rFonts w:hint="eastAsia" w:ascii="宋体" w:hAnsi="宋体"/>
                <w:color w:val="auto"/>
                <w:szCs w:val="21"/>
                <w:highlight w:val="none"/>
              </w:rPr>
              <w:t>分；</w:t>
            </w:r>
          </w:p>
          <w:p>
            <w:pPr>
              <w:spacing w:line="440" w:lineRule="exact"/>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eastAsia="zh-CN"/>
              </w:rPr>
              <w:t>、</w:t>
            </w:r>
            <w:r>
              <w:rPr>
                <w:rFonts w:hint="eastAsia" w:ascii="宋体" w:hAnsi="宋体"/>
                <w:color w:val="auto"/>
                <w:szCs w:val="21"/>
                <w:highlight w:val="none"/>
              </w:rPr>
              <w:t>方案完善，基本可行，能满足项目需求，得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4</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分。 </w:t>
            </w:r>
          </w:p>
          <w:p>
            <w:pPr>
              <w:numPr>
                <w:ilvl w:val="0"/>
                <w:numId w:val="0"/>
              </w:numPr>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3、基本能满足项目需求，得</w:t>
            </w:r>
            <w:r>
              <w:rPr>
                <w:rFonts w:hint="eastAsia" w:ascii="宋体" w:hAnsi="宋体"/>
                <w:color w:val="auto"/>
                <w:szCs w:val="21"/>
                <w:highlight w:val="none"/>
                <w:u w:val="single"/>
                <w:lang w:val="en-US" w:eastAsia="zh-CN"/>
              </w:rPr>
              <w:t xml:space="preserve"> 2</w:t>
            </w:r>
            <w:r>
              <w:rPr>
                <w:rFonts w:hint="eastAsia" w:ascii="宋体" w:hAnsi="宋体"/>
                <w:color w:val="auto"/>
                <w:szCs w:val="21"/>
                <w:highlight w:val="none"/>
                <w:lang w:val="en-US" w:eastAsia="zh-CN"/>
              </w:rPr>
              <w:t xml:space="preserve">分； </w:t>
            </w:r>
          </w:p>
          <w:p>
            <w:pPr>
              <w:spacing w:line="440" w:lineRule="exact"/>
              <w:jc w:val="left"/>
              <w:rPr>
                <w:rFonts w:hint="eastAsia" w:ascii="宋体" w:hAnsi="宋体"/>
                <w:color w:val="auto"/>
                <w:szCs w:val="21"/>
                <w:highlight w:val="none"/>
              </w:rPr>
            </w:pPr>
            <w:r>
              <w:rPr>
                <w:rFonts w:hint="eastAsia" w:ascii="宋体" w:hAnsi="宋体"/>
                <w:color w:val="auto"/>
                <w:szCs w:val="21"/>
                <w:highlight w:val="none"/>
                <w:lang w:val="en-US" w:eastAsia="zh-CN"/>
              </w:rPr>
              <w:t>4、内容不完善，可行性不强</w:t>
            </w:r>
            <w:r>
              <w:rPr>
                <w:rFonts w:hint="eastAsia" w:ascii="宋体" w:hAnsi="宋体"/>
                <w:color w:val="auto"/>
                <w:szCs w:val="21"/>
                <w:highlight w:val="none"/>
                <w:lang w:val="zh-CN"/>
              </w:rPr>
              <w:t>，</w:t>
            </w:r>
            <w:r>
              <w:rPr>
                <w:rFonts w:hint="eastAsia" w:ascii="宋体" w:hAnsi="宋体"/>
                <w:color w:val="auto"/>
                <w:szCs w:val="21"/>
                <w:highlight w:val="none"/>
              </w:rPr>
              <w:t>得</w:t>
            </w:r>
            <w:r>
              <w:rPr>
                <w:rFonts w:hint="eastAsia" w:ascii="宋体" w:hAnsi="宋体"/>
                <w:color w:val="auto"/>
                <w:szCs w:val="21"/>
                <w:highlight w:val="none"/>
                <w:u w:val="single"/>
                <w:lang w:val="en-US" w:eastAsia="zh-CN"/>
              </w:rPr>
              <w:t xml:space="preserve"> 1  </w:t>
            </w:r>
            <w:r>
              <w:rPr>
                <w:rFonts w:hint="eastAsia" w:ascii="宋体" w:hAnsi="宋体"/>
                <w:color w:val="auto"/>
                <w:szCs w:val="21"/>
                <w:highlight w:val="none"/>
                <w:lang w:val="zh-CN"/>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pPr>
              <w:spacing w:line="440" w:lineRule="exact"/>
              <w:jc w:val="center"/>
              <w:rPr>
                <w:rFonts w:ascii="宋体" w:hAnsi="宋体"/>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vAlign w:val="center"/>
          </w:tcPr>
          <w:p>
            <w:pPr>
              <w:ind w:firstLine="0" w:firstLineChars="0"/>
              <w:jc w:val="center"/>
              <w:rPr>
                <w:rFonts w:hint="eastAsia" w:ascii="宋体" w:hAnsi="宋体"/>
                <w:color w:val="auto"/>
                <w:szCs w:val="21"/>
                <w:highlight w:val="none"/>
              </w:rPr>
            </w:pPr>
            <w:r>
              <w:rPr>
                <w:rFonts w:hint="eastAsia"/>
                <w:color w:val="auto"/>
                <w:highlight w:val="none"/>
              </w:rPr>
              <w:t>人员培训方案</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default" w:ascii="宋体" w:hAnsi="宋体"/>
                <w:color w:val="auto"/>
                <w:highlight w:val="none"/>
                <w:lang w:val="en-US" w:eastAsia="zh-CN"/>
              </w:rPr>
            </w:pPr>
            <w:r>
              <w:rPr>
                <w:rFonts w:hint="eastAsia" w:ascii="宋体" w:hAnsi="宋体"/>
                <w:color w:val="auto"/>
                <w:highlight w:val="none"/>
                <w:lang w:val="en-US" w:eastAsia="zh-CN"/>
              </w:rPr>
              <w:t>6分</w:t>
            </w:r>
          </w:p>
        </w:tc>
        <w:tc>
          <w:tcPr>
            <w:tcW w:w="4736" w:type="dxa"/>
            <w:tcBorders>
              <w:top w:val="single" w:color="auto" w:sz="4" w:space="0"/>
              <w:left w:val="single" w:color="auto" w:sz="4" w:space="0"/>
              <w:right w:val="single" w:color="auto" w:sz="4" w:space="0"/>
            </w:tcBorders>
            <w:vAlign w:val="center"/>
          </w:tcPr>
          <w:p>
            <w:pPr>
              <w:spacing w:line="440" w:lineRule="exact"/>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en-US" w:eastAsia="zh-CN"/>
              </w:rPr>
              <w:t>针对项目特点及采购人需求情况分析制订人员培训方案，包括但不限于</w:t>
            </w:r>
            <w:r>
              <w:rPr>
                <w:rFonts w:hint="eastAsia"/>
                <w:color w:val="auto"/>
                <w:highlight w:val="none"/>
                <w:lang w:val="zh-CN"/>
              </w:rPr>
              <w:t>培训</w:t>
            </w:r>
            <w:r>
              <w:rPr>
                <w:rFonts w:hint="eastAsia"/>
                <w:color w:val="auto"/>
                <w:highlight w:val="none"/>
                <w:lang w:val="en-US" w:eastAsia="zh-CN"/>
              </w:rPr>
              <w:t>计划、培训内容、团队</w:t>
            </w:r>
            <w:r>
              <w:rPr>
                <w:rFonts w:hint="eastAsia"/>
                <w:color w:val="auto"/>
                <w:highlight w:val="none"/>
                <w:lang w:val="zh-CN"/>
              </w:rPr>
              <w:t>力量、</w:t>
            </w:r>
            <w:r>
              <w:rPr>
                <w:rFonts w:hint="eastAsia"/>
                <w:color w:val="auto"/>
                <w:highlight w:val="none"/>
                <w:lang w:val="en-US" w:eastAsia="zh-CN"/>
              </w:rPr>
              <w:t>组织实施、</w:t>
            </w:r>
            <w:r>
              <w:rPr>
                <w:rFonts w:hint="eastAsia"/>
                <w:color w:val="auto"/>
                <w:highlight w:val="none"/>
                <w:lang w:val="zh-CN"/>
              </w:rPr>
              <w:t>质量</w:t>
            </w:r>
            <w:r>
              <w:rPr>
                <w:rFonts w:hint="eastAsia"/>
                <w:color w:val="auto"/>
                <w:highlight w:val="none"/>
              </w:rPr>
              <w:t>保</w:t>
            </w:r>
            <w:r>
              <w:rPr>
                <w:rFonts w:hint="eastAsia"/>
                <w:color w:val="auto"/>
                <w:highlight w:val="none"/>
                <w:lang w:val="en-US" w:eastAsia="zh-CN"/>
              </w:rPr>
              <w:t>证</w:t>
            </w:r>
            <w:r>
              <w:rPr>
                <w:rFonts w:hint="eastAsia" w:ascii="宋体" w:hAnsi="宋体"/>
                <w:color w:val="auto"/>
                <w:szCs w:val="21"/>
                <w:highlight w:val="none"/>
                <w:lang w:val="zh-CN"/>
              </w:rPr>
              <w:t>等。</w:t>
            </w:r>
          </w:p>
          <w:p>
            <w:pPr>
              <w:numPr>
                <w:ilvl w:val="0"/>
                <w:numId w:val="0"/>
              </w:numPr>
              <w:spacing w:line="440" w:lineRule="exact"/>
              <w:ind w:firstLine="420" w:firstLineChars="200"/>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评审标准：</w:t>
            </w:r>
          </w:p>
          <w:p>
            <w:pPr>
              <w:numPr>
                <w:ilvl w:val="0"/>
                <w:numId w:val="0"/>
              </w:numPr>
              <w:spacing w:line="440" w:lineRule="exact"/>
              <w:rPr>
                <w:rFonts w:hint="eastAsia" w:ascii="宋体" w:hAnsi="宋体"/>
                <w:color w:val="auto"/>
                <w:szCs w:val="21"/>
                <w:highlight w:val="none"/>
                <w:lang w:val="zh-CN" w:eastAsia="zh-CN"/>
              </w:rPr>
            </w:pPr>
            <w:r>
              <w:rPr>
                <w:rFonts w:hint="eastAsia" w:ascii="宋体" w:hAnsi="宋体"/>
                <w:color w:val="auto"/>
                <w:szCs w:val="21"/>
                <w:highlight w:val="none"/>
                <w:lang w:val="en-US" w:eastAsia="zh-CN"/>
              </w:rPr>
              <w:t>1、方案科学，完善合理，</w:t>
            </w:r>
            <w:r>
              <w:rPr>
                <w:rFonts w:hint="eastAsia" w:ascii="宋体" w:hAnsi="宋体"/>
                <w:color w:val="auto"/>
                <w:szCs w:val="21"/>
                <w:highlight w:val="none"/>
                <w:lang w:val="zh-CN" w:eastAsia="zh-CN"/>
              </w:rPr>
              <w:t>可行</w:t>
            </w:r>
            <w:r>
              <w:rPr>
                <w:rFonts w:hint="eastAsia" w:ascii="宋体" w:hAnsi="宋体"/>
                <w:color w:val="auto"/>
                <w:szCs w:val="21"/>
                <w:highlight w:val="none"/>
                <w:lang w:val="en-US" w:eastAsia="zh-CN"/>
              </w:rPr>
              <w:t>性强</w:t>
            </w:r>
            <w:r>
              <w:rPr>
                <w:rFonts w:hint="eastAsia" w:ascii="宋体" w:hAnsi="宋体"/>
                <w:color w:val="auto"/>
                <w:szCs w:val="21"/>
                <w:highlight w:val="none"/>
                <w:lang w:val="zh-CN" w:eastAsia="zh-CN"/>
              </w:rPr>
              <w:t>，</w:t>
            </w:r>
            <w:r>
              <w:rPr>
                <w:rFonts w:hint="eastAsia" w:ascii="宋体" w:hAnsi="宋体"/>
                <w:color w:val="auto"/>
                <w:szCs w:val="21"/>
                <w:highlight w:val="none"/>
                <w:lang w:val="en-US" w:eastAsia="zh-CN"/>
              </w:rPr>
              <w:t>得</w:t>
            </w:r>
            <w:r>
              <w:rPr>
                <w:rFonts w:hint="eastAsia" w:ascii="宋体" w:hAnsi="宋体"/>
                <w:color w:val="auto"/>
                <w:szCs w:val="21"/>
                <w:highlight w:val="none"/>
                <w:u w:val="single"/>
                <w:lang w:val="en-US" w:eastAsia="zh-CN"/>
              </w:rPr>
              <w:t xml:space="preserve"> 6 </w:t>
            </w:r>
            <w:r>
              <w:rPr>
                <w:rFonts w:hint="eastAsia" w:ascii="宋体" w:hAnsi="宋体"/>
                <w:color w:val="auto"/>
                <w:szCs w:val="21"/>
                <w:highlight w:val="none"/>
                <w:lang w:val="en-US" w:eastAsia="zh-CN"/>
              </w:rPr>
              <w:t>分</w:t>
            </w:r>
            <w:r>
              <w:rPr>
                <w:rFonts w:hint="eastAsia" w:ascii="宋体" w:hAnsi="宋体"/>
                <w:color w:val="auto"/>
                <w:szCs w:val="21"/>
                <w:highlight w:val="none"/>
                <w:lang w:val="zh-CN" w:eastAsia="zh-CN"/>
              </w:rPr>
              <w:t>；</w:t>
            </w:r>
          </w:p>
          <w:p>
            <w:pPr>
              <w:numPr>
                <w:ilvl w:val="0"/>
                <w:numId w:val="0"/>
              </w:numPr>
              <w:spacing w:line="44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2、方案完善，基本可行，能满足项目需求，得</w:t>
            </w:r>
            <w:r>
              <w:rPr>
                <w:rFonts w:hint="eastAsia" w:ascii="宋体" w:hAnsi="宋体"/>
                <w:color w:val="auto"/>
                <w:szCs w:val="21"/>
                <w:highlight w:val="none"/>
                <w:u w:val="single"/>
                <w:lang w:val="en-US" w:eastAsia="zh-CN"/>
              </w:rPr>
              <w:t xml:space="preserve"> 4 </w:t>
            </w:r>
            <w:r>
              <w:rPr>
                <w:rFonts w:hint="eastAsia" w:ascii="宋体" w:hAnsi="宋体"/>
                <w:color w:val="auto"/>
                <w:szCs w:val="21"/>
                <w:highlight w:val="none"/>
                <w:lang w:val="zh-CN" w:eastAsia="zh-CN"/>
              </w:rPr>
              <w:t>分</w:t>
            </w:r>
            <w:r>
              <w:rPr>
                <w:rFonts w:hint="eastAsia" w:ascii="宋体" w:hAnsi="宋体"/>
                <w:color w:val="auto"/>
                <w:szCs w:val="21"/>
                <w:highlight w:val="none"/>
                <w:lang w:val="en-US" w:eastAsia="zh-CN"/>
              </w:rPr>
              <w:t xml:space="preserve">。 </w:t>
            </w:r>
          </w:p>
          <w:p>
            <w:pPr>
              <w:numPr>
                <w:ilvl w:val="0"/>
                <w:numId w:val="0"/>
              </w:numPr>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3、基本能满足项目需求，得</w:t>
            </w:r>
            <w:r>
              <w:rPr>
                <w:rFonts w:hint="eastAsia" w:ascii="宋体" w:hAnsi="宋体"/>
                <w:color w:val="auto"/>
                <w:szCs w:val="21"/>
                <w:highlight w:val="none"/>
                <w:u w:val="single"/>
                <w:lang w:val="en-US" w:eastAsia="zh-CN"/>
              </w:rPr>
              <w:t xml:space="preserve"> 2</w:t>
            </w:r>
            <w:r>
              <w:rPr>
                <w:rFonts w:hint="eastAsia" w:ascii="宋体" w:hAnsi="宋体"/>
                <w:color w:val="auto"/>
                <w:szCs w:val="21"/>
                <w:highlight w:val="none"/>
                <w:lang w:val="en-US" w:eastAsia="zh-CN"/>
              </w:rPr>
              <w:t xml:space="preserve">分； </w:t>
            </w:r>
          </w:p>
          <w:p>
            <w:pPr>
              <w:numPr>
                <w:ilvl w:val="0"/>
                <w:numId w:val="0"/>
              </w:numPr>
              <w:spacing w:line="440" w:lineRule="exact"/>
              <w:rPr>
                <w:rFonts w:hint="eastAsia" w:ascii="宋体" w:hAnsi="宋体"/>
                <w:color w:val="auto"/>
                <w:szCs w:val="21"/>
                <w:highlight w:val="none"/>
              </w:rPr>
            </w:pPr>
            <w:r>
              <w:rPr>
                <w:rFonts w:hint="eastAsia" w:ascii="宋体" w:hAnsi="宋体"/>
                <w:color w:val="auto"/>
                <w:szCs w:val="21"/>
                <w:highlight w:val="none"/>
                <w:lang w:val="en-US" w:eastAsia="zh-CN"/>
              </w:rPr>
              <w:t>4、内容不完善，可行性不强</w:t>
            </w:r>
            <w:r>
              <w:rPr>
                <w:rFonts w:hint="eastAsia" w:ascii="宋体" w:hAnsi="宋体"/>
                <w:color w:val="auto"/>
                <w:szCs w:val="21"/>
                <w:highlight w:val="none"/>
                <w:lang w:val="zh-CN"/>
              </w:rPr>
              <w:t>，</w:t>
            </w:r>
            <w:r>
              <w:rPr>
                <w:rFonts w:hint="eastAsia" w:ascii="宋体" w:hAnsi="宋体"/>
                <w:color w:val="auto"/>
                <w:szCs w:val="21"/>
                <w:highlight w:val="none"/>
              </w:rPr>
              <w:t>得</w:t>
            </w:r>
            <w:r>
              <w:rPr>
                <w:rFonts w:hint="eastAsia" w:ascii="宋体" w:hAnsi="宋体"/>
                <w:color w:val="auto"/>
                <w:szCs w:val="21"/>
                <w:highlight w:val="none"/>
                <w:u w:val="single"/>
                <w:lang w:val="en-US" w:eastAsia="zh-CN"/>
              </w:rPr>
              <w:t xml:space="preserve"> 1  </w:t>
            </w:r>
            <w:r>
              <w:rPr>
                <w:rFonts w:hint="eastAsia" w:ascii="宋体" w:hAnsi="宋体"/>
                <w:color w:val="auto"/>
                <w:szCs w:val="21"/>
                <w:highlight w:val="none"/>
                <w:lang w:val="zh-CN"/>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vAlign w:val="center"/>
          </w:tcPr>
          <w:p>
            <w:pPr>
              <w:ind w:firstLine="0" w:firstLineChars="0"/>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验收交接方案</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default" w:ascii="宋体" w:hAnsi="宋体" w:eastAsia="宋体" w:cs="Times New Roman"/>
                <w:color w:val="auto"/>
                <w:kern w:val="2"/>
                <w:sz w:val="21"/>
                <w:szCs w:val="24"/>
                <w:highlight w:val="none"/>
                <w:lang w:val="en-US" w:eastAsia="zh-CN" w:bidi="ar-SA"/>
              </w:rPr>
            </w:pPr>
            <w:r>
              <w:rPr>
                <w:rFonts w:hint="eastAsia" w:ascii="宋体" w:hAnsi="宋体"/>
                <w:color w:val="auto"/>
                <w:highlight w:val="none"/>
                <w:lang w:val="en-US" w:eastAsia="zh-CN"/>
              </w:rPr>
              <w:t>6分</w:t>
            </w:r>
          </w:p>
        </w:tc>
        <w:tc>
          <w:tcPr>
            <w:tcW w:w="4736" w:type="dxa"/>
            <w:tcBorders>
              <w:top w:val="single" w:color="auto" w:sz="4" w:space="0"/>
              <w:left w:val="single" w:color="auto" w:sz="4" w:space="0"/>
              <w:right w:val="single" w:color="auto" w:sz="4" w:space="0"/>
            </w:tcBorders>
            <w:vAlign w:val="center"/>
          </w:tcPr>
          <w:p>
            <w:pPr>
              <w:spacing w:line="440" w:lineRule="exact"/>
              <w:ind w:firstLine="420" w:firstLineChars="200"/>
              <w:jc w:val="left"/>
              <w:rPr>
                <w:rFonts w:hint="eastAsia" w:ascii="宋体" w:hAnsi="宋体"/>
                <w:color w:val="auto"/>
                <w:szCs w:val="21"/>
                <w:highlight w:val="none"/>
                <w:lang w:eastAsia="zh-CN"/>
              </w:rPr>
            </w:pPr>
            <w:r>
              <w:rPr>
                <w:rFonts w:hint="eastAsia" w:ascii="宋体" w:hAnsi="宋体"/>
                <w:color w:val="auto"/>
                <w:szCs w:val="21"/>
                <w:highlight w:val="none"/>
                <w:lang w:val="en-US" w:eastAsia="zh-CN"/>
              </w:rPr>
              <w:t>针对项目特点制订项目验收交接方案，全力配合采购人进行项目验收，顺利完成项目交接。包括但不限于人员安排、资料提供、技术支持、配合内容等，以及需要</w:t>
            </w:r>
            <w:r>
              <w:rPr>
                <w:rFonts w:hint="eastAsia" w:ascii="宋体" w:hAnsi="宋体"/>
                <w:color w:val="auto"/>
                <w:szCs w:val="21"/>
                <w:highlight w:val="none"/>
              </w:rPr>
              <w:t>交付</w:t>
            </w:r>
            <w:r>
              <w:rPr>
                <w:rFonts w:hint="eastAsia" w:ascii="宋体" w:hAnsi="宋体"/>
                <w:color w:val="auto"/>
                <w:szCs w:val="21"/>
                <w:highlight w:val="none"/>
                <w:lang w:val="en-US" w:eastAsia="zh-CN"/>
              </w:rPr>
              <w:t>采购人的</w:t>
            </w:r>
            <w:r>
              <w:rPr>
                <w:rFonts w:hint="eastAsia" w:ascii="宋体" w:hAnsi="宋体"/>
                <w:color w:val="auto"/>
                <w:szCs w:val="21"/>
                <w:highlight w:val="none"/>
              </w:rPr>
              <w:t>相关</w:t>
            </w:r>
            <w:r>
              <w:rPr>
                <w:rFonts w:hint="eastAsia" w:ascii="宋体" w:hAnsi="宋体"/>
                <w:color w:val="auto"/>
                <w:szCs w:val="21"/>
                <w:highlight w:val="none"/>
                <w:lang w:val="en-US" w:eastAsia="zh-CN"/>
              </w:rPr>
              <w:t>材料</w:t>
            </w:r>
            <w:r>
              <w:rPr>
                <w:rFonts w:hint="eastAsia" w:ascii="宋体" w:hAnsi="宋体"/>
                <w:color w:val="auto"/>
                <w:szCs w:val="21"/>
                <w:highlight w:val="none"/>
              </w:rPr>
              <w:t>（</w:t>
            </w:r>
            <w:r>
              <w:rPr>
                <w:rFonts w:hint="eastAsia" w:ascii="宋体" w:hAnsi="宋体"/>
                <w:color w:val="auto"/>
                <w:szCs w:val="21"/>
                <w:highlight w:val="none"/>
                <w:lang w:val="en-US" w:eastAsia="zh-CN"/>
              </w:rPr>
              <w:t>技术标准、</w:t>
            </w:r>
            <w:r>
              <w:rPr>
                <w:rFonts w:hint="eastAsia" w:ascii="宋体" w:hAnsi="宋体"/>
                <w:color w:val="auto"/>
                <w:szCs w:val="21"/>
                <w:highlight w:val="none"/>
              </w:rPr>
              <w:t>技术</w:t>
            </w:r>
            <w:r>
              <w:rPr>
                <w:rFonts w:hint="eastAsia" w:ascii="宋体" w:hAnsi="宋体"/>
                <w:color w:val="auto"/>
                <w:szCs w:val="21"/>
                <w:highlight w:val="none"/>
                <w:lang w:val="en-US" w:eastAsia="zh-CN"/>
              </w:rPr>
              <w:t>资</w:t>
            </w:r>
            <w:r>
              <w:rPr>
                <w:rFonts w:hint="eastAsia" w:ascii="宋体" w:hAnsi="宋体"/>
                <w:color w:val="auto"/>
                <w:szCs w:val="21"/>
                <w:highlight w:val="none"/>
              </w:rPr>
              <w:t>料、检测报告</w:t>
            </w:r>
            <w:r>
              <w:rPr>
                <w:rFonts w:hint="eastAsia" w:ascii="宋体" w:hAnsi="宋体"/>
                <w:color w:val="auto"/>
                <w:szCs w:val="21"/>
                <w:highlight w:val="none"/>
                <w:lang w:val="en-US" w:eastAsia="zh-CN"/>
              </w:rPr>
              <w:t>等资料</w:t>
            </w:r>
            <w:r>
              <w:rPr>
                <w:rFonts w:hint="eastAsia" w:ascii="宋体" w:hAnsi="宋体"/>
                <w:color w:val="auto"/>
                <w:szCs w:val="21"/>
                <w:highlight w:val="none"/>
              </w:rPr>
              <w:t>，以及备品备件、专用工具等</w:t>
            </w:r>
            <w:r>
              <w:rPr>
                <w:rFonts w:hint="eastAsia" w:ascii="宋体" w:hAnsi="宋体"/>
                <w:color w:val="auto"/>
                <w:szCs w:val="21"/>
                <w:highlight w:val="none"/>
                <w:lang w:val="en-US" w:eastAsia="zh-CN"/>
              </w:rPr>
              <w:t>物品</w:t>
            </w:r>
            <w:r>
              <w:rPr>
                <w:rFonts w:hint="eastAsia" w:ascii="宋体" w:hAnsi="宋体"/>
                <w:color w:val="auto"/>
                <w:szCs w:val="21"/>
                <w:highlight w:val="none"/>
              </w:rPr>
              <w:t>）</w:t>
            </w:r>
            <w:r>
              <w:rPr>
                <w:rFonts w:hint="eastAsia" w:ascii="宋体" w:hAnsi="宋体"/>
                <w:color w:val="auto"/>
                <w:szCs w:val="21"/>
                <w:highlight w:val="none"/>
                <w:lang w:eastAsia="zh-CN"/>
              </w:rPr>
              <w:t>。</w:t>
            </w:r>
          </w:p>
          <w:p>
            <w:pPr>
              <w:numPr>
                <w:ilvl w:val="0"/>
                <w:numId w:val="0"/>
              </w:numPr>
              <w:spacing w:line="440" w:lineRule="exact"/>
              <w:ind w:firstLine="420" w:firstLineChars="200"/>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评审标准：</w:t>
            </w:r>
          </w:p>
          <w:p>
            <w:pPr>
              <w:numPr>
                <w:ilvl w:val="0"/>
                <w:numId w:val="0"/>
              </w:numPr>
              <w:spacing w:line="440" w:lineRule="exact"/>
              <w:rPr>
                <w:rFonts w:hint="eastAsia" w:ascii="宋体" w:hAnsi="宋体"/>
                <w:color w:val="auto"/>
                <w:szCs w:val="21"/>
                <w:highlight w:val="none"/>
                <w:lang w:val="zh-CN" w:eastAsia="zh-CN"/>
              </w:rPr>
            </w:pPr>
            <w:r>
              <w:rPr>
                <w:rFonts w:hint="eastAsia" w:ascii="宋体" w:hAnsi="宋体"/>
                <w:color w:val="auto"/>
                <w:szCs w:val="21"/>
                <w:highlight w:val="none"/>
                <w:lang w:val="en-US" w:eastAsia="zh-CN"/>
              </w:rPr>
              <w:t>1、方案科学，完善合理，</w:t>
            </w:r>
            <w:r>
              <w:rPr>
                <w:rFonts w:hint="eastAsia" w:ascii="宋体" w:hAnsi="宋体"/>
                <w:color w:val="auto"/>
                <w:szCs w:val="21"/>
                <w:highlight w:val="none"/>
                <w:lang w:val="zh-CN" w:eastAsia="zh-CN"/>
              </w:rPr>
              <w:t>可行</w:t>
            </w:r>
            <w:r>
              <w:rPr>
                <w:rFonts w:hint="eastAsia" w:ascii="宋体" w:hAnsi="宋体"/>
                <w:color w:val="auto"/>
                <w:szCs w:val="21"/>
                <w:highlight w:val="none"/>
                <w:lang w:val="en-US" w:eastAsia="zh-CN"/>
              </w:rPr>
              <w:t>性强</w:t>
            </w:r>
            <w:r>
              <w:rPr>
                <w:rFonts w:hint="eastAsia" w:ascii="宋体" w:hAnsi="宋体"/>
                <w:color w:val="auto"/>
                <w:szCs w:val="21"/>
                <w:highlight w:val="none"/>
                <w:lang w:val="zh-CN" w:eastAsia="zh-CN"/>
              </w:rPr>
              <w:t>，</w:t>
            </w:r>
            <w:r>
              <w:rPr>
                <w:rFonts w:hint="eastAsia" w:ascii="宋体" w:hAnsi="宋体"/>
                <w:color w:val="auto"/>
                <w:szCs w:val="21"/>
                <w:highlight w:val="none"/>
                <w:lang w:val="en-US" w:eastAsia="zh-CN"/>
              </w:rPr>
              <w:t>得</w:t>
            </w:r>
            <w:r>
              <w:rPr>
                <w:rFonts w:hint="eastAsia" w:ascii="宋体" w:hAnsi="宋体"/>
                <w:color w:val="auto"/>
                <w:szCs w:val="21"/>
                <w:highlight w:val="none"/>
                <w:u w:val="single"/>
                <w:lang w:val="en-US" w:eastAsia="zh-CN"/>
              </w:rPr>
              <w:t xml:space="preserve">  6 </w:t>
            </w:r>
            <w:r>
              <w:rPr>
                <w:rFonts w:hint="eastAsia" w:ascii="宋体" w:hAnsi="宋体"/>
                <w:color w:val="auto"/>
                <w:szCs w:val="21"/>
                <w:highlight w:val="none"/>
                <w:lang w:val="en-US" w:eastAsia="zh-CN"/>
              </w:rPr>
              <w:t>分</w:t>
            </w:r>
            <w:r>
              <w:rPr>
                <w:rFonts w:hint="eastAsia" w:ascii="宋体" w:hAnsi="宋体"/>
                <w:color w:val="auto"/>
                <w:szCs w:val="21"/>
                <w:highlight w:val="none"/>
                <w:lang w:val="zh-CN" w:eastAsia="zh-CN"/>
              </w:rPr>
              <w:t>；</w:t>
            </w:r>
          </w:p>
          <w:p>
            <w:pPr>
              <w:numPr>
                <w:ilvl w:val="0"/>
                <w:numId w:val="0"/>
              </w:numPr>
              <w:spacing w:line="44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2、方案完善，基本可行，能满足项目需求，得</w:t>
            </w:r>
            <w:r>
              <w:rPr>
                <w:rFonts w:hint="eastAsia" w:ascii="宋体" w:hAnsi="宋体"/>
                <w:color w:val="auto"/>
                <w:szCs w:val="21"/>
                <w:highlight w:val="none"/>
                <w:u w:val="single"/>
                <w:lang w:val="en-US" w:eastAsia="zh-CN"/>
              </w:rPr>
              <w:t xml:space="preserve"> 4 </w:t>
            </w:r>
            <w:r>
              <w:rPr>
                <w:rFonts w:hint="eastAsia" w:ascii="宋体" w:hAnsi="宋体"/>
                <w:color w:val="auto"/>
                <w:szCs w:val="21"/>
                <w:highlight w:val="none"/>
                <w:lang w:val="zh-CN" w:eastAsia="zh-CN"/>
              </w:rPr>
              <w:t>分</w:t>
            </w:r>
            <w:r>
              <w:rPr>
                <w:rFonts w:hint="eastAsia" w:ascii="宋体" w:hAnsi="宋体"/>
                <w:color w:val="auto"/>
                <w:szCs w:val="21"/>
                <w:highlight w:val="none"/>
                <w:lang w:val="en-US" w:eastAsia="zh-CN"/>
              </w:rPr>
              <w:t xml:space="preserve">。 </w:t>
            </w:r>
          </w:p>
          <w:p>
            <w:pPr>
              <w:numPr>
                <w:ilvl w:val="0"/>
                <w:numId w:val="0"/>
              </w:numPr>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3、基本能满足项目需求，得</w:t>
            </w:r>
            <w:r>
              <w:rPr>
                <w:rFonts w:hint="eastAsia" w:ascii="宋体" w:hAnsi="宋体"/>
                <w:color w:val="auto"/>
                <w:szCs w:val="21"/>
                <w:highlight w:val="none"/>
                <w:u w:val="single"/>
                <w:lang w:val="en-US" w:eastAsia="zh-CN"/>
              </w:rPr>
              <w:t xml:space="preserve"> 2</w:t>
            </w:r>
            <w:r>
              <w:rPr>
                <w:rFonts w:hint="eastAsia" w:ascii="宋体" w:hAnsi="宋体"/>
                <w:color w:val="auto"/>
                <w:szCs w:val="21"/>
                <w:highlight w:val="none"/>
                <w:lang w:val="en-US" w:eastAsia="zh-CN"/>
              </w:rPr>
              <w:t xml:space="preserve">分； </w:t>
            </w:r>
          </w:p>
          <w:p>
            <w:pPr>
              <w:spacing w:line="440" w:lineRule="exact"/>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4、内容不完善，可行性不强</w:t>
            </w:r>
            <w:r>
              <w:rPr>
                <w:rFonts w:hint="eastAsia" w:ascii="宋体" w:hAnsi="宋体"/>
                <w:color w:val="auto"/>
                <w:szCs w:val="21"/>
                <w:highlight w:val="none"/>
                <w:lang w:val="zh-CN"/>
              </w:rPr>
              <w:t>，</w:t>
            </w:r>
            <w:r>
              <w:rPr>
                <w:rFonts w:hint="eastAsia" w:ascii="宋体" w:hAnsi="宋体"/>
                <w:color w:val="auto"/>
                <w:szCs w:val="21"/>
                <w:highlight w:val="none"/>
              </w:rPr>
              <w:t>得</w:t>
            </w:r>
            <w:r>
              <w:rPr>
                <w:rFonts w:hint="eastAsia" w:ascii="宋体" w:hAnsi="宋体"/>
                <w:color w:val="auto"/>
                <w:szCs w:val="21"/>
                <w:highlight w:val="none"/>
                <w:u w:val="single"/>
                <w:lang w:val="en-US" w:eastAsia="zh-CN"/>
              </w:rPr>
              <w:t xml:space="preserve"> 1  </w:t>
            </w:r>
            <w:r>
              <w:rPr>
                <w:rFonts w:hint="eastAsia" w:ascii="宋体" w:hAnsi="宋体"/>
                <w:color w:val="auto"/>
                <w:szCs w:val="21"/>
                <w:highlight w:val="none"/>
                <w:lang w:val="zh-CN"/>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pPr>
              <w:spacing w:line="440" w:lineRule="exact"/>
              <w:ind w:right="-134" w:rightChars="-64"/>
              <w:jc w:val="center"/>
              <w:rPr>
                <w:rFonts w:ascii="宋体" w:hAnsi="宋体"/>
                <w:b/>
                <w:szCs w:val="21"/>
                <w:highlight w:val="none"/>
              </w:rPr>
            </w:pPr>
            <w:r>
              <w:rPr>
                <w:rFonts w:hint="eastAsia" w:ascii="宋体" w:hAnsi="宋体"/>
                <w:b/>
                <w:sz w:val="20"/>
                <w:szCs w:val="20"/>
                <w:highlight w:val="none"/>
              </w:rPr>
              <w:t>条款号</w:t>
            </w: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szCs w:val="21"/>
                <w:highlight w:val="none"/>
              </w:rPr>
            </w:pPr>
            <w:r>
              <w:rPr>
                <w:rFonts w:hint="eastAsia" w:ascii="宋体" w:hAnsi="宋体"/>
                <w:b/>
                <w:szCs w:val="21"/>
                <w:highlight w:val="none"/>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szCs w:val="21"/>
                <w:highlight w:val="none"/>
              </w:rPr>
            </w:pPr>
            <w:r>
              <w:rPr>
                <w:rFonts w:hint="eastAsia" w:ascii="宋体" w:hAnsi="宋体"/>
                <w:b/>
                <w:szCs w:val="21"/>
                <w:highlight w:val="none"/>
              </w:rPr>
              <w:t>编列内容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szCs w:val="21"/>
                <w:highlight w:val="none"/>
              </w:rPr>
            </w:pPr>
            <w:r>
              <w:rPr>
                <w:rFonts w:hint="eastAsia" w:ascii="宋体" w:hAnsi="宋体"/>
                <w:szCs w:val="21"/>
                <w:highlight w:val="none"/>
              </w:rPr>
              <w:t>3.4.2</w:t>
            </w: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szCs w:val="21"/>
                <w:highlight w:val="none"/>
              </w:rPr>
            </w:pPr>
            <w:r>
              <w:rPr>
                <w:rFonts w:hint="eastAsia" w:ascii="宋体" w:hAnsi="宋体"/>
                <w:szCs w:val="21"/>
                <w:highlight w:val="none"/>
              </w:rPr>
              <w:t>评标报告</w:t>
            </w:r>
          </w:p>
          <w:p>
            <w:pPr>
              <w:spacing w:line="440" w:lineRule="exact"/>
              <w:jc w:val="center"/>
              <w:rPr>
                <w:rFonts w:ascii="宋体" w:hAnsi="宋体"/>
                <w:szCs w:val="21"/>
                <w:highlight w:val="none"/>
              </w:rPr>
            </w:pPr>
            <w:r>
              <w:rPr>
                <w:rFonts w:hint="eastAsia" w:ascii="宋体" w:hAnsi="宋体"/>
                <w:szCs w:val="21"/>
                <w:highlight w:val="none"/>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szCs w:val="21"/>
                <w:highlight w:val="none"/>
              </w:rPr>
            </w:pPr>
            <w:r>
              <w:rPr>
                <w:rFonts w:hint="eastAsia" w:ascii="宋体" w:hAnsi="宋体"/>
                <w:szCs w:val="21"/>
                <w:highlight w:val="none"/>
              </w:rPr>
              <w:t>评标委员会应参照评标报告样本编制评标报告。</w:t>
            </w:r>
          </w:p>
          <w:p>
            <w:pPr>
              <w:spacing w:line="440" w:lineRule="exact"/>
              <w:jc w:val="center"/>
              <w:rPr>
                <w:rFonts w:ascii="宋体" w:hAnsi="宋体"/>
                <w:szCs w:val="21"/>
                <w:highlight w:val="none"/>
              </w:rPr>
            </w:pPr>
            <w:r>
              <w:rPr>
                <w:rFonts w:hint="eastAsia" w:ascii="宋体" w:hAnsi="宋体"/>
                <w:szCs w:val="21"/>
                <w:highlight w:val="none"/>
              </w:rPr>
              <w:t>内容详见本章附件B：评标报告（样本）</w:t>
            </w:r>
          </w:p>
        </w:tc>
      </w:tr>
    </w:tbl>
    <w:p>
      <w:pPr>
        <w:spacing w:line="400" w:lineRule="exact"/>
        <w:rPr>
          <w:rFonts w:ascii="宋体" w:hAnsi="宋体"/>
          <w:highlight w:val="none"/>
        </w:rPr>
      </w:pPr>
    </w:p>
    <w:p>
      <w:pPr>
        <w:spacing w:line="400" w:lineRule="exact"/>
        <w:rPr>
          <w:rFonts w:ascii="宋体" w:hAnsi="宋体"/>
          <w:highlight w:val="none"/>
        </w:rPr>
      </w:pPr>
    </w:p>
    <w:p>
      <w:pPr>
        <w:pStyle w:val="3"/>
        <w:rPr>
          <w:rFonts w:ascii="宋体" w:hAnsi="宋体" w:eastAsia="宋体"/>
          <w:highlight w:val="none"/>
        </w:rPr>
      </w:pPr>
      <w:bookmarkStart w:id="536" w:name="_Toc346523477"/>
      <w:bookmarkStart w:id="537" w:name="_Toc346523414"/>
      <w:bookmarkStart w:id="538" w:name="_Toc246996243"/>
      <w:bookmarkStart w:id="539" w:name="_Toc144974567"/>
      <w:bookmarkStart w:id="540" w:name="_Toc152045600"/>
      <w:bookmarkStart w:id="541" w:name="_Toc494526412"/>
      <w:bookmarkStart w:id="542" w:name="_Toc338840493"/>
      <w:bookmarkStart w:id="543" w:name="_Toc338840239"/>
      <w:bookmarkStart w:id="544" w:name="_Toc152042377"/>
      <w:bookmarkStart w:id="545" w:name="_Toc246996986"/>
      <w:bookmarkStart w:id="546" w:name="_Toc338840454"/>
      <w:bookmarkStart w:id="547" w:name="_Toc494093440"/>
      <w:bookmarkStart w:id="548" w:name="_Toc179632618"/>
      <w:bookmarkStart w:id="549" w:name="_Toc247085758"/>
      <w:r>
        <w:rPr>
          <w:rFonts w:hint="eastAsia" w:ascii="宋体" w:hAnsi="宋体" w:eastAsia="宋体"/>
          <w:highlight w:val="none"/>
        </w:rPr>
        <w:br w:type="page"/>
      </w:r>
      <w:bookmarkStart w:id="550" w:name="_Toc5999"/>
      <w:bookmarkStart w:id="551" w:name="_Toc25996"/>
      <w:bookmarkStart w:id="552" w:name="_Toc9899"/>
      <w:bookmarkStart w:id="553" w:name="_Toc30330"/>
      <w:r>
        <w:rPr>
          <w:rFonts w:hint="eastAsia" w:ascii="宋体" w:hAnsi="宋体" w:eastAsia="宋体"/>
          <w:highlight w:val="none"/>
        </w:rPr>
        <w:t>1. 评标方法</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pPr>
        <w:spacing w:line="400" w:lineRule="exact"/>
        <w:ind w:firstLine="420" w:firstLineChars="200"/>
        <w:rPr>
          <w:rFonts w:ascii="宋体" w:hAnsi="宋体"/>
          <w:highlight w:val="none"/>
        </w:rPr>
      </w:pPr>
      <w:r>
        <w:rPr>
          <w:rFonts w:hint="eastAsia" w:ascii="宋体" w:hAnsi="宋体"/>
          <w:highlight w:val="none"/>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pPr>
        <w:pStyle w:val="3"/>
        <w:rPr>
          <w:rFonts w:ascii="宋体" w:hAnsi="宋体" w:eastAsia="宋体"/>
          <w:highlight w:val="none"/>
        </w:rPr>
      </w:pPr>
      <w:bookmarkStart w:id="554" w:name="_Toc26043"/>
      <w:bookmarkStart w:id="555" w:name="_Toc5539"/>
      <w:bookmarkStart w:id="556" w:name="_Toc10387"/>
      <w:bookmarkStart w:id="557" w:name="_Toc346523415"/>
      <w:bookmarkStart w:id="558" w:name="_Toc494526413"/>
      <w:bookmarkStart w:id="559" w:name="_Toc144974568"/>
      <w:bookmarkStart w:id="560" w:name="_Toc152042378"/>
      <w:bookmarkStart w:id="561" w:name="_Toc346523478"/>
      <w:bookmarkStart w:id="562" w:name="_Toc338840240"/>
      <w:bookmarkStart w:id="563" w:name="_Toc25915"/>
      <w:bookmarkStart w:id="564" w:name="_Toc152045601"/>
      <w:bookmarkStart w:id="565" w:name="_Toc494093441"/>
      <w:bookmarkStart w:id="566" w:name="_Toc247085759"/>
      <w:bookmarkStart w:id="567" w:name="_Toc338840455"/>
      <w:bookmarkStart w:id="568" w:name="_Toc246996987"/>
      <w:bookmarkStart w:id="569" w:name="_Toc179632619"/>
      <w:bookmarkStart w:id="570" w:name="_Toc246996244"/>
      <w:bookmarkStart w:id="571" w:name="_Toc338840494"/>
      <w:r>
        <w:rPr>
          <w:rFonts w:hint="eastAsia" w:ascii="宋体" w:hAnsi="宋体" w:eastAsia="宋体"/>
          <w:highlight w:val="none"/>
        </w:rPr>
        <w:t>2. 评审标准</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pPr>
        <w:pStyle w:val="4"/>
        <w:rPr>
          <w:rFonts w:ascii="宋体" w:hAnsi="宋体"/>
          <w:highlight w:val="none"/>
        </w:rPr>
      </w:pPr>
      <w:bookmarkStart w:id="572" w:name="_Toc247085760"/>
      <w:bookmarkStart w:id="573" w:name="_Toc152045602"/>
      <w:bookmarkStart w:id="574" w:name="_Toc152042379"/>
      <w:bookmarkStart w:id="575" w:name="_Toc338840241"/>
      <w:bookmarkStart w:id="576" w:name="_Toc144974569"/>
      <w:bookmarkStart w:id="577" w:name="_Toc246996988"/>
      <w:bookmarkStart w:id="578" w:name="_Toc179632620"/>
      <w:bookmarkStart w:id="579" w:name="_Toc246996245"/>
      <w:r>
        <w:rPr>
          <w:rFonts w:hint="eastAsia" w:ascii="宋体" w:hAnsi="宋体"/>
          <w:highlight w:val="none"/>
        </w:rPr>
        <w:t>2.1 初步评审标准</w:t>
      </w:r>
      <w:bookmarkEnd w:id="572"/>
      <w:bookmarkEnd w:id="573"/>
      <w:bookmarkEnd w:id="574"/>
      <w:bookmarkEnd w:id="575"/>
      <w:bookmarkEnd w:id="576"/>
      <w:bookmarkEnd w:id="577"/>
      <w:bookmarkEnd w:id="578"/>
      <w:bookmarkEnd w:id="579"/>
    </w:p>
    <w:p>
      <w:pPr>
        <w:spacing w:line="400" w:lineRule="exact"/>
        <w:ind w:firstLine="420" w:firstLineChars="200"/>
        <w:rPr>
          <w:rFonts w:ascii="宋体" w:hAnsi="宋体"/>
          <w:highlight w:val="none"/>
        </w:rPr>
      </w:pPr>
      <w:r>
        <w:rPr>
          <w:rFonts w:hint="eastAsia" w:ascii="宋体" w:hAnsi="宋体"/>
          <w:highlight w:val="none"/>
        </w:rPr>
        <w:t>2.1.1资格审查：见评标办法前附表。</w:t>
      </w:r>
    </w:p>
    <w:p>
      <w:pPr>
        <w:spacing w:line="400" w:lineRule="exact"/>
        <w:ind w:firstLine="420" w:firstLineChars="200"/>
        <w:rPr>
          <w:rFonts w:ascii="宋体" w:hAnsi="宋体"/>
          <w:highlight w:val="none"/>
        </w:rPr>
      </w:pPr>
      <w:r>
        <w:rPr>
          <w:rFonts w:hint="eastAsia" w:ascii="宋体" w:hAnsi="宋体"/>
          <w:highlight w:val="none"/>
        </w:rPr>
        <w:t>2.1.2符合性审查：见评标办法前附表。</w:t>
      </w:r>
    </w:p>
    <w:p>
      <w:pPr>
        <w:pStyle w:val="4"/>
        <w:rPr>
          <w:rFonts w:ascii="宋体" w:hAnsi="宋体"/>
          <w:highlight w:val="none"/>
        </w:rPr>
      </w:pPr>
      <w:r>
        <w:rPr>
          <w:rFonts w:hint="eastAsia" w:ascii="宋体" w:hAnsi="宋体"/>
          <w:highlight w:val="none"/>
        </w:rPr>
        <w:t>2.2 详细评审标准（分值构成和评分标准）</w:t>
      </w:r>
    </w:p>
    <w:p>
      <w:pPr>
        <w:spacing w:line="400" w:lineRule="exact"/>
        <w:ind w:firstLine="420" w:firstLineChars="200"/>
        <w:rPr>
          <w:rFonts w:ascii="宋体" w:hAnsi="宋体"/>
          <w:highlight w:val="none"/>
        </w:rPr>
      </w:pPr>
      <w:r>
        <w:rPr>
          <w:rFonts w:hint="eastAsia" w:ascii="宋体" w:hAnsi="宋体"/>
          <w:highlight w:val="none"/>
        </w:rPr>
        <w:t>2.2.1分值构成：见评标办法前附表。</w:t>
      </w:r>
    </w:p>
    <w:p>
      <w:pPr>
        <w:spacing w:line="400" w:lineRule="exact"/>
        <w:ind w:firstLine="420" w:firstLineChars="200"/>
        <w:rPr>
          <w:rFonts w:ascii="宋体" w:hAnsi="宋体"/>
          <w:highlight w:val="none"/>
        </w:rPr>
      </w:pPr>
      <w:r>
        <w:rPr>
          <w:rFonts w:hint="eastAsia" w:ascii="宋体" w:hAnsi="宋体"/>
          <w:highlight w:val="none"/>
        </w:rPr>
        <w:t>2.2.2</w:t>
      </w:r>
      <w:r>
        <w:rPr>
          <w:rFonts w:hint="eastAsia" w:ascii="宋体" w:hAnsi="宋体" w:cs="宋体"/>
          <w:szCs w:val="21"/>
          <w:highlight w:val="none"/>
        </w:rPr>
        <w:t>小型微型企业、监狱企业、残疾人福利性单位</w:t>
      </w:r>
      <w:r>
        <w:rPr>
          <w:rFonts w:hint="eastAsia" w:ascii="宋体" w:hAnsi="宋体"/>
          <w:highlight w:val="none"/>
        </w:rPr>
        <w:t>：见评标办法前附表。</w:t>
      </w:r>
    </w:p>
    <w:p>
      <w:pPr>
        <w:spacing w:line="400" w:lineRule="exact"/>
        <w:ind w:firstLine="420" w:firstLineChars="200"/>
        <w:rPr>
          <w:rFonts w:ascii="宋体" w:hAnsi="宋体"/>
          <w:highlight w:val="none"/>
        </w:rPr>
      </w:pPr>
      <w:r>
        <w:rPr>
          <w:rFonts w:hint="eastAsia" w:ascii="宋体" w:hAnsi="宋体"/>
          <w:highlight w:val="none"/>
        </w:rPr>
        <w:t>2.2.3投标报价：见评标办法前附表。</w:t>
      </w:r>
    </w:p>
    <w:p>
      <w:pPr>
        <w:spacing w:line="400" w:lineRule="exact"/>
        <w:ind w:firstLine="420" w:firstLineChars="200"/>
        <w:rPr>
          <w:rFonts w:ascii="宋体" w:hAnsi="宋体"/>
          <w:highlight w:val="none"/>
        </w:rPr>
      </w:pPr>
      <w:r>
        <w:rPr>
          <w:rFonts w:hint="eastAsia" w:ascii="宋体" w:hAnsi="宋体"/>
          <w:highlight w:val="none"/>
        </w:rPr>
        <w:t>2.2.4商务评审内容：见评标办法前附表。</w:t>
      </w:r>
    </w:p>
    <w:p>
      <w:pPr>
        <w:spacing w:line="400" w:lineRule="exact"/>
        <w:ind w:firstLine="420" w:firstLineChars="200"/>
        <w:rPr>
          <w:rFonts w:ascii="宋体" w:hAnsi="宋体"/>
          <w:highlight w:val="none"/>
        </w:rPr>
      </w:pPr>
      <w:r>
        <w:rPr>
          <w:rFonts w:hint="eastAsia" w:ascii="宋体" w:hAnsi="宋体"/>
          <w:highlight w:val="none"/>
        </w:rPr>
        <w:t>2.2.5技术评审内容：见评标办法前附表。</w:t>
      </w:r>
    </w:p>
    <w:p>
      <w:pPr>
        <w:spacing w:line="400" w:lineRule="exact"/>
        <w:ind w:firstLine="420" w:firstLineChars="200"/>
        <w:rPr>
          <w:rFonts w:ascii="宋体" w:hAnsi="宋体"/>
          <w:highlight w:val="none"/>
        </w:rPr>
      </w:pPr>
      <w:r>
        <w:rPr>
          <w:rFonts w:hint="eastAsia" w:ascii="宋体" w:hAnsi="宋体"/>
          <w:highlight w:val="none"/>
        </w:rPr>
        <w:t>2.2.6其他评审内容：见评标办法前附表。</w:t>
      </w:r>
    </w:p>
    <w:p>
      <w:pPr>
        <w:pStyle w:val="3"/>
        <w:rPr>
          <w:rFonts w:ascii="宋体" w:hAnsi="宋体" w:eastAsia="宋体"/>
          <w:highlight w:val="none"/>
        </w:rPr>
      </w:pPr>
      <w:bookmarkStart w:id="580" w:name="_Toc144974571"/>
      <w:bookmarkStart w:id="581" w:name="_Toc247085762"/>
      <w:bookmarkStart w:id="582" w:name="_Toc246996247"/>
      <w:bookmarkStart w:id="583" w:name="_Toc246996990"/>
      <w:bookmarkStart w:id="584" w:name="_Toc338840456"/>
      <w:bookmarkStart w:id="585" w:name="_Toc494093442"/>
      <w:bookmarkStart w:id="586" w:name="_Toc346523479"/>
      <w:bookmarkStart w:id="587" w:name="_Toc4794"/>
      <w:bookmarkStart w:id="588" w:name="_Toc152045604"/>
      <w:bookmarkStart w:id="589" w:name="_Toc346523416"/>
      <w:bookmarkStart w:id="590" w:name="_Toc30064"/>
      <w:bookmarkStart w:id="591" w:name="_Toc2541"/>
      <w:bookmarkStart w:id="592" w:name="_Toc179632622"/>
      <w:bookmarkStart w:id="593" w:name="_Toc338840495"/>
      <w:bookmarkStart w:id="594" w:name="_Toc338840243"/>
      <w:bookmarkStart w:id="595" w:name="_Toc494526414"/>
      <w:bookmarkStart w:id="596" w:name="_Toc22953"/>
      <w:bookmarkStart w:id="597" w:name="_Toc152042381"/>
      <w:r>
        <w:rPr>
          <w:rFonts w:hint="eastAsia" w:ascii="宋体" w:hAnsi="宋体" w:eastAsia="宋体"/>
          <w:highlight w:val="none"/>
        </w:rPr>
        <w:t>3. 评标程序</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pPr>
        <w:pStyle w:val="4"/>
        <w:rPr>
          <w:rFonts w:ascii="宋体" w:hAnsi="宋体"/>
          <w:highlight w:val="none"/>
        </w:rPr>
      </w:pPr>
      <w:bookmarkStart w:id="598" w:name="_Toc152042382"/>
      <w:bookmarkStart w:id="599" w:name="_Toc338840244"/>
      <w:bookmarkStart w:id="600" w:name="_Toc144974572"/>
      <w:bookmarkStart w:id="601" w:name="_Toc152045605"/>
      <w:bookmarkStart w:id="602" w:name="_Toc246996991"/>
      <w:bookmarkStart w:id="603" w:name="_Toc246996248"/>
      <w:bookmarkStart w:id="604" w:name="_Toc247085763"/>
      <w:bookmarkStart w:id="605" w:name="_Toc179632623"/>
      <w:r>
        <w:rPr>
          <w:rFonts w:hint="eastAsia" w:ascii="宋体" w:hAnsi="宋体"/>
          <w:highlight w:val="none"/>
        </w:rPr>
        <w:t>3.1 初步评审</w:t>
      </w:r>
      <w:bookmarkEnd w:id="598"/>
      <w:bookmarkEnd w:id="599"/>
      <w:bookmarkEnd w:id="600"/>
      <w:bookmarkEnd w:id="601"/>
      <w:bookmarkEnd w:id="602"/>
      <w:bookmarkEnd w:id="603"/>
      <w:bookmarkEnd w:id="604"/>
      <w:bookmarkEnd w:id="605"/>
    </w:p>
    <w:p>
      <w:pPr>
        <w:spacing w:line="400" w:lineRule="exact"/>
        <w:ind w:firstLine="420" w:firstLineChars="200"/>
        <w:rPr>
          <w:rFonts w:ascii="宋体" w:hAnsi="宋体"/>
          <w:highlight w:val="none"/>
        </w:rPr>
      </w:pPr>
      <w:r>
        <w:rPr>
          <w:rFonts w:hint="eastAsia" w:ascii="宋体" w:hAnsi="宋体"/>
          <w:highlight w:val="none"/>
        </w:rPr>
        <w:t>3.1.1依据本章第2.1款规定的标准对投标文件进行初步评审。有一项不符合资格审查和符合性审查要求的，为无效投标。</w:t>
      </w:r>
    </w:p>
    <w:p>
      <w:pPr>
        <w:spacing w:line="400" w:lineRule="exact"/>
        <w:ind w:firstLine="420" w:firstLineChars="200"/>
        <w:rPr>
          <w:rFonts w:ascii="宋体" w:hAnsi="宋体"/>
          <w:highlight w:val="none"/>
        </w:rPr>
      </w:pPr>
      <w:r>
        <w:rPr>
          <w:rFonts w:hint="eastAsia" w:ascii="宋体" w:hAnsi="宋体"/>
          <w:highlight w:val="none"/>
        </w:rPr>
        <w:t>3.1.2 供应商符合“无效投标条件”的，评标委员会应当否决其投标；</w:t>
      </w:r>
    </w:p>
    <w:p>
      <w:pPr>
        <w:spacing w:line="400" w:lineRule="exact"/>
        <w:ind w:firstLine="420" w:firstLineChars="200"/>
        <w:rPr>
          <w:rFonts w:ascii="宋体" w:hAnsi="宋体"/>
          <w:highlight w:val="none"/>
        </w:rPr>
      </w:pPr>
      <w:r>
        <w:rPr>
          <w:rFonts w:hint="eastAsia" w:ascii="宋体" w:hAnsi="宋体"/>
          <w:highlight w:val="none"/>
        </w:rPr>
        <w:t>3.1.3投标文件报价出现前后不一致的，按照下列规定修正：</w:t>
      </w:r>
    </w:p>
    <w:p>
      <w:pPr>
        <w:spacing w:line="400" w:lineRule="exact"/>
        <w:ind w:firstLine="420" w:firstLineChars="200"/>
        <w:rPr>
          <w:rFonts w:ascii="宋体" w:hAnsi="宋体"/>
          <w:highlight w:val="none"/>
        </w:rPr>
      </w:pPr>
      <w:r>
        <w:rPr>
          <w:rFonts w:hint="eastAsia" w:ascii="宋体" w:hAnsi="宋体"/>
          <w:highlight w:val="none"/>
        </w:rPr>
        <w:t>　　（1）投标文件中投标函内容与投标文件中相应内容不一致的，以投标函为准；</w:t>
      </w:r>
    </w:p>
    <w:p>
      <w:pPr>
        <w:spacing w:line="400" w:lineRule="exact"/>
        <w:ind w:firstLine="420" w:firstLineChars="200"/>
        <w:rPr>
          <w:rFonts w:ascii="宋体" w:hAnsi="宋体"/>
          <w:highlight w:val="none"/>
        </w:rPr>
      </w:pPr>
      <w:r>
        <w:rPr>
          <w:rFonts w:hint="eastAsia" w:ascii="宋体" w:hAnsi="宋体"/>
          <w:highlight w:val="none"/>
        </w:rPr>
        <w:t>　　（2）大写金额和小写金额不一致的，以大写金额为准；</w:t>
      </w:r>
    </w:p>
    <w:p>
      <w:pPr>
        <w:spacing w:line="400" w:lineRule="exact"/>
        <w:ind w:firstLine="420" w:firstLineChars="200"/>
        <w:rPr>
          <w:rFonts w:ascii="宋体" w:hAnsi="宋体"/>
          <w:highlight w:val="none"/>
        </w:rPr>
      </w:pPr>
      <w:r>
        <w:rPr>
          <w:rFonts w:hint="eastAsia" w:ascii="宋体" w:hAnsi="宋体"/>
          <w:highlight w:val="none"/>
        </w:rPr>
        <w:t>　　（3）单价金额小数点或者百分比有明显错位的，以投标函的总价为准，并修改单价；</w:t>
      </w:r>
    </w:p>
    <w:p>
      <w:pPr>
        <w:spacing w:line="400" w:lineRule="exact"/>
        <w:ind w:firstLine="420" w:firstLineChars="200"/>
        <w:rPr>
          <w:rFonts w:ascii="宋体" w:hAnsi="宋体"/>
          <w:highlight w:val="none"/>
        </w:rPr>
      </w:pPr>
      <w:r>
        <w:rPr>
          <w:rFonts w:hint="eastAsia" w:ascii="宋体" w:hAnsi="宋体"/>
          <w:highlight w:val="none"/>
        </w:rPr>
        <w:t>　　（4）总价金额与按单价汇总金额不一致的，以单价金额计算结果为准。</w:t>
      </w:r>
    </w:p>
    <w:p>
      <w:pPr>
        <w:spacing w:line="400" w:lineRule="exact"/>
        <w:ind w:firstLine="420" w:firstLineChars="200"/>
        <w:rPr>
          <w:rFonts w:ascii="宋体" w:hAnsi="宋体"/>
          <w:highlight w:val="none"/>
        </w:rPr>
      </w:pPr>
      <w:r>
        <w:rPr>
          <w:rFonts w:hint="eastAsia" w:ascii="宋体" w:hAnsi="宋体"/>
          <w:highlight w:val="none"/>
        </w:rPr>
        <w:t>同时出现两种以上不一致的，按照前款规定的顺序修正。修正后的报价经供应商确认后产生约束力，供应商不确认的，其投标无效。</w:t>
      </w:r>
    </w:p>
    <w:p>
      <w:pPr>
        <w:pStyle w:val="4"/>
        <w:rPr>
          <w:rFonts w:ascii="宋体" w:hAnsi="宋体"/>
          <w:highlight w:val="none"/>
        </w:rPr>
      </w:pPr>
      <w:bookmarkStart w:id="606" w:name="_Toc152042384"/>
      <w:bookmarkStart w:id="607" w:name="_Toc152045606"/>
      <w:bookmarkStart w:id="608" w:name="_Toc246996249"/>
      <w:bookmarkStart w:id="609" w:name="_Toc338840245"/>
      <w:bookmarkStart w:id="610" w:name="_Toc247085764"/>
      <w:bookmarkStart w:id="611" w:name="_Toc179632624"/>
      <w:bookmarkStart w:id="612" w:name="_Toc246996992"/>
      <w:bookmarkStart w:id="613" w:name="_Toc144974573"/>
      <w:r>
        <w:rPr>
          <w:rFonts w:hint="eastAsia" w:ascii="宋体" w:hAnsi="宋体"/>
          <w:highlight w:val="none"/>
        </w:rPr>
        <w:t>3.2 详细评审</w:t>
      </w:r>
      <w:bookmarkEnd w:id="606"/>
      <w:bookmarkEnd w:id="607"/>
      <w:bookmarkEnd w:id="608"/>
      <w:bookmarkEnd w:id="609"/>
      <w:bookmarkEnd w:id="610"/>
      <w:bookmarkEnd w:id="611"/>
      <w:bookmarkEnd w:id="612"/>
      <w:bookmarkEnd w:id="613"/>
    </w:p>
    <w:p>
      <w:pPr>
        <w:spacing w:line="400" w:lineRule="exact"/>
        <w:ind w:firstLine="420" w:firstLineChars="200"/>
        <w:rPr>
          <w:rFonts w:ascii="宋体" w:hAnsi="宋体"/>
          <w:highlight w:val="none"/>
        </w:rPr>
      </w:pPr>
      <w:r>
        <w:rPr>
          <w:rFonts w:hint="eastAsia" w:ascii="宋体" w:hAnsi="宋体"/>
          <w:highlight w:val="none"/>
        </w:rPr>
        <w:t>3.2.1评标委员会按照规定的量化因素和分值进行评审打分，详见评标办法前附表。</w:t>
      </w:r>
    </w:p>
    <w:p>
      <w:pPr>
        <w:spacing w:line="400" w:lineRule="exact"/>
        <w:ind w:firstLine="420" w:firstLineChars="200"/>
        <w:rPr>
          <w:rFonts w:ascii="宋体" w:hAnsi="宋体"/>
          <w:highlight w:val="none"/>
        </w:rPr>
      </w:pPr>
      <w:r>
        <w:rPr>
          <w:rFonts w:hint="eastAsia" w:ascii="宋体" w:hAnsi="宋体"/>
          <w:highlight w:val="none"/>
        </w:rPr>
        <w:t>3.2.2评标委员会发现供应商的报价明显低于其他投标报价，</w:t>
      </w:r>
      <w:r>
        <w:rPr>
          <w:rFonts w:hint="eastAsia" w:ascii="宋体" w:hAnsi="宋体"/>
          <w:szCs w:val="21"/>
          <w:highlight w:val="none"/>
        </w:rPr>
        <w:t>影响产品质量或者不能诚信履约的，</w:t>
      </w:r>
      <w:r>
        <w:rPr>
          <w:rFonts w:hint="eastAsia" w:ascii="宋体" w:hAnsi="宋体"/>
          <w:highlight w:val="none"/>
        </w:rPr>
        <w:t>应当要求该供应商在合理的时间内作出书面说明，必要时提供相应的证明材料。供应商不能合理说明或者不能提供相应证明材料的，为无效投标。</w:t>
      </w:r>
    </w:p>
    <w:p>
      <w:pPr>
        <w:pStyle w:val="4"/>
        <w:rPr>
          <w:rFonts w:ascii="宋体" w:hAnsi="宋体"/>
          <w:highlight w:val="none"/>
        </w:rPr>
      </w:pPr>
      <w:bookmarkStart w:id="614" w:name="_Toc144974575"/>
      <w:bookmarkStart w:id="615" w:name="_Toc247085765"/>
      <w:bookmarkStart w:id="616" w:name="_Toc179632625"/>
      <w:bookmarkStart w:id="617" w:name="_Toc152045607"/>
      <w:bookmarkStart w:id="618" w:name="_Toc152042385"/>
      <w:bookmarkStart w:id="619" w:name="_Toc246996250"/>
      <w:bookmarkStart w:id="620" w:name="_Toc338840246"/>
      <w:bookmarkStart w:id="621" w:name="_Toc246996993"/>
      <w:r>
        <w:rPr>
          <w:rFonts w:hint="eastAsia" w:ascii="宋体" w:hAnsi="宋体"/>
          <w:highlight w:val="none"/>
        </w:rPr>
        <w:t>3.3 投标文件的澄清</w:t>
      </w:r>
      <w:bookmarkEnd w:id="614"/>
      <w:r>
        <w:rPr>
          <w:rFonts w:hint="eastAsia" w:ascii="宋体" w:hAnsi="宋体"/>
          <w:highlight w:val="none"/>
        </w:rPr>
        <w:t>和补正</w:t>
      </w:r>
      <w:bookmarkEnd w:id="615"/>
      <w:bookmarkEnd w:id="616"/>
      <w:bookmarkEnd w:id="617"/>
      <w:bookmarkEnd w:id="618"/>
      <w:bookmarkEnd w:id="619"/>
      <w:bookmarkEnd w:id="620"/>
      <w:bookmarkEnd w:id="621"/>
    </w:p>
    <w:p>
      <w:pPr>
        <w:spacing w:line="400" w:lineRule="exact"/>
        <w:ind w:firstLine="420" w:firstLineChars="200"/>
        <w:rPr>
          <w:rFonts w:ascii="宋体" w:hAnsi="宋体"/>
          <w:highlight w:val="none"/>
        </w:rPr>
      </w:pPr>
      <w:r>
        <w:rPr>
          <w:rFonts w:hint="eastAsia" w:ascii="宋体" w:hAnsi="宋体"/>
          <w:highlight w:val="none"/>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pPr>
        <w:spacing w:line="400" w:lineRule="exact"/>
        <w:ind w:firstLine="420" w:firstLineChars="200"/>
        <w:rPr>
          <w:rFonts w:ascii="宋体" w:hAnsi="宋体"/>
          <w:highlight w:val="none"/>
        </w:rPr>
      </w:pPr>
      <w:r>
        <w:rPr>
          <w:rFonts w:hint="eastAsia" w:ascii="宋体" w:hAnsi="宋体"/>
          <w:highlight w:val="none"/>
        </w:rPr>
        <w:t>3.3.2 澄清、说明和补正不得改变投标文件的实质性内容。供应商的书面澄清、说明和补正属于投标文件的组成部分。</w:t>
      </w:r>
    </w:p>
    <w:p>
      <w:pPr>
        <w:spacing w:line="400" w:lineRule="exact"/>
        <w:ind w:firstLine="420" w:firstLineChars="200"/>
        <w:rPr>
          <w:rFonts w:ascii="宋体" w:hAnsi="宋体"/>
          <w:highlight w:val="none"/>
        </w:rPr>
      </w:pPr>
      <w:r>
        <w:rPr>
          <w:rFonts w:hint="eastAsia" w:ascii="宋体" w:hAnsi="宋体"/>
          <w:highlight w:val="none"/>
        </w:rPr>
        <w:t>3.3.3 评标委员会对供应商提交的澄清、说明或补正有疑问的，可以要求供应商进一步澄清、说明或补正，直至满足评标委员会的要求。</w:t>
      </w:r>
    </w:p>
    <w:p>
      <w:pPr>
        <w:pStyle w:val="4"/>
        <w:rPr>
          <w:rFonts w:ascii="宋体" w:hAnsi="宋体"/>
          <w:highlight w:val="none"/>
        </w:rPr>
      </w:pPr>
      <w:bookmarkStart w:id="622" w:name="_Toc144974576"/>
      <w:bookmarkStart w:id="623" w:name="_Toc247085766"/>
      <w:bookmarkStart w:id="624" w:name="_Toc338840247"/>
      <w:bookmarkStart w:id="625" w:name="_Toc246996994"/>
      <w:bookmarkStart w:id="626" w:name="_Toc152045608"/>
      <w:bookmarkStart w:id="627" w:name="_Toc246996251"/>
      <w:bookmarkStart w:id="628" w:name="_Toc152042386"/>
      <w:bookmarkStart w:id="629" w:name="_Toc179632626"/>
      <w:r>
        <w:rPr>
          <w:rFonts w:hint="eastAsia" w:ascii="宋体" w:hAnsi="宋体"/>
          <w:highlight w:val="none"/>
        </w:rPr>
        <w:t>3.4 评标结果</w:t>
      </w:r>
      <w:bookmarkEnd w:id="622"/>
      <w:bookmarkEnd w:id="623"/>
      <w:bookmarkEnd w:id="624"/>
      <w:bookmarkEnd w:id="625"/>
      <w:bookmarkEnd w:id="626"/>
      <w:bookmarkEnd w:id="627"/>
      <w:bookmarkEnd w:id="628"/>
      <w:bookmarkEnd w:id="629"/>
    </w:p>
    <w:p>
      <w:pPr>
        <w:spacing w:line="400" w:lineRule="exact"/>
        <w:ind w:firstLine="420" w:firstLineChars="200"/>
        <w:rPr>
          <w:rFonts w:ascii="宋体" w:hAnsi="宋体"/>
          <w:highlight w:val="none"/>
        </w:rPr>
      </w:pPr>
      <w:r>
        <w:rPr>
          <w:rFonts w:hint="eastAsia" w:ascii="宋体" w:hAnsi="宋体"/>
          <w:highlight w:val="none"/>
        </w:rPr>
        <w:t>3.4.1除第二章“供应商须知”前附表授权直接确定中标人外，评标委员会按照规定推荐中标候选人。</w:t>
      </w:r>
    </w:p>
    <w:p>
      <w:pPr>
        <w:spacing w:line="400" w:lineRule="exact"/>
        <w:ind w:firstLine="420" w:firstLineChars="200"/>
        <w:rPr>
          <w:rFonts w:ascii="宋体" w:hAnsi="宋体"/>
          <w:highlight w:val="none"/>
        </w:rPr>
      </w:pPr>
      <w:r>
        <w:rPr>
          <w:rFonts w:hint="eastAsia" w:ascii="宋体" w:hAnsi="宋体"/>
          <w:highlight w:val="none"/>
        </w:rPr>
        <w:t>3.4.2 评标委员会完成评标后，应当向采购人提交书面评标报告。</w:t>
      </w:r>
    </w:p>
    <w:p>
      <w:pPr>
        <w:spacing w:line="400" w:lineRule="exact"/>
        <w:rPr>
          <w:rFonts w:ascii="宋体" w:hAnsi="宋体"/>
          <w:highlight w:val="none"/>
        </w:rPr>
      </w:pPr>
    </w:p>
    <w:p>
      <w:pPr>
        <w:adjustRightInd w:val="0"/>
        <w:snapToGrid w:val="0"/>
        <w:spacing w:line="440" w:lineRule="exact"/>
        <w:outlineLvl w:val="1"/>
        <w:rPr>
          <w:rFonts w:ascii="宋体" w:hAnsi="宋体"/>
          <w:sz w:val="24"/>
          <w:highlight w:val="none"/>
        </w:rPr>
      </w:pPr>
      <w:r>
        <w:rPr>
          <w:rFonts w:ascii="宋体" w:hAnsi="宋体"/>
          <w:highlight w:val="none"/>
        </w:rPr>
        <w:br w:type="page"/>
      </w:r>
      <w:bookmarkStart w:id="630" w:name="_Toc338840497"/>
      <w:bookmarkStart w:id="631" w:name="_Toc338840458"/>
      <w:bookmarkStart w:id="632" w:name="_Toc494093443"/>
      <w:bookmarkStart w:id="633" w:name="_Toc21307"/>
      <w:bookmarkStart w:id="634" w:name="_Toc346523481"/>
      <w:bookmarkStart w:id="635" w:name="_Toc346523418"/>
      <w:bookmarkStart w:id="636" w:name="_Toc19465"/>
      <w:bookmarkStart w:id="637" w:name="_Toc19784"/>
      <w:bookmarkStart w:id="638" w:name="_Toc494526415"/>
      <w:bookmarkStart w:id="639" w:name="_Toc338840249"/>
      <w:bookmarkStart w:id="640" w:name="_Toc27082"/>
      <w:r>
        <w:rPr>
          <w:rFonts w:hint="eastAsia" w:ascii="宋体" w:hAnsi="宋体"/>
          <w:sz w:val="24"/>
          <w:highlight w:val="none"/>
        </w:rPr>
        <w:t>附件</w:t>
      </w:r>
      <w:r>
        <w:rPr>
          <w:rFonts w:hint="eastAsia" w:ascii="宋体" w:hAnsi="宋体"/>
          <w:b/>
          <w:sz w:val="24"/>
          <w:highlight w:val="none"/>
        </w:rPr>
        <w:t>Ａ</w:t>
      </w:r>
      <w:r>
        <w:rPr>
          <w:rFonts w:hint="eastAsia" w:ascii="宋体" w:hAnsi="宋体"/>
          <w:sz w:val="24"/>
          <w:highlight w:val="none"/>
        </w:rPr>
        <w:t>：</w:t>
      </w:r>
      <w:bookmarkEnd w:id="630"/>
      <w:bookmarkEnd w:id="631"/>
      <w:bookmarkEnd w:id="632"/>
      <w:bookmarkEnd w:id="633"/>
      <w:bookmarkEnd w:id="634"/>
      <w:bookmarkEnd w:id="635"/>
      <w:bookmarkEnd w:id="636"/>
      <w:bookmarkEnd w:id="637"/>
      <w:bookmarkEnd w:id="638"/>
      <w:bookmarkEnd w:id="639"/>
      <w:bookmarkEnd w:id="640"/>
      <w:r>
        <w:rPr>
          <w:rFonts w:hint="eastAsia" w:ascii="宋体" w:hAnsi="宋体"/>
          <w:sz w:val="24"/>
          <w:highlight w:val="none"/>
        </w:rPr>
        <w:t xml:space="preserve"> </w:t>
      </w:r>
    </w:p>
    <w:p>
      <w:pPr>
        <w:adjustRightInd w:val="0"/>
        <w:snapToGrid w:val="0"/>
        <w:spacing w:before="312" w:beforeLines="100" w:after="312" w:afterLines="100" w:line="160" w:lineRule="exact"/>
        <w:ind w:firstLine="560" w:firstLineChars="200"/>
        <w:jc w:val="center"/>
        <w:rPr>
          <w:rFonts w:ascii="宋体" w:hAnsi="宋体"/>
          <w:b/>
          <w:szCs w:val="21"/>
          <w:highlight w:val="none"/>
        </w:rPr>
      </w:pPr>
      <w:r>
        <w:rPr>
          <w:rFonts w:hint="eastAsia" w:ascii="宋体" w:hAnsi="宋体"/>
          <w:sz w:val="28"/>
          <w:szCs w:val="28"/>
          <w:highlight w:val="none"/>
        </w:rPr>
        <w:t>无效投标条件</w:t>
      </w:r>
      <w:r>
        <w:rPr>
          <w:rFonts w:hint="eastAsia" w:ascii="宋体" w:hAnsi="宋体"/>
          <w:b/>
          <w:szCs w:val="21"/>
          <w:highlight w:val="none"/>
        </w:rPr>
        <w:t>　</w:t>
      </w:r>
    </w:p>
    <w:p>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有下列情形之一的，其投标为无效投标：</w:t>
      </w:r>
    </w:p>
    <w:p>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1 、有第二章“供应商须知”第1.4.2项规定的任何一种情形的。</w:t>
      </w:r>
    </w:p>
    <w:p>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2 、有下列情形之一，视为供应商串通投标，其投标无效：</w:t>
      </w:r>
    </w:p>
    <w:p>
      <w:pPr>
        <w:adjustRightInd w:val="0"/>
        <w:snapToGrid w:val="0"/>
        <w:spacing w:line="440" w:lineRule="exact"/>
        <w:rPr>
          <w:rFonts w:ascii="宋体" w:hAnsi="宋体"/>
          <w:szCs w:val="21"/>
          <w:highlight w:val="none"/>
        </w:rPr>
      </w:pPr>
      <w:r>
        <w:rPr>
          <w:rFonts w:hint="eastAsia" w:ascii="宋体" w:hAnsi="宋体"/>
          <w:szCs w:val="21"/>
          <w:highlight w:val="none"/>
        </w:rPr>
        <w:t>　　（一）不同供应商的投标文件由同一单位或者个人编制；</w:t>
      </w:r>
    </w:p>
    <w:p>
      <w:pPr>
        <w:adjustRightInd w:val="0"/>
        <w:snapToGrid w:val="0"/>
        <w:spacing w:line="440" w:lineRule="exact"/>
        <w:rPr>
          <w:rFonts w:ascii="宋体" w:hAnsi="宋体"/>
          <w:szCs w:val="21"/>
          <w:highlight w:val="none"/>
        </w:rPr>
      </w:pPr>
      <w:r>
        <w:rPr>
          <w:rFonts w:hint="eastAsia" w:ascii="宋体" w:hAnsi="宋体"/>
          <w:szCs w:val="21"/>
          <w:highlight w:val="none"/>
        </w:rPr>
        <w:t>　　（二）不同供应商委托同一单位或者个人办理投标事宜；</w:t>
      </w:r>
    </w:p>
    <w:p>
      <w:pPr>
        <w:adjustRightInd w:val="0"/>
        <w:snapToGrid w:val="0"/>
        <w:spacing w:line="440" w:lineRule="exact"/>
        <w:rPr>
          <w:rFonts w:ascii="宋体" w:hAnsi="宋体"/>
          <w:szCs w:val="21"/>
          <w:highlight w:val="none"/>
        </w:rPr>
      </w:pPr>
      <w:r>
        <w:rPr>
          <w:rFonts w:hint="eastAsia" w:ascii="宋体" w:hAnsi="宋体"/>
          <w:szCs w:val="21"/>
          <w:highlight w:val="none"/>
        </w:rPr>
        <w:t>　　（三）不同供应商的投标文件载明的项目管理成员或者联系人员为同一人；</w:t>
      </w:r>
    </w:p>
    <w:p>
      <w:pPr>
        <w:adjustRightInd w:val="0"/>
        <w:snapToGrid w:val="0"/>
        <w:spacing w:line="440" w:lineRule="exact"/>
        <w:rPr>
          <w:rFonts w:ascii="宋体" w:hAnsi="宋体"/>
          <w:szCs w:val="21"/>
          <w:highlight w:val="none"/>
        </w:rPr>
      </w:pPr>
      <w:r>
        <w:rPr>
          <w:rFonts w:hint="eastAsia" w:ascii="宋体" w:hAnsi="宋体"/>
          <w:szCs w:val="21"/>
          <w:highlight w:val="none"/>
        </w:rPr>
        <w:t>　　（四）不同供应商的投标文件异常一致或者投标报价呈规律性差异；</w:t>
      </w:r>
    </w:p>
    <w:p>
      <w:pPr>
        <w:adjustRightInd w:val="0"/>
        <w:snapToGrid w:val="0"/>
        <w:spacing w:line="440" w:lineRule="exact"/>
        <w:rPr>
          <w:rFonts w:ascii="宋体" w:hAnsi="宋体"/>
          <w:szCs w:val="21"/>
          <w:highlight w:val="none"/>
        </w:rPr>
      </w:pPr>
      <w:r>
        <w:rPr>
          <w:rFonts w:hint="eastAsia" w:ascii="宋体" w:hAnsi="宋体"/>
          <w:szCs w:val="21"/>
          <w:highlight w:val="none"/>
        </w:rPr>
        <w:t>　　（五）不同供应商的投标文件相互混装；</w:t>
      </w:r>
    </w:p>
    <w:p>
      <w:pPr>
        <w:adjustRightInd w:val="0"/>
        <w:snapToGrid w:val="0"/>
        <w:spacing w:line="440" w:lineRule="exact"/>
        <w:rPr>
          <w:rFonts w:ascii="宋体" w:hAnsi="宋体"/>
          <w:szCs w:val="21"/>
          <w:highlight w:val="none"/>
        </w:rPr>
      </w:pPr>
      <w:r>
        <w:rPr>
          <w:rFonts w:hint="eastAsia" w:ascii="宋体" w:hAnsi="宋体"/>
          <w:szCs w:val="21"/>
          <w:highlight w:val="none"/>
        </w:rPr>
        <w:t>　　（六）不同供应商的投标保证金从同一单位或者个人的账户转出。</w:t>
      </w:r>
    </w:p>
    <w:p>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3 、单位负责人为同一人或者存在直接控股、管理关系的不同供应商，参加同一合同项下的政府采购活动的。　为采购项目提供整体设计、规范编制或者项目管理、监理、检测等服务的供应商，不得再参加该采购项目的其他采购活动。</w:t>
      </w:r>
    </w:p>
    <w:p>
      <w:pPr>
        <w:adjustRightInd w:val="0"/>
        <w:snapToGrid w:val="0"/>
        <w:spacing w:line="440" w:lineRule="exact"/>
        <w:ind w:left="420" w:leftChars="200"/>
        <w:rPr>
          <w:rFonts w:ascii="宋体" w:hAnsi="宋体"/>
          <w:szCs w:val="21"/>
          <w:highlight w:val="none"/>
        </w:rPr>
      </w:pPr>
      <w:r>
        <w:rPr>
          <w:rFonts w:hint="eastAsia" w:ascii="宋体" w:hAnsi="宋体"/>
          <w:szCs w:val="21"/>
          <w:highlight w:val="none"/>
        </w:rPr>
        <w:t>4、投标</w:t>
      </w:r>
      <w:r>
        <w:rPr>
          <w:rFonts w:hint="eastAsia" w:ascii="宋体" w:hAnsi="宋体"/>
          <w:szCs w:val="21"/>
          <w:highlight w:val="none"/>
          <w:lang w:val="en-US" w:eastAsia="zh-CN"/>
        </w:rPr>
        <w:t>内容</w:t>
      </w:r>
      <w:r>
        <w:rPr>
          <w:rFonts w:hint="eastAsia" w:ascii="宋体" w:hAnsi="宋体"/>
          <w:szCs w:val="21"/>
          <w:highlight w:val="none"/>
        </w:rPr>
        <w:t>不符合采购标的种类和数量要求的。</w:t>
      </w:r>
    </w:p>
    <w:p>
      <w:pPr>
        <w:adjustRightInd w:val="0"/>
        <w:snapToGrid w:val="0"/>
        <w:spacing w:line="440" w:lineRule="exact"/>
        <w:ind w:left="420" w:leftChars="200"/>
        <w:rPr>
          <w:rFonts w:ascii="宋体" w:hAnsi="宋体"/>
          <w:szCs w:val="21"/>
          <w:highlight w:val="none"/>
        </w:rPr>
      </w:pPr>
      <w:r>
        <w:rPr>
          <w:rFonts w:hint="eastAsia" w:ascii="宋体" w:hAnsi="宋体"/>
          <w:szCs w:val="21"/>
          <w:highlight w:val="none"/>
        </w:rPr>
        <w:t>5、投标报价超过招标文件中规定的最高限价的。</w:t>
      </w:r>
    </w:p>
    <w:p>
      <w:pPr>
        <w:adjustRightInd w:val="0"/>
        <w:snapToGrid w:val="0"/>
        <w:spacing w:line="440" w:lineRule="exact"/>
        <w:ind w:left="420" w:leftChars="200"/>
        <w:rPr>
          <w:rFonts w:ascii="宋体" w:hAnsi="宋体"/>
          <w:strike/>
          <w:szCs w:val="21"/>
          <w:highlight w:val="none"/>
        </w:rPr>
      </w:pPr>
      <w:r>
        <w:rPr>
          <w:rFonts w:hint="eastAsia" w:ascii="宋体" w:hAnsi="宋体"/>
          <w:szCs w:val="21"/>
          <w:highlight w:val="none"/>
        </w:rPr>
        <w:t>6、提供虚假材料或伪造材料的。</w:t>
      </w:r>
    </w:p>
    <w:p>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7、联合体投标者没有提交共同投标协议的。</w:t>
      </w:r>
    </w:p>
    <w:p>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8、采购人提供证据证明供应商在以往履行与采购人及其所属单位的采购合同时，发生过重大实质性违约且未及时采取合理补救措施的。</w:t>
      </w:r>
    </w:p>
    <w:p>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9、其他不符合法律、法规规定的。</w:t>
      </w:r>
    </w:p>
    <w:p>
      <w:pPr>
        <w:adjustRightInd w:val="0"/>
        <w:snapToGrid w:val="0"/>
        <w:spacing w:line="440" w:lineRule="exact"/>
        <w:rPr>
          <w:rFonts w:ascii="宋体" w:hAnsi="宋体"/>
          <w:szCs w:val="21"/>
          <w:highlight w:val="none"/>
        </w:rPr>
      </w:pPr>
    </w:p>
    <w:p>
      <w:pPr>
        <w:adjustRightInd w:val="0"/>
        <w:snapToGrid w:val="0"/>
        <w:spacing w:line="440" w:lineRule="exact"/>
        <w:ind w:firstLine="420" w:firstLineChars="200"/>
        <w:rPr>
          <w:rFonts w:ascii="宋体" w:hAnsi="宋体"/>
          <w:b/>
          <w:sz w:val="24"/>
          <w:highlight w:val="none"/>
        </w:rPr>
      </w:pPr>
      <w:r>
        <w:rPr>
          <w:rFonts w:hint="eastAsia" w:ascii="宋体" w:hAnsi="宋体"/>
          <w:szCs w:val="21"/>
          <w:highlight w:val="none"/>
        </w:rPr>
        <w:t>注：以上内容是对采购文件中其他部分无效投标条件的补充。</w:t>
      </w:r>
      <w:r>
        <w:rPr>
          <w:rFonts w:hint="eastAsia" w:ascii="宋体" w:hAnsi="宋体"/>
          <w:b/>
          <w:sz w:val="24"/>
          <w:highlight w:val="none"/>
        </w:rPr>
        <w:br w:type="page"/>
      </w:r>
      <w:r>
        <w:rPr>
          <w:rFonts w:hint="eastAsia" w:ascii="宋体" w:hAnsi="宋体"/>
          <w:b/>
          <w:sz w:val="24"/>
          <w:highlight w:val="none"/>
        </w:rPr>
        <w:t>附件B：</w:t>
      </w:r>
    </w:p>
    <w:p>
      <w:pPr>
        <w:spacing w:line="520" w:lineRule="exact"/>
        <w:jc w:val="center"/>
        <w:rPr>
          <w:b/>
          <w:sz w:val="36"/>
          <w:szCs w:val="36"/>
          <w:highlight w:val="none"/>
        </w:rPr>
      </w:pPr>
      <w:r>
        <w:rPr>
          <w:rFonts w:hint="eastAsia"/>
          <w:b/>
          <w:sz w:val="36"/>
          <w:szCs w:val="36"/>
          <w:highlight w:val="none"/>
        </w:rPr>
        <w:t>评标报告（样本）</w:t>
      </w:r>
    </w:p>
    <w:p>
      <w:pPr>
        <w:spacing w:line="560" w:lineRule="exact"/>
        <w:jc w:val="center"/>
        <w:rPr>
          <w:rFonts w:ascii="仿宋_GB2312" w:eastAsia="仿宋_GB2312"/>
          <w:sz w:val="24"/>
          <w:highlight w:val="none"/>
        </w:rPr>
      </w:pPr>
    </w:p>
    <w:p>
      <w:pPr>
        <w:pStyle w:val="10"/>
        <w:spacing w:line="560" w:lineRule="exact"/>
        <w:ind w:firstLine="470" w:firstLineChars="196"/>
        <w:rPr>
          <w:rFonts w:ascii="仿宋_GB2312" w:eastAsia="仿宋_GB2312"/>
          <w:sz w:val="24"/>
          <w:highlight w:val="none"/>
        </w:rPr>
      </w:pPr>
      <w:r>
        <w:rPr>
          <w:rFonts w:hint="eastAsia" w:ascii="仿宋_GB2312" w:eastAsia="仿宋_GB2312"/>
          <w:sz w:val="24"/>
          <w:highlight w:val="none"/>
        </w:rPr>
        <w:t>一、基本情况。</w:t>
      </w:r>
    </w:p>
    <w:p>
      <w:pPr>
        <w:pStyle w:val="10"/>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项目名称：</w:t>
      </w:r>
      <w:r>
        <w:rPr>
          <w:rFonts w:hint="eastAsia" w:ascii="仿宋_GB2312" w:eastAsia="仿宋_GB2312"/>
          <w:sz w:val="24"/>
          <w:highlight w:val="none"/>
          <w:u w:val="single"/>
        </w:rPr>
        <w:t xml:space="preserve">                         </w:t>
      </w:r>
      <w:r>
        <w:rPr>
          <w:rFonts w:hint="eastAsia" w:ascii="仿宋_GB2312" w:eastAsia="仿宋_GB2312"/>
          <w:sz w:val="24"/>
          <w:highlight w:val="none"/>
        </w:rPr>
        <w:t>第</w:t>
      </w:r>
      <w:r>
        <w:rPr>
          <w:rFonts w:hint="eastAsia" w:ascii="仿宋_GB2312" w:eastAsia="仿宋_GB2312"/>
          <w:sz w:val="24"/>
          <w:highlight w:val="none"/>
          <w:u w:val="single"/>
        </w:rPr>
        <w:t xml:space="preserve">    </w:t>
      </w:r>
      <w:r>
        <w:rPr>
          <w:rFonts w:hint="eastAsia" w:ascii="仿宋_GB2312" w:eastAsia="仿宋_GB2312"/>
          <w:sz w:val="24"/>
          <w:highlight w:val="none"/>
        </w:rPr>
        <w:t>标段</w:t>
      </w:r>
    </w:p>
    <w:p>
      <w:pPr>
        <w:pStyle w:val="10"/>
        <w:spacing w:line="560" w:lineRule="exact"/>
        <w:ind w:firstLine="480" w:firstLineChars="200"/>
        <w:rPr>
          <w:rFonts w:ascii="仿宋_GB2312" w:eastAsia="仿宋_GB2312"/>
          <w:sz w:val="24"/>
          <w:highlight w:val="none"/>
          <w:u w:val="single"/>
        </w:rPr>
      </w:pPr>
      <w:r>
        <w:rPr>
          <w:rFonts w:hint="eastAsia" w:ascii="仿宋_GB2312" w:eastAsia="仿宋_GB2312"/>
          <w:sz w:val="24"/>
          <w:highlight w:val="none"/>
        </w:rPr>
        <w:t>项目编号：</w:t>
      </w:r>
      <w:r>
        <w:rPr>
          <w:rFonts w:hint="eastAsia" w:ascii="仿宋_GB2312" w:eastAsia="仿宋_GB2312"/>
          <w:sz w:val="24"/>
          <w:highlight w:val="none"/>
          <w:u w:val="single"/>
        </w:rPr>
        <w:t xml:space="preserve">                        </w:t>
      </w:r>
    </w:p>
    <w:p>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评标地点：开封市民之家五楼评标室</w:t>
      </w:r>
    </w:p>
    <w:p>
      <w:pPr>
        <w:spacing w:line="560" w:lineRule="exact"/>
        <w:ind w:firstLine="600"/>
        <w:jc w:val="left"/>
        <w:rPr>
          <w:rFonts w:ascii="仿宋_GB2312" w:eastAsia="仿宋_GB2312"/>
          <w:sz w:val="24"/>
          <w:highlight w:val="none"/>
        </w:rPr>
      </w:pPr>
      <w:r>
        <w:rPr>
          <w:rFonts w:hint="eastAsia" w:ascii="仿宋_GB2312" w:eastAsia="仿宋_GB2312"/>
          <w:sz w:val="24"/>
          <w:highlight w:val="none"/>
        </w:rPr>
        <w:t>本次招标采购于</w:t>
      </w:r>
      <w:r>
        <w:rPr>
          <w:rFonts w:hint="eastAsia" w:ascii="仿宋_GB2312" w:eastAsia="仿宋_GB2312"/>
          <w:sz w:val="24"/>
          <w:highlight w:val="none"/>
          <w:u w:val="single"/>
        </w:rPr>
        <w:t>　　　</w:t>
      </w:r>
      <w:r>
        <w:rPr>
          <w:rFonts w:hint="eastAsia" w:ascii="仿宋_GB2312" w:eastAsia="仿宋_GB2312"/>
          <w:sz w:val="24"/>
          <w:highlight w:val="none"/>
        </w:rPr>
        <w:t>年</w:t>
      </w:r>
      <w:r>
        <w:rPr>
          <w:rFonts w:hint="eastAsia" w:ascii="仿宋_GB2312" w:eastAsia="仿宋_GB2312"/>
          <w:sz w:val="24"/>
          <w:highlight w:val="none"/>
          <w:u w:val="single"/>
        </w:rPr>
        <w:t>　　</w:t>
      </w:r>
      <w:r>
        <w:rPr>
          <w:rFonts w:hint="eastAsia" w:ascii="仿宋_GB2312" w:eastAsia="仿宋_GB2312"/>
          <w:sz w:val="24"/>
          <w:highlight w:val="none"/>
        </w:rPr>
        <w:t>月</w:t>
      </w:r>
      <w:r>
        <w:rPr>
          <w:rFonts w:hint="eastAsia" w:ascii="仿宋_GB2312" w:eastAsia="仿宋_GB2312"/>
          <w:sz w:val="24"/>
          <w:highlight w:val="none"/>
          <w:u w:val="single"/>
        </w:rPr>
        <w:t>　　</w:t>
      </w:r>
      <w:r>
        <w:rPr>
          <w:rFonts w:hint="eastAsia" w:ascii="仿宋_GB2312" w:eastAsia="仿宋_GB2312"/>
          <w:sz w:val="24"/>
          <w:highlight w:val="none"/>
        </w:rPr>
        <w:t>日在河南省政府采购网及开封市公共资源交易信息网上发布招标公告，潜在供应商可以通过开封市公共资源交易信息网获取招标文件。</w:t>
      </w:r>
    </w:p>
    <w:p>
      <w:pPr>
        <w:spacing w:line="560" w:lineRule="exact"/>
        <w:ind w:firstLine="446" w:firstLineChars="186"/>
        <w:rPr>
          <w:rFonts w:ascii="仿宋_GB2312" w:eastAsia="仿宋_GB2312"/>
          <w:sz w:val="24"/>
          <w:highlight w:val="none"/>
        </w:rPr>
      </w:pPr>
      <w:r>
        <w:rPr>
          <w:rFonts w:hint="eastAsia" w:ascii="仿宋_GB2312" w:eastAsia="仿宋_GB2312"/>
          <w:sz w:val="24"/>
          <w:highlight w:val="none"/>
        </w:rPr>
        <w:t>投标截止及开标时间为</w:t>
      </w:r>
      <w:r>
        <w:rPr>
          <w:rFonts w:hint="eastAsia" w:ascii="仿宋_GB2312" w:eastAsia="仿宋_GB2312"/>
          <w:sz w:val="24"/>
          <w:highlight w:val="none"/>
          <w:u w:val="single"/>
        </w:rPr>
        <w:t>　　　</w:t>
      </w:r>
      <w:r>
        <w:rPr>
          <w:rFonts w:hint="eastAsia" w:ascii="仿宋_GB2312" w:eastAsia="仿宋_GB2312"/>
          <w:sz w:val="24"/>
          <w:highlight w:val="none"/>
        </w:rPr>
        <w:t>年</w:t>
      </w:r>
      <w:r>
        <w:rPr>
          <w:rFonts w:hint="eastAsia" w:ascii="仿宋_GB2312" w:eastAsia="仿宋_GB2312"/>
          <w:sz w:val="24"/>
          <w:highlight w:val="none"/>
          <w:u w:val="single"/>
        </w:rPr>
        <w:t>　　</w:t>
      </w:r>
      <w:r>
        <w:rPr>
          <w:rFonts w:hint="eastAsia" w:ascii="仿宋_GB2312" w:eastAsia="仿宋_GB2312"/>
          <w:sz w:val="24"/>
          <w:highlight w:val="none"/>
        </w:rPr>
        <w:t>月</w:t>
      </w:r>
      <w:r>
        <w:rPr>
          <w:rFonts w:hint="eastAsia" w:ascii="仿宋_GB2312" w:eastAsia="仿宋_GB2312"/>
          <w:sz w:val="24"/>
          <w:highlight w:val="none"/>
          <w:u w:val="single"/>
        </w:rPr>
        <w:t>　　</w:t>
      </w:r>
      <w:r>
        <w:rPr>
          <w:rFonts w:hint="eastAsia" w:ascii="仿宋_GB2312" w:eastAsia="仿宋_GB2312"/>
          <w:sz w:val="24"/>
          <w:highlight w:val="none"/>
        </w:rPr>
        <w:t>日</w:t>
      </w:r>
      <w:r>
        <w:rPr>
          <w:rFonts w:hint="eastAsia" w:ascii="仿宋_GB2312" w:eastAsia="仿宋_GB2312"/>
          <w:sz w:val="24"/>
          <w:highlight w:val="none"/>
          <w:u w:val="single"/>
        </w:rPr>
        <w:t>　　</w:t>
      </w:r>
      <w:r>
        <w:rPr>
          <w:rFonts w:hint="eastAsia" w:ascii="仿宋_GB2312" w:eastAsia="仿宋_GB2312"/>
          <w:sz w:val="24"/>
          <w:highlight w:val="none"/>
        </w:rPr>
        <w:t>时</w:t>
      </w:r>
      <w:r>
        <w:rPr>
          <w:rFonts w:hint="eastAsia" w:ascii="仿宋_GB2312" w:eastAsia="仿宋_GB2312"/>
          <w:sz w:val="24"/>
          <w:highlight w:val="none"/>
          <w:u w:val="single"/>
        </w:rPr>
        <w:t xml:space="preserve">  </w:t>
      </w:r>
      <w:r>
        <w:rPr>
          <w:rFonts w:hint="eastAsia" w:ascii="仿宋_GB2312" w:eastAsia="仿宋_GB2312"/>
          <w:sz w:val="24"/>
          <w:highlight w:val="none"/>
        </w:rPr>
        <w:t>分，在开封市民之家五楼开标室进行网上开标，共有</w:t>
      </w:r>
      <w:r>
        <w:rPr>
          <w:rFonts w:hint="eastAsia" w:ascii="仿宋_GB2312" w:eastAsia="仿宋_GB2312"/>
          <w:sz w:val="24"/>
          <w:highlight w:val="none"/>
          <w:u w:val="single"/>
        </w:rPr>
        <w:t xml:space="preserve">     </w:t>
      </w:r>
      <w:r>
        <w:rPr>
          <w:rFonts w:hint="eastAsia" w:ascii="仿宋_GB2312" w:eastAsia="仿宋_GB2312"/>
          <w:sz w:val="24"/>
          <w:highlight w:val="none"/>
        </w:rPr>
        <w:t>个供应商按规定递交投标文件（投标供应商名称详见开标记录表），开标内容详见开标记录。</w:t>
      </w:r>
    </w:p>
    <w:p>
      <w:pPr>
        <w:spacing w:line="560" w:lineRule="exact"/>
        <w:ind w:firstLine="600"/>
        <w:rPr>
          <w:rFonts w:ascii="仿宋_GB2312" w:eastAsia="仿宋_GB2312"/>
          <w:sz w:val="24"/>
          <w:highlight w:val="none"/>
        </w:rPr>
      </w:pPr>
      <w:r>
        <w:rPr>
          <w:rFonts w:hint="eastAsia" w:ascii="仿宋_GB2312" w:eastAsia="仿宋_GB2312"/>
          <w:b/>
          <w:sz w:val="24"/>
          <w:highlight w:val="none"/>
        </w:rPr>
        <w:t>二、评标委员会成员名单。</w:t>
      </w:r>
      <w:r>
        <w:rPr>
          <w:rFonts w:hint="eastAsia" w:ascii="仿宋_GB2312" w:eastAsia="仿宋_GB2312"/>
          <w:sz w:val="24"/>
          <w:highlight w:val="none"/>
        </w:rPr>
        <w:t>采购单位按规定从专家库中随机抽取了评审专家</w:t>
      </w:r>
      <w:r>
        <w:rPr>
          <w:rFonts w:hint="eastAsia" w:ascii="仿宋_GB2312" w:eastAsia="仿宋_GB2312"/>
          <w:sz w:val="24"/>
          <w:highlight w:val="none"/>
          <w:u w:val="single"/>
        </w:rPr>
        <w:t xml:space="preserve">     </w:t>
      </w:r>
      <w:r>
        <w:rPr>
          <w:rFonts w:hint="eastAsia" w:ascii="仿宋_GB2312" w:eastAsia="仿宋_GB2312"/>
          <w:sz w:val="24"/>
          <w:highlight w:val="none"/>
        </w:rPr>
        <w:t>人（名单：</w:t>
      </w:r>
      <w:r>
        <w:rPr>
          <w:rFonts w:hint="eastAsia" w:ascii="仿宋_GB2312" w:eastAsia="仿宋_GB2312"/>
          <w:sz w:val="24"/>
          <w:highlight w:val="none"/>
          <w:u w:val="single"/>
        </w:rPr>
        <w:t xml:space="preserve">                        </w:t>
      </w:r>
      <w:r>
        <w:rPr>
          <w:rFonts w:hint="eastAsia" w:ascii="仿宋_GB2312" w:eastAsia="仿宋_GB2312"/>
          <w:sz w:val="24"/>
          <w:highlight w:val="none"/>
        </w:rPr>
        <w:t>），参与评标的采购人代表为：</w:t>
      </w:r>
      <w:r>
        <w:rPr>
          <w:rFonts w:hint="eastAsia" w:ascii="仿宋_GB2312" w:eastAsia="仿宋_GB2312"/>
          <w:sz w:val="24"/>
          <w:highlight w:val="none"/>
          <w:u w:val="single"/>
        </w:rPr>
        <w:t xml:space="preserve">          </w:t>
      </w:r>
      <w:r>
        <w:rPr>
          <w:rFonts w:hint="eastAsia" w:ascii="仿宋_GB2312" w:eastAsia="仿宋_GB2312"/>
          <w:sz w:val="24"/>
          <w:highlight w:val="none"/>
        </w:rPr>
        <w:t>，上述人员共同组成评标委员会，负责本项目的评标工作(人员名单详见《</w:t>
      </w:r>
      <w:r>
        <w:rPr>
          <w:rFonts w:hint="eastAsia" w:ascii="仿宋_GB2312" w:hAnsi="宋体" w:eastAsia="仿宋_GB2312"/>
          <w:bCs/>
          <w:sz w:val="24"/>
          <w:highlight w:val="none"/>
        </w:rPr>
        <w:t>评委专家抽取结果表》和《评标授权函》</w:t>
      </w:r>
      <w:r>
        <w:rPr>
          <w:rFonts w:hint="eastAsia" w:ascii="仿宋_GB2312" w:eastAsia="仿宋_GB2312"/>
          <w:sz w:val="24"/>
          <w:highlight w:val="none"/>
        </w:rPr>
        <w:t>)。推荐</w:t>
      </w:r>
      <w:r>
        <w:rPr>
          <w:rFonts w:hint="eastAsia" w:ascii="仿宋_GB2312" w:eastAsia="仿宋_GB2312"/>
          <w:sz w:val="24"/>
          <w:highlight w:val="none"/>
          <w:u w:val="single"/>
        </w:rPr>
        <w:t xml:space="preserve">        </w:t>
      </w:r>
      <w:r>
        <w:rPr>
          <w:rFonts w:hint="eastAsia" w:ascii="仿宋_GB2312" w:eastAsia="仿宋_GB2312"/>
          <w:sz w:val="24"/>
          <w:highlight w:val="none"/>
        </w:rPr>
        <w:t>为评标委员会主任。</w:t>
      </w:r>
    </w:p>
    <w:p>
      <w:pPr>
        <w:spacing w:line="560" w:lineRule="exact"/>
        <w:ind w:firstLine="600"/>
        <w:rPr>
          <w:rFonts w:ascii="仿宋_GB2312" w:eastAsia="仿宋_GB2312"/>
          <w:sz w:val="24"/>
          <w:highlight w:val="none"/>
        </w:rPr>
      </w:pPr>
      <w:r>
        <w:rPr>
          <w:rFonts w:hint="eastAsia" w:ascii="仿宋_GB2312" w:eastAsia="仿宋_GB2312"/>
          <w:b/>
          <w:sz w:val="24"/>
          <w:highlight w:val="none"/>
        </w:rPr>
        <w:t>三、开标记录。</w:t>
      </w:r>
      <w:r>
        <w:rPr>
          <w:rFonts w:hint="eastAsia" w:ascii="仿宋_GB2312" w:eastAsia="仿宋_GB2312"/>
          <w:sz w:val="24"/>
          <w:highlight w:val="none"/>
        </w:rPr>
        <w:t>另附。</w:t>
      </w:r>
    </w:p>
    <w:p>
      <w:pPr>
        <w:spacing w:line="560" w:lineRule="exact"/>
        <w:ind w:firstLine="600"/>
        <w:rPr>
          <w:rFonts w:ascii="仿宋_GB2312" w:eastAsia="仿宋_GB2312"/>
          <w:b/>
          <w:sz w:val="24"/>
          <w:highlight w:val="none"/>
        </w:rPr>
      </w:pPr>
      <w:r>
        <w:rPr>
          <w:rFonts w:hint="eastAsia" w:ascii="仿宋_GB2312" w:eastAsia="仿宋_GB2312"/>
          <w:b/>
          <w:sz w:val="24"/>
          <w:highlight w:val="none"/>
        </w:rPr>
        <w:t>四、资格审查。</w:t>
      </w:r>
      <w:r>
        <w:rPr>
          <w:rFonts w:hint="eastAsia" w:ascii="仿宋_GB2312" w:eastAsia="仿宋_GB2312"/>
          <w:sz w:val="24"/>
          <w:highlight w:val="none"/>
        </w:rPr>
        <w:t>由采购人或采购代理机构负责。详见资格审查表。</w:t>
      </w:r>
    </w:p>
    <w:p>
      <w:pPr>
        <w:spacing w:line="560" w:lineRule="exact"/>
        <w:ind w:firstLine="600"/>
        <w:rPr>
          <w:rFonts w:ascii="仿宋_GB2312" w:eastAsia="仿宋_GB2312"/>
          <w:sz w:val="24"/>
          <w:highlight w:val="none"/>
        </w:rPr>
      </w:pPr>
      <w:r>
        <w:rPr>
          <w:rFonts w:hint="eastAsia" w:ascii="仿宋_GB2312" w:eastAsia="仿宋_GB2312"/>
          <w:b/>
          <w:sz w:val="24"/>
          <w:highlight w:val="none"/>
        </w:rPr>
        <w:t>五、符合性审查、商务和技术评审。</w:t>
      </w:r>
      <w:r>
        <w:rPr>
          <w:rFonts w:hint="eastAsia" w:ascii="仿宋_GB2312" w:eastAsia="仿宋_GB2312"/>
          <w:sz w:val="24"/>
          <w:highlight w:val="none"/>
        </w:rPr>
        <w:t>由评标委员会负责。详见符合性审查表、商务和技术评审表。</w:t>
      </w:r>
    </w:p>
    <w:p>
      <w:pPr>
        <w:spacing w:line="560" w:lineRule="exact"/>
        <w:ind w:firstLine="600"/>
        <w:rPr>
          <w:rFonts w:ascii="仿宋_GB2312" w:eastAsia="仿宋_GB2312"/>
          <w:b/>
          <w:sz w:val="24"/>
          <w:highlight w:val="none"/>
        </w:rPr>
      </w:pPr>
      <w:r>
        <w:rPr>
          <w:rFonts w:hint="eastAsia" w:ascii="仿宋_GB2312" w:eastAsia="仿宋_GB2312"/>
          <w:b/>
          <w:sz w:val="24"/>
          <w:highlight w:val="none"/>
        </w:rPr>
        <w:t>六、无效标情况说明。</w:t>
      </w:r>
      <w:r>
        <w:rPr>
          <w:rFonts w:hint="eastAsia" w:ascii="仿宋_GB2312" w:eastAsia="仿宋_GB2312"/>
          <w:sz w:val="24"/>
          <w:highlight w:val="none"/>
        </w:rPr>
        <w:t>经过采购人和代理机构进行资格审查，评标委员会进行符合性审查，本项目第</w:t>
      </w:r>
      <w:r>
        <w:rPr>
          <w:rFonts w:hint="eastAsia" w:ascii="仿宋_GB2312" w:eastAsia="仿宋_GB2312"/>
          <w:sz w:val="24"/>
          <w:highlight w:val="none"/>
          <w:u w:val="single"/>
        </w:rPr>
        <w:t xml:space="preserve">   </w:t>
      </w:r>
      <w:r>
        <w:rPr>
          <w:rFonts w:hint="eastAsia" w:ascii="仿宋_GB2312" w:eastAsia="仿宋_GB2312"/>
          <w:sz w:val="24"/>
          <w:highlight w:val="none"/>
        </w:rPr>
        <w:t>标段有</w:t>
      </w:r>
      <w:r>
        <w:rPr>
          <w:rFonts w:hint="eastAsia" w:ascii="仿宋_GB2312" w:eastAsia="仿宋_GB2312"/>
          <w:sz w:val="24"/>
          <w:highlight w:val="none"/>
          <w:u w:val="single"/>
        </w:rPr>
        <w:t xml:space="preserve">      </w:t>
      </w:r>
      <w:r>
        <w:rPr>
          <w:rFonts w:hint="eastAsia" w:ascii="仿宋_GB2312" w:eastAsia="仿宋_GB2312"/>
          <w:sz w:val="24"/>
          <w:highlight w:val="none"/>
        </w:rPr>
        <w:t>个供应商的投标为有效投标，有</w:t>
      </w:r>
      <w:r>
        <w:rPr>
          <w:rFonts w:hint="eastAsia" w:ascii="仿宋_GB2312" w:eastAsia="仿宋_GB2312"/>
          <w:sz w:val="24"/>
          <w:highlight w:val="none"/>
          <w:u w:val="single"/>
        </w:rPr>
        <w:t xml:space="preserve">    </w:t>
      </w:r>
      <w:r>
        <w:rPr>
          <w:rFonts w:hint="eastAsia" w:ascii="仿宋_GB2312" w:eastAsia="仿宋_GB2312"/>
          <w:sz w:val="24"/>
          <w:highlight w:val="none"/>
        </w:rPr>
        <w:t>个供应商的投标为无效投标，无效投标名单及原因为：</w:t>
      </w:r>
      <w:r>
        <w:rPr>
          <w:rFonts w:hint="eastAsia" w:ascii="仿宋_GB2312" w:eastAsia="仿宋_GB2312"/>
          <w:sz w:val="24"/>
          <w:highlight w:val="none"/>
          <w:u w:val="single"/>
        </w:rPr>
        <w:t xml:space="preserve"> 　　　　　                        </w:t>
      </w:r>
    </w:p>
    <w:p>
      <w:pPr>
        <w:spacing w:line="560" w:lineRule="exact"/>
        <w:rPr>
          <w:rFonts w:ascii="仿宋_GB2312" w:eastAsia="仿宋_GB2312"/>
          <w:sz w:val="24"/>
          <w:highlight w:val="none"/>
          <w:u w:val="single"/>
        </w:rPr>
      </w:pPr>
      <w:r>
        <w:rPr>
          <w:rFonts w:hint="eastAsia" w:ascii="仿宋_GB2312" w:eastAsia="仿宋_GB2312"/>
          <w:sz w:val="24"/>
          <w:highlight w:val="none"/>
          <w:u w:val="single"/>
        </w:rPr>
        <w:t xml:space="preserve">                                                       </w:t>
      </w:r>
    </w:p>
    <w:p>
      <w:pPr>
        <w:spacing w:line="560" w:lineRule="exact"/>
        <w:rPr>
          <w:rFonts w:ascii="仿宋_GB2312" w:eastAsia="仿宋_GB2312"/>
          <w:sz w:val="24"/>
          <w:highlight w:val="none"/>
          <w:u w:val="single"/>
        </w:rPr>
      </w:pPr>
      <w:r>
        <w:rPr>
          <w:rFonts w:hint="eastAsia" w:ascii="仿宋_GB2312" w:eastAsia="仿宋_GB2312"/>
          <w:sz w:val="24"/>
          <w:highlight w:val="none"/>
          <w:u w:val="single"/>
        </w:rPr>
        <w:t xml:space="preserve">                                            　  </w:t>
      </w:r>
      <w:r>
        <w:rPr>
          <w:rFonts w:hint="eastAsia" w:ascii="仿宋_GB2312" w:eastAsia="仿宋_GB2312"/>
          <w:sz w:val="24"/>
          <w:highlight w:val="none"/>
        </w:rPr>
        <w:t>（详见资格审查表、符合性审查表及有关评审记录)。</w:t>
      </w:r>
    </w:p>
    <w:p>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七、评标方法、评标因素、评标标准（详见招标文件中评标办法前附表）。</w:t>
      </w:r>
    </w:p>
    <w:p>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八、属于价格折扣范围的小型微型企业、监狱企业、残疾人福利性单位情况：</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vAlign w:val="center"/>
          </w:tcPr>
          <w:p>
            <w:pPr>
              <w:spacing w:line="560" w:lineRule="exact"/>
              <w:rPr>
                <w:rFonts w:ascii="仿宋_GB2312" w:eastAsia="仿宋_GB2312"/>
                <w:sz w:val="24"/>
                <w:highlight w:val="none"/>
              </w:rPr>
            </w:pPr>
            <w:r>
              <w:rPr>
                <w:rFonts w:hint="eastAsia" w:ascii="仿宋_GB2312" w:eastAsia="仿宋_GB2312"/>
                <w:b/>
                <w:sz w:val="24"/>
                <w:highlight w:val="none"/>
              </w:rPr>
              <w:t>单位名称（小型微型企业、监狱企业、残疾人福利性单位）</w:t>
            </w:r>
          </w:p>
        </w:tc>
        <w:tc>
          <w:tcPr>
            <w:tcW w:w="1503" w:type="dxa"/>
            <w:vAlign w:val="center"/>
          </w:tcPr>
          <w:p>
            <w:pPr>
              <w:spacing w:line="560" w:lineRule="exact"/>
              <w:rPr>
                <w:rFonts w:ascii="仿宋_GB2312" w:eastAsia="仿宋_GB2312"/>
                <w:b/>
                <w:sz w:val="24"/>
                <w:highlight w:val="none"/>
              </w:rPr>
            </w:pPr>
            <w:r>
              <w:rPr>
                <w:rFonts w:hint="eastAsia" w:ascii="仿宋_GB2312" w:eastAsia="仿宋_GB2312"/>
                <w:b/>
                <w:sz w:val="24"/>
                <w:highlight w:val="none"/>
              </w:rPr>
              <w:t>投标报价（元）</w:t>
            </w:r>
          </w:p>
        </w:tc>
        <w:tc>
          <w:tcPr>
            <w:tcW w:w="2520" w:type="dxa"/>
            <w:vAlign w:val="center"/>
          </w:tcPr>
          <w:p>
            <w:pPr>
              <w:spacing w:line="560" w:lineRule="exact"/>
              <w:rPr>
                <w:rFonts w:ascii="仿宋_GB2312" w:eastAsia="仿宋_GB2312"/>
                <w:sz w:val="22"/>
                <w:szCs w:val="22"/>
                <w:highlight w:val="none"/>
              </w:rPr>
            </w:pPr>
            <w:r>
              <w:rPr>
                <w:rFonts w:hint="eastAsia" w:ascii="仿宋_GB2312" w:eastAsia="仿宋_GB2312"/>
                <w:b/>
                <w:sz w:val="24"/>
                <w:highlight w:val="none"/>
              </w:rPr>
              <w:t>评标价格</w:t>
            </w:r>
            <w:r>
              <w:rPr>
                <w:rFonts w:hint="eastAsia" w:ascii="仿宋_GB2312" w:eastAsia="仿宋_GB2312"/>
                <w:sz w:val="22"/>
                <w:szCs w:val="22"/>
                <w:highlight w:val="none"/>
              </w:rPr>
              <w:t>（价格扣除后的价格）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320" w:type="dxa"/>
          </w:tcPr>
          <w:p>
            <w:pPr>
              <w:spacing w:line="560" w:lineRule="exact"/>
              <w:rPr>
                <w:rFonts w:ascii="仿宋_GB2312" w:eastAsia="仿宋_GB2312"/>
                <w:sz w:val="24"/>
                <w:highlight w:val="none"/>
              </w:rPr>
            </w:pPr>
          </w:p>
        </w:tc>
        <w:tc>
          <w:tcPr>
            <w:tcW w:w="1503" w:type="dxa"/>
          </w:tcPr>
          <w:p>
            <w:pPr>
              <w:spacing w:line="560" w:lineRule="exact"/>
              <w:rPr>
                <w:rFonts w:ascii="仿宋_GB2312" w:eastAsia="仿宋_GB2312"/>
                <w:sz w:val="24"/>
                <w:highlight w:val="none"/>
              </w:rPr>
            </w:pPr>
          </w:p>
        </w:tc>
        <w:tc>
          <w:tcPr>
            <w:tcW w:w="2520" w:type="dxa"/>
          </w:tcPr>
          <w:p>
            <w:pPr>
              <w:spacing w:line="560" w:lineRule="exact"/>
              <w:rPr>
                <w:rFonts w:ascii="仿宋_GB2312" w:eastAsia="仿宋_GB2312"/>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pPr>
              <w:spacing w:line="560" w:lineRule="exact"/>
              <w:rPr>
                <w:rFonts w:ascii="仿宋_GB2312" w:eastAsia="仿宋_GB2312"/>
                <w:sz w:val="24"/>
                <w:highlight w:val="none"/>
              </w:rPr>
            </w:pPr>
          </w:p>
        </w:tc>
        <w:tc>
          <w:tcPr>
            <w:tcW w:w="1503" w:type="dxa"/>
          </w:tcPr>
          <w:p>
            <w:pPr>
              <w:spacing w:line="560" w:lineRule="exact"/>
              <w:rPr>
                <w:rFonts w:ascii="仿宋_GB2312" w:eastAsia="仿宋_GB2312"/>
                <w:sz w:val="24"/>
                <w:highlight w:val="none"/>
              </w:rPr>
            </w:pPr>
          </w:p>
        </w:tc>
        <w:tc>
          <w:tcPr>
            <w:tcW w:w="2520" w:type="dxa"/>
          </w:tcPr>
          <w:p>
            <w:pPr>
              <w:spacing w:line="560" w:lineRule="exact"/>
              <w:rPr>
                <w:rFonts w:ascii="仿宋_GB2312" w:eastAsia="仿宋_GB2312"/>
                <w:sz w:val="24"/>
                <w:highlight w:val="none"/>
              </w:rPr>
            </w:pPr>
          </w:p>
        </w:tc>
      </w:tr>
    </w:tbl>
    <w:p>
      <w:pPr>
        <w:spacing w:line="560" w:lineRule="exact"/>
        <w:ind w:firstLine="482" w:firstLineChars="200"/>
        <w:rPr>
          <w:rFonts w:ascii="仿宋_GB2312" w:eastAsia="仿宋_GB2312"/>
          <w:b/>
          <w:sz w:val="24"/>
          <w:highlight w:val="none"/>
        </w:rPr>
      </w:pPr>
    </w:p>
    <w:p>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九、经评审的价格或评分比较一览表。</w:t>
      </w:r>
    </w:p>
    <w:p>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评标委员会对各有效投标进行了详细评审，各供应商的报价及排序如下：</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pPr>
              <w:spacing w:line="560" w:lineRule="exact"/>
              <w:jc w:val="center"/>
              <w:rPr>
                <w:rFonts w:ascii="仿宋_GB2312" w:eastAsia="仿宋_GB2312"/>
                <w:sz w:val="24"/>
                <w:highlight w:val="none"/>
              </w:rPr>
            </w:pPr>
            <w:r>
              <w:rPr>
                <w:rFonts w:hint="eastAsia" w:ascii="仿宋_GB2312" w:eastAsia="仿宋_GB2312"/>
                <w:sz w:val="24"/>
                <w:highlight w:val="none"/>
              </w:rPr>
              <w:t>供应商</w:t>
            </w:r>
          </w:p>
        </w:tc>
        <w:tc>
          <w:tcPr>
            <w:tcW w:w="1193" w:type="dxa"/>
            <w:vAlign w:val="center"/>
          </w:tcPr>
          <w:p>
            <w:pPr>
              <w:spacing w:line="560" w:lineRule="exact"/>
              <w:jc w:val="center"/>
              <w:rPr>
                <w:rFonts w:ascii="仿宋_GB2312" w:eastAsia="仿宋_GB2312"/>
                <w:sz w:val="24"/>
                <w:highlight w:val="none"/>
              </w:rPr>
            </w:pPr>
            <w:r>
              <w:rPr>
                <w:rFonts w:hint="eastAsia" w:ascii="仿宋_GB2312" w:eastAsia="仿宋_GB2312"/>
                <w:b/>
                <w:sz w:val="24"/>
                <w:highlight w:val="none"/>
              </w:rPr>
              <w:t>投标报价</w:t>
            </w:r>
            <w:r>
              <w:rPr>
                <w:rFonts w:hint="eastAsia" w:ascii="仿宋_GB2312" w:eastAsia="仿宋_GB2312"/>
                <w:sz w:val="24"/>
                <w:highlight w:val="none"/>
              </w:rPr>
              <w:t>（元）</w:t>
            </w:r>
          </w:p>
        </w:tc>
        <w:tc>
          <w:tcPr>
            <w:tcW w:w="1453" w:type="dxa"/>
            <w:vAlign w:val="center"/>
          </w:tcPr>
          <w:p>
            <w:pPr>
              <w:spacing w:line="560" w:lineRule="exact"/>
              <w:jc w:val="center"/>
              <w:rPr>
                <w:rFonts w:ascii="仿宋_GB2312" w:eastAsia="仿宋_GB2312"/>
                <w:sz w:val="24"/>
                <w:highlight w:val="none"/>
              </w:rPr>
            </w:pPr>
            <w:r>
              <w:rPr>
                <w:rFonts w:hint="eastAsia" w:ascii="仿宋_GB2312" w:eastAsia="仿宋_GB2312"/>
                <w:b/>
                <w:sz w:val="24"/>
                <w:highlight w:val="none"/>
              </w:rPr>
              <w:t>得分</w:t>
            </w:r>
          </w:p>
        </w:tc>
        <w:tc>
          <w:tcPr>
            <w:tcW w:w="2071" w:type="dxa"/>
            <w:vAlign w:val="center"/>
          </w:tcPr>
          <w:p>
            <w:pPr>
              <w:spacing w:line="560" w:lineRule="exact"/>
              <w:rPr>
                <w:rFonts w:ascii="仿宋_GB2312" w:eastAsia="仿宋_GB2312"/>
                <w:sz w:val="22"/>
                <w:szCs w:val="22"/>
                <w:highlight w:val="none"/>
              </w:rPr>
            </w:pPr>
            <w:r>
              <w:rPr>
                <w:rFonts w:hint="eastAsia" w:ascii="仿宋_GB2312" w:eastAsia="仿宋_GB2312"/>
                <w:b/>
                <w:sz w:val="24"/>
                <w:highlight w:val="none"/>
              </w:rPr>
              <w:t>排序</w:t>
            </w:r>
            <w:r>
              <w:rPr>
                <w:rFonts w:hint="eastAsia" w:ascii="仿宋_GB2312" w:eastAsia="仿宋_GB2312"/>
                <w:sz w:val="22"/>
                <w:szCs w:val="22"/>
                <w:highlight w:val="none"/>
              </w:rPr>
              <w:t>（按得分从高到低排）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2" w:hRule="atLeast"/>
          <w:jc w:val="center"/>
        </w:trPr>
        <w:tc>
          <w:tcPr>
            <w:tcW w:w="3562" w:type="dxa"/>
          </w:tcPr>
          <w:p>
            <w:pPr>
              <w:spacing w:line="560" w:lineRule="exact"/>
              <w:rPr>
                <w:rFonts w:ascii="仿宋_GB2312" w:eastAsia="仿宋_GB2312"/>
                <w:color w:val="0000FF"/>
                <w:sz w:val="24"/>
                <w:highlight w:val="none"/>
              </w:rPr>
            </w:pPr>
          </w:p>
        </w:tc>
        <w:tc>
          <w:tcPr>
            <w:tcW w:w="1193" w:type="dxa"/>
          </w:tcPr>
          <w:p>
            <w:pPr>
              <w:spacing w:line="560" w:lineRule="exact"/>
              <w:rPr>
                <w:rFonts w:ascii="仿宋_GB2312" w:eastAsia="仿宋_GB2312"/>
                <w:color w:val="0000FF"/>
                <w:sz w:val="24"/>
                <w:highlight w:val="none"/>
              </w:rPr>
            </w:pPr>
          </w:p>
        </w:tc>
        <w:tc>
          <w:tcPr>
            <w:tcW w:w="1453" w:type="dxa"/>
          </w:tcPr>
          <w:p>
            <w:pPr>
              <w:spacing w:line="560" w:lineRule="exact"/>
              <w:rPr>
                <w:rFonts w:ascii="仿宋_GB2312" w:eastAsia="仿宋_GB2312"/>
                <w:color w:val="0000FF"/>
                <w:sz w:val="24"/>
                <w:highlight w:val="none"/>
              </w:rPr>
            </w:pPr>
          </w:p>
        </w:tc>
        <w:tc>
          <w:tcPr>
            <w:tcW w:w="2071" w:type="dxa"/>
          </w:tcPr>
          <w:p>
            <w:pPr>
              <w:spacing w:line="560" w:lineRule="exact"/>
              <w:rPr>
                <w:rFonts w:ascii="仿宋_GB2312" w:eastAsia="仿宋_GB2312"/>
                <w:color w:val="0000FF"/>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pPr>
              <w:spacing w:line="560" w:lineRule="exact"/>
              <w:rPr>
                <w:rFonts w:ascii="仿宋_GB2312" w:eastAsia="仿宋_GB2312"/>
                <w:color w:val="0000FF"/>
                <w:sz w:val="24"/>
                <w:highlight w:val="none"/>
              </w:rPr>
            </w:pPr>
          </w:p>
        </w:tc>
        <w:tc>
          <w:tcPr>
            <w:tcW w:w="1193" w:type="dxa"/>
          </w:tcPr>
          <w:p>
            <w:pPr>
              <w:spacing w:line="560" w:lineRule="exact"/>
              <w:rPr>
                <w:rFonts w:ascii="仿宋_GB2312" w:eastAsia="仿宋_GB2312"/>
                <w:color w:val="0000FF"/>
                <w:sz w:val="24"/>
                <w:highlight w:val="none"/>
              </w:rPr>
            </w:pPr>
          </w:p>
        </w:tc>
        <w:tc>
          <w:tcPr>
            <w:tcW w:w="1453" w:type="dxa"/>
          </w:tcPr>
          <w:p>
            <w:pPr>
              <w:spacing w:line="560" w:lineRule="exact"/>
              <w:rPr>
                <w:rFonts w:ascii="仿宋_GB2312" w:eastAsia="仿宋_GB2312"/>
                <w:color w:val="0000FF"/>
                <w:sz w:val="24"/>
                <w:highlight w:val="none"/>
              </w:rPr>
            </w:pPr>
          </w:p>
        </w:tc>
        <w:tc>
          <w:tcPr>
            <w:tcW w:w="2071" w:type="dxa"/>
          </w:tcPr>
          <w:p>
            <w:pPr>
              <w:spacing w:line="560" w:lineRule="exact"/>
              <w:rPr>
                <w:rFonts w:ascii="仿宋_GB2312" w:eastAsia="仿宋_GB2312"/>
                <w:color w:val="0000FF"/>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pPr>
              <w:spacing w:line="560" w:lineRule="exact"/>
              <w:rPr>
                <w:rFonts w:ascii="仿宋_GB2312" w:eastAsia="仿宋_GB2312"/>
                <w:color w:val="0000FF"/>
                <w:sz w:val="24"/>
                <w:highlight w:val="none"/>
              </w:rPr>
            </w:pPr>
          </w:p>
        </w:tc>
        <w:tc>
          <w:tcPr>
            <w:tcW w:w="1193" w:type="dxa"/>
          </w:tcPr>
          <w:p>
            <w:pPr>
              <w:spacing w:line="560" w:lineRule="exact"/>
              <w:rPr>
                <w:rFonts w:ascii="仿宋_GB2312" w:eastAsia="仿宋_GB2312"/>
                <w:color w:val="0000FF"/>
                <w:sz w:val="24"/>
                <w:highlight w:val="none"/>
              </w:rPr>
            </w:pPr>
          </w:p>
        </w:tc>
        <w:tc>
          <w:tcPr>
            <w:tcW w:w="1453" w:type="dxa"/>
          </w:tcPr>
          <w:p>
            <w:pPr>
              <w:spacing w:line="560" w:lineRule="exact"/>
              <w:rPr>
                <w:rFonts w:ascii="仿宋_GB2312" w:eastAsia="仿宋_GB2312"/>
                <w:color w:val="0000FF"/>
                <w:sz w:val="24"/>
                <w:highlight w:val="none"/>
              </w:rPr>
            </w:pPr>
          </w:p>
        </w:tc>
        <w:tc>
          <w:tcPr>
            <w:tcW w:w="2071" w:type="dxa"/>
          </w:tcPr>
          <w:p>
            <w:pPr>
              <w:spacing w:line="560" w:lineRule="exact"/>
              <w:rPr>
                <w:rFonts w:ascii="仿宋_GB2312" w:eastAsia="仿宋_GB2312"/>
                <w:color w:val="0000FF"/>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pPr>
              <w:spacing w:line="560" w:lineRule="exact"/>
              <w:rPr>
                <w:rFonts w:ascii="仿宋_GB2312" w:eastAsia="仿宋_GB2312"/>
                <w:color w:val="0000FF"/>
                <w:sz w:val="24"/>
                <w:highlight w:val="none"/>
              </w:rPr>
            </w:pPr>
          </w:p>
        </w:tc>
        <w:tc>
          <w:tcPr>
            <w:tcW w:w="1193" w:type="dxa"/>
          </w:tcPr>
          <w:p>
            <w:pPr>
              <w:spacing w:line="560" w:lineRule="exact"/>
              <w:rPr>
                <w:rFonts w:ascii="仿宋_GB2312" w:eastAsia="仿宋_GB2312"/>
                <w:color w:val="0000FF"/>
                <w:sz w:val="24"/>
                <w:highlight w:val="none"/>
              </w:rPr>
            </w:pPr>
          </w:p>
        </w:tc>
        <w:tc>
          <w:tcPr>
            <w:tcW w:w="1453" w:type="dxa"/>
          </w:tcPr>
          <w:p>
            <w:pPr>
              <w:spacing w:line="560" w:lineRule="exact"/>
              <w:rPr>
                <w:rFonts w:ascii="仿宋_GB2312" w:eastAsia="仿宋_GB2312"/>
                <w:color w:val="0000FF"/>
                <w:sz w:val="24"/>
                <w:highlight w:val="none"/>
              </w:rPr>
            </w:pPr>
          </w:p>
        </w:tc>
        <w:tc>
          <w:tcPr>
            <w:tcW w:w="2071" w:type="dxa"/>
          </w:tcPr>
          <w:p>
            <w:pPr>
              <w:spacing w:line="560" w:lineRule="exact"/>
              <w:rPr>
                <w:rFonts w:ascii="仿宋_GB2312" w:eastAsia="仿宋_GB2312"/>
                <w:color w:val="0000FF"/>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pPr>
              <w:spacing w:line="560" w:lineRule="exact"/>
              <w:rPr>
                <w:rFonts w:ascii="仿宋_GB2312" w:eastAsia="仿宋_GB2312"/>
                <w:color w:val="0000FF"/>
                <w:sz w:val="24"/>
                <w:highlight w:val="none"/>
              </w:rPr>
            </w:pPr>
          </w:p>
        </w:tc>
        <w:tc>
          <w:tcPr>
            <w:tcW w:w="1193" w:type="dxa"/>
          </w:tcPr>
          <w:p>
            <w:pPr>
              <w:spacing w:line="560" w:lineRule="exact"/>
              <w:rPr>
                <w:rFonts w:ascii="仿宋_GB2312" w:eastAsia="仿宋_GB2312"/>
                <w:color w:val="0000FF"/>
                <w:sz w:val="24"/>
                <w:highlight w:val="none"/>
              </w:rPr>
            </w:pPr>
          </w:p>
        </w:tc>
        <w:tc>
          <w:tcPr>
            <w:tcW w:w="1453" w:type="dxa"/>
          </w:tcPr>
          <w:p>
            <w:pPr>
              <w:spacing w:line="560" w:lineRule="exact"/>
              <w:rPr>
                <w:rFonts w:ascii="仿宋_GB2312" w:eastAsia="仿宋_GB2312"/>
                <w:color w:val="0000FF"/>
                <w:sz w:val="24"/>
                <w:highlight w:val="none"/>
              </w:rPr>
            </w:pPr>
          </w:p>
        </w:tc>
        <w:tc>
          <w:tcPr>
            <w:tcW w:w="2071" w:type="dxa"/>
          </w:tcPr>
          <w:p>
            <w:pPr>
              <w:spacing w:line="560" w:lineRule="exact"/>
              <w:rPr>
                <w:rFonts w:ascii="仿宋_GB2312" w:eastAsia="仿宋_GB2312"/>
                <w:color w:val="0000FF"/>
                <w:sz w:val="24"/>
                <w:highlight w:val="none"/>
              </w:rPr>
            </w:pPr>
          </w:p>
        </w:tc>
      </w:tr>
    </w:tbl>
    <w:p>
      <w:pPr>
        <w:spacing w:line="560" w:lineRule="exact"/>
        <w:ind w:firstLine="600"/>
        <w:rPr>
          <w:rFonts w:ascii="仿宋_GB2312" w:eastAsia="仿宋_GB2312"/>
          <w:sz w:val="24"/>
          <w:highlight w:val="none"/>
        </w:rPr>
      </w:pPr>
      <w:r>
        <w:rPr>
          <w:rFonts w:hint="eastAsia" w:ascii="仿宋_GB2312" w:eastAsia="仿宋_GB2312"/>
          <w:sz w:val="24"/>
          <w:highlight w:val="none"/>
        </w:rPr>
        <w:t>本项目采购控制金额为：</w:t>
      </w:r>
      <w:r>
        <w:rPr>
          <w:rFonts w:hint="eastAsia" w:ascii="仿宋_GB2312" w:eastAsia="仿宋_GB2312"/>
          <w:sz w:val="24"/>
          <w:highlight w:val="none"/>
          <w:u w:val="single"/>
        </w:rPr>
        <w:t>　　　　　　　　　</w:t>
      </w:r>
      <w:r>
        <w:rPr>
          <w:rFonts w:hint="eastAsia" w:ascii="仿宋_GB2312" w:eastAsia="仿宋_GB2312"/>
          <w:sz w:val="24"/>
          <w:highlight w:val="none"/>
        </w:rPr>
        <w:t>。</w:t>
      </w:r>
    </w:p>
    <w:p>
      <w:pPr>
        <w:spacing w:line="560" w:lineRule="exact"/>
        <w:ind w:firstLine="600"/>
        <w:rPr>
          <w:rFonts w:ascii="仿宋_GB2312" w:eastAsia="仿宋_GB2312"/>
          <w:b/>
          <w:sz w:val="24"/>
          <w:highlight w:val="none"/>
        </w:rPr>
      </w:pPr>
      <w:r>
        <w:rPr>
          <w:rFonts w:hint="eastAsia" w:ascii="仿宋_GB2312" w:eastAsia="仿宋_GB2312"/>
          <w:b/>
          <w:sz w:val="24"/>
          <w:highlight w:val="none"/>
        </w:rPr>
        <w:t>十、推荐的中标候选人。</w:t>
      </w:r>
    </w:p>
    <w:p>
      <w:pPr>
        <w:spacing w:line="560" w:lineRule="exact"/>
        <w:ind w:firstLine="600"/>
        <w:rPr>
          <w:rFonts w:ascii="仿宋_GB2312" w:eastAsia="仿宋_GB2312"/>
          <w:sz w:val="24"/>
          <w:highlight w:val="none"/>
        </w:rPr>
      </w:pPr>
      <w:r>
        <w:rPr>
          <w:rFonts w:hint="eastAsia" w:ascii="仿宋_GB2312" w:eastAsia="仿宋_GB2312"/>
          <w:sz w:val="24"/>
          <w:highlight w:val="none"/>
        </w:rPr>
        <w:t>评标委员会根据招标文件的有关规定，一致同意推荐中标候选人及其排名顺序为：</w:t>
      </w:r>
    </w:p>
    <w:p>
      <w:pPr>
        <w:spacing w:line="560" w:lineRule="exact"/>
        <w:ind w:firstLine="600"/>
        <w:rPr>
          <w:rFonts w:ascii="仿宋_GB2312" w:eastAsia="仿宋_GB2312"/>
          <w:sz w:val="24"/>
          <w:highlight w:val="none"/>
          <w:u w:val="single"/>
        </w:rPr>
      </w:pPr>
      <w:r>
        <w:rPr>
          <w:rFonts w:hint="eastAsia" w:ascii="仿宋_GB2312" w:eastAsia="仿宋_GB2312"/>
          <w:sz w:val="24"/>
          <w:highlight w:val="none"/>
        </w:rPr>
        <w:t>第一中标候选人：</w:t>
      </w:r>
      <w:r>
        <w:rPr>
          <w:rFonts w:hint="eastAsia" w:ascii="仿宋_GB2312" w:eastAsia="仿宋_GB2312"/>
          <w:sz w:val="24"/>
          <w:highlight w:val="none"/>
          <w:u w:val="single"/>
        </w:rPr>
        <w:t xml:space="preserve">                                            </w:t>
      </w:r>
    </w:p>
    <w:p>
      <w:pPr>
        <w:spacing w:line="560" w:lineRule="exact"/>
        <w:ind w:firstLine="600"/>
        <w:rPr>
          <w:rFonts w:ascii="仿宋_GB2312" w:eastAsia="仿宋_GB2312"/>
          <w:sz w:val="24"/>
          <w:highlight w:val="none"/>
          <w:u w:val="single"/>
        </w:rPr>
      </w:pPr>
      <w:r>
        <w:rPr>
          <w:rFonts w:hint="eastAsia" w:ascii="仿宋_GB2312" w:eastAsia="仿宋_GB2312"/>
          <w:sz w:val="24"/>
          <w:highlight w:val="none"/>
        </w:rPr>
        <w:t>第二中标候选人：</w:t>
      </w:r>
      <w:r>
        <w:rPr>
          <w:rFonts w:hint="eastAsia" w:ascii="仿宋_GB2312" w:eastAsia="仿宋_GB2312"/>
          <w:sz w:val="24"/>
          <w:highlight w:val="none"/>
          <w:u w:val="single"/>
        </w:rPr>
        <w:t xml:space="preserve">                                            </w:t>
      </w:r>
    </w:p>
    <w:p>
      <w:pPr>
        <w:spacing w:line="560" w:lineRule="exact"/>
        <w:ind w:firstLine="600"/>
        <w:rPr>
          <w:rFonts w:ascii="仿宋_GB2312" w:eastAsia="仿宋_GB2312"/>
          <w:sz w:val="24"/>
          <w:highlight w:val="none"/>
        </w:rPr>
      </w:pPr>
      <w:r>
        <w:rPr>
          <w:rFonts w:hint="eastAsia" w:ascii="仿宋_GB2312" w:eastAsia="仿宋_GB2312"/>
          <w:sz w:val="24"/>
          <w:highlight w:val="none"/>
        </w:rPr>
        <w:t>第三中标候选人：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p>
    <w:p>
      <w:pPr>
        <w:spacing w:line="560" w:lineRule="exact"/>
        <w:ind w:firstLine="600"/>
        <w:rPr>
          <w:rFonts w:ascii="仿宋_GB2312" w:eastAsia="仿宋_GB2312"/>
          <w:b/>
          <w:sz w:val="24"/>
          <w:highlight w:val="none"/>
        </w:rPr>
      </w:pPr>
      <w:r>
        <w:rPr>
          <w:rFonts w:hint="eastAsia" w:ascii="仿宋_GB2312" w:eastAsia="仿宋_GB2312"/>
          <w:b/>
          <w:sz w:val="24"/>
          <w:highlight w:val="none"/>
        </w:rPr>
        <w:t>十一、澄清、说明、补正事项纪要。</w:t>
      </w:r>
    </w:p>
    <w:p>
      <w:pPr>
        <w:spacing w:line="560" w:lineRule="exact"/>
        <w:ind w:firstLine="600"/>
        <w:rPr>
          <w:rFonts w:ascii="仿宋_GB2312" w:eastAsia="仿宋_GB2312"/>
          <w:b/>
          <w:sz w:val="24"/>
          <w:highlight w:val="none"/>
        </w:rPr>
      </w:pPr>
    </w:p>
    <w:p>
      <w:pPr>
        <w:spacing w:line="560" w:lineRule="exact"/>
        <w:ind w:firstLine="600"/>
        <w:rPr>
          <w:rFonts w:ascii="仿宋_GB2312" w:eastAsia="仿宋_GB2312"/>
          <w:sz w:val="24"/>
          <w:highlight w:val="none"/>
        </w:rPr>
      </w:pPr>
      <w:r>
        <w:rPr>
          <w:rFonts w:hint="eastAsia" w:ascii="仿宋_GB2312" w:eastAsia="仿宋_GB2312"/>
          <w:sz w:val="24"/>
          <w:highlight w:val="none"/>
        </w:rPr>
        <w:t>评标委员会主任：</w:t>
      </w:r>
    </w:p>
    <w:p>
      <w:pPr>
        <w:spacing w:line="560" w:lineRule="exact"/>
        <w:ind w:firstLine="600"/>
        <w:rPr>
          <w:rFonts w:ascii="仿宋_GB2312" w:eastAsia="仿宋_GB2312"/>
          <w:sz w:val="24"/>
          <w:highlight w:val="none"/>
        </w:rPr>
      </w:pPr>
      <w:r>
        <w:rPr>
          <w:rFonts w:hint="eastAsia" w:ascii="仿宋_GB2312" w:eastAsia="仿宋_GB2312"/>
          <w:sz w:val="24"/>
          <w:highlight w:val="none"/>
        </w:rPr>
        <w:t>评标委员会成员：</w:t>
      </w:r>
    </w:p>
    <w:p>
      <w:pPr>
        <w:pStyle w:val="10"/>
        <w:wordWrap w:val="0"/>
        <w:spacing w:line="560" w:lineRule="exact"/>
        <w:ind w:firstLine="2409" w:firstLineChars="1000"/>
        <w:rPr>
          <w:rFonts w:ascii="仿宋_GB2312" w:eastAsia="仿宋_GB2312"/>
          <w:b/>
          <w:sz w:val="24"/>
          <w:highlight w:val="none"/>
        </w:rPr>
      </w:pPr>
      <w:r>
        <w:rPr>
          <w:rFonts w:hint="eastAsia" w:ascii="仿宋_GB2312" w:eastAsia="仿宋_GB2312"/>
          <w:b/>
          <w:sz w:val="24"/>
          <w:highlight w:val="none"/>
          <w:u w:val="single"/>
        </w:rPr>
        <w:t>　　　　　　　　　　　　　　</w:t>
      </w:r>
      <w:r>
        <w:rPr>
          <w:rFonts w:hint="eastAsia" w:ascii="仿宋_GB2312" w:eastAsia="仿宋_GB2312"/>
          <w:b/>
          <w:sz w:val="24"/>
          <w:highlight w:val="none"/>
        </w:rPr>
        <w:t xml:space="preserve">项目评标委员会 </w:t>
      </w:r>
      <w:r>
        <w:rPr>
          <w:rFonts w:ascii="仿宋_GB2312" w:eastAsia="仿宋_GB2312"/>
          <w:b/>
          <w:sz w:val="24"/>
          <w:highlight w:val="none"/>
        </w:rPr>
        <w:t xml:space="preserve">   </w:t>
      </w:r>
    </w:p>
    <w:p>
      <w:pPr>
        <w:spacing w:line="560" w:lineRule="exact"/>
        <w:ind w:firstLine="6000" w:firstLineChars="2500"/>
        <w:jc w:val="left"/>
        <w:rPr>
          <w:rFonts w:ascii="仿宋_GB2312" w:eastAsia="仿宋_GB2312"/>
          <w:sz w:val="24"/>
          <w:highlight w:val="none"/>
        </w:rPr>
      </w:pPr>
      <w:r>
        <w:rPr>
          <w:rFonts w:hint="eastAsia" w:ascii="仿宋_GB2312" w:eastAsia="仿宋_GB2312"/>
          <w:sz w:val="24"/>
          <w:highlight w:val="none"/>
        </w:rPr>
        <w:t>年</w:t>
      </w:r>
      <w:r>
        <w:rPr>
          <w:rFonts w:hint="eastAsia" w:ascii="仿宋_GB2312" w:eastAsia="仿宋_GB2312"/>
          <w:sz w:val="24"/>
          <w:highlight w:val="none"/>
          <w:u w:val="single"/>
        </w:rPr>
        <w:t xml:space="preserve">   </w:t>
      </w:r>
      <w:r>
        <w:rPr>
          <w:rFonts w:hint="eastAsia" w:ascii="仿宋_GB2312" w:eastAsia="仿宋_GB2312"/>
          <w:sz w:val="24"/>
          <w:highlight w:val="none"/>
        </w:rPr>
        <w:t>月</w:t>
      </w:r>
      <w:r>
        <w:rPr>
          <w:rFonts w:hint="eastAsia" w:ascii="仿宋_GB2312" w:eastAsia="仿宋_GB2312"/>
          <w:sz w:val="24"/>
          <w:highlight w:val="none"/>
          <w:u w:val="single"/>
        </w:rPr>
        <w:t xml:space="preserve">   </w:t>
      </w:r>
      <w:r>
        <w:rPr>
          <w:rFonts w:hint="eastAsia" w:ascii="仿宋_GB2312" w:eastAsia="仿宋_GB2312"/>
          <w:sz w:val="24"/>
          <w:highlight w:val="none"/>
        </w:rPr>
        <w:t>日</w:t>
      </w:r>
    </w:p>
    <w:p>
      <w:pPr>
        <w:spacing w:line="560" w:lineRule="exact"/>
        <w:rPr>
          <w:rFonts w:ascii="仿宋_GB2312" w:eastAsia="仿宋_GB2312"/>
          <w:sz w:val="28"/>
          <w:szCs w:val="28"/>
          <w:highlight w:val="none"/>
        </w:rPr>
      </w:pPr>
      <w:r>
        <w:rPr>
          <w:rFonts w:ascii="仿宋_GB2312" w:eastAsia="仿宋_GB2312"/>
          <w:sz w:val="28"/>
          <w:szCs w:val="28"/>
          <w:highlight w:val="none"/>
        </w:rPr>
        <w:br w:type="page"/>
      </w:r>
    </w:p>
    <w:p>
      <w:pPr>
        <w:pStyle w:val="2"/>
        <w:jc w:val="center"/>
        <w:rPr>
          <w:rFonts w:ascii="宋体" w:hAnsi="宋体"/>
          <w:highlight w:val="none"/>
        </w:rPr>
      </w:pPr>
      <w:bookmarkStart w:id="641" w:name="_Toc152042387"/>
      <w:bookmarkStart w:id="642" w:name="_Toc346523419"/>
      <w:bookmarkStart w:id="643" w:name="_Toc246996252"/>
      <w:bookmarkStart w:id="644" w:name="_Toc346523482"/>
      <w:bookmarkStart w:id="645" w:name="_Toc22308"/>
      <w:bookmarkStart w:id="646" w:name="_Toc494526416"/>
      <w:bookmarkStart w:id="647" w:name="_Toc179632627"/>
      <w:bookmarkStart w:id="648" w:name="_Toc247085767"/>
      <w:bookmarkStart w:id="649" w:name="_Toc144974577"/>
      <w:bookmarkStart w:id="650" w:name="_Toc152045609"/>
      <w:bookmarkStart w:id="651" w:name="_Toc338840498"/>
      <w:bookmarkStart w:id="652" w:name="_Toc9654"/>
      <w:bookmarkStart w:id="653" w:name="_Toc338840459"/>
      <w:bookmarkStart w:id="654" w:name="_Toc17369"/>
      <w:bookmarkStart w:id="655" w:name="_Toc338840250"/>
      <w:bookmarkStart w:id="656" w:name="_Toc14959"/>
      <w:bookmarkStart w:id="657" w:name="_Toc246996995"/>
      <w:bookmarkStart w:id="658" w:name="_Toc494093444"/>
      <w:r>
        <w:rPr>
          <w:rFonts w:hint="eastAsia" w:ascii="宋体" w:hAnsi="宋体"/>
          <w:highlight w:val="none"/>
        </w:rPr>
        <w:t>第四章 合同条款及格式</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Start w:id="659" w:name="_Toc246996338"/>
      <w:bookmarkStart w:id="660" w:name="_Toc179632787"/>
      <w:bookmarkStart w:id="661" w:name="_Toc152045769"/>
      <w:bookmarkStart w:id="662" w:name="_Toc144974831"/>
      <w:bookmarkStart w:id="663" w:name="_Toc247085853"/>
      <w:bookmarkStart w:id="664" w:name="_Toc246997081"/>
      <w:bookmarkStart w:id="665" w:name="_Toc152042551"/>
    </w:p>
    <w:p>
      <w:pPr>
        <w:widowControl/>
        <w:ind w:firstLine="3058" w:firstLineChars="695"/>
        <w:rPr>
          <w:rFonts w:ascii="宋体" w:hAnsi="宋体"/>
          <w:bCs/>
          <w:kern w:val="0"/>
          <w:sz w:val="44"/>
          <w:szCs w:val="44"/>
          <w:highlight w:val="none"/>
        </w:rPr>
      </w:pPr>
      <w:r>
        <w:rPr>
          <w:rFonts w:hint="eastAsia" w:ascii="宋体" w:hAnsi="宋体"/>
          <w:bCs/>
          <w:kern w:val="0"/>
          <w:sz w:val="44"/>
          <w:szCs w:val="44"/>
          <w:highlight w:val="none"/>
        </w:rPr>
        <w:t>合同协议书</w:t>
      </w:r>
    </w:p>
    <w:tbl>
      <w:tblPr>
        <w:tblStyle w:val="32"/>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pPr>
              <w:widowControl/>
              <w:spacing w:before="120" w:line="400" w:lineRule="exact"/>
              <w:ind w:left="105"/>
              <w:rPr>
                <w:rFonts w:ascii="宋体" w:hAnsi="宋体"/>
                <w:kern w:val="0"/>
                <w:sz w:val="24"/>
                <w:highlight w:val="none"/>
              </w:rPr>
            </w:pPr>
            <w:r>
              <w:rPr>
                <w:rFonts w:hint="eastAsia" w:ascii="宋体" w:hAnsi="宋体"/>
                <w:kern w:val="0"/>
                <w:sz w:val="24"/>
                <w:highlight w:val="none"/>
              </w:rPr>
              <w:t>注释：</w:t>
            </w:r>
            <w:r>
              <w:rPr>
                <w:rFonts w:ascii="宋体" w:hAnsi="宋体"/>
                <w:kern w:val="0"/>
                <w:sz w:val="24"/>
                <w:highlight w:val="none"/>
              </w:rPr>
              <w:t> </w:t>
            </w:r>
            <w:r>
              <w:rPr>
                <w:rFonts w:hint="eastAsia" w:ascii="宋体" w:hAnsi="宋体"/>
                <w:kern w:val="0"/>
                <w:sz w:val="24"/>
                <w:highlight w:val="none"/>
              </w:rPr>
              <w:t>本合同协议书格式条款作为双方签订合同的参考。双方为阐明各方的权利和义务，经协商可增加或减少条款</w:t>
            </w:r>
            <w:r>
              <w:rPr>
                <w:rFonts w:hint="eastAsia" w:ascii="宋体" w:hAnsi="宋体"/>
                <w:kern w:val="0"/>
                <w:sz w:val="24"/>
                <w:highlight w:val="none"/>
                <w:lang w:eastAsia="zh-CN"/>
              </w:rPr>
              <w:t>，</w:t>
            </w:r>
            <w:r>
              <w:rPr>
                <w:rFonts w:hint="eastAsia" w:ascii="宋体" w:hAnsi="宋体"/>
                <w:kern w:val="0"/>
                <w:sz w:val="24"/>
                <w:highlight w:val="none"/>
              </w:rPr>
              <w:t>合同以最终签订为准。 但不得与招标文件、投标文件的实质性内容相背离。</w:t>
            </w:r>
          </w:p>
        </w:tc>
      </w:tr>
    </w:tbl>
    <w:p>
      <w:pPr>
        <w:widowControl/>
        <w:spacing w:line="440" w:lineRule="exact"/>
        <w:rPr>
          <w:rFonts w:ascii="宋体" w:hAnsi="宋体"/>
          <w:kern w:val="0"/>
          <w:szCs w:val="21"/>
          <w:highlight w:val="none"/>
        </w:rPr>
      </w:pPr>
    </w:p>
    <w:p>
      <w:pPr>
        <w:widowControl/>
        <w:spacing w:line="440" w:lineRule="exact"/>
        <w:rPr>
          <w:rFonts w:ascii="宋体" w:hAnsi="宋体"/>
          <w:kern w:val="0"/>
          <w:szCs w:val="21"/>
          <w:highlight w:val="none"/>
        </w:rPr>
      </w:pPr>
    </w:p>
    <w:p>
      <w:pPr>
        <w:widowControl/>
        <w:spacing w:line="440" w:lineRule="exact"/>
        <w:rPr>
          <w:rFonts w:ascii="宋体" w:hAnsi="宋体"/>
          <w:kern w:val="0"/>
          <w:szCs w:val="21"/>
          <w:highlight w:val="none"/>
        </w:rPr>
      </w:pPr>
    </w:p>
    <w:p>
      <w:pPr>
        <w:widowControl/>
        <w:spacing w:line="440" w:lineRule="exact"/>
        <w:rPr>
          <w:rFonts w:ascii="宋体" w:hAnsi="宋体"/>
          <w:kern w:val="0"/>
          <w:szCs w:val="21"/>
          <w:highlight w:val="none"/>
        </w:rPr>
      </w:pPr>
    </w:p>
    <w:p>
      <w:pPr>
        <w:widowControl/>
        <w:spacing w:line="440" w:lineRule="exact"/>
        <w:rPr>
          <w:rFonts w:ascii="宋体" w:hAnsi="宋体"/>
          <w:kern w:val="0"/>
          <w:szCs w:val="21"/>
          <w:highlight w:val="none"/>
        </w:rPr>
      </w:pPr>
      <w:r>
        <w:rPr>
          <w:rFonts w:hint="eastAsia" w:ascii="宋体" w:hAnsi="宋体"/>
          <w:kern w:val="0"/>
          <w:szCs w:val="21"/>
          <w:highlight w:val="none"/>
        </w:rPr>
        <w:t xml:space="preserve">甲方(采购人)：                   住所地：                                             </w:t>
      </w:r>
    </w:p>
    <w:p>
      <w:pPr>
        <w:widowControl/>
        <w:spacing w:line="440" w:lineRule="exact"/>
        <w:rPr>
          <w:rFonts w:ascii="宋体" w:hAnsi="宋体"/>
          <w:kern w:val="0"/>
          <w:szCs w:val="21"/>
          <w:highlight w:val="none"/>
        </w:rPr>
      </w:pPr>
      <w:r>
        <w:rPr>
          <w:rFonts w:hint="eastAsia" w:ascii="宋体" w:hAnsi="宋体"/>
          <w:kern w:val="0"/>
          <w:szCs w:val="21"/>
          <w:highlight w:val="none"/>
        </w:rPr>
        <w:t>乙方（中标人）：                 住所地：</w:t>
      </w:r>
    </w:p>
    <w:p>
      <w:pPr>
        <w:widowControl/>
        <w:spacing w:line="440" w:lineRule="exact"/>
        <w:rPr>
          <w:rFonts w:ascii="宋体" w:hAnsi="宋体"/>
          <w:kern w:val="0"/>
          <w:szCs w:val="21"/>
          <w:highlight w:val="none"/>
        </w:rPr>
      </w:pPr>
      <w:r>
        <w:rPr>
          <w:rFonts w:hint="eastAsia" w:ascii="宋体" w:hAnsi="宋体"/>
          <w:kern w:val="0"/>
          <w:szCs w:val="21"/>
          <w:highlight w:val="none"/>
        </w:rPr>
        <w:t>合同签订地点：　　　　　签订日期：    年   月   日</w:t>
      </w:r>
    </w:p>
    <w:p>
      <w:pPr>
        <w:widowControl/>
        <w:spacing w:line="440" w:lineRule="exact"/>
        <w:ind w:firstLine="560"/>
        <w:jc w:val="left"/>
        <w:rPr>
          <w:rFonts w:ascii="宋体" w:hAnsi="宋体"/>
          <w:kern w:val="0"/>
          <w:szCs w:val="21"/>
          <w:highlight w:val="none"/>
        </w:rPr>
      </w:pPr>
      <w:r>
        <w:rPr>
          <w:rFonts w:hint="eastAsia" w:ascii="宋体" w:hAnsi="宋体"/>
          <w:kern w:val="0"/>
          <w:szCs w:val="21"/>
          <w:highlight w:val="none"/>
        </w:rPr>
        <w:t xml:space="preserve"> </w:t>
      </w:r>
    </w:p>
    <w:p>
      <w:pPr>
        <w:widowControl/>
        <w:spacing w:line="440" w:lineRule="exact"/>
        <w:ind w:firstLine="560"/>
        <w:jc w:val="left"/>
        <w:rPr>
          <w:rFonts w:ascii="宋体" w:hAnsi="宋体"/>
          <w:kern w:val="0"/>
          <w:szCs w:val="21"/>
          <w:highlight w:val="none"/>
        </w:rPr>
      </w:pPr>
      <w:r>
        <w:rPr>
          <w:rFonts w:hint="eastAsia" w:ascii="宋体" w:hAnsi="宋体"/>
          <w:kern w:val="0"/>
          <w:szCs w:val="21"/>
          <w:highlight w:val="none"/>
        </w:rPr>
        <w:t xml:space="preserve">根据《中华人民共和国政府采购法》、《中华人民共和国民法典》等法律法规的规定，甲乙双方按照开封市政府采购中心的招标结果（项目名称： </w:t>
      </w:r>
      <w:r>
        <w:rPr>
          <w:rFonts w:hint="eastAsia" w:ascii="宋体" w:hAnsi="宋体"/>
          <w:kern w:val="0"/>
          <w:szCs w:val="21"/>
          <w:highlight w:val="none"/>
          <w:u w:val="single"/>
        </w:rPr>
        <w:t>　　　　　         　第　　标段</w:t>
      </w:r>
      <w:r>
        <w:rPr>
          <w:rFonts w:hint="eastAsia" w:ascii="宋体" w:hAnsi="宋体"/>
          <w:kern w:val="0"/>
          <w:szCs w:val="21"/>
          <w:highlight w:val="none"/>
        </w:rPr>
        <w:t>，项目编号：</w:t>
      </w:r>
      <w:r>
        <w:rPr>
          <w:rFonts w:hint="eastAsia" w:ascii="宋体" w:hAnsi="宋体"/>
          <w:kern w:val="0"/>
          <w:szCs w:val="21"/>
          <w:highlight w:val="none"/>
          <w:u w:val="single"/>
        </w:rPr>
        <w:t>　　　</w:t>
      </w:r>
      <w:r>
        <w:rPr>
          <w:rFonts w:hint="eastAsia" w:ascii="宋体" w:hAnsi="宋体"/>
          <w:kern w:val="0"/>
          <w:szCs w:val="21"/>
          <w:highlight w:val="none"/>
        </w:rPr>
        <w:t>）签订本合同。</w:t>
      </w:r>
    </w:p>
    <w:p>
      <w:pPr>
        <w:widowControl/>
        <w:spacing w:line="440" w:lineRule="exact"/>
        <w:ind w:firstLine="422" w:firstLineChars="200"/>
        <w:rPr>
          <w:rFonts w:ascii="宋体" w:hAnsi="宋体"/>
          <w:kern w:val="0"/>
          <w:szCs w:val="21"/>
          <w:highlight w:val="none"/>
        </w:rPr>
      </w:pPr>
      <w:r>
        <w:rPr>
          <w:rFonts w:hint="eastAsia" w:ascii="宋体" w:hAnsi="宋体"/>
          <w:b/>
          <w:bCs/>
          <w:kern w:val="0"/>
          <w:szCs w:val="21"/>
          <w:highlight w:val="none"/>
        </w:rPr>
        <w:t xml:space="preserve">第一条：合同标的   </w:t>
      </w:r>
      <w:r>
        <w:rPr>
          <w:rFonts w:hint="eastAsia" w:ascii="宋体" w:hAnsi="宋体"/>
          <w:kern w:val="0"/>
          <w:szCs w:val="21"/>
          <w:highlight w:val="none"/>
        </w:rPr>
        <w:t>乙方应根据本项目要求按招标内容和中标结果提供下列产品（或服务），包括附带的备品备件及专用工具等：</w:t>
      </w:r>
    </w:p>
    <w:p>
      <w:pPr>
        <w:widowControl/>
        <w:spacing w:line="440" w:lineRule="exact"/>
        <w:ind w:firstLine="560"/>
        <w:jc w:val="left"/>
        <w:rPr>
          <w:rFonts w:ascii="宋体" w:hAnsi="宋体"/>
          <w:kern w:val="0"/>
          <w:szCs w:val="21"/>
          <w:highlight w:val="none"/>
        </w:rPr>
      </w:pPr>
      <w:r>
        <w:rPr>
          <w:rFonts w:hint="eastAsia" w:ascii="宋体" w:hAnsi="宋体"/>
          <w:kern w:val="0"/>
          <w:szCs w:val="21"/>
          <w:highlight w:val="none"/>
        </w:rPr>
        <w:t>（详见招标文件中的“招标内容及商务技术要求”及有关补充文件、中标人投标文件中的“投标内容及报价明细表”等）</w:t>
      </w:r>
    </w:p>
    <w:p>
      <w:pPr>
        <w:widowControl/>
        <w:spacing w:line="440" w:lineRule="exact"/>
        <w:ind w:firstLine="422" w:firstLineChars="200"/>
        <w:jc w:val="left"/>
        <w:rPr>
          <w:rFonts w:ascii="宋体" w:hAnsi="宋体"/>
          <w:b/>
          <w:bCs/>
          <w:kern w:val="0"/>
          <w:szCs w:val="21"/>
          <w:highlight w:val="none"/>
        </w:rPr>
      </w:pPr>
    </w:p>
    <w:p>
      <w:pPr>
        <w:widowControl/>
        <w:spacing w:line="440" w:lineRule="exact"/>
        <w:ind w:firstLine="422" w:firstLineChars="200"/>
        <w:jc w:val="left"/>
        <w:rPr>
          <w:rFonts w:ascii="宋体" w:hAnsi="宋体"/>
          <w:kern w:val="0"/>
          <w:szCs w:val="21"/>
          <w:highlight w:val="none"/>
        </w:rPr>
      </w:pPr>
      <w:r>
        <w:rPr>
          <w:rFonts w:hint="eastAsia" w:ascii="宋体" w:hAnsi="宋体"/>
          <w:b/>
          <w:bCs/>
          <w:kern w:val="0"/>
          <w:szCs w:val="21"/>
          <w:highlight w:val="none"/>
        </w:rPr>
        <w:t xml:space="preserve">第二条：合同总价款    </w:t>
      </w:r>
      <w:r>
        <w:rPr>
          <w:rFonts w:hint="eastAsia" w:ascii="宋体" w:hAnsi="宋体"/>
          <w:kern w:val="0"/>
          <w:szCs w:val="21"/>
          <w:highlight w:val="none"/>
        </w:rPr>
        <w:t>本合同项下项目的总价款为人民币（大写）：</w:t>
      </w:r>
      <w:r>
        <w:rPr>
          <w:rFonts w:hint="eastAsia" w:ascii="宋体" w:hAnsi="宋体"/>
          <w:b/>
          <w:bCs/>
          <w:kern w:val="0"/>
          <w:szCs w:val="21"/>
          <w:highlight w:val="none"/>
          <w:u w:val="single"/>
        </w:rPr>
        <w:t xml:space="preserve">               </w:t>
      </w:r>
      <w:r>
        <w:rPr>
          <w:rFonts w:hint="eastAsia" w:ascii="宋体" w:hAnsi="宋体"/>
          <w:bCs/>
          <w:kern w:val="0"/>
          <w:szCs w:val="21"/>
          <w:highlight w:val="none"/>
        </w:rPr>
        <w:t>（</w:t>
      </w:r>
      <w:r>
        <w:rPr>
          <w:rFonts w:hint="eastAsia" w:ascii="宋体" w:hAnsi="宋体"/>
          <w:kern w:val="0"/>
          <w:szCs w:val="21"/>
          <w:highlight w:val="none"/>
        </w:rPr>
        <w:t>￥：</w:t>
      </w:r>
      <w:r>
        <w:rPr>
          <w:rFonts w:hint="eastAsia" w:ascii="宋体" w:hAnsi="宋体"/>
          <w:kern w:val="0"/>
          <w:szCs w:val="21"/>
          <w:highlight w:val="none"/>
          <w:u w:val="single"/>
        </w:rPr>
        <w:t>　　　　　</w:t>
      </w:r>
      <w:r>
        <w:rPr>
          <w:rFonts w:hint="eastAsia" w:ascii="宋体" w:hAnsi="宋体"/>
          <w:kern w:val="0"/>
          <w:szCs w:val="21"/>
          <w:highlight w:val="none"/>
        </w:rPr>
        <w:t>）。合同总价款中包含：本招标采购对象，及与之相关的</w:t>
      </w:r>
      <w:r>
        <w:rPr>
          <w:rFonts w:hint="eastAsia" w:ascii="宋体" w:hAnsi="宋体"/>
          <w:szCs w:val="21"/>
          <w:highlight w:val="none"/>
        </w:rPr>
        <w:t>设计、制造、包装、运输、装卸、</w:t>
      </w:r>
      <w:r>
        <w:rPr>
          <w:rFonts w:hint="eastAsia" w:ascii="宋体" w:hAnsi="宋体"/>
          <w:kern w:val="0"/>
          <w:szCs w:val="21"/>
          <w:highlight w:val="none"/>
        </w:rPr>
        <w:t>安装、调试、</w:t>
      </w:r>
      <w:r>
        <w:rPr>
          <w:rFonts w:hint="eastAsia" w:ascii="宋体" w:hAnsi="宋体"/>
          <w:szCs w:val="21"/>
          <w:highlight w:val="none"/>
        </w:rPr>
        <w:t>质量检验、各项规费和税费、保险费、意外事故、等</w:t>
      </w:r>
      <w:r>
        <w:rPr>
          <w:rFonts w:hint="eastAsia" w:ascii="宋体" w:hAnsi="宋体"/>
          <w:kern w:val="0"/>
          <w:szCs w:val="21"/>
          <w:highlight w:val="none"/>
        </w:rPr>
        <w:t>验收合格前全部</w:t>
      </w:r>
      <w:r>
        <w:rPr>
          <w:rFonts w:hint="eastAsia" w:ascii="宋体" w:hAnsi="宋体"/>
          <w:szCs w:val="21"/>
          <w:highlight w:val="none"/>
        </w:rPr>
        <w:t>费用</w:t>
      </w:r>
      <w:r>
        <w:rPr>
          <w:rFonts w:hint="eastAsia" w:ascii="宋体" w:hAnsi="宋体"/>
          <w:kern w:val="0"/>
          <w:szCs w:val="21"/>
          <w:highlight w:val="none"/>
        </w:rPr>
        <w:t>，以及备品备件、专用工具、技术培训、技术资料、保修期内的各项保修和系统维护费用、相应的伴随服务和售后服务费用等。</w:t>
      </w:r>
    </w:p>
    <w:p>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第三条：合同文件的组成　　</w:t>
      </w:r>
    </w:p>
    <w:p>
      <w:pPr>
        <w:widowControl/>
        <w:spacing w:line="440" w:lineRule="exact"/>
        <w:ind w:firstLine="420" w:firstLineChars="200"/>
        <w:jc w:val="left"/>
        <w:rPr>
          <w:rFonts w:ascii="宋体" w:hAnsi="宋体"/>
          <w:bCs/>
          <w:kern w:val="0"/>
          <w:szCs w:val="21"/>
          <w:highlight w:val="none"/>
        </w:rPr>
      </w:pPr>
      <w:r>
        <w:rPr>
          <w:rFonts w:hint="eastAsia" w:ascii="宋体" w:hAnsi="宋体"/>
          <w:bCs/>
          <w:kern w:val="0"/>
          <w:szCs w:val="21"/>
          <w:highlight w:val="none"/>
        </w:rPr>
        <w:t>下列文件共同构成合同文件，作为项目履约和验收的依据：</w:t>
      </w:r>
    </w:p>
    <w:p>
      <w:pPr>
        <w:widowControl/>
        <w:numPr>
          <w:ilvl w:val="0"/>
          <w:numId w:val="7"/>
        </w:numPr>
        <w:spacing w:line="440" w:lineRule="exact"/>
        <w:jc w:val="left"/>
        <w:rPr>
          <w:rFonts w:ascii="宋体" w:hAnsi="宋体"/>
          <w:bCs/>
          <w:kern w:val="0"/>
          <w:szCs w:val="21"/>
          <w:highlight w:val="none"/>
        </w:rPr>
      </w:pPr>
      <w:r>
        <w:rPr>
          <w:rFonts w:hint="eastAsia" w:ascii="宋体" w:hAnsi="宋体"/>
          <w:bCs/>
          <w:kern w:val="0"/>
          <w:szCs w:val="21"/>
          <w:highlight w:val="none"/>
        </w:rPr>
        <w:t>本合同协议书；</w:t>
      </w:r>
    </w:p>
    <w:p>
      <w:pPr>
        <w:widowControl/>
        <w:numPr>
          <w:ilvl w:val="0"/>
          <w:numId w:val="7"/>
        </w:numPr>
        <w:spacing w:line="440" w:lineRule="exact"/>
        <w:jc w:val="left"/>
        <w:rPr>
          <w:rFonts w:ascii="宋体" w:hAnsi="宋体"/>
          <w:kern w:val="0"/>
          <w:szCs w:val="21"/>
          <w:highlight w:val="none"/>
        </w:rPr>
      </w:pPr>
      <w:r>
        <w:rPr>
          <w:rFonts w:hint="eastAsia" w:ascii="宋体" w:hAnsi="宋体"/>
          <w:bCs/>
          <w:kern w:val="0"/>
          <w:szCs w:val="21"/>
          <w:highlight w:val="none"/>
        </w:rPr>
        <w:t>中标通知书；</w:t>
      </w:r>
    </w:p>
    <w:p>
      <w:pPr>
        <w:widowControl/>
        <w:numPr>
          <w:ilvl w:val="0"/>
          <w:numId w:val="7"/>
        </w:numPr>
        <w:spacing w:line="440" w:lineRule="exact"/>
        <w:jc w:val="left"/>
        <w:rPr>
          <w:rFonts w:ascii="宋体" w:hAnsi="宋体"/>
          <w:kern w:val="0"/>
          <w:szCs w:val="21"/>
          <w:highlight w:val="none"/>
        </w:rPr>
      </w:pPr>
      <w:r>
        <w:rPr>
          <w:rFonts w:hint="eastAsia" w:ascii="宋体" w:hAnsi="宋体"/>
          <w:bCs/>
          <w:kern w:val="0"/>
          <w:szCs w:val="21"/>
          <w:highlight w:val="none"/>
        </w:rPr>
        <w:t>投标函；</w:t>
      </w:r>
    </w:p>
    <w:p>
      <w:pPr>
        <w:widowControl/>
        <w:numPr>
          <w:ilvl w:val="0"/>
          <w:numId w:val="7"/>
        </w:numPr>
        <w:spacing w:line="440" w:lineRule="exact"/>
        <w:jc w:val="left"/>
        <w:rPr>
          <w:rFonts w:ascii="宋体" w:hAnsi="宋体"/>
          <w:kern w:val="0"/>
          <w:szCs w:val="21"/>
          <w:highlight w:val="none"/>
        </w:rPr>
      </w:pPr>
      <w:r>
        <w:rPr>
          <w:rFonts w:hint="eastAsia" w:ascii="宋体" w:hAnsi="宋体"/>
          <w:kern w:val="0"/>
          <w:szCs w:val="21"/>
          <w:highlight w:val="none"/>
        </w:rPr>
        <w:t>招标文件；</w:t>
      </w:r>
    </w:p>
    <w:p>
      <w:pPr>
        <w:widowControl/>
        <w:numPr>
          <w:ilvl w:val="0"/>
          <w:numId w:val="7"/>
        </w:numPr>
        <w:spacing w:line="440" w:lineRule="exact"/>
        <w:jc w:val="left"/>
        <w:rPr>
          <w:rFonts w:ascii="宋体" w:hAnsi="宋体"/>
          <w:kern w:val="0"/>
          <w:szCs w:val="21"/>
          <w:highlight w:val="none"/>
        </w:rPr>
      </w:pPr>
      <w:r>
        <w:rPr>
          <w:rFonts w:hint="eastAsia" w:ascii="宋体" w:hAnsi="宋体"/>
          <w:kern w:val="0"/>
          <w:szCs w:val="21"/>
          <w:highlight w:val="none"/>
        </w:rPr>
        <w:t>中标人的投标文件；</w:t>
      </w:r>
    </w:p>
    <w:p>
      <w:pPr>
        <w:widowControl/>
        <w:numPr>
          <w:ilvl w:val="0"/>
          <w:numId w:val="7"/>
        </w:numPr>
        <w:spacing w:line="440" w:lineRule="exact"/>
        <w:jc w:val="left"/>
        <w:rPr>
          <w:rFonts w:ascii="宋体" w:hAnsi="宋体"/>
          <w:kern w:val="0"/>
          <w:szCs w:val="21"/>
          <w:highlight w:val="none"/>
        </w:rPr>
      </w:pPr>
      <w:r>
        <w:rPr>
          <w:rFonts w:hint="eastAsia" w:ascii="宋体" w:hAnsi="宋体"/>
          <w:kern w:val="0"/>
          <w:szCs w:val="21"/>
          <w:highlight w:val="none"/>
        </w:rPr>
        <w:t>经双方协商同意和有关监督部门批准的其他内容。</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上述文件互相补充和解释，如有不明确或不一致之处，以排序作为解释的优先顺序。</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签订合同时，不得改变中标的金额、付款方式、合同履行期限、采购内容范围和质量技术标准等实质性内容。</w:t>
      </w:r>
    </w:p>
    <w:p>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第四条  权利保证　　</w:t>
      </w:r>
      <w:r>
        <w:rPr>
          <w:rFonts w:hint="eastAsia" w:ascii="宋体" w:hAnsi="宋体"/>
          <w:kern w:val="0"/>
          <w:szCs w:val="21"/>
          <w:highlight w:val="none"/>
        </w:rPr>
        <w:t>乙方应保证甲方在使用该产品或其任何一部分时不受第三方提出侵犯其专利权、版权、商标权或其他权利的起诉。一旦出现侵权，乙方应承担全部责任。</w:t>
      </w:r>
    </w:p>
    <w:p>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第五条  质量保证</w:t>
      </w:r>
    </w:p>
    <w:p>
      <w:pPr>
        <w:widowControl/>
        <w:spacing w:line="440" w:lineRule="exact"/>
        <w:ind w:firstLine="420" w:firstLineChars="200"/>
        <w:jc w:val="left"/>
        <w:rPr>
          <w:rFonts w:ascii="宋体" w:hAnsi="宋体"/>
          <w:b/>
          <w:bCs/>
          <w:kern w:val="0"/>
          <w:szCs w:val="21"/>
          <w:highlight w:val="none"/>
        </w:rPr>
      </w:pPr>
      <w:r>
        <w:rPr>
          <w:rFonts w:hint="eastAsia" w:ascii="宋体" w:hAnsi="宋体"/>
          <w:kern w:val="0"/>
          <w:szCs w:val="21"/>
          <w:highlight w:val="none"/>
        </w:rPr>
        <w:t>1、乙方所提供的产品的技术标准应与招标文件规定的技术规格标准相一致；若技术性能标准无特殊说明，则按国家有关部门最新颁布的标准及规范为准。</w:t>
      </w:r>
    </w:p>
    <w:p>
      <w:pPr>
        <w:widowControl/>
        <w:spacing w:line="440" w:lineRule="exact"/>
        <w:ind w:firstLine="420" w:firstLineChars="200"/>
        <w:jc w:val="left"/>
        <w:rPr>
          <w:rFonts w:hint="eastAsia" w:ascii="宋体" w:hAnsi="宋体"/>
          <w:kern w:val="0"/>
          <w:szCs w:val="21"/>
          <w:highlight w:val="none"/>
        </w:rPr>
      </w:pPr>
      <w:r>
        <w:rPr>
          <w:rFonts w:hint="eastAsia" w:ascii="宋体" w:hAnsi="宋体"/>
          <w:kern w:val="0"/>
          <w:szCs w:val="21"/>
          <w:highlight w:val="none"/>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pPr>
        <w:widowControl/>
        <w:spacing w:line="440" w:lineRule="exact"/>
        <w:ind w:firstLine="420" w:firstLineChars="200"/>
        <w:jc w:val="left"/>
        <w:rPr>
          <w:rFonts w:hint="eastAsia" w:ascii="宋体" w:hAnsi="宋体"/>
          <w:kern w:val="0"/>
          <w:szCs w:val="21"/>
          <w:highlight w:val="none"/>
        </w:rPr>
      </w:pPr>
      <w:r>
        <w:rPr>
          <w:rFonts w:hint="eastAsia"/>
          <w:kern w:val="0"/>
          <w:szCs w:val="21"/>
          <w:highlight w:val="none"/>
        </w:rPr>
        <w:t>3、经甲方书面同意，乙方对所承包的供货及安装内容的非关键部分可依法采取分包方式履行合同。</w:t>
      </w:r>
    </w:p>
    <w:p>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第六条  包装要求</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2、每一包装单元内应附详细的装箱单和质量合格凭证。</w:t>
      </w:r>
    </w:p>
    <w:p>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第七条  交付和验收</w:t>
      </w:r>
    </w:p>
    <w:p>
      <w:pPr>
        <w:widowControl/>
        <w:spacing w:line="440" w:lineRule="exact"/>
        <w:ind w:firstLine="420" w:firstLineChars="200"/>
        <w:rPr>
          <w:rFonts w:ascii="宋体" w:hAnsi="宋体"/>
          <w:kern w:val="0"/>
          <w:szCs w:val="21"/>
          <w:highlight w:val="none"/>
        </w:rPr>
      </w:pPr>
      <w:r>
        <w:rPr>
          <w:rFonts w:hint="eastAsia" w:ascii="宋体" w:hAnsi="宋体"/>
          <w:kern w:val="0"/>
          <w:szCs w:val="21"/>
          <w:highlight w:val="none"/>
        </w:rPr>
        <w:t>1、交货（服务）地点：</w:t>
      </w:r>
      <w:r>
        <w:rPr>
          <w:rFonts w:hint="eastAsia" w:ascii="宋体" w:hAnsi="宋体"/>
          <w:kern w:val="0"/>
          <w:szCs w:val="21"/>
          <w:highlight w:val="none"/>
          <w:u w:val="single"/>
        </w:rPr>
        <w:t xml:space="preserve">                     </w:t>
      </w:r>
    </w:p>
    <w:p>
      <w:pPr>
        <w:widowControl/>
        <w:spacing w:line="440" w:lineRule="exact"/>
        <w:ind w:firstLine="420" w:firstLineChars="200"/>
        <w:rPr>
          <w:rFonts w:ascii="宋体" w:hAnsi="宋体"/>
          <w:kern w:val="0"/>
          <w:szCs w:val="21"/>
          <w:highlight w:val="none"/>
          <w:u w:val="single"/>
        </w:rPr>
      </w:pPr>
      <w:r>
        <w:rPr>
          <w:rFonts w:hint="eastAsia" w:ascii="宋体" w:hAnsi="宋体"/>
          <w:kern w:val="0"/>
          <w:szCs w:val="21"/>
          <w:highlight w:val="none"/>
        </w:rPr>
        <w:t>2、交货（服务）期限：</w:t>
      </w:r>
      <w:r>
        <w:rPr>
          <w:rFonts w:hint="eastAsia" w:ascii="宋体" w:hAnsi="宋体"/>
          <w:kern w:val="0"/>
          <w:szCs w:val="21"/>
          <w:highlight w:val="none"/>
          <w:u w:val="single"/>
        </w:rPr>
        <w:t>　　</w:t>
      </w:r>
      <w:r>
        <w:rPr>
          <w:rFonts w:hint="eastAsia" w:ascii="宋体" w:hAnsi="宋体"/>
          <w:kern w:val="0"/>
          <w:szCs w:val="21"/>
          <w:highlight w:val="none"/>
        </w:rPr>
        <w:t>天，从</w:t>
      </w:r>
      <w:r>
        <w:rPr>
          <w:rFonts w:hint="eastAsia" w:ascii="宋体" w:hAnsi="宋体"/>
          <w:kern w:val="0"/>
          <w:szCs w:val="21"/>
          <w:highlight w:val="none"/>
          <w:u w:val="single"/>
        </w:rPr>
        <w:t>　　　　　</w:t>
      </w:r>
      <w:r>
        <w:rPr>
          <w:rFonts w:hint="eastAsia" w:ascii="宋体" w:hAnsi="宋体"/>
          <w:kern w:val="0"/>
          <w:szCs w:val="21"/>
          <w:highlight w:val="none"/>
        </w:rPr>
        <w:t>计算。</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3、乙方交付的产品应当完全符合本合同、招标文件及投标文件所规定的数量和技术规格要求，不符合要求的，甲方有权拒收，由此引起的风险，由乙方承担。</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4、质量验收包括：规格、型号、功能、性能、数量、质量、以及包装是否完好等。</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6、甲方应当在收到产品后的</w:t>
      </w:r>
      <w:r>
        <w:rPr>
          <w:rFonts w:hint="eastAsia" w:ascii="宋体" w:hAnsi="宋体"/>
          <w:kern w:val="0"/>
          <w:szCs w:val="21"/>
          <w:highlight w:val="none"/>
          <w:u w:val="single"/>
        </w:rPr>
        <w:t>　　　　</w:t>
      </w:r>
      <w:r>
        <w:rPr>
          <w:rFonts w:hint="eastAsia" w:ascii="宋体" w:hAnsi="宋体"/>
          <w:kern w:val="0"/>
          <w:szCs w:val="21"/>
          <w:highlight w:val="none"/>
        </w:rPr>
        <w:t>日内对产品进行验收；需要乙方对产品或系统进行安装调试的，甲方应在安装调试完毕后的</w:t>
      </w:r>
      <w:r>
        <w:rPr>
          <w:rFonts w:hint="eastAsia" w:ascii="宋体" w:hAnsi="宋体"/>
          <w:kern w:val="0"/>
          <w:szCs w:val="21"/>
          <w:highlight w:val="none"/>
          <w:u w:val="single"/>
        </w:rPr>
        <w:t>　　　　</w:t>
      </w:r>
      <w:r>
        <w:rPr>
          <w:rFonts w:hint="eastAsia" w:ascii="宋体" w:hAnsi="宋体"/>
          <w:kern w:val="0"/>
          <w:szCs w:val="21"/>
          <w:highlight w:val="none"/>
        </w:rPr>
        <w:t>日内进行质量验收。验收合格的，由甲方签署验收单并加盖单位公章。招标文件对检验期限另有规定的，从其规定。</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7、产品和系统调试验收的标准：按国家标准、行业通行标准、出厂标准和乙方投标文件的承诺（详细标准可在合同附件载明，有国家标准时不得低于国家标准）。</w:t>
      </w:r>
    </w:p>
    <w:p>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第八条  伴随服务及售后服务</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1、乙方应按照国家有关法律法规规定和“三包”规定以及乙方对本项目的“服务承诺”提供服务。</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2、除前款规定外，乙方还应提供下列服务：</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（1）产品的现场安装、调试及启动监督；</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（2）就产品的安装、启动、运行及维护等对甲方人员进行免费培训。</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3、若招标文件中不包含有关伴随服务或售后服务的承诺，双方作如下约定：</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3.2、 产品中若包含计算机、服务器产品则由乙方提供至少</w:t>
      </w:r>
      <w:r>
        <w:rPr>
          <w:rFonts w:hint="eastAsia" w:ascii="宋体" w:hAnsi="宋体"/>
          <w:kern w:val="0"/>
          <w:szCs w:val="21"/>
          <w:highlight w:val="none"/>
          <w:u w:val="single"/>
        </w:rPr>
        <w:t xml:space="preserve">   </w:t>
      </w:r>
      <w:r>
        <w:rPr>
          <w:rFonts w:hint="eastAsia" w:ascii="宋体" w:hAnsi="宋体"/>
          <w:kern w:val="0"/>
          <w:szCs w:val="21"/>
          <w:highlight w:val="none"/>
        </w:rPr>
        <w:t xml:space="preserve">年的整机保修和系统维护；若为其他产品则按生产厂家的保修标准执行，但不得少于 </w:t>
      </w:r>
      <w:r>
        <w:rPr>
          <w:rFonts w:hint="eastAsia" w:ascii="宋体" w:hAnsi="宋体"/>
          <w:kern w:val="0"/>
          <w:szCs w:val="21"/>
          <w:highlight w:val="none"/>
          <w:u w:val="single"/>
        </w:rPr>
        <w:t>1</w:t>
      </w:r>
      <w:r>
        <w:rPr>
          <w:rFonts w:hint="eastAsia" w:ascii="宋体" w:hAnsi="宋体"/>
          <w:kern w:val="0"/>
          <w:szCs w:val="21"/>
          <w:highlight w:val="none"/>
        </w:rPr>
        <w:t>年（</w:t>
      </w:r>
      <w:r>
        <w:rPr>
          <w:rFonts w:hint="eastAsia" w:ascii="宋体" w:hAnsi="宋体" w:cs="宋体"/>
          <w:kern w:val="0"/>
          <w:szCs w:val="21"/>
          <w:highlight w:val="none"/>
        </w:rPr>
        <w:t>（请分别列出：</w:t>
      </w:r>
      <w:r>
        <w:rPr>
          <w:rFonts w:hint="eastAsia" w:ascii="宋体" w:hAnsi="宋体" w:cs="宋体"/>
          <w:kern w:val="0"/>
          <w:szCs w:val="21"/>
          <w:highlight w:val="none"/>
          <w:u w:val="single"/>
        </w:rPr>
        <w:t xml:space="preserve">       </w:t>
      </w:r>
      <w:r>
        <w:rPr>
          <w:rFonts w:hint="eastAsia" w:ascii="宋体" w:hAnsi="宋体"/>
          <w:kern w:val="0"/>
          <w:szCs w:val="21"/>
          <w:highlight w:val="none"/>
        </w:rPr>
        <w:t>）；保修期自甲方在产品质量验收单上签字之日起计算，保修费用包含在合同总价中。</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3.3、 免费保修期：</w:t>
      </w:r>
      <w:r>
        <w:rPr>
          <w:rFonts w:hint="eastAsia" w:ascii="宋体" w:hAnsi="宋体"/>
          <w:kern w:val="0"/>
          <w:szCs w:val="21"/>
          <w:highlight w:val="none"/>
          <w:u w:val="single"/>
        </w:rPr>
        <w:t>　　　　　　　　　</w:t>
      </w:r>
      <w:r>
        <w:rPr>
          <w:rFonts w:hint="eastAsia" w:ascii="宋体" w:hAnsi="宋体"/>
          <w:kern w:val="0"/>
          <w:szCs w:val="21"/>
          <w:highlight w:val="none"/>
        </w:rPr>
        <w:t>，保修期内，乙方负责对其提供的产品整体进行维修和系统维护，不再收取任何费用。</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3.4、 产品故障报修的响应时间为：</w:t>
      </w:r>
      <w:r>
        <w:rPr>
          <w:rFonts w:hint="eastAsia" w:ascii="宋体" w:hAnsi="宋体"/>
          <w:kern w:val="0"/>
          <w:szCs w:val="21"/>
          <w:highlight w:val="none"/>
          <w:u w:val="single"/>
        </w:rPr>
        <w:t>　　　　　</w:t>
      </w:r>
      <w:r>
        <w:rPr>
          <w:rFonts w:hint="eastAsia" w:ascii="宋体" w:hAnsi="宋体"/>
          <w:kern w:val="0"/>
          <w:szCs w:val="21"/>
          <w:highlight w:val="none"/>
        </w:rPr>
        <w:t>小时。</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3.5、若产品故障在检修</w:t>
      </w:r>
      <w:r>
        <w:rPr>
          <w:rFonts w:hint="eastAsia" w:ascii="宋体" w:hAnsi="宋体"/>
          <w:kern w:val="0"/>
          <w:szCs w:val="21"/>
          <w:highlight w:val="none"/>
          <w:u w:val="single"/>
        </w:rPr>
        <w:t xml:space="preserve">  </w:t>
      </w:r>
      <w:r>
        <w:rPr>
          <w:rFonts w:hint="eastAsia" w:ascii="宋体" w:hAnsi="宋体"/>
          <w:kern w:val="0"/>
          <w:szCs w:val="21"/>
          <w:highlight w:val="none"/>
        </w:rPr>
        <w:t>小时后仍无法排除，乙方应在48小时内免费提供不低于故障产品规格标准和档次的备用产品供甲方使用，直至故障产品修复。</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3.6、 所有产品保修服务方式均为乙方上门保修，即由乙方派人到产品使用现场维修、维护，由此产生的一切费用均由乙方承担。</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3.7、 保修期以后的维修维护由双方协商再定。</w:t>
      </w:r>
    </w:p>
    <w:p>
      <w:pPr>
        <w:widowControl/>
        <w:spacing w:line="440" w:lineRule="exact"/>
        <w:ind w:firstLine="422" w:firstLineChars="200"/>
        <w:jc w:val="left"/>
        <w:rPr>
          <w:rFonts w:hint="eastAsia" w:ascii="宋体" w:hAnsi="宋体" w:eastAsia="宋体"/>
          <w:b/>
          <w:bCs/>
          <w:kern w:val="0"/>
          <w:szCs w:val="21"/>
          <w:highlight w:val="none"/>
          <w:lang w:eastAsia="zh-CN"/>
        </w:rPr>
      </w:pPr>
      <w:r>
        <w:rPr>
          <w:rFonts w:hint="eastAsia" w:ascii="宋体" w:hAnsi="宋体"/>
          <w:b/>
          <w:bCs/>
          <w:kern w:val="0"/>
          <w:szCs w:val="21"/>
          <w:highlight w:val="none"/>
        </w:rPr>
        <w:t>第九条   履约保证金</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本合同签订生效以前乙方应按招标文件规定的金额向甲方或甲方指定的机构提交履约保证金。如乙方未能履行合同规定的义务，甲方有权扣除其履约保证金。</w:t>
      </w:r>
    </w:p>
    <w:p>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第十条   货款支付</w:t>
      </w:r>
    </w:p>
    <w:p>
      <w:pPr>
        <w:widowControl/>
        <w:spacing w:line="440" w:lineRule="exact"/>
        <w:ind w:firstLine="420" w:firstLineChars="200"/>
        <w:jc w:val="left"/>
        <w:rPr>
          <w:rFonts w:ascii="宋体" w:hAnsi="宋体"/>
          <w:kern w:val="0"/>
          <w:szCs w:val="21"/>
          <w:highlight w:val="none"/>
          <w:u w:val="single"/>
        </w:rPr>
      </w:pPr>
      <w:r>
        <w:rPr>
          <w:rFonts w:hint="eastAsia" w:ascii="宋体" w:hAnsi="宋体"/>
          <w:kern w:val="0"/>
          <w:szCs w:val="21"/>
          <w:highlight w:val="none"/>
        </w:rPr>
        <w:t>1、付款方式（按招标文件的规定）：</w:t>
      </w:r>
      <w:r>
        <w:rPr>
          <w:rFonts w:hint="eastAsia" w:ascii="宋体" w:hAnsi="宋体"/>
          <w:kern w:val="0"/>
          <w:szCs w:val="21"/>
          <w:highlight w:val="none"/>
          <w:u w:val="single"/>
        </w:rPr>
        <w:t>　　　　　　　　　　　　　　　　</w:t>
      </w:r>
    </w:p>
    <w:p>
      <w:pPr>
        <w:widowControl/>
        <w:spacing w:line="440" w:lineRule="exact"/>
        <w:jc w:val="left"/>
        <w:rPr>
          <w:rFonts w:ascii="宋体" w:hAnsi="宋体"/>
          <w:kern w:val="0"/>
          <w:szCs w:val="21"/>
          <w:highlight w:val="none"/>
        </w:rPr>
      </w:pPr>
      <w:r>
        <w:rPr>
          <w:rFonts w:hint="eastAsia" w:ascii="宋体" w:hAnsi="宋体"/>
          <w:kern w:val="0"/>
          <w:szCs w:val="21"/>
          <w:highlight w:val="none"/>
          <w:u w:val="single"/>
        </w:rPr>
        <w:t>　　　　　　　　　　　　　　　　　　　　　　　　　　　　　　　　　</w:t>
      </w:r>
      <w:r>
        <w:rPr>
          <w:rFonts w:hint="eastAsia" w:ascii="宋体" w:hAnsi="宋体"/>
          <w:kern w:val="0"/>
          <w:szCs w:val="21"/>
          <w:highlight w:val="none"/>
        </w:rPr>
        <w:t>。本合同项下所有款项均以人民币支付。</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2、乙方向甲方开具正规发票，甲方在签署验收单后按付款方式约定付款。</w:t>
      </w:r>
    </w:p>
    <w:p>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第十一条 违约责任</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1、甲方无正当理由拒绝接收产品、拒付项目款的，由甲方向乙方偿付合同总价的</w:t>
      </w:r>
      <w:r>
        <w:rPr>
          <w:rFonts w:hint="eastAsia" w:ascii="宋体" w:hAnsi="宋体"/>
          <w:kern w:val="0"/>
          <w:szCs w:val="21"/>
          <w:highlight w:val="none"/>
          <w:u w:val="single"/>
        </w:rPr>
        <w:t>　5%　</w:t>
      </w:r>
      <w:r>
        <w:rPr>
          <w:rFonts w:hint="eastAsia" w:ascii="宋体" w:hAnsi="宋体"/>
          <w:kern w:val="0"/>
          <w:szCs w:val="21"/>
          <w:highlight w:val="none"/>
        </w:rPr>
        <w:t>违约金。</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2、甲方未按合同规定的期限向乙方支付项目款的，每逾期1天甲方向乙方偿付</w:t>
      </w:r>
      <w:r>
        <w:rPr>
          <w:rFonts w:hint="eastAsia" w:ascii="宋体" w:hAnsi="宋体"/>
          <w:kern w:val="0"/>
          <w:szCs w:val="21"/>
          <w:highlight w:val="none"/>
          <w:u w:val="single"/>
        </w:rPr>
        <w:t>　　　　</w:t>
      </w:r>
      <w:r>
        <w:rPr>
          <w:rFonts w:hint="eastAsia" w:ascii="宋体" w:hAnsi="宋体"/>
          <w:kern w:val="0"/>
          <w:szCs w:val="21"/>
          <w:highlight w:val="none"/>
        </w:rPr>
        <w:t>滞纳金，但累计滞纳金总额不超过欠款总额的5% 。</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3、如乙方不能按约定交付产品，或交付的产品质量、规格、型号、功能、性能等不符合合同规定或有关标准，甲方有权拒收，责令乙方改正，并酌情扣除其履约保证金。</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4、 乙方逾期交付产品的，每逾期1天，乙方向甲方偿付</w:t>
      </w:r>
      <w:r>
        <w:rPr>
          <w:rFonts w:hint="eastAsia" w:ascii="宋体" w:hAnsi="宋体"/>
          <w:kern w:val="0"/>
          <w:szCs w:val="21"/>
          <w:highlight w:val="none"/>
          <w:u w:val="single"/>
        </w:rPr>
        <w:t>　　　　</w:t>
      </w:r>
      <w:r>
        <w:rPr>
          <w:rFonts w:hint="eastAsia" w:ascii="宋体" w:hAnsi="宋体"/>
          <w:kern w:val="0"/>
          <w:szCs w:val="21"/>
          <w:highlight w:val="none"/>
        </w:rPr>
        <w:t>滞纳金。如乙方逾期交付达</w:t>
      </w:r>
      <w:r>
        <w:rPr>
          <w:rFonts w:hint="eastAsia" w:ascii="宋体" w:hAnsi="宋体"/>
          <w:kern w:val="0"/>
          <w:szCs w:val="21"/>
          <w:highlight w:val="none"/>
          <w:u w:val="single"/>
        </w:rPr>
        <w:t>　　　　</w:t>
      </w:r>
      <w:r>
        <w:rPr>
          <w:rFonts w:hint="eastAsia" w:ascii="宋体" w:hAnsi="宋体"/>
          <w:kern w:val="0"/>
          <w:szCs w:val="21"/>
          <w:highlight w:val="none"/>
        </w:rPr>
        <w:t>天，甲方有权解除合同，解除合同的通知自到达乙方时生效。</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kern w:val="0"/>
          <w:szCs w:val="21"/>
          <w:highlight w:val="none"/>
        </w:rPr>
        <w:t>项目</w:t>
      </w:r>
      <w:r>
        <w:rPr>
          <w:rFonts w:hint="eastAsia" w:ascii="宋体" w:hAnsi="宋体"/>
          <w:kern w:val="0"/>
          <w:szCs w:val="21"/>
          <w:highlight w:val="none"/>
        </w:rPr>
        <w:t>款，并酌情扣除乙方质量保证金，给甲方造成损失者，乙方还应赔偿甲方因此遭受的损失。</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6、乙方违反本合同有关约定或未按“服务承诺”提供伴随服务/售后服务的，每次扣除乙方违约金</w:t>
      </w:r>
      <w:r>
        <w:rPr>
          <w:rFonts w:hint="eastAsia" w:ascii="宋体" w:hAnsi="宋体"/>
          <w:kern w:val="0"/>
          <w:szCs w:val="21"/>
          <w:highlight w:val="none"/>
          <w:u w:val="single"/>
        </w:rPr>
        <w:t>　　　　　</w:t>
      </w:r>
      <w:r>
        <w:rPr>
          <w:rFonts w:hint="eastAsia" w:ascii="宋体" w:hAnsi="宋体"/>
          <w:kern w:val="0"/>
          <w:szCs w:val="21"/>
          <w:highlight w:val="none"/>
        </w:rPr>
        <w:t>元（合同另有约定的从其约定）。</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7、乙方在承担上述一项或多项违约责任后，仍应继续履行合同规定的义务（甲方解除合同的除外）。甲方未及时追究乙方的任何一项违约责任，并不表明甲方放弃追究乙方违约责任的权利。</w:t>
      </w:r>
    </w:p>
    <w:p>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第十二条 合同的变更补充，终止及转让　　</w:t>
      </w:r>
      <w:r>
        <w:rPr>
          <w:rFonts w:hint="eastAsia" w:ascii="宋体" w:hAnsi="宋体"/>
          <w:kern w:val="0"/>
          <w:szCs w:val="21"/>
          <w:highlight w:val="none"/>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第十三条 　不可抗力　　</w:t>
      </w:r>
    </w:p>
    <w:p>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1、</w:t>
      </w:r>
      <w:r>
        <w:rPr>
          <w:rFonts w:hint="eastAsia" w:ascii="宋体" w:hAnsi="宋体"/>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pPr>
        <w:widowControl/>
        <w:spacing w:line="440" w:lineRule="exact"/>
        <w:ind w:firstLine="420" w:firstLineChars="200"/>
        <w:rPr>
          <w:rFonts w:ascii="宋体" w:hAnsi="宋体"/>
          <w:kern w:val="0"/>
          <w:szCs w:val="21"/>
          <w:highlight w:val="none"/>
        </w:rPr>
      </w:pPr>
      <w:r>
        <w:rPr>
          <w:rFonts w:hint="eastAsia" w:ascii="宋体" w:hAnsi="宋体"/>
          <w:kern w:val="0"/>
          <w:szCs w:val="21"/>
          <w:highlight w:val="none"/>
        </w:rPr>
        <w:t>2、</w:t>
      </w:r>
      <w:r>
        <w:rPr>
          <w:rFonts w:hint="eastAsia" w:ascii="宋体" w:hAnsi="宋体"/>
          <w:szCs w:val="21"/>
          <w:highlight w:val="none"/>
        </w:rPr>
        <w:t>不可抗力是指承包人和发包人在订立合同时不可预见，在履行合同过程中不可避免发生并不能克服的自然灾害和社会性突发事件，如地震、台风、海啸、瘟疫、水灾、火灾、骚乱、暴动、战争等情形。</w:t>
      </w:r>
    </w:p>
    <w:p>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第十四条  争议的解决</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1、因质量问题发生争议的，应当邀请国家认可的质量检测机构进行鉴定。经鉴定符合标准的，鉴定费由甲方承担；不符合质量标准的，鉴定费由乙方承担。</w:t>
      </w:r>
    </w:p>
    <w:p>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2、因履行本合同引起的或与本合同有关的争议，甲、乙双方应首先通过友好协商解决，如果协商不能解决争议，任何一方均可以向甲方所在地有管辖权的人民法院提起诉讼。</w:t>
      </w:r>
    </w:p>
    <w:p>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第十五条   合同生效及其他</w:t>
      </w:r>
    </w:p>
    <w:p>
      <w:pPr>
        <w:widowControl/>
        <w:spacing w:line="440" w:lineRule="exact"/>
        <w:ind w:firstLine="420" w:firstLineChars="200"/>
        <w:rPr>
          <w:rFonts w:ascii="宋体" w:hAnsi="宋体"/>
          <w:b/>
          <w:bCs/>
          <w:kern w:val="0"/>
          <w:szCs w:val="21"/>
          <w:highlight w:val="none"/>
        </w:rPr>
      </w:pPr>
      <w:r>
        <w:rPr>
          <w:rFonts w:hint="eastAsia" w:ascii="宋体" w:hAnsi="宋体"/>
          <w:kern w:val="0"/>
          <w:szCs w:val="21"/>
          <w:highlight w:val="none"/>
        </w:rPr>
        <w:t>1、本合同未尽事宜，双方另行补充（补充内容不得改变或违背招标文件和中标人投标文件中的实质性内容）。</w:t>
      </w:r>
    </w:p>
    <w:p>
      <w:pPr>
        <w:widowControl/>
        <w:spacing w:line="440" w:lineRule="exact"/>
        <w:ind w:firstLine="420" w:firstLineChars="200"/>
        <w:rPr>
          <w:rFonts w:ascii="宋体" w:hAnsi="宋体"/>
          <w:kern w:val="0"/>
          <w:szCs w:val="21"/>
          <w:highlight w:val="none"/>
        </w:rPr>
      </w:pPr>
      <w:r>
        <w:rPr>
          <w:rFonts w:hint="eastAsia" w:ascii="宋体" w:hAnsi="宋体"/>
          <w:kern w:val="0"/>
          <w:szCs w:val="21"/>
          <w:highlight w:val="none"/>
        </w:rPr>
        <w:t>2、</w:t>
      </w:r>
      <w:r>
        <w:rPr>
          <w:rFonts w:hint="eastAsia" w:ascii="宋体" w:hAnsi="宋体"/>
          <w:bCs/>
          <w:kern w:val="0"/>
          <w:szCs w:val="21"/>
          <w:highlight w:val="none"/>
        </w:rPr>
        <w:t>本合同一式2份，甲、乙双方授权代表签字并盖单位公章后生效。甲方、乙方各一份。</w:t>
      </w:r>
    </w:p>
    <w:p>
      <w:pPr>
        <w:widowControl/>
        <w:spacing w:line="440" w:lineRule="exact"/>
        <w:rPr>
          <w:rFonts w:ascii="宋体" w:hAnsi="宋体"/>
          <w:b/>
          <w:bCs/>
          <w:kern w:val="0"/>
          <w:szCs w:val="21"/>
          <w:highlight w:val="none"/>
        </w:rPr>
      </w:pPr>
    </w:p>
    <w:p>
      <w:pPr>
        <w:widowControl/>
        <w:spacing w:line="440" w:lineRule="exact"/>
        <w:rPr>
          <w:rFonts w:ascii="宋体" w:hAnsi="宋体"/>
          <w:kern w:val="0"/>
          <w:szCs w:val="21"/>
          <w:highlight w:val="none"/>
        </w:rPr>
      </w:pPr>
      <w:r>
        <w:rPr>
          <w:rFonts w:hint="eastAsia" w:ascii="宋体" w:hAnsi="宋体"/>
          <w:kern w:val="0"/>
          <w:szCs w:val="21"/>
          <w:highlight w:val="none"/>
        </w:rPr>
        <w:t>甲    方：                　　　　　　 　乙    方：</w:t>
      </w:r>
    </w:p>
    <w:p>
      <w:pPr>
        <w:widowControl/>
        <w:spacing w:line="440" w:lineRule="exact"/>
        <w:rPr>
          <w:rFonts w:ascii="宋体" w:hAnsi="宋体"/>
          <w:kern w:val="0"/>
          <w:szCs w:val="21"/>
          <w:highlight w:val="none"/>
        </w:rPr>
      </w:pPr>
      <w:r>
        <w:rPr>
          <w:rFonts w:hint="eastAsia" w:ascii="宋体" w:hAnsi="宋体"/>
          <w:kern w:val="0"/>
          <w:szCs w:val="21"/>
          <w:highlight w:val="none"/>
        </w:rPr>
        <w:t>法定代表人：              　　　　　　   法定代表人：</w:t>
      </w:r>
    </w:p>
    <w:p>
      <w:pPr>
        <w:widowControl/>
        <w:spacing w:line="440" w:lineRule="exact"/>
        <w:rPr>
          <w:rFonts w:ascii="宋体" w:hAnsi="宋体"/>
          <w:kern w:val="0"/>
          <w:szCs w:val="21"/>
          <w:highlight w:val="none"/>
        </w:rPr>
      </w:pPr>
      <w:r>
        <w:rPr>
          <w:rFonts w:hint="eastAsia" w:ascii="宋体" w:hAnsi="宋体"/>
          <w:kern w:val="0"/>
          <w:szCs w:val="21"/>
          <w:highlight w:val="none"/>
        </w:rPr>
        <w:t>委托代理人：               　　　　　　  委托代理人：</w:t>
      </w:r>
    </w:p>
    <w:p>
      <w:pPr>
        <w:widowControl/>
        <w:spacing w:line="440" w:lineRule="exact"/>
        <w:rPr>
          <w:rFonts w:ascii="宋体" w:hAnsi="宋体"/>
          <w:kern w:val="0"/>
          <w:szCs w:val="21"/>
          <w:highlight w:val="none"/>
        </w:rPr>
      </w:pPr>
      <w:r>
        <w:rPr>
          <w:rFonts w:hint="eastAsia" w:ascii="宋体" w:hAnsi="宋体"/>
          <w:kern w:val="0"/>
          <w:szCs w:val="21"/>
          <w:highlight w:val="none"/>
        </w:rPr>
        <w:t>单位地址：                 　　　　　　  单位地址：</w:t>
      </w:r>
    </w:p>
    <w:p>
      <w:pPr>
        <w:widowControl/>
        <w:spacing w:line="440" w:lineRule="exact"/>
        <w:rPr>
          <w:rFonts w:ascii="宋体" w:hAnsi="宋体"/>
          <w:kern w:val="0"/>
          <w:szCs w:val="21"/>
          <w:highlight w:val="none"/>
        </w:rPr>
      </w:pPr>
      <w:r>
        <w:rPr>
          <w:rFonts w:hint="eastAsia" w:ascii="宋体" w:hAnsi="宋体"/>
          <w:kern w:val="0"/>
          <w:szCs w:val="21"/>
          <w:highlight w:val="none"/>
        </w:rPr>
        <w:t>电    话：                  　　　　　　 电    话：</w:t>
      </w:r>
    </w:p>
    <w:p>
      <w:pPr>
        <w:widowControl/>
        <w:spacing w:line="440" w:lineRule="exact"/>
        <w:rPr>
          <w:rFonts w:ascii="宋体" w:hAnsi="宋体"/>
          <w:kern w:val="0"/>
          <w:szCs w:val="21"/>
          <w:highlight w:val="none"/>
        </w:rPr>
      </w:pPr>
      <w:r>
        <w:rPr>
          <w:rFonts w:hint="eastAsia" w:ascii="宋体" w:hAnsi="宋体"/>
          <w:kern w:val="0"/>
          <w:szCs w:val="21"/>
          <w:highlight w:val="none"/>
        </w:rPr>
        <w:t>开户银行：                   　　　　　　开户银行：</w:t>
      </w:r>
    </w:p>
    <w:p>
      <w:pPr>
        <w:widowControl/>
        <w:spacing w:line="440" w:lineRule="exact"/>
        <w:rPr>
          <w:rFonts w:ascii="宋体" w:hAnsi="宋体"/>
          <w:kern w:val="0"/>
          <w:szCs w:val="21"/>
          <w:highlight w:val="none"/>
        </w:rPr>
      </w:pPr>
      <w:r>
        <w:rPr>
          <w:rFonts w:hint="eastAsia" w:ascii="宋体" w:hAnsi="宋体"/>
          <w:kern w:val="0"/>
          <w:szCs w:val="21"/>
          <w:highlight w:val="none"/>
        </w:rPr>
        <w:t>账    号：                 　　　　　　  账    号：</w:t>
      </w:r>
    </w:p>
    <w:p>
      <w:pPr>
        <w:widowControl/>
        <w:spacing w:line="440" w:lineRule="exact"/>
        <w:ind w:firstLine="735" w:firstLineChars="350"/>
        <w:rPr>
          <w:rFonts w:ascii="宋体" w:hAnsi="宋体"/>
          <w:kern w:val="0"/>
          <w:szCs w:val="21"/>
          <w:highlight w:val="none"/>
        </w:rPr>
      </w:pPr>
      <w:r>
        <w:rPr>
          <w:rFonts w:hint="eastAsia" w:ascii="宋体" w:hAnsi="宋体"/>
          <w:kern w:val="0"/>
          <w:szCs w:val="21"/>
          <w:highlight w:val="none"/>
        </w:rPr>
        <w:t xml:space="preserve"> 年  月  日              　　　　　　　　  年  月  日</w:t>
      </w:r>
      <w:bookmarkEnd w:id="659"/>
      <w:bookmarkEnd w:id="660"/>
      <w:bookmarkEnd w:id="661"/>
      <w:bookmarkEnd w:id="662"/>
      <w:bookmarkEnd w:id="663"/>
      <w:bookmarkEnd w:id="664"/>
      <w:bookmarkEnd w:id="665"/>
    </w:p>
    <w:p>
      <w:pPr>
        <w:widowControl/>
        <w:spacing w:line="360" w:lineRule="auto"/>
        <w:rPr>
          <w:rFonts w:ascii="宋体" w:hAnsi="宋体" w:cs="宋体"/>
          <w:sz w:val="28"/>
          <w:szCs w:val="28"/>
          <w:highlight w:val="none"/>
        </w:rPr>
      </w:pPr>
      <w:r>
        <w:rPr>
          <w:highlight w:val="none"/>
        </w:rPr>
        <w:br w:type="page"/>
      </w:r>
    </w:p>
    <w:p>
      <w:pPr>
        <w:pStyle w:val="3"/>
        <w:jc w:val="center"/>
        <w:rPr>
          <w:rFonts w:ascii="宋体" w:hAnsi="宋体" w:eastAsia="宋体" w:cs="宋体"/>
          <w:highlight w:val="none"/>
        </w:rPr>
      </w:pPr>
      <w:bookmarkStart w:id="666" w:name="_Toc30854"/>
      <w:r>
        <w:rPr>
          <w:rFonts w:hint="eastAsia" w:ascii="宋体" w:hAnsi="宋体" w:eastAsia="宋体" w:cs="宋体"/>
          <w:highlight w:val="none"/>
        </w:rPr>
        <w:t>开封政府采购合同融资政策告知函</w:t>
      </w:r>
      <w:bookmarkEnd w:id="666"/>
    </w:p>
    <w:p>
      <w:pPr>
        <w:widowControl/>
        <w:spacing w:line="360" w:lineRule="auto"/>
        <w:rPr>
          <w:rFonts w:ascii="宋体" w:hAnsi="宋体" w:cs="宋体"/>
          <w:sz w:val="28"/>
          <w:szCs w:val="28"/>
          <w:highlight w:val="none"/>
        </w:rPr>
      </w:pPr>
    </w:p>
    <w:p>
      <w:pPr>
        <w:widowControl/>
        <w:spacing w:line="360" w:lineRule="auto"/>
        <w:rPr>
          <w:rFonts w:ascii="宋体" w:hAnsi="宋体" w:cs="宋体"/>
          <w:sz w:val="28"/>
          <w:szCs w:val="28"/>
          <w:highlight w:val="none"/>
        </w:rPr>
      </w:pPr>
      <w:r>
        <w:rPr>
          <w:rFonts w:hint="eastAsia" w:ascii="宋体" w:hAnsi="宋体" w:cs="宋体"/>
          <w:sz w:val="28"/>
          <w:szCs w:val="28"/>
          <w:highlight w:val="none"/>
        </w:rPr>
        <w:t>各供应商：</w:t>
      </w:r>
    </w:p>
    <w:p>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欢迎贵公司参与开封政府采购活动！</w:t>
      </w:r>
    </w:p>
    <w:p>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贷款渠道和提供贷款的金融机构，可在开封市政府采购网“政府采购合同融资平台”查询联系。</w:t>
      </w:r>
    </w:p>
    <w:p>
      <w:pPr>
        <w:pStyle w:val="30"/>
        <w:rPr>
          <w:highlight w:val="none"/>
        </w:rPr>
      </w:pPr>
    </w:p>
    <w:p>
      <w:pPr>
        <w:widowControl/>
        <w:spacing w:line="440" w:lineRule="exact"/>
        <w:rPr>
          <w:rFonts w:ascii="宋体" w:hAnsi="宋体"/>
          <w:kern w:val="0"/>
          <w:szCs w:val="21"/>
          <w:highlight w:val="none"/>
        </w:rPr>
      </w:pPr>
    </w:p>
    <w:p>
      <w:pPr>
        <w:jc w:val="center"/>
        <w:rPr>
          <w:rFonts w:ascii="宋体" w:hAnsi="宋体"/>
          <w:highlight w:val="none"/>
        </w:rPr>
      </w:pPr>
      <w:bookmarkStart w:id="667" w:name="_Toc152042554"/>
      <w:bookmarkStart w:id="668" w:name="_Toc152045772"/>
      <w:bookmarkStart w:id="669" w:name="_Toc144974834"/>
      <w:bookmarkStart w:id="670" w:name="_Toc247085855"/>
      <w:bookmarkStart w:id="671" w:name="_Toc179632789"/>
      <w:bookmarkStart w:id="672" w:name="_Toc246996340"/>
      <w:bookmarkStart w:id="673" w:name="_Toc246997083"/>
      <w:bookmarkStart w:id="674" w:name="_Toc338840460"/>
      <w:bookmarkStart w:id="675" w:name="_Toc338840499"/>
      <w:bookmarkStart w:id="676" w:name="_Toc494093445"/>
      <w:bookmarkStart w:id="677" w:name="_Toc338840251"/>
      <w:bookmarkStart w:id="678" w:name="_Toc494526417"/>
      <w:bookmarkStart w:id="679" w:name="_Toc346523483"/>
      <w:bookmarkStart w:id="680" w:name="_Toc346523420"/>
      <w:r>
        <w:rPr>
          <w:rFonts w:hint="eastAsia" w:ascii="宋体" w:hAnsi="宋体"/>
          <w:highlight w:val="none"/>
        </w:rPr>
        <w:br w:type="page"/>
      </w:r>
    </w:p>
    <w:p>
      <w:pPr>
        <w:pStyle w:val="3"/>
        <w:jc w:val="center"/>
        <w:rPr>
          <w:rFonts w:ascii="宋体" w:hAnsi="宋体" w:eastAsia="宋体" w:cs="宋体"/>
          <w:highlight w:val="none"/>
        </w:rPr>
      </w:pPr>
      <w:bookmarkStart w:id="681" w:name="_Toc6494"/>
      <w:r>
        <w:rPr>
          <w:rFonts w:hint="eastAsia" w:ascii="宋体" w:hAnsi="宋体" w:eastAsia="宋体" w:cs="宋体"/>
          <w:highlight w:val="none"/>
        </w:rPr>
        <w:t>开封政府采购合同履约保函政策告知函</w:t>
      </w:r>
      <w:bookmarkEnd w:id="681"/>
    </w:p>
    <w:p>
      <w:pPr>
        <w:pStyle w:val="30"/>
        <w:rPr>
          <w:highlight w:val="none"/>
        </w:rPr>
      </w:pPr>
    </w:p>
    <w:p>
      <w:pPr>
        <w:widowControl/>
        <w:spacing w:line="360" w:lineRule="auto"/>
        <w:rPr>
          <w:rFonts w:ascii="宋体" w:hAnsi="宋体" w:cs="宋体"/>
          <w:sz w:val="28"/>
          <w:szCs w:val="28"/>
          <w:highlight w:val="none"/>
        </w:rPr>
      </w:pPr>
      <w:r>
        <w:rPr>
          <w:rFonts w:hint="eastAsia" w:ascii="宋体" w:hAnsi="宋体" w:cs="宋体"/>
          <w:sz w:val="28"/>
          <w:szCs w:val="28"/>
          <w:highlight w:val="none"/>
        </w:rPr>
        <w:t>各供应商：</w:t>
      </w:r>
    </w:p>
    <w:p>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欢迎贵公司参与开封政府采购活动！</w:t>
      </w:r>
    </w:p>
    <w:p>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政府采购合同履约保函机构，可在开封市政府采购网查询联系。</w:t>
      </w:r>
    </w:p>
    <w:p>
      <w:pPr>
        <w:pStyle w:val="2"/>
        <w:jc w:val="center"/>
        <w:rPr>
          <w:rFonts w:ascii="宋体" w:hAnsi="宋体"/>
          <w:highlight w:val="none"/>
        </w:rPr>
      </w:pPr>
      <w:r>
        <w:rPr>
          <w:rFonts w:hint="eastAsia" w:ascii="宋体" w:hAnsi="宋体"/>
          <w:highlight w:val="none"/>
        </w:rPr>
        <w:br w:type="page"/>
      </w:r>
      <w:bookmarkStart w:id="682" w:name="_Toc14386"/>
      <w:bookmarkStart w:id="683" w:name="_Toc9194"/>
      <w:bookmarkStart w:id="684" w:name="_Toc23041"/>
      <w:bookmarkStart w:id="685" w:name="_Toc479"/>
      <w:r>
        <w:rPr>
          <w:rFonts w:hint="eastAsia" w:ascii="宋体" w:hAnsi="宋体"/>
          <w:highlight w:val="none"/>
        </w:rPr>
        <w:t xml:space="preserve">第五章  </w:t>
      </w:r>
      <w:bookmarkEnd w:id="667"/>
      <w:bookmarkEnd w:id="668"/>
      <w:bookmarkEnd w:id="669"/>
      <w:bookmarkEnd w:id="670"/>
      <w:bookmarkEnd w:id="671"/>
      <w:bookmarkEnd w:id="672"/>
      <w:bookmarkEnd w:id="673"/>
      <w:r>
        <w:rPr>
          <w:rFonts w:hint="eastAsia" w:ascii="宋体" w:hAnsi="宋体"/>
          <w:highlight w:val="none"/>
        </w:rPr>
        <w:t>招标内容及商务技术要求</w:t>
      </w:r>
      <w:bookmarkEnd w:id="674"/>
      <w:bookmarkEnd w:id="675"/>
      <w:bookmarkEnd w:id="676"/>
      <w:bookmarkEnd w:id="677"/>
      <w:bookmarkEnd w:id="678"/>
      <w:bookmarkEnd w:id="679"/>
      <w:bookmarkEnd w:id="680"/>
      <w:bookmarkEnd w:id="682"/>
      <w:bookmarkEnd w:id="683"/>
      <w:bookmarkEnd w:id="684"/>
      <w:bookmarkEnd w:id="685"/>
    </w:p>
    <w:p>
      <w:pPr>
        <w:widowControl/>
        <w:adjustRightInd w:val="0"/>
        <w:snapToGrid w:val="0"/>
        <w:spacing w:line="480" w:lineRule="auto"/>
        <w:ind w:firstLine="420" w:firstLineChars="200"/>
        <w:jc w:val="left"/>
        <w:rPr>
          <w:rFonts w:ascii="宋体" w:hAnsi="宋体"/>
          <w:bCs/>
          <w:color w:val="000000"/>
          <w:kern w:val="0"/>
          <w:szCs w:val="21"/>
          <w:highlight w:val="none"/>
        </w:rPr>
      </w:pPr>
      <w:r>
        <w:rPr>
          <w:rFonts w:ascii="宋体" w:hAnsi="宋体"/>
          <w:bCs/>
          <w:color w:val="000000"/>
          <w:kern w:val="0"/>
          <w:szCs w:val="21"/>
          <w:highlight w:val="none"/>
        </w:rPr>
        <w:t>相关说明</w:t>
      </w:r>
    </w:p>
    <w:p>
      <w:pPr>
        <w:widowControl/>
        <w:snapToGrid w:val="0"/>
        <w:spacing w:line="360" w:lineRule="auto"/>
        <w:ind w:firstLine="420" w:firstLineChars="200"/>
        <w:jc w:val="left"/>
        <w:rPr>
          <w:rFonts w:ascii="宋体" w:hAnsi="宋体"/>
          <w:color w:val="000000"/>
          <w:kern w:val="0"/>
          <w:szCs w:val="21"/>
          <w:highlight w:val="none"/>
        </w:rPr>
      </w:pPr>
      <w:r>
        <w:rPr>
          <w:rFonts w:hint="eastAsia" w:ascii="宋体" w:hAnsi="宋体"/>
          <w:color w:val="000000"/>
          <w:kern w:val="0"/>
          <w:szCs w:val="21"/>
          <w:highlight w:val="none"/>
        </w:rPr>
        <w:t>1.采购需求中的质量技术参数或型号如与某产品相同时仅作为供应商选择投标产品时在质量水平上的参考，不强制采购某一特定产品，供应商可提供符合采购需求或更优的产品及方案。</w:t>
      </w:r>
    </w:p>
    <w:p>
      <w:pPr>
        <w:widowControl/>
        <w:snapToGrid w:val="0"/>
        <w:spacing w:line="360" w:lineRule="auto"/>
        <w:ind w:firstLine="420" w:firstLineChars="200"/>
        <w:jc w:val="left"/>
        <w:rPr>
          <w:rFonts w:ascii="宋体" w:hAnsi="宋体"/>
          <w:color w:val="000000"/>
          <w:kern w:val="0"/>
          <w:szCs w:val="21"/>
          <w:highlight w:val="none"/>
        </w:rPr>
      </w:pPr>
      <w:r>
        <w:rPr>
          <w:rFonts w:hint="eastAsia" w:ascii="宋体" w:hAnsi="宋体"/>
          <w:color w:val="000000"/>
          <w:kern w:val="0"/>
          <w:szCs w:val="21"/>
          <w:highlight w:val="none"/>
        </w:rPr>
        <w:t>2.采购需求中的某些技术标准如与国家标准不兼容或低于国家标准，均以最新的国家标准为准。采购需求中未明确的技术标准也均不得低于国家标准。</w:t>
      </w:r>
    </w:p>
    <w:p>
      <w:pPr>
        <w:widowControl/>
        <w:snapToGrid w:val="0"/>
        <w:spacing w:line="360" w:lineRule="auto"/>
        <w:ind w:firstLine="420" w:firstLineChars="200"/>
        <w:jc w:val="left"/>
        <w:rPr>
          <w:rFonts w:ascii="宋体" w:hAnsi="宋体"/>
          <w:color w:val="000000"/>
          <w:kern w:val="0"/>
          <w:szCs w:val="21"/>
          <w:highlight w:val="none"/>
        </w:rPr>
      </w:pPr>
      <w:r>
        <w:rPr>
          <w:rFonts w:hint="eastAsia" w:ascii="宋体" w:hAnsi="宋体"/>
          <w:color w:val="000000"/>
          <w:kern w:val="0"/>
          <w:szCs w:val="21"/>
          <w:highlight w:val="none"/>
        </w:rPr>
        <w:t>3.采购需求中的产品如涉及信息安全产品、政府强制采购产品、国家强制性认证产品、网络关键设备和网络安全专用产品的，所投产品应当获得相关认证（网络关键设备和网络安全专用产品可以是认证或检测），并在投标文件中提供有效认证证书或证明材料。签订合同应包含上述涉及的相关内容，采购人按照国家有关规定进行落实和验收。　</w:t>
      </w:r>
    </w:p>
    <w:p>
      <w:pPr>
        <w:widowControl/>
        <w:snapToGrid w:val="0"/>
        <w:spacing w:line="360" w:lineRule="auto"/>
        <w:ind w:firstLine="420" w:firstLineChars="200"/>
        <w:jc w:val="left"/>
        <w:rPr>
          <w:rFonts w:ascii="宋体" w:hAnsi="宋体"/>
          <w:color w:val="000000"/>
          <w:kern w:val="0"/>
          <w:szCs w:val="21"/>
          <w:highlight w:val="none"/>
        </w:rPr>
      </w:pPr>
      <w:r>
        <w:rPr>
          <w:rFonts w:hint="eastAsia" w:ascii="宋体" w:hAnsi="宋体"/>
          <w:color w:val="000000"/>
          <w:kern w:val="0"/>
          <w:szCs w:val="21"/>
          <w:highlight w:val="none"/>
        </w:rPr>
        <w:t>4.采购需求中如有计算机办公设备，必须预装正版操作系统软件。</w:t>
      </w:r>
    </w:p>
    <w:p>
      <w:pPr>
        <w:widowControl/>
        <w:snapToGrid w:val="0"/>
        <w:spacing w:line="360" w:lineRule="auto"/>
        <w:ind w:firstLine="420" w:firstLineChars="200"/>
        <w:jc w:val="left"/>
        <w:rPr>
          <w:rFonts w:ascii="宋体" w:hAnsi="宋体"/>
          <w:color w:val="000000"/>
          <w:kern w:val="0"/>
          <w:szCs w:val="21"/>
          <w:highlight w:val="none"/>
        </w:rPr>
      </w:pPr>
      <w:r>
        <w:rPr>
          <w:rFonts w:hint="eastAsia" w:ascii="宋体" w:hAnsi="宋体"/>
          <w:color w:val="000000"/>
          <w:kern w:val="0"/>
          <w:szCs w:val="21"/>
          <w:highlight w:val="none"/>
        </w:rPr>
        <w:t>5.如需安装调试，供应商应在安装、调试、检测合格后，向用户提供检测报告、技术手册等技术资料（操作手册、使用说明书、维修保养手册、安装手册、电路图、产品合格证等）。检测和验收依据国家有关规定执行。</w:t>
      </w:r>
    </w:p>
    <w:p>
      <w:pPr>
        <w:widowControl/>
        <w:snapToGrid w:val="0"/>
        <w:spacing w:line="360" w:lineRule="auto"/>
        <w:ind w:firstLine="420" w:firstLineChars="200"/>
        <w:jc w:val="left"/>
        <w:rPr>
          <w:rFonts w:ascii="宋体" w:hAnsi="宋体"/>
          <w:color w:val="000000"/>
          <w:kern w:val="0"/>
          <w:szCs w:val="21"/>
          <w:highlight w:val="none"/>
        </w:rPr>
      </w:pPr>
      <w:r>
        <w:rPr>
          <w:rFonts w:hint="eastAsia" w:ascii="宋体" w:hAnsi="宋体"/>
          <w:color w:val="000000"/>
          <w:kern w:val="0"/>
          <w:szCs w:val="21"/>
          <w:highlight w:val="none"/>
        </w:rPr>
        <w:t>6.招标文件对备品备件及专用工具有要求的应详细列明；虽然没有明确要求，而对系统、设备的正常运行和维护必不可少的备品备件、专用工具，或出厂时随产品配备的备品备件，供应商也应详细列明。所有备品备件和专用工具应当符合国家标准及行业要求。</w:t>
      </w:r>
    </w:p>
    <w:p>
      <w:pPr>
        <w:widowControl/>
        <w:snapToGrid w:val="0"/>
        <w:spacing w:line="360" w:lineRule="auto"/>
        <w:ind w:firstLine="420" w:firstLineChars="200"/>
        <w:jc w:val="left"/>
        <w:rPr>
          <w:rFonts w:ascii="宋体" w:hAnsi="宋体"/>
          <w:color w:val="000000"/>
          <w:kern w:val="0"/>
          <w:szCs w:val="21"/>
          <w:highlight w:val="none"/>
        </w:rPr>
      </w:pPr>
      <w:r>
        <w:rPr>
          <w:rFonts w:hint="eastAsia" w:ascii="宋体" w:hAnsi="宋体"/>
          <w:color w:val="000000"/>
          <w:kern w:val="0"/>
          <w:szCs w:val="21"/>
          <w:highlight w:val="none"/>
        </w:rPr>
        <w:t>7.供应商应提供具有相关认证证书的节能产品、环境标志产品等绿色产品。</w:t>
      </w:r>
    </w:p>
    <w:p>
      <w:pPr>
        <w:widowControl/>
        <w:snapToGrid w:val="0"/>
        <w:spacing w:line="360" w:lineRule="auto"/>
        <w:ind w:firstLine="420" w:firstLineChars="200"/>
        <w:jc w:val="left"/>
        <w:rPr>
          <w:rFonts w:ascii="宋体" w:hAnsi="宋体"/>
          <w:color w:val="000000"/>
          <w:kern w:val="0"/>
          <w:szCs w:val="21"/>
          <w:highlight w:val="none"/>
        </w:rPr>
      </w:pPr>
      <w:r>
        <w:rPr>
          <w:rFonts w:hint="eastAsia" w:ascii="宋体" w:hAnsi="宋体"/>
          <w:color w:val="000000"/>
          <w:kern w:val="0"/>
          <w:szCs w:val="21"/>
          <w:highlight w:val="none"/>
        </w:rPr>
        <w:t>8.本项目采购和履行中形成的知识产权和其他权益归采购人所有（另有约定者除外）。</w:t>
      </w:r>
    </w:p>
    <w:p>
      <w:pPr>
        <w:widowControl/>
        <w:snapToGrid w:val="0"/>
        <w:spacing w:line="360" w:lineRule="auto"/>
        <w:ind w:firstLine="420" w:firstLineChars="200"/>
        <w:jc w:val="left"/>
        <w:rPr>
          <w:rFonts w:ascii="宋体" w:hAnsi="宋体"/>
          <w:color w:val="000000"/>
          <w:kern w:val="0"/>
          <w:szCs w:val="21"/>
          <w:highlight w:val="none"/>
        </w:rPr>
      </w:pPr>
      <w:r>
        <w:rPr>
          <w:rFonts w:hint="eastAsia" w:ascii="宋体" w:hAnsi="宋体"/>
          <w:color w:val="000000"/>
          <w:kern w:val="0"/>
          <w:szCs w:val="21"/>
          <w:highlight w:val="none"/>
        </w:rPr>
        <w:t>9.本采购项目为交钥匙项目，验收合格前所需的一切费用均包含在报价之中，采购人不承担成交价格以外的任何费用。</w:t>
      </w:r>
    </w:p>
    <w:p>
      <w:pPr>
        <w:spacing w:line="360" w:lineRule="auto"/>
        <w:rPr>
          <w:rFonts w:ascii="宋体" w:hAnsi="宋体"/>
          <w:b/>
          <w:sz w:val="32"/>
          <w:szCs w:val="32"/>
          <w:highlight w:val="none"/>
        </w:rPr>
      </w:pPr>
      <w:r>
        <w:rPr>
          <w:rFonts w:hint="eastAsia" w:ascii="宋体" w:hAnsi="宋体"/>
          <w:b/>
          <w:sz w:val="32"/>
          <w:szCs w:val="32"/>
          <w:highlight w:val="none"/>
        </w:rPr>
        <w:br w:type="page"/>
      </w:r>
      <w:r>
        <w:rPr>
          <w:rFonts w:hint="eastAsia" w:ascii="宋体" w:hAnsi="宋体"/>
          <w:b/>
          <w:sz w:val="32"/>
          <w:szCs w:val="32"/>
          <w:highlight w:val="none"/>
        </w:rPr>
        <w:t>一、项目概况及总体要求</w:t>
      </w:r>
    </w:p>
    <w:p>
      <w:pPr>
        <w:widowControl/>
        <w:numPr>
          <w:ilvl w:val="0"/>
          <w:numId w:val="0"/>
        </w:numPr>
        <w:adjustRightInd w:val="0"/>
        <w:snapToGrid w:val="0"/>
        <w:spacing w:line="360" w:lineRule="auto"/>
        <w:ind w:firstLine="420" w:firstLineChars="200"/>
        <w:jc w:val="left"/>
        <w:rPr>
          <w:rFonts w:ascii="宋体" w:hAnsi="宋体" w:cs="宋体"/>
          <w:kern w:val="0"/>
          <w:sz w:val="24"/>
          <w:highlight w:val="none"/>
        </w:rPr>
      </w:pPr>
      <w:r>
        <w:rPr>
          <w:rFonts w:hint="eastAsia" w:ascii="宋体" w:hAnsi="宋体"/>
          <w:szCs w:val="21"/>
          <w:highlight w:val="none"/>
        </w:rPr>
        <w:t>“互联网+教育”平台、业务应用系统、教育专网、数据机房及运维中心、融媒体中心、校园网络及数字化改造等内容。</w:t>
      </w:r>
    </w:p>
    <w:p>
      <w:pPr>
        <w:spacing w:line="360" w:lineRule="auto"/>
        <w:rPr>
          <w:rFonts w:ascii="宋体" w:hAnsi="宋体"/>
          <w:b/>
          <w:sz w:val="32"/>
          <w:szCs w:val="32"/>
          <w:highlight w:val="none"/>
        </w:rPr>
      </w:pPr>
      <w:r>
        <w:rPr>
          <w:rFonts w:hint="eastAsia" w:ascii="宋体" w:hAnsi="宋体"/>
          <w:b/>
          <w:sz w:val="32"/>
          <w:szCs w:val="32"/>
          <w:highlight w:val="none"/>
        </w:rPr>
        <w:t>二、商务要求</w:t>
      </w:r>
    </w:p>
    <w:p>
      <w:pPr>
        <w:spacing w:line="480" w:lineRule="auto"/>
        <w:ind w:firstLine="420"/>
        <w:rPr>
          <w:rFonts w:ascii="宋体" w:hAnsi="宋体"/>
          <w:szCs w:val="21"/>
          <w:highlight w:val="none"/>
        </w:rPr>
      </w:pPr>
      <w:r>
        <w:rPr>
          <w:rFonts w:hint="eastAsia" w:ascii="宋体" w:hAnsi="宋体"/>
          <w:szCs w:val="21"/>
          <w:highlight w:val="none"/>
        </w:rPr>
        <w:t>1、合同履行地点：见供应商须知前附表</w:t>
      </w:r>
    </w:p>
    <w:p>
      <w:pPr>
        <w:spacing w:line="480" w:lineRule="auto"/>
        <w:ind w:firstLine="420"/>
        <w:rPr>
          <w:rFonts w:ascii="宋体" w:hAnsi="宋体"/>
          <w:szCs w:val="21"/>
          <w:highlight w:val="none"/>
        </w:rPr>
      </w:pPr>
      <w:r>
        <w:rPr>
          <w:rFonts w:hint="eastAsia" w:ascii="宋体" w:hAnsi="宋体"/>
          <w:szCs w:val="21"/>
          <w:highlight w:val="none"/>
        </w:rPr>
        <w:t>2、合同履行期限：见供应商须知前附表</w:t>
      </w:r>
    </w:p>
    <w:p>
      <w:pPr>
        <w:spacing w:line="480" w:lineRule="auto"/>
        <w:ind w:firstLine="420"/>
        <w:rPr>
          <w:rFonts w:ascii="宋体" w:hAnsi="宋体"/>
          <w:szCs w:val="21"/>
          <w:highlight w:val="none"/>
        </w:rPr>
      </w:pPr>
      <w:r>
        <w:rPr>
          <w:rFonts w:hint="eastAsia" w:ascii="宋体" w:hAnsi="宋体"/>
          <w:szCs w:val="21"/>
          <w:highlight w:val="none"/>
        </w:rPr>
        <w:t>3、质量要求：见供应商须知前附表</w:t>
      </w:r>
    </w:p>
    <w:p>
      <w:pPr>
        <w:spacing w:line="480" w:lineRule="auto"/>
        <w:ind w:firstLine="420"/>
        <w:rPr>
          <w:rFonts w:ascii="宋体" w:hAnsi="宋体"/>
          <w:szCs w:val="21"/>
          <w:highlight w:val="none"/>
        </w:rPr>
      </w:pPr>
      <w:r>
        <w:rPr>
          <w:rFonts w:hint="eastAsia" w:ascii="宋体" w:hAnsi="宋体"/>
          <w:szCs w:val="21"/>
          <w:highlight w:val="none"/>
        </w:rPr>
        <w:t>4、质量保证期：见供应商须知前附表</w:t>
      </w:r>
    </w:p>
    <w:p>
      <w:pPr>
        <w:spacing w:line="480" w:lineRule="auto"/>
        <w:ind w:firstLine="420"/>
        <w:rPr>
          <w:rFonts w:ascii="宋体" w:hAnsi="宋体"/>
          <w:szCs w:val="21"/>
          <w:highlight w:val="none"/>
        </w:rPr>
      </w:pPr>
      <w:r>
        <w:rPr>
          <w:rFonts w:hint="eastAsia" w:ascii="宋体" w:hAnsi="宋体"/>
          <w:szCs w:val="21"/>
          <w:highlight w:val="none"/>
        </w:rPr>
        <w:t>5、付款方式：见供应商须知前附表</w:t>
      </w:r>
    </w:p>
    <w:p>
      <w:pPr>
        <w:spacing w:line="480" w:lineRule="auto"/>
        <w:ind w:firstLine="420"/>
        <w:rPr>
          <w:rFonts w:ascii="宋体" w:hAnsi="宋体"/>
          <w:szCs w:val="21"/>
          <w:highlight w:val="none"/>
        </w:rPr>
      </w:pPr>
      <w:r>
        <w:rPr>
          <w:rFonts w:hint="eastAsia" w:ascii="宋体" w:hAnsi="宋体"/>
          <w:szCs w:val="21"/>
          <w:highlight w:val="none"/>
        </w:rPr>
        <w:t xml:space="preserve">6、服务要求： </w:t>
      </w:r>
    </w:p>
    <w:p>
      <w:pPr>
        <w:spacing w:line="480" w:lineRule="auto"/>
        <w:ind w:firstLine="420"/>
        <w:rPr>
          <w:rFonts w:ascii="宋体" w:hAnsi="宋体"/>
          <w:color w:val="auto"/>
          <w:kern w:val="0"/>
          <w:szCs w:val="21"/>
          <w:highlight w:val="none"/>
        </w:rPr>
      </w:pPr>
      <w:r>
        <w:rPr>
          <w:rFonts w:hint="eastAsia" w:ascii="宋体" w:hAnsi="宋体"/>
          <w:color w:val="auto"/>
          <w:szCs w:val="21"/>
          <w:highlight w:val="none"/>
        </w:rPr>
        <w:t>供货安装方案。包括但不限于：产品的设计制造或采购，包装运输，交货保管，安装调试，检测检验，</w:t>
      </w:r>
      <w:r>
        <w:rPr>
          <w:rFonts w:hint="eastAsia" w:ascii="宋体" w:hAnsi="宋体"/>
          <w:color w:val="auto"/>
          <w:szCs w:val="21"/>
          <w:highlight w:val="none"/>
          <w:lang w:val="en-US" w:eastAsia="zh-CN"/>
        </w:rPr>
        <w:t>技术指导等内容</w:t>
      </w:r>
      <w:r>
        <w:rPr>
          <w:rFonts w:hint="eastAsia" w:ascii="宋体" w:hAnsi="宋体"/>
          <w:color w:val="auto"/>
          <w:szCs w:val="21"/>
          <w:highlight w:val="none"/>
        </w:rPr>
        <w:t>。</w:t>
      </w:r>
      <w:r>
        <w:rPr>
          <w:rFonts w:hint="eastAsia" w:ascii="宋体" w:hAnsi="宋体"/>
          <w:color w:val="auto"/>
          <w:kern w:val="0"/>
          <w:szCs w:val="21"/>
          <w:highlight w:val="none"/>
        </w:rPr>
        <w:t>涉及商品包装和快递包装的应符合“财办库〔2020〕123 号”要求。</w:t>
      </w:r>
    </w:p>
    <w:p>
      <w:pPr>
        <w:spacing w:line="440" w:lineRule="exact"/>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售后服务方案。包括但不限于：</w:t>
      </w:r>
    </w:p>
    <w:p>
      <w:pPr>
        <w:spacing w:line="440" w:lineRule="exact"/>
        <w:ind w:firstLine="420" w:firstLineChars="200"/>
        <w:jc w:val="left"/>
        <w:rPr>
          <w:rFonts w:hint="eastAsia" w:ascii="Calibri" w:hAnsi="Calibri" w:cs="Calibri"/>
          <w:color w:val="auto"/>
          <w:szCs w:val="21"/>
          <w:highlight w:val="none"/>
          <w:lang w:eastAsia="zh-CN"/>
        </w:rPr>
      </w:pPr>
      <w:r>
        <w:rPr>
          <w:rFonts w:hint="eastAsia" w:ascii="Calibri" w:hAnsi="Calibri" w:cs="Calibri"/>
          <w:color w:val="auto"/>
          <w:szCs w:val="21"/>
          <w:highlight w:val="none"/>
        </w:rPr>
        <w:t>①故障响应时间、到达现场时间，故障排除时间，7×24小时服务情况</w:t>
      </w:r>
      <w:r>
        <w:rPr>
          <w:rFonts w:hint="eastAsia" w:ascii="Calibri" w:hAnsi="Calibri" w:cs="Calibri"/>
          <w:color w:val="auto"/>
          <w:szCs w:val="21"/>
          <w:highlight w:val="none"/>
          <w:lang w:eastAsia="zh-CN"/>
        </w:rPr>
        <w:t>；</w:t>
      </w:r>
    </w:p>
    <w:p>
      <w:pPr>
        <w:spacing w:line="440" w:lineRule="exact"/>
        <w:ind w:firstLine="420" w:firstLineChars="200"/>
        <w:jc w:val="left"/>
        <w:rPr>
          <w:rFonts w:hint="eastAsia" w:ascii="Calibri" w:hAnsi="Calibri" w:cs="Calibri"/>
          <w:color w:val="auto"/>
          <w:szCs w:val="21"/>
          <w:highlight w:val="none"/>
        </w:rPr>
      </w:pPr>
      <w:r>
        <w:rPr>
          <w:rFonts w:hint="eastAsia" w:ascii="Calibri" w:hAnsi="Calibri" w:cs="Calibri"/>
          <w:color w:val="auto"/>
          <w:szCs w:val="21"/>
          <w:highlight w:val="none"/>
        </w:rPr>
        <w:t>②本地化服务情况；</w:t>
      </w:r>
    </w:p>
    <w:p>
      <w:pPr>
        <w:spacing w:line="440" w:lineRule="exact"/>
        <w:ind w:firstLine="420" w:firstLineChars="200"/>
        <w:jc w:val="left"/>
        <w:rPr>
          <w:rFonts w:hint="eastAsia" w:ascii="Calibri" w:hAnsi="Calibri" w:cs="Calibri"/>
          <w:color w:val="auto"/>
          <w:szCs w:val="21"/>
          <w:highlight w:val="none"/>
        </w:rPr>
      </w:pPr>
      <w:r>
        <w:rPr>
          <w:rFonts w:hint="eastAsia" w:ascii="Calibri" w:hAnsi="Calibri" w:cs="Calibri"/>
          <w:color w:val="auto"/>
          <w:szCs w:val="21"/>
          <w:highlight w:val="none"/>
        </w:rPr>
        <w:t>③质量保证期内，提供</w:t>
      </w:r>
      <w:r>
        <w:rPr>
          <w:rFonts w:hint="eastAsia" w:ascii="Calibri" w:hAnsi="Calibri" w:cs="Calibri"/>
          <w:color w:val="auto"/>
          <w:szCs w:val="21"/>
          <w:highlight w:val="none"/>
          <w:lang w:val="en-US" w:eastAsia="zh-CN"/>
        </w:rPr>
        <w:t>硬件维保</w:t>
      </w:r>
      <w:r>
        <w:rPr>
          <w:rFonts w:hint="eastAsia" w:ascii="Calibri" w:hAnsi="Calibri" w:cs="Calibri"/>
          <w:color w:val="auto"/>
          <w:szCs w:val="21"/>
          <w:highlight w:val="none"/>
        </w:rPr>
        <w:t>、系统维护、</w:t>
      </w:r>
      <w:r>
        <w:rPr>
          <w:rFonts w:hint="eastAsia" w:ascii="Calibri" w:hAnsi="Calibri" w:cs="Calibri"/>
          <w:color w:val="auto"/>
          <w:szCs w:val="21"/>
          <w:highlight w:val="none"/>
          <w:lang w:val="en-US" w:eastAsia="zh-CN"/>
        </w:rPr>
        <w:t>系统升级、定期巡检、</w:t>
      </w:r>
      <w:r>
        <w:rPr>
          <w:rFonts w:hint="eastAsia" w:ascii="Calibri" w:hAnsi="Calibri" w:cs="Calibri"/>
          <w:color w:val="auto"/>
          <w:szCs w:val="21"/>
          <w:highlight w:val="none"/>
        </w:rPr>
        <w:t>技术指导等免费上门服务内容，维修时提供备用机、提供配件优惠等情况；</w:t>
      </w:r>
    </w:p>
    <w:p>
      <w:pPr>
        <w:spacing w:line="440" w:lineRule="exact"/>
        <w:ind w:firstLine="420" w:firstLineChars="200"/>
        <w:jc w:val="left"/>
        <w:rPr>
          <w:rFonts w:hint="eastAsia" w:ascii="宋体" w:hAnsi="宋体"/>
          <w:color w:val="auto"/>
          <w:szCs w:val="21"/>
          <w:highlight w:val="none"/>
        </w:rPr>
      </w:pPr>
      <w:r>
        <w:rPr>
          <w:rFonts w:hint="eastAsia" w:ascii="Calibri" w:hAnsi="Calibri" w:cs="Calibri"/>
          <w:color w:val="auto"/>
          <w:szCs w:val="21"/>
          <w:highlight w:val="none"/>
        </w:rPr>
        <w:t>④质量</w:t>
      </w:r>
      <w:r>
        <w:rPr>
          <w:rFonts w:hint="eastAsia" w:ascii="宋体" w:hAnsi="宋体"/>
          <w:color w:val="auto"/>
          <w:szCs w:val="21"/>
          <w:highlight w:val="none"/>
        </w:rPr>
        <w:t>保证期外，</w:t>
      </w:r>
      <w:r>
        <w:rPr>
          <w:rFonts w:hint="eastAsia" w:ascii="宋体" w:hAnsi="宋体"/>
          <w:color w:val="auto"/>
          <w:szCs w:val="21"/>
          <w:highlight w:val="none"/>
          <w:lang w:val="en-US" w:eastAsia="zh-CN"/>
        </w:rPr>
        <w:t>提供</w:t>
      </w:r>
      <w:r>
        <w:rPr>
          <w:rFonts w:hint="eastAsia" w:ascii="Calibri" w:hAnsi="Calibri" w:cs="Calibri"/>
          <w:color w:val="auto"/>
          <w:szCs w:val="21"/>
          <w:highlight w:val="none"/>
          <w:lang w:val="en-US" w:eastAsia="zh-CN"/>
        </w:rPr>
        <w:t>硬件维保</w:t>
      </w:r>
      <w:r>
        <w:rPr>
          <w:rFonts w:hint="eastAsia" w:ascii="Calibri" w:hAnsi="Calibri" w:cs="Calibri"/>
          <w:color w:val="auto"/>
          <w:szCs w:val="21"/>
          <w:highlight w:val="none"/>
        </w:rPr>
        <w:t>、系统维护</w:t>
      </w:r>
      <w:r>
        <w:rPr>
          <w:rFonts w:hint="eastAsia" w:ascii="Calibri" w:hAnsi="Calibri" w:cs="Calibri"/>
          <w:color w:val="auto"/>
          <w:szCs w:val="21"/>
          <w:highlight w:val="none"/>
          <w:lang w:val="en-US" w:eastAsia="zh-CN"/>
        </w:rPr>
        <w:t>等</w:t>
      </w:r>
      <w:r>
        <w:rPr>
          <w:rFonts w:hint="eastAsia" w:ascii="宋体" w:hAnsi="宋体"/>
          <w:color w:val="auto"/>
          <w:szCs w:val="21"/>
          <w:highlight w:val="none"/>
        </w:rPr>
        <w:t>服务内容及费用情况，配件优惠情况等；</w:t>
      </w:r>
    </w:p>
    <w:p>
      <w:pPr>
        <w:spacing w:line="480" w:lineRule="auto"/>
        <w:ind w:firstLine="420"/>
        <w:rPr>
          <w:rFonts w:ascii="宋体" w:hAnsi="宋体"/>
          <w:color w:val="auto"/>
          <w:szCs w:val="21"/>
          <w:highlight w:val="none"/>
        </w:rPr>
      </w:pPr>
      <w:r>
        <w:rPr>
          <w:rFonts w:hint="eastAsia" w:ascii="微软雅黑" w:hAnsi="微软雅黑" w:eastAsia="微软雅黑" w:cs="微软雅黑"/>
          <w:color w:val="auto"/>
          <w:szCs w:val="21"/>
          <w:highlight w:val="none"/>
        </w:rPr>
        <w:t>⑤</w:t>
      </w:r>
      <w:r>
        <w:rPr>
          <w:rFonts w:hint="eastAsia" w:ascii="Calibri" w:hAnsi="Calibri" w:cs="Calibri"/>
          <w:color w:val="auto"/>
          <w:szCs w:val="21"/>
          <w:highlight w:val="none"/>
        </w:rPr>
        <w:t>其他</w:t>
      </w:r>
      <w:r>
        <w:rPr>
          <w:rFonts w:hint="eastAsia" w:ascii="宋体" w:hAnsi="宋体"/>
          <w:color w:val="auto"/>
          <w:szCs w:val="21"/>
          <w:highlight w:val="none"/>
        </w:rPr>
        <w:t>适合本项目的服务范围和内容。</w:t>
      </w:r>
    </w:p>
    <w:p>
      <w:pPr>
        <w:spacing w:line="480" w:lineRule="auto"/>
        <w:ind w:firstLine="420"/>
        <w:rPr>
          <w:rFonts w:ascii="宋体" w:hAnsi="宋体"/>
          <w:szCs w:val="21"/>
          <w:highlight w:val="none"/>
        </w:rPr>
      </w:pPr>
      <w:r>
        <w:rPr>
          <w:rFonts w:hint="eastAsia" w:ascii="宋体" w:hAnsi="宋体"/>
          <w:szCs w:val="21"/>
          <w:highlight w:val="none"/>
        </w:rPr>
        <w:t>7、其他要求：</w:t>
      </w:r>
    </w:p>
    <w:p>
      <w:pPr>
        <w:spacing w:line="440" w:lineRule="exact"/>
        <w:ind w:firstLine="420" w:firstLineChars="200"/>
        <w:rPr>
          <w:rFonts w:ascii="宋体" w:hAnsi="宋体"/>
          <w:szCs w:val="21"/>
          <w:highlight w:val="none"/>
        </w:rPr>
      </w:pPr>
      <w:r>
        <w:rPr>
          <w:rFonts w:hint="eastAsia"/>
          <w:highlight w:val="none"/>
        </w:rPr>
        <w:t>依据《关于推进全省基础教育资源公共服务平台建设与互联互通工作的通知》（豫电教馆〔2018〕114 号）文件规定，投标人所投产品必须实现与国家、省基础教育资源公共服务平台互联互通；</w:t>
      </w:r>
    </w:p>
    <w:p>
      <w:pPr>
        <w:spacing w:line="440" w:lineRule="exact"/>
        <w:rPr>
          <w:rFonts w:ascii="宋体" w:hAnsi="宋体"/>
          <w:b/>
          <w:szCs w:val="21"/>
          <w:highlight w:val="none"/>
        </w:rPr>
      </w:pPr>
    </w:p>
    <w:p>
      <w:pPr>
        <w:rPr>
          <w:rFonts w:ascii="宋体" w:hAnsi="宋体"/>
          <w:b/>
          <w:szCs w:val="21"/>
          <w:highlight w:val="none"/>
        </w:rPr>
        <w:sectPr>
          <w:headerReference r:id="rId7" w:type="first"/>
          <w:footerReference r:id="rId9" w:type="first"/>
          <w:footerReference r:id="rId8" w:type="default"/>
          <w:pgSz w:w="11906" w:h="16838"/>
          <w:pgMar w:top="1417" w:right="1417" w:bottom="1417" w:left="1417" w:header="851" w:footer="992" w:gutter="0"/>
          <w:pgNumType w:start="1"/>
          <w:cols w:space="720" w:num="1"/>
          <w:titlePg/>
          <w:docGrid w:type="lines" w:linePitch="312" w:charSpace="0"/>
        </w:sectPr>
      </w:pPr>
      <w:r>
        <w:rPr>
          <w:rFonts w:ascii="宋体" w:hAnsi="宋体"/>
          <w:b/>
          <w:szCs w:val="21"/>
          <w:highlight w:val="none"/>
        </w:rPr>
        <w:br w:type="page"/>
      </w:r>
    </w:p>
    <w:p>
      <w:pPr>
        <w:rPr>
          <w:rFonts w:ascii="宋体" w:hAnsi="宋体"/>
          <w:sz w:val="32"/>
          <w:szCs w:val="32"/>
          <w:highlight w:val="none"/>
        </w:rPr>
      </w:pPr>
      <w:r>
        <w:rPr>
          <w:rFonts w:hint="eastAsia" w:ascii="宋体" w:hAnsi="宋体"/>
          <w:b/>
          <w:sz w:val="32"/>
          <w:szCs w:val="32"/>
          <w:highlight w:val="none"/>
        </w:rPr>
        <w:t>三、招标内容及技术要求</w:t>
      </w:r>
      <w:bookmarkStart w:id="686" w:name="_Toc152045782"/>
      <w:bookmarkStart w:id="687" w:name="_Toc144974851"/>
      <w:bookmarkStart w:id="688" w:name="_Toc247096438"/>
      <w:bookmarkStart w:id="689" w:name="_Toc247085866"/>
      <w:bookmarkStart w:id="690" w:name="_Toc246997093"/>
      <w:bookmarkStart w:id="691" w:name="_Toc152042571"/>
      <w:bookmarkStart w:id="692" w:name="_Toc179632800"/>
      <w:bookmarkStart w:id="693" w:name="_Toc246996350"/>
    </w:p>
    <w:p>
      <w:pPr>
        <w:ind w:firstLine="600" w:firstLineChars="200"/>
        <w:rPr>
          <w:color w:val="auto"/>
          <w:sz w:val="30"/>
          <w:szCs w:val="30"/>
          <w:highlight w:val="none"/>
        </w:rPr>
      </w:pPr>
      <w:r>
        <w:rPr>
          <w:rFonts w:hint="eastAsia" w:ascii="宋体" w:hAnsi="宋体"/>
          <w:bCs/>
          <w:color w:val="auto"/>
          <w:sz w:val="30"/>
          <w:szCs w:val="30"/>
          <w:highlight w:val="none"/>
        </w:rPr>
        <w:t>多产品采购时本项目标明的核心产品为：</w:t>
      </w:r>
      <w:r>
        <w:rPr>
          <w:rFonts w:hint="eastAsia" w:ascii="宋体" w:hAnsi="宋体"/>
          <w:bCs/>
          <w:color w:val="auto"/>
          <w:sz w:val="30"/>
          <w:szCs w:val="30"/>
          <w:highlight w:val="none"/>
          <w:u w:val="single"/>
        </w:rPr>
        <w:t xml:space="preserve"> </w:t>
      </w:r>
      <w:r>
        <w:rPr>
          <w:rFonts w:hint="eastAsia" w:ascii="宋体" w:hAnsi="宋体"/>
          <w:bCs/>
          <w:color w:val="auto"/>
          <w:sz w:val="30"/>
          <w:szCs w:val="30"/>
          <w:highlight w:val="none"/>
          <w:u w:val="single"/>
          <w:lang w:val="en-US" w:eastAsia="zh-CN"/>
        </w:rPr>
        <w:t>智慧黑板</w:t>
      </w:r>
      <w:r>
        <w:rPr>
          <w:rFonts w:hint="eastAsia" w:ascii="宋体" w:hAnsi="宋体"/>
          <w:bCs/>
          <w:color w:val="auto"/>
          <w:sz w:val="30"/>
          <w:szCs w:val="30"/>
          <w:highlight w:val="none"/>
          <w:u w:val="single"/>
        </w:rPr>
        <w:t xml:space="preserve"> </w:t>
      </w:r>
    </w:p>
    <w:p>
      <w:pPr>
        <w:pStyle w:val="30"/>
        <w:ind w:left="0" w:leftChars="0" w:firstLine="600" w:firstLineChars="200"/>
        <w:rPr>
          <w:bCs/>
          <w:sz w:val="32"/>
          <w:szCs w:val="32"/>
          <w:highlight w:val="none"/>
        </w:rPr>
      </w:pPr>
      <w:r>
        <w:rPr>
          <w:rFonts w:hint="eastAsia" w:ascii="宋体" w:hAnsi="宋体"/>
          <w:bCs/>
          <w:sz w:val="30"/>
          <w:szCs w:val="30"/>
          <w:highlight w:val="none"/>
        </w:rPr>
        <w:t>本项目招标内容、数量及其有关技术要求如下：</w:t>
      </w:r>
    </w:p>
    <w:tbl>
      <w:tblPr>
        <w:tblStyle w:val="3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9"/>
        <w:gridCol w:w="2055"/>
        <w:gridCol w:w="9360"/>
        <w:gridCol w:w="1111"/>
        <w:gridCol w:w="7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F2F2F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722" w:type="pct"/>
            <w:tcBorders>
              <w:top w:val="single" w:color="auto" w:sz="4" w:space="0"/>
              <w:left w:val="single" w:color="auto" w:sz="4" w:space="0"/>
              <w:bottom w:val="single" w:color="auto" w:sz="4" w:space="0"/>
              <w:right w:val="single" w:color="auto" w:sz="4" w:space="0"/>
            </w:tcBorders>
            <w:shd w:val="clear" w:color="auto" w:fill="F2F2F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产品名称</w:t>
            </w:r>
          </w:p>
        </w:tc>
        <w:tc>
          <w:tcPr>
            <w:tcW w:w="3291" w:type="pct"/>
            <w:tcBorders>
              <w:top w:val="single" w:color="auto" w:sz="4" w:space="0"/>
              <w:left w:val="single" w:color="auto" w:sz="4" w:space="0"/>
              <w:bottom w:val="single" w:color="auto" w:sz="4" w:space="0"/>
              <w:right w:val="single" w:color="auto" w:sz="4" w:space="0"/>
            </w:tcBorders>
            <w:shd w:val="clear" w:color="auto" w:fill="F2F2F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主要技术参数、性能、配置等要求</w:t>
            </w:r>
          </w:p>
        </w:tc>
        <w:tc>
          <w:tcPr>
            <w:tcW w:w="390" w:type="pct"/>
            <w:tcBorders>
              <w:top w:val="single" w:color="auto" w:sz="4" w:space="0"/>
              <w:left w:val="single" w:color="auto" w:sz="4" w:space="0"/>
              <w:bottom w:val="single" w:color="auto" w:sz="4" w:space="0"/>
              <w:right w:val="single" w:color="auto" w:sz="4" w:space="0"/>
            </w:tcBorders>
            <w:shd w:val="clear" w:color="auto" w:fill="F2F2F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数量及</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单位</w:t>
            </w:r>
          </w:p>
        </w:tc>
        <w:tc>
          <w:tcPr>
            <w:tcW w:w="265" w:type="pct"/>
            <w:tcBorders>
              <w:top w:val="single" w:color="auto" w:sz="4" w:space="0"/>
              <w:left w:val="single" w:color="auto" w:sz="4" w:space="0"/>
              <w:bottom w:val="single" w:color="auto" w:sz="4" w:space="0"/>
              <w:right w:val="single" w:color="auto" w:sz="4" w:space="0"/>
            </w:tcBorders>
            <w:shd w:val="clear" w:color="auto" w:fill="F2F2F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2F2F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一、教育专网建设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教育专网互联网出口带宽</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租赁运营商互联网出口带宽5G。</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教育专网68条VPN专线带宽</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租赁运营商68条VPN专线带宽1G，组成教育专网线路。</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融媒体入网费用</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有线电视、IP电视入网服务费。</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二、数据机房及运维中心建设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（一）模块化机房建设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设备机柜</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1.机柜尺寸为宽600 mm×高2000 mm×深1100mm，每机柜标配底板及侧板，并柜内部机柜无须侧板。每机柜须配置20个1U免工具安装塑胶盲板，1个承载能力≥50kg的托盘，2条挂接竖直理线板。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2.前后门须采用网孔门设计，网孔为六边形设计，通孔率需达80％。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3.承重须达到静态负载≥2550kg。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4.机柜须满足抗震要求。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5.机柜前后门开启角度均应≥140度。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6.所有部件须可靠接地。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7.材料须满足，前后网孔门材料采用≥1.5mm冷板；立柱材料：≥2.0mm冷板；框架材料：≥1.5mm冷板。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8.须配置2条竖直安装PDU，安装位置为机柜后立柱左右2侧。32A总输入，12位GB10A输出及4位GB16A输出。</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12台</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一体化UPS柜</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微模块机房内设计2台一体化UPS主机，一体化UPS要求集成模块化UPS、UPS配电单元、空调配电单元、IT配电单元，其中列间空调输入配电：≥63A/3P×6;照明监控输入配电：≥16A/1P×6;IT负载输出配电：≥32A/1P×36;UPS机架容量≥160KVA模块化UPS，单个功率模块≥40KVA，初期每台配置≥2个模块80KVA，系统后备时间≥120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2.UPS采用集中旁路方式，旁路模块支持热插拔，内置维修旁路，标配输入、输出空开。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3.模块化UPS每个功率模块均要求内置完整的整流、逆变及控制系统，任意模块的功率或控制电路故障都不影响UPS系统整体工作运行，保证系统控制不会出现单点故障。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4.UPS电气柜内功率模块交/直流端口并联要求采用铜排汇流方式，禁止电缆+接线端子方式。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5.风扇故障时发出声光告警。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6.每个功率模块内部均有独立的功率单元、充电单元；单个功率模块容量≥40KVA，配置模块数量≥1个。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7.市电模式下，UPS系统效率在50%负载时须达到95%。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8.25%~100%负载率下，UPS输入功率因数≥0.99。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9.设备要求提供全中文监控及操作界面，≥9英寸液晶彩色触摸屏，单屏可管理供配电系统，显示配电模拟图。</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蓄电池</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1.12V100AH电池，每40节一组。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2.蓄电池在环境温度20℃～25℃时的设计寿命≥10年。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3.阻燃性能：蓄电池槽、盖等材料应具有阻燃性。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4.极柱端子结构：具有防短路措施。</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160节</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电池架及电池组开关</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1.根据现场尺寸进行布局，并预留充分的维护空间。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2.每台UPS均应配置对应的电池组总开关及分路开关，满足电池放电要求。</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行间空调</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1.单台空调室内机总冷量≥42KW，单台空调风量≥8500m³/h，加热量≥6KW，加湿量≥1.5Kg/h。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2.精密空调室内机应包含风机、控制器、电子膨胀阀、视液镜、干燥过滤器、电极式加湿器和PTC 加热器等主要部件。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3.设备具备抗震功能。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4.应选用大面积蒸发器，保障换热效率；应有快速除湿功能，减少空气过冷及热补偿需求，降低机房专用空调除湿过程耗电量。</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电源室精密空调</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1.制冷精密空调总制冷量≥13KW，显冷量≥11.5KW，风量≥3100m3/h。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2.精密空调包含压缩机、蒸发器、普通风机、控制器、热力膨胀阀、视液镜、干燥过滤器等主要部件。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3.空调需具备来电自启动功能。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4.产品通过CQC节能认证及3C认证。</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密闭通道系统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1.封闭冷通道采用旋转开启的钢化玻璃，厚度≥4mm，保证90%以上的透光率。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2.封闭冷通道组件两侧门应配备无框玻璃门，钢化玻璃面积占门板总面积的比例≥98%。钢化玻璃厚度≥8mm。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3.封闭冷通道组件支持安装水浸、温湿度传感器、摄像头、门磁、门禁等辅助功能组件。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4.封闭冷通道的所有天窗必须全部可透光。天窗翻转角度现场可调，支持30度、60度和全部开启。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5.电动滑动门要求与智能门禁、消防信号、红外侦测信号联动。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6.通道内灯光系统要求采用三色可调灯光，LED灯条，天窗支架内嵌入式安装。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7.要求模块的一端设置本地维护触摸管控屏。管控屏≥15寸，分辨率≥1024x768，采用LED背光，电容触控方式。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8．通道门为隐藏式滑动门。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17平方</w:t>
            </w:r>
            <w:r>
              <w:rPr>
                <w:rFonts w:hint="eastAsia" w:ascii="宋体" w:hAnsi="宋体" w:cs="宋体"/>
                <w:i w:val="0"/>
                <w:iCs w:val="0"/>
                <w:color w:val="000000"/>
                <w:kern w:val="0"/>
                <w:sz w:val="24"/>
                <w:szCs w:val="24"/>
                <w:highlight w:val="none"/>
                <w:u w:val="none"/>
                <w:lang w:val="en-US" w:eastAsia="zh-CN" w:bidi="ar"/>
              </w:rPr>
              <w:t>米</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动力环境监控系统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包含监控专用服务器1台，监控平台软件1套；短信告警器1套，环境监控包含：2个温湿度传感器，3个烟雾传感器，2根漏水检测绳，4个摄像头，1台硬盘录像机，2个4T硬盘；门禁4个:机房入户1个，模块化机房2个（支持，密码刷卡指纹），1个短信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2.监控系统功能：配电监控：遥测：相电压，相电流，电池总电压，电池电流，输出频率。遥信：旁路供电，市电故障，整流器故障，逆变器故障，旁路故障。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精密空调监控：遥测：压缩机、风机、水泵、加热器、加湿器、去湿器、滤网等的运行状态与参数；空调制冷温度、送风温度、回风温度、送风湿度、回风湿度、风机转速（高/中/低）。遥信：风机工作状态，故障告警。遥控：开/关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管控屏≥15寸，分辨率≥1024x768，采用LED背光，电容触控方式。管控屏上显示模块内部PUE值、告警、供电容量、制冷容量、温场等信息。监控平台须具备远程APP功能，对机房监控系统的温湿度实时监测，防盗/消防监测系统工作状态实时监测，配电及 UPS 系统实时监测，漏水检测定位检测，空调运行状态监测等功能。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5.●监控采集器应采用双电源设计。采集器支持千兆光纤接口。（须提供相应证明材料）</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17平方</w:t>
            </w:r>
            <w:r>
              <w:rPr>
                <w:rFonts w:hint="eastAsia" w:ascii="宋体" w:hAnsi="宋体" w:cs="宋体"/>
                <w:i w:val="0"/>
                <w:iCs w:val="0"/>
                <w:color w:val="000000"/>
                <w:kern w:val="0"/>
                <w:sz w:val="24"/>
                <w:szCs w:val="24"/>
                <w:highlight w:val="none"/>
                <w:u w:val="none"/>
                <w:lang w:val="en-US" w:eastAsia="zh-CN" w:bidi="ar"/>
              </w:rPr>
              <w:t>米</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系统配套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模块化机房配套辅材及现场环境改造包含但不仅限于以下内容，须满足现场使用需求。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1.大楼强电配电柜至A、B路UPS电源输入主电缆：ZRVV-（4X150+1X70）。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2.一体化UPS至A、B路空调主机主电缆：ZRVV-（4×10+1×6）。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3.UPS至电池开关箱，A、B路UPS共两台电缆：ZRVV-3X70。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4.电池开关箱至电池组（共4组）电缆：ZRVV-3X70。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5.电池层与层之间连线，4组电池共12组：ZRVV-3X70。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6.电池之间铜排T4 30×4。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7.闭式电缆桥架200×150。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8.从一体化UPS至每条PDU电缆RVV3×6。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9.铜鼻子、扎带、热缩管等配套设备。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10.铜管：直径19mm、直径25mm。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11.铜弯头：直径19mm、直径25mm。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12.直通：直径19mm、直径25mm。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13.保温管：直径19mm、直径25mm。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14.下水管：直径40mm-PPR。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15.上水管：直径25mm-铝塑管。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16.制冷剂：R410a-11.4公斤。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17.风机电缆7芯7×1.5平。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18.标签和标识：用于标识机房内的各种设备和线路，方便管理和维护。</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交付实施服务</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模块化机房内设备调试、交付实施服务包含但不仅限于以下内容，须满足使用需求。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1.设备专用车辆运输，包含现场设备装卸、叉车、吊车等机械设备费用，要求设备搬运到指定位置。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2.设备安装和调试：进行设备的安装和固定。空调、机柜、UPS不间断电源、动力环境检测、门禁、密闭通道等关键设备的安装。安装完成后，进行设备的调试和测试，确保设备正常运行并满足性能要求。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3.电力和网络连接：安装配电箱、配电柜等电力设备，并进行电源线的连接和配置。配置网络设备和通讯线路，确保机房内的设备能够正常通信和连接外部网络。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4.机房环境调试：安装和调试机房的冷却设备、照明设备等，进行温度和湿度的调试，确保机房内的设备能够在适宜的环境下运行。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5.系统联调和验收：在安装和调试完成后，确保各个设备和系统能够协同工作并满足设计要求。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6.培训和文档交付：安装服务完成后，提供必要的培训和技术支持，使客户能够熟练使用和维护机房设备。同时，交付相关的安装文档、用户手册和维护指南等，方便客户进行后续管理和维护。</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（二）数据中心网络设备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教育专网核心交换机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1.交换容量≥1250Tbps，包转发率≥460000Mpps；以官网最小的值为准。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2.主控引擎与交换网板物理分离，主控槽位≥2个；独立交换网板槽位≥4个；整机业务板槽位数≥12个，主控槽位与业务线卡槽位宽度相同，为全宽槽位，电源槽位≥4个；独立集中监控板槽位≥2个。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3.支持模块化风扇框，单个风扇框发生故障时，其他风扇正常运行。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4.支持横向虚拟化技术，多台设备虚拟为一台，支持长距离集群。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5.支持纵向虚拟化技术，支持把交换机和AP虚拟为一台设备。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6.●支持内置无线控制器功能，整机可管理≥10K台，WLAN AP≥5万无线用户。（须提供相应证明材料）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7.支持VxLAN功能，支持VxLAN二层网关、三层网关，支持BGP EVPN，实现自动建立隧道。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8.支持整机MAC地址≥1M，ARP表项≥380K，IPv4路由转发表FIB规格≥3M ，IPv6路由转发表FIB规格≥1M。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9.支持静态路由、RIP、RIPng、OSPF、OSPFv3、BGP、BGP4+、ISIS、ISISv6。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10.支持IGMPv1/v2/v3、IGMP v1/v2/v3 Snooping，PIM DM、PIM SM、PIM SSM，MSDP、MBGP，用户快速离开机制，组播流量控制，组播查询器，组播协议报文抑制功能，组播CAC，组播ACL。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11.支持IPv6过渡技术，IPv4/IPv6双栈、6over4隧道、4 over6隧道，支持IPv6 DHCP SERVER、IPv6 DHCP Relay、DHCP Snooping。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12.支持MPLS L3VPN、MPLS L2VPN(VPLS，VLL)、MPLS-TE、MPLS QoS。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13.实配: 双主控引擎，满配交换网板，独立风扇框≥4个，独立集中监控板≥1块，交流电源≥4个，千兆光口≥24个，万兆光口≥72个，万兆多模模块20个，5米万兆集群线缆≥2根，配置无线AP管理授权≥16个。</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数据中心核心交换机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1.交换容量≥150Tbps，包转发率≥115000Mpps。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2.●主控槽位≥2个；整机业务板槽位数≥12个，主控槽位与业务线卡槽位宽度相同，为全宽槽位，电源槽位≥4个，独立集中监控板槽位≥2个。（须提供相应证明材料）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3.设备支持模块化风扇框，可热插拔。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4.支持内置无线控制器功能，整机可管理4000台 AP和3万个并发在线无线用户。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5.支持静态路由、RIP、RIPng、OSPF、OSPFv3、BGP、BGP4+、ISIS、ISISv6。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6.支持整机MAC地址≥1M；MAC学习速率≥8000/s;整机ARP表项≥250K。</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7.支持可将核心交换机/汇聚交换机、接入交换机和AP设备虚拟为一台设备，进行统一管理。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8.支持VxLAN功能，支持VxLAN二层网关、三层网关，支持BGP EVPN，支持分布式 Anycast 网关，支持VxLAN Fabric 的自动化部署。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9.支持MPLS L3VPN、MPLS L2VPN(VPLS，VLL)、MPLS-TE、MPLS QoS。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10.支持PQ、WRR、DRR、PQ+WRR、PQ+DRR调度方式；风暴控制支持shutdown端口或拒绝转发的安全策略下发。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 Telemetry 技术，实时采集设备数据并上送至网络分析组件平台，通过智能故障识别算法对网络数据进行分析，精准展现网络实时状态，及时定界故障以及故障发生原因。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12.实配: 双主控引擎，集成交换网板功能，须满配独立交换网板，独立风扇框≥4个，独立集中监控板≥1块，交流电源≥4个，万兆光口≥48个，万兆多模模块≥4个，5米万兆集群线缆≥2根。</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数据中心业务交换机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1.交换容量≥2.5Tbps；转发性能≥1600Mpps。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2.≥48个万兆SFP+，≥6个100GE QSFP28，100G高速线缆1根，万兆多模模块≥15个。内置可插拔双电源。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3.MAC地址≥380K。</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4.支持静态、动态、黑洞MAC表项；支持DHCP Client， DHCP Server，DHCP Relay，支持Option 82；支持4K VLAN；支持1：1，N：1 VLAN mapping；支持端口VLAN，协议VLAN，IP子网VLAN。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5.支持静态路由、RIP v1/v2、OSPF、BGP，ISIS；RIPng，OSPFv3，ISISv6，BGP4+。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6.支持IGMP v1/v2/v3、PIM-SM、PIM-DM、PIM-SSM；支持IGMP snooping、MLD snooping。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7.支持VxLAN功能，支持BGP EVPN，支持分布式 Anycast 网关，支持VxLAN的自动化部署。</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BMC接入交换机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1.交换容量≥670Gbps，包转发率≥160Mpps。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2.≥48个10/100/1000BASE-T以太网端口，≥4个万兆SFP+，配置万兆多模模块≥4个，冗余电源。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3.支持统一用户管理功能，支持802.1X/MAC/Portal等多种认证方式，支持对用户进行分组/分域/分时的管理。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4.支持MAC地址≥64K，支持IPv4 路由表≥16K，支持IPv6 路由表≥8K。</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5.支持静态路由、RIP v1/v2、OSPF、BGP、ISIS、RIPng、OSPFv3、ISISv6、BGP4+。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6.支持IGMP v1/v2/v3、PIM-SM、PIM-DM、PIM-SSM；支持IGMP snooping、MLD snooping。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7.支持VxLAN功能。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（三）数据中心计算存储设备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管理节点</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*CPU规格：*CPU信息：≥2颗高性能国产C86架构，每颗CPU核心数≥16核，主频≥2.5GHz，≥24线程，L3缓存≥32M，热设计功耗(TDP)≤70W；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*主板规格：*主板支持的CPU和内存情况：支持≥2颗国产C86架构；支持DDR4 ECC内存(内存频率最高可支持到3200MHz)。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*主板内存槽数量：≥16根DDR4 内存插槽；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*主板存储接口：支持2.5寸/3.5寸硬盘，支持SAS/SATA硬盘混插，支持U.2 SSD，支持M.2 SSD；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*PCIe插槽接口：符合PCIe3.0和PCIe4.0的高速串行计算机扩展总线标准，PCIe的接口速率与位宽向下兼容；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*主板PCIe插槽数量及规格：最大可扩展≥6个PCIe 4.0插槽（含1个Storage专用插槽和1个OCP插槽）；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孔位及接口：a)服务器机箱内主板可根据用户实际使用需求支持安装多功能导入装置板卡，机箱内需预留多功能导入装置板卡安装位置，容量不小于55mm×45mm×15mm（长×宽×高，单位毫米）；b)服务器主板可根据用户实际使用需求预留满足USB2.0或USB3.0数据传输规范的接口，工作电压5V，采用USB2.0时，最大过电流应不小于0.5A，采用USB3.0时，最大过电流应不小于1A；</w:t>
            </w:r>
            <w:r>
              <w:rPr>
                <w:rFonts w:hint="eastAsia" w:ascii="宋体" w:hAnsi="宋体" w:eastAsia="宋体" w:cs="宋体"/>
                <w:i w:val="0"/>
                <w:iCs w:val="0"/>
                <w:color w:val="000000"/>
                <w:kern w:val="0"/>
                <w:sz w:val="24"/>
                <w:szCs w:val="24"/>
                <w:highlight w:val="none"/>
                <w:u w:val="none"/>
                <w:lang w:val="en-US" w:eastAsia="zh-CN" w:bidi="ar"/>
              </w:rPr>
              <w:t>本次采购不做要求</w:t>
            </w:r>
            <w:r>
              <w:rPr>
                <w:rFonts w:hint="eastAsia" w:ascii="宋体" w:hAnsi="宋体" w:eastAsia="宋体" w:cs="宋体"/>
                <w:i w:val="0"/>
                <w:iCs w:val="0"/>
                <w:color w:val="000000"/>
                <w:kern w:val="0"/>
                <w:sz w:val="24"/>
                <w:szCs w:val="24"/>
                <w:highlight w:val="yellow"/>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板载网络接口： 1GE 网口≥1 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主板OCP插槽数量：支持OCP3.0插槽≥1个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*内存规格：*内存数量：≥16根DDR4 内存插槽；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*内存规格：≥DDR4 3200MHz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*内存通道：≥1DPC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规格：硬盘类型：支持3.5寸和2.5寸规格硬盘，支持SATA、M.2、NVME类型的固态硬盘和机械硬盘。单个硬盘容量支持：240GB、480GB、500GB、512GB、640GB、750GB、800GB、960GB、1TB、1.5TB、1.92TB、2TB、3TB、3.84TB、4TB、5TB、6TB、8TB、10TB、12TB、14TB、16TB、18TB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*硬磁盘实配容量：≥2块960G 2.5吋 SATA SSD热拔插硬盘；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硬盘接口类型：硬盘接口类型：2.5吋 SATA SSD；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*硬盘实配数量：≥2块960G 2.5 SATA SSD热拔插硬盘；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*硬盘插槽数量及规格：前置最高支持≥12个2.5寸/3.5寸硬盘，支持SAS/SATA硬盘混插，支持≥4块U.2 SSD，支持后置≥2个2.5寸/3.5寸硬盘，支持一个M.2 SSD；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硬盘其他参数要求：服务器所配置固态盘，符合SJ/T 11654相关规定。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RAID卡规格（若支持RAID卡）：RAID卡支持的SAS接口数：≥8个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*网络规格：*网口速率和数量：1G RJ45≥2个；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存储型服务器网口速率和数量：存储型服务器1GE网口数量不少于2个，10GE以上网口数量不少于2个；</w:t>
            </w:r>
            <w:r>
              <w:rPr>
                <w:rFonts w:hint="eastAsia" w:ascii="宋体" w:hAnsi="宋体" w:eastAsia="宋体" w:cs="宋体"/>
                <w:i w:val="0"/>
                <w:iCs w:val="0"/>
                <w:color w:val="000000"/>
                <w:kern w:val="0"/>
                <w:sz w:val="24"/>
                <w:szCs w:val="24"/>
                <w:highlight w:val="none"/>
                <w:u w:val="none"/>
                <w:lang w:val="en-US" w:eastAsia="zh-CN" w:bidi="ar"/>
              </w:rPr>
              <w:t>本次采购不做要求</w:t>
            </w:r>
            <w:r>
              <w:rPr>
                <w:rFonts w:hint="eastAsia" w:ascii="宋体" w:hAnsi="宋体" w:eastAsia="宋体" w:cs="宋体"/>
                <w:i w:val="0"/>
                <w:iCs w:val="0"/>
                <w:color w:val="000000"/>
                <w:kern w:val="0"/>
                <w:sz w:val="24"/>
                <w:szCs w:val="24"/>
                <w:highlight w:val="yellow"/>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独立网卡网口数量：独立网卡数量：≥4个口，≥2块双口10G SFP+光纤网卡；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独立网卡接口类型：支持RJ45/QSFP/SFP等；本次采购不做要求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板载网卡接口类型：支持RJ45/QSFP/SFP等；本次采购不做要求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*外部接口规格：*显示接口：VGA接口≥1个；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*USB接口：≥4个USB 3.0接口；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特殊接口及孔位：前面板预留1个专用USB母座接口孔位；本次采购不做要求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其他接口：a)串口数量不少于1个，并可实现GB/T 6107或GB/T 26803.2的相关功能；b)服务器主机前面板可根据用户实际使用需求预留1个专用USB母座接口孔位；本次采购不做要求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*电源规格：电源冗余模式：整机电源模块按1+1冗余配置；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*电源模块数量：≥2个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*电源功率：≥550W；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电源指示灯：配备电源指示灯，指示待机、工作异常等状态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*整机规格：*外观和结构：a）服务器的零部件紧固无松动，可插拔部件可靠连接，开关、按钮和其它控制部件灵活可靠，布局方便使用；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b）产品表面没有明显的凹痕、划伤、裂缝、变形和污染等。表面涂层均匀，不起泡、龟裂、脱落和磨损，金属零部件无锈蚀及其它机械损伤；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c）产品表面说明功能的文字、符号和标志清晰、端正且牢固；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d)在服务器的显著位置提供运行状态的指示功能，并在随机文件中明确具体含义；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e)机架、机箱的尺寸符合通用机柜的安装要求，插入总线插座的电路板接口外形尺寸符合有关总线标准的规定，将机箱固定在机柜上，机箱底面最大下垂变形不得干涉相邻机体；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f)高密度服务器应给出 CPU 个数与机柜高度；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g)服务器尺寸具体在随机文件中明确；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*尺寸（高×宽×深）：2U机架式服务器机箱；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≥87.8mm(高)x 448mm(宽)x729.8mm(深)；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≥87.8mm(高)x 482（含箱耳）mm(宽)x729.8（含手拧螺钉）mm(深)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服务器导轨：产品含导轨，尺寸：≥430mm(宽)x 89mm(高)x450.8mm(深)，说明书带安装导图；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CPU个数与机柜高度单位(U)比：供应商给出 CPU 个数与机柜高度；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*环境适应性：气候环境适应性应符合GB/T9813.3的有关规定，工作时5℃～45℃(41℉～113℉)；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存储-40℃～60℃(-40℉～140℉)；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工作相对湿度35%～80%，贮存运输相对湿度20％～93%（40℃);大气压86～106kPa；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特殊机型环境适应性：工作时5℃～45℃(41℉～113℉)；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存储-40℃～60℃(-40℉～140℉)；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*机械环境适应性：机械环境适应性应符合GB/T9813.3的有关规定；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*噪声：符合GB/T 9813.3的有关规定，在空闲状态下43dB；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机柜规格：*机柜尺寸：宽度19英寸（48.26厘米）；高度42U=186.69厘米，深度100厘米/120厘米；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*主板功能：*主板外部接口种类：提供USB、显示、管理等接口：VGA、USB3.0、BMC管理端口；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主板防烧板设计：支持主板防烧板设计，保证电源故障后不扩散；本次采购不做要求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扩展功能：提供扩展功能，如存储功能卡、显示功能卡、GPU运算加速功能卡及网络功能卡等扩展功能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*网络功能：*网络功能：支持网络连接、网络访问、数据交换和网络管控功能；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功能：*计算处理：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*密码算法实现：CPU芯片符合GM/T 0008的相关规定，芯片密码模块符合GB/T37092、GM/T 0028的相关规定；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*电源功能：*电源热插拔：整机电源模块全部具备热插拔功能；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*电源过流保护：支持过流及短路保护的功能；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*整机功能：*散热方式：风冷散热方式；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其他功能：a)支持关键部件冗余（包括电源、风扇等）；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b)支持熔断保护与恢复功能。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*管理系统功能：*BMC固件基础功能：1)支持DHCP设置网络功能；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2)支持静态IP设置网络功能；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3)支持设备日志记录，包括但不限于登录日志、操作日志和报警日志等功能；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4)支持日志信息导出和记录删除功能；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5)支持通过管理接口向外输出准确的报警信息功能；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6)设备的BMC管理软件能够按报警的严重程度进行区分；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7)支持IPMI2.0、SNMP或Redfish等接口功能；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8)支持键盘、鼠标和视频的重定向、文本控制台的重定向、远程虚拟媒体、高可靠的硬件监控和管理功能；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9)支持基于网络开启、关闭和重启设备的功能，并查询当前设备开机运行状态；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10)支持故障提示功能，并可通过接口读取服务器故障信息；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11)支持基于网络的固件更新功能，包括BMC和BIOS等；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12)支持基于网络安装操作系统的功能，并可通过网络控制台访问设备；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13)支持通过本地的硬盘或光驱等存储设备，基于网络完成设备的操作系统安装功能；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14)支持通过浏览器打开管理界面并登录功能；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15)支持设置口令策略功能；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16)支持访问权限设置功能，并通过日志记录访问事件；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17)支持对出厂默认的用户名及口令进行安全保护功能，并提供默认口令修改提示；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18)支持读取设备主板的工作环境温度功能；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19)支持读取服务器CPU等核心器件的温度功能；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20)支持通过外部管理工具进行BMC参数设置的功能，并可基于网络通过外部管理工具对BMC进行管理；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21)支持固件版本查询、固件升级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22)支持基于网络实现开关机和复位控制的功能；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23)BMC启动时间不超过180s，实现功能包括网络、IPMI、散热、传感器服务可用；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24)支持BMC固件设置的恢复出厂功能；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BMC固件增强功能：a)网络控制、安装提供图形访问界面网络；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b)设备的BMC管理软件界面显示报警信息，且能够按报警的严重程度进行区分；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c)Web GUI采用BMC端口直连，平均响应时间为不大于1s；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*BIOS固件基础功能：a）支持查看固件版本、内存信息、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主板信息、处理器信息和系统时间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b）支持上电初始化界面显示 CPU 信息、内存信息、固件版本和部分快捷键信息功能；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c）支持设置界面中英文显示切换功能；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d）支持查看 PCIe 设备信息，SATA设备信息功能；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e）支持操作系统安装和引导功能，应并向操作系统提供计算机主板信息和服务接口；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f）支持设置启动顺序，并按照设置的启动顺序启动功能；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g）支持安全启动功能；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h）支持设置口令、修改口令、验证口令功能；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i）支持板载显示控制或独立显卡的显示控制功能；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j）支持 RAID 识别和启动功能；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k）支持串口重定向功能；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l）支持固件更新功能；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m）支持 BIOS 固件设置的恢复出厂功能；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n）支持网络引导启用和关闭功能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*远程控制：支持远程关机和重新启动功能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*操作系统及驱动功能：*操作系统及驱动的升级：支持通过网络、闪存盘对操作系统、驱动进行升级；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操作系统及驱动的备份还原：支持操作系统备份及还原功能；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*操作系统功能：a)支持访问控制、安全审计、网络接入鉴别等功能；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b)操作系统其他功能应满足操作系统政府采购需求标准中加*的指标要求。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*中文信息处理功能：*中文信息处理：满足涉及操作系统、数据库、输入法、办公软件等符合GB 18030的规定。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*关键部件安全要求：*关键部件安全要求：CPU和操作系统等关键部件符合安全可靠测评要求，中国信息安全测评中心和国家保密科技测评中心网站查看安全可靠测评结果；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*固件安全要求：*故障检测：支持故障检测功能，可以检测到具体的 FRU（内存、硬盘等）的故障并发出告警；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故障智能预测和自愈修复：支持内存故障智能预测和自愈修复，提前自动硬隔离，避免内存故障引起的非预期宕机以及内存寿命的降低；硬盘故障智能预测：支持硬盘故障智能预测，基于故障模型预测出硬盘的故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PCIe链路故障智能诊断：支持 PCIe链路故障智能诊断，判断出现故障的 PCIe链路；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内存故障隔离：支持内存故障隔离，在内存产生CE故障时，内存地址被隔离成功，服务器正常运行，业务系统不中断；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内存、PCIe卡的故障精准告警功能：支持内存、PCIe卡的故障精准告警功能，触发告警并明确指示具体的故障位置；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异常下电关键数据保护：支持异常下电关键数据保护，支持数据备份恢复机制，防止系统异常掉电导致的数据文件丢失；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BMC/BIOS固件双镜像保护：支持BMC/BIOS固件双镜像保护，运行异常时自动切换到备份镜像运行，提升系统稳定性；本次采购不做要求；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CPU核重启隔离：支持CPU核发生不可纠正故障后，重启后由BIOS隔离该故障核，OS不可见，防止OS再次使用导致系统异常，核0除外；本次采购不做要求；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内存地址隔离：在硬件支持的情况下，支持故障内存地址重启后隔离；本次采购不做要求；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内存存储阵列替换：在硬件支持的情况下，支持故障内存存储阵列替换；本次采购不做要求；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安全启动：支持执行环境要求在整个系统启动的过程中，系统应提供一个机制来保护平台的完整性；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*系统安全要求：syslog双向鉴别：支持系统日志双向鉴别，对服务器根证书和客户端根证书进行鉴别；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*弱口令字典检查：支持弱口令字典检查功能，出现在弱口令字典中的字符串不能被设置为用户口令；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*白名单访问控制：支持基于时间、IP 或 MAC 白名单访问控制；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双因素鉴别：支持使用客户端证书和证书密码的双因素鉴别方式登录管理系统；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*二次鉴别：支持二次鉴别功能。对于用户配置、权限配置、公钥导入等重要的管理操作，已登录用户应通过二次鉴别后，才能执行操作；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匿名化用户告警接收邮箱：支持带外管理系统中的用户告警接收邮箱进行匿名化处理；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*密码证书安全加密存储：支持对带外管理系统中的用户口令和证书等敏感信息进行加密存储，禁止使用私有的和业界已知不安全的密码算法；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*敏感信息安全加密传输：支持使用安全的传输加密协议（如SSH或HTTPS等）传输用户的敏感信息；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息安全要求：*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漏洞管理：供应商承诺，生产商已建立漏洞全量视图，保证产品版本涉及到的所有漏洞(如驱动程序、BMC软件等)都可以查看；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网络关键设备服务器要求：作为网络关键设备的服务器应符合GB 40050的相关规定；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增强要求：a)嵌入物理可信根，实现设备的信任链构建；本次采购不做要求；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b)支持可信平台控制模块(TPCM)；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c)支持在固件系统（BMC、BIOS）启动前实现对固件度量的功能，支持物理可信根对BMC固件或BIOS固件进行完整性检测、更新和恢复；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d)支持对CPU、网络控制器等关键处理器进行身份识别与度量的功能；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e)支持基于处理器或可信计算模块度量的功能；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f)所采用的可信密码模块接口符合GM/T 0012的相关规定；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g)可信安全管理模块、处理器等硬件载体通过国家相关部门的认证和许可；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*物理安全：*物理安全：安全要求应符合GB 4943.1信息技术设备安全的规定；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*限用物质的限量要求：*限用物质的限量要求：符合GB/T 26572“电子电气产品中限用物质的限量要求的国家推荐标准”的要求。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*CPU性能：*CPU主频：≥2.5GHz；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*单CPU核数：≥16核；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*单CPU末级缓存容量：≥32MB。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*内存性能：单内存模块容量：≥128GB；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*内存速率：≥3200MT/s。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RAID卡性能：RAID卡缓存容量大小：≥4GB。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网络性能：独立网卡速率：≥10GE光口；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板载网卡速率：≥1GE电口。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*电源能耗：*电源能耗：符合GB/T 9813.3的有关规定；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*部件兼容性要求：*内存兼容性：适配3种以上厂商的内存产品，且均不低于产品支持的内存规格；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*固态存储兼容性：适配3种以上厂商的固态存储产品，且均不低于产品支持的固态存储设备规格；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FC HBA卡兼容性：FC HBA应适配两种或以上厂商产品；本次采购不做要求；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RAID卡兼容性：RAID卡应适配两种以上厂商产品；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*网卡兼容性：网卡适配两种以上厂商产品；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*功能卡兼容性：支持适配符合PCIe的功能卡，如：网络功能卡、存储功能卡及图形显示功能卡；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*外设兼容性：*外设兼容性：兼容多种主流生产商的外部设备，包括显示器、键盘、鼠标、闪存盘、移动硬盘、USB光驱及KVM等，使用不同厂商的外部设备时，系统均能正常识别和安装驱动；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*软件兼容性：*数据库兼容：兼容 3 个及以上厂商的数据库产品；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*中间件兼容：兼容 3 个及以上厂商的中间件产品；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*平台软件兼容：兼容 3 个及以上厂商的大数据平台；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虚拟化软件兼容：兼容 2 款及以上虚拟化软件；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存储可靠性要求：SATA SSD可靠性：SSD 的 m1 值（MTBF 的不可接受值）≥ 200000h。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*整机可靠性要求：*整机可靠性：m1 值（MTBF 的不可接受值）≥30000h；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*风扇可靠性：风扇寿命≥ 40000h；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*部件可靠性：支持硬盘、电源、风扇热插拔(内置风扇除外)。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*包装及运输要求：*标志、包装、运输和贮存：符合GB/T 9813.3和商品包装政府采购需求标准的相关规定。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*服务响应：*服务响应：a)提供电话、电子邮件、远程连接等多种形式服务；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b)提供同城4h、异地12h技术响应服务，2个工作日解决问题，对于未能解决的问题和故障应提供可行的升级方案，并提供周转设备；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c)建立全国技术服务体系和服务团体，符合专业服务体系标准要求，提供原厂中文服务；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d)服务周期内提供产品的维修、换件和升级服务；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*培训服务：供应商提供培训材料、产品手册、培训视频等培训相关内容。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*服务周期：*服务周期：a)产品免费服务周期（含换件和维修）3年；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b)设备停产后继续提供质量保障服务（含备品备件），服务终止时间与最后一批设备交付时间间隔不低于6年；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c)产品停止服务时间提前1年告知客户；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d)产品发布日期需在随机文件中明确。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*服务工具要求：*工具要求：供应商提供设置服务器硬件、辅助操作系统安装等功能的辅助工具和管理软件。且随附软件应具有合法授权和版权。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辅助工具：支持如下功能：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a)本地的数据备份和还原功能；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b)网络的数据备份和还原功能；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c)服务器操作系统的自动安装功能；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d)服务器所配硬件需要的驱动程序和系统补丁；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驱动安装升级指引：供应商提供出厂安装的配件所需的驱动程序，形式包括但不限于驱动光盘、驱动下载链接等。其他配件应提供指引。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随机附开盖工具：随服务器打包提供开机箱工具；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代码迁移工具：供应商提供从其他CPU架构到当前服务器CPU架构的软件迁移工具产品，支持软件包迁移评估，对满足产品重构要求的软件包，能重构为当前服务器CPU架构的软件包。提供源码迁移功能，检查分析C/C++/Fortran/Go/解释型语言/汇编等源码文件，基于产品功能给出迁移指导；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性能分析工具：供应商提供支持当前服务器CPU架构的性能分析工具产品，支持系统性能分析、Java性能分析和系统诊断，可分析系统或应用在CPU、内存、IO、网络等方面的性能，并给出优化建议；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跨架构平台应用兼容：跨CPU架构平台应用兼容工具，可兼容一种或者一种以上不同架构平台的应用；本次采购不做要求；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*管理软件：具备资源管理、系统管理、性能监控、健康监控、基于网络控制、报警设置的可选功能；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*增值服务：*厂家升级产品软件与扩容服务：供应商提供原厂级的部件/软件产品升级和扩容能力；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服务保障升级：质保期内供应商提供远程技术支持、软件授权服务、备件更换服务、现场支承服务；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*提供上门服务：质保期内供应商具备提供上门服务的能力；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业务场景性能优化服务及整体架构升级服务：供应商提供针对特定业务场景性能优化服务及整体架构升级服务。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*供应链质量：*抗干扰性：当产品部件出现供应风险时，供应商会提前通知客户并提供风险应对方案确保产品的服务保障，必要时应停止相关受影响产品的销售；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*供应能力证明：供应商提供供应链稳定承诺书，确保产品的部件在产品服务周期内稳定供货；</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计算节点</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*CPU规格：≥2颗高性能国产C86架构，每颗CPU核心数≥24核 ≥48线程，主频≥2.2GHz，L3缓存≥64M，热设计功耗(TDP)≤125W；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*主板规格：*主板支持的CPU和内存情况：支持2颗高性能国产C86架构；支持DDR4 ECC内存(内存频率最高可支持到3200MHz)。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*主板内存槽数量：≥32根DDR4 内存插槽；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*主板存储接口：支持2.5、3.5、SAS、SATA、NVMe硬盘； 支持 M.2 SSD；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*PCIe插槽接口：符合PCIe3.0和PCIe4.0的高速串行计算机扩展总线标准，PCIe的接口速率与位宽向下兼容；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*主板PCIe插槽数量及规格：最大可扩展≥10个PCIe4.0 插槽（含1个Storage专用插槽和1个OCP 3.0插槽）；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孔位及接口：a)服务器机箱内主板可根据用户实际使用需求支持安装多功能导入装置板卡，机箱内需预留多功能导入装置板卡安装位置，容量不小于55mm×45mm×15mm（长×宽×高，单位毫米）；b)服务器主板可根据用户实际使用需求预留满足USB2.0或USB3.0数据传输规范的接口，工作电压5V，采用USB2.0时，最大过电流应不小于0.5A，采用USB3.0时，最大过电流应不小于1A；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板载网络接口：1GE 网口≥1 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主板OCP插槽数量：支持OCP3.0插槽≥1个。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*内存规格：*内存数量：≥32根DDR4内存插槽；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*内存规格：≥DDR4 3200MHz；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*内存通道：≥1DPC。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规格：硬盘类型：支持3.5寸和2.5寸规格硬盘，支持SATA、M.2、NVME类型的固态硬盘和机械硬盘。单个硬盘容量支持：240GB、480GB、500GB、512GB、640GB、750GB、800GB、960GB、1TB、1.5TB、1.92TB、2TB、3TB、3.84TB、4TB、5TB、6TB、8TB、10TB、12TB、14TB、16TB、18TB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*硬磁盘实配容量：≥2块960G 2.5吋 SATA SSD热拔插硬盘；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硬盘接口类型：硬盘接口类型：2.5吋 SATA SSD；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*硬盘实配数量：≥2块960G 2.5 SATA SSD热拔插硬盘；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*硬盘插槽数量及规格：前置：≥24x2.5”或≥12x3.5”SAS/SATA硬盘；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后置：≥4x2.5”SAS/SATA/NVMe  ≥4x3.5”SAS/SATA硬盘；支持热插拔；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内置：支持≥ 2个板载 M.2 SSD，支持≥2个SATA M.2硬Raid；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硬盘其他参数要求：服务器所配置固态盘，符合SJ/T 11654相关规定。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RAID卡规格（若支持RAID卡）：RAID卡支持的SAS接口数：≥8个。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*网络规格：*网口速率和数量：1G RJ45≥2个，万兆SFP+光纤网口≥4个；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存储型服务器网口速率和数量：存储型服务器1GE网口数量不少于2个，10GE以上网口数量不少于2个；本次采购不做要求；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≥2个独立网卡，≥2块双口10G SFP+光纤网卡；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独立网卡接口类型：支持RJ45/QSFP/SFP等；本次采购不做要求；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板载网卡接口类型：支持RJ45/QSFP/SFP等；本次采购不做要求；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*外部接口规格：*显示接口：VGA接口≥2个；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*USB接口：USB 接口≥4个；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特殊接口及孔位：前面板预留1个专用USB母座接口孔位；本次采购不做要求；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其他接口：a)串口数量不少于1个，并可实现GB/T 6107或GB/T 26803.2的相关功能；b)服务器主机前面板可根据用户实际使用需求预留1个专用USB母座接口孔位；本次采购不做要求。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*电源规格：电源冗余模式：整机电源模块按1+1冗余配置；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*电源模块数量：≥2个；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*电源功率：≥800W；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电源指示灯：配备电源指示灯，指示待机、工作异常等状态。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*整机规格：*外观和结构：a）服务器的零部件紧固无松动，可插拔部件可靠连接，开关、按钮和其它控制部件灵活可靠，布局方便使用；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b）产品表面没有明显的凹痕、划伤、裂缝、变形和污染等。表面涂层均匀，不起泡、龟裂、脱落和磨损，金属零部件无锈蚀及其它机械损伤；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c）产品表面说明功能的文字、符号和标志清晰、端正且牢固；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d)在服务器的显著位置提供运行状态的指示功能，并在随机文件中明确具体含义；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e)机架、机箱的尺寸符合通用机柜的安装要求，插入总线插座的电路板接口外形尺寸符合有关总线标准的规定，将机箱固定在机柜上，机箱底面最大下垂变形不得干涉相邻机体；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f)高密度服务器应给出 CPU 个数与机柜高度；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g)服务器尺寸具体在随机文件中明确；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*尺寸（高×宽×深）：2U机架式服务器机箱；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≥87.8mm(高)x 448mm(宽)x729.8mm(深)；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≥87.8mm(高)x 482（含箱耳）mm(宽)x729.8（含手拧螺钉）mm(深)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服务器导轨：产品含导轨，尺寸：≥430mm(宽)x 89mm(高)x450.8mm(深)，说明书带安装导图；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CPU个数与机柜高度单位(U)比：供应商给出 CPU 个数与机柜高度；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*环境适应性：气候环境适应性应符合GB/T9813.3的有关规定，工作时5℃～45℃(41℉～113℉)；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存储-40℃～60℃(-40℉～140℉)；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工作相对湿度35%～80%，贮存运输相对湿度20％～93%（40℃);大气压86～106kPa；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特殊机型环境适应性：工作时5℃～45℃(41℉～113℉)；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存储-40℃～60℃(-40℉～140℉)；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*机械环境适应性：机械环境适应性应符合GB/T9813.3的有关规定；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*噪声：符合GB/T 9813.3的有关规定，在空闲状态下43dB；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机柜规格：*机柜尺寸：宽度19英寸（48.26厘米）；高度42U=186.69厘米，深度100厘米/120厘米；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*主板功能：*主板外部接口种类：提供USB、显示、管理等接口：VGA、USB3.0、BMC管理端口；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主板防烧板设计：支持主板防烧板设计，保证电源故障后不扩散；本次采购不做要求；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扩展功能：提供扩展功能，如存储功能卡、显示功能卡、GPU运算加速功能卡及网络功能卡等扩展功能。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*网络功能：*网络功能：支持网络连接、网络访问、数据交换和网络管控功能；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功能：*计算处理：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*密码算法实现：CPU芯片符合GM/T 0008的相关规定，芯片密码模块符合GB/T37092、GM/T 0028的相关规定；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*电源功能：*电源热插拔：整机电源模块全部具备热插拔功能；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*电源过流保护：支持过流及短路保护的功能；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*整机功能：*散热方式：风冷散热方式；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其他功能：a)支持关键部件冗余（包括电源、风扇等）；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b)支持熔断保护与恢复功能。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*管理系统功能：*BMC固件基础功能：1)支持DHCP设置网络功能；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2)支持静态IP设置网络功能；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3)支持设备日志记录，包括但不限于登录日志、操作日志和报警日志等功能；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4)支持日志信息导出和记录删除功能；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5)支持通过管理接口向外输出准确的报警信息功能；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6)设备的BMC管理软件能够按报警的严重程度进行区分；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7)支持IPMI2.0、SNMP或Redfish等接口功能；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8)支持键盘、鼠标和视频的重定向、文本控制台的重定向、远程虚拟媒体、高可靠的硬件监控和管理功能；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9)支持基于网络开启、关闭和重启设备的功能，并查询当前设备开机运行状态；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10)支持故障提示功能，并可通过接口读取服务器故障信息；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11)支持基于网络的固件更新功能，包括BMC和BIOS等；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12)支持基于网络安装操作系统的功能，并可通过网络控制台访问设备；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13)支持通过本地的硬盘或光驱等存储设备，基于网络完成设备的操作系统安装功能；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14)支持通过浏览器打开管理界面并登录功能；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15)支持设置口令策略功能；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16)支持访问权限设置功能，并通过日志记录访问事件；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17)支持对出厂默认的用户名及口令进行安全保护功能，并提供默认口令修改提示；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18)支持读取设备主板的工作环境温度功能；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19)支持读取服务器CPU等核心器件的温度功能；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20)支持通过外部管理工具进行BMC参数设置的功能，并可基于网络通过外部管理工具对BMC进行管理；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21)支持固件版本查询、固件升级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22)支持基于网络实现开关机和复位控制的功能；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23)BMC启动时间不超过180s，实现功能包括网络、IPMI、散热、传感器服务可用；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24)支持BMC固件设置的恢复出厂功能；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BMC固件增强功能：a)网络控制、安装提供图形访问界面网络；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b)设备的BMC管理软件界面显示报警信息，且能够按报警的严重程度进行区分；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c)Web GUI采用BMC端口直连，平均响应时间为不大于1s；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*BIOS固件基础功能：a）支持查看固件版本、内存信息、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主板信息、处理器信息和系统时间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b）支持上电初始化界面显示 CPU 信息、内存信息、固件版本和部分快捷键信息功能；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c）支持设置界面中英文显示切换功能；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d）支持查看 PCIe 设备信息，SATA设备信息功能；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e）支持操作系统安装和引导功能，应并向操作系统提供计算机主板信息和服务接口；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f）支持设置启动顺序，并按照设置的启动顺序启动功能；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g）支持安全启动功能；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h）支持设置口令、修改口令、验证口令功能；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i）支持板载显示控制或独立显卡的显示控制功能；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j）支持 RAID 识别和启动功能；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k）支持串口重定向功能；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l）支持固件更新功能；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m）支持 BIOS 固件设置的恢复出厂功能；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n）支持网络引导启用和关闭功能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*远程控制：支持远程关机和重新启动功能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*操作系统及驱动功能：*操作系统及驱动的升级：支持通过网络、闪存盘对操作系统、驱动进行升级；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操作系统及驱动的备份还原：支持操作系统备份及还原功能；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*操作系统功能：a)支持访问控制、安全审计、网络接入鉴别等功能；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b)操作系统其他功能应满足操作系统政府采购需求标准中加*的指标要求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*中文信息处理功能：*中文信息处理：满足涉及操作系统、数据库、输入法、办公软件等符合GB 18030的规定；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*关键部件安全要求：*关键部件安全要求：CPU和操作系统等关键部件符合安全可靠测评要求，中国信息安全测评中心和国家保密科技测评中心网站查看安全可靠测评结果；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*固件安全要求：*故障检测：支持故障检测功能，可以检测到具体的 FRU（内存、硬盘等）的故障并发出告警；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内存故障智能预测和自愈修复：支持内存故障智能预测和自愈修复，提前自动硬隔离，避免内存故障引起的非预期宕机以及内存寿命的降低；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硬盘故障智能预测：支持硬盘故障智能预测，基于故障模型预测出硬盘的故障；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PCIe链路故障智能诊断：支持 PCIe 链路故障智能诊断，判断出现故障的 PCIe 链路；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内存故障隔离：支持内存故障隔离，在内存产生CE故障时，内存地址被隔离成功，服务器正常运行，业务系统不中断；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内存、PCIe卡的故障精准告警功能：支持内存、PCIe 卡的故障精准告警功能，触发告警并明确指示具体的故障位置；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异常下电关键数据保护：支持异常下电关键数据保护，支持数据备份恢复机制，防止系统异常掉电导致的数据文件丢失；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BMC/BIOS固件双镜像保护：支持BMC/BIOS固件双镜像保护，运行异常时自动切换到备份镜像运行，提升系统稳定性；本次采购不做要求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CPU核重启隔离：支持CPU核发生不可纠正故障后，重启后由BIOS隔离该故障核，OS不可见，防止OS再次使用导致系统异常，核0除外；本次采购不做要求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内存地址隔离：在硬件支持的情况下，支持故障内存地址重启后隔离；本次采购不做要求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内存存储阵列替换：在硬件支持的情况下，支持故障内存存储阵列替换；本次采购不做要求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安全启动：支持执行环境要求在整个系统启动的过程中，系统应提供一个机制来保护平台的完整性；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*系统安全要求：syslog双向鉴别：支持系统日志双向鉴别，对服务器根证书和客户端根证书进行鉴别；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*弱口令字典检查：支持弱口令字典检查功能，出现在弱口令字典中的字符串不能被设置为用户口令；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*白名单访问控制：支持基于时间、IP 或 MAC 白名单访问控制；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双因素鉴别：支持使用客户端证书和证书密码的双因素鉴别方式登录管理系统；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*二次鉴别：支持二次鉴别功能。对于用户配置、权限配置、公钥导入等重要的管理操作，已登录用户应通过二次鉴别后，才能执行操作；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匿名化用户告警接收邮箱：支持带外管理系统中的用户告警接收邮箱进行匿名化处理；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*密码证书安全加密存储：支持对带外管理系统中的用户口令和证书等敏感信息进行加密存储，禁止使用私有的和业界已知不安全的密码算法；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*敏感信息安全加密传输：支持使用安全的传输加密协议（如SSH或HTTPS等）传输用户的敏感信息；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息安全要求：*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漏洞管理：供应商承诺，生产商已建立漏洞全量视图，保证产品版本涉及到的所有漏洞(如驱动程序、BMC软件等)都可以查看；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网络关键设备服务器要求：作为网络关键设备的服务器应符合GB 40050的相关规定；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增强要求：a)嵌入物理可信根，实现设备的信任链构建；本次采购不做要求；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b)支持可信平台控制模块(TPCM)；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c)支持在固件系统（BMC、BIOS）启动前实现对固件度量的功能，支持物理可信根对BMC固件或BIOS固件进行完整性检测、更新和恢复；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d)支持对CPU、网络控制器等关键处理器进行身份识别与度量的功能；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e)支持基于处理器或可信计算模块度量的功能；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f)所采用的可信密码模块接口符合GM/T 0012的相关规定；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g)可信安全管理模块、处理器等硬件载体通过国家相关部门的认证和许可；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*物理安全：*物理安全：安全要求应符合GB 4943.1信息技术设备安全的规定；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*限用物质的限量要求：*限用物质的限量要求：符合GB/T 26572“电子电气产品中限用物质的限量要求的国家推荐标准”的要求。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*CPU性能：*CPU主频：≥2.2GHz；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*单CPU核数：≥24核；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*单CPU末级缓存容量：≥64MB。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*内存性能：单内存模块容量：≥512GB；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*内存速率：≥3200MT/s。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RAID卡性能：RAID卡缓存容量大小：≥4GB。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网络性能：独立网卡速率：≥10GE光口。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板载网卡速率：≥1GE电口。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*电源能耗：*电源能耗：符合GB/T 9813.3的有关规定；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*部件兼容性要求：*内存兼容性：适配3种以上厂商的内存产品，且均不低于产品支持的内存规格；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*固态存储兼容性：适配3种以上厂商的固态存储产品，且均不低于产品支持的固态存储设备规格；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FC HBA卡兼容性：FC HBA应适配两种或以上厂商产品；本次采购不做要求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RAID卡兼容性：RAID卡应适配两种以上厂商产品；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*网卡兼容性：网卡适配两种以上厂商产品；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*功能卡兼容性：支持适配符合PCIe的功能卡，如：网络功能卡、存储功能卡及图形显示功能卡；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*外设兼容性：*外设兼容性：兼容多种主流生产商的外部设备，包括显示器、键盘、鼠标、闪存盘、移动硬盘、USB光驱及KVM等，使用不同厂商的外部设备时，系统均能正常识别和安装驱动；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*软件兼容性：*数据库兼容：兼容 3 个及以上厂商的数据库产品；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*中间件兼容：兼容 3 个及以上厂商的中间件产品；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*平台软件兼容：兼容 3 个及以上厂商的大数据平台；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虚拟化软件兼容：兼容 2 款及以上虚拟化软件；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存储可靠性要求：SATA SSD可靠性：SSD 的 m1 值（MTBF 的不可接受值）≥ 200000h。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*整机可靠性要求：*整机可靠性：m1 值（MTBF 的不可接受值）≥30000h；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*风扇可靠性：风扇寿命≥ 40000h；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*部件可靠性：支持硬盘、电源、风扇热插拔(内置风扇除外)。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*包装及运输要求：*标志、包装、运输和贮存：符合GB/T 9813.3和商品包装政府采购需求标准的相关规定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*服务响应：*服务响应：a)提供电话、电子邮件、远程连接等多种形式服务；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b)提供同城4h、异地12h技术响应服务，2个工作日解决问题，对于未能解决的问题和故障应提供可行的升级方案，并提供周转设备；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c)建立全国技术服务体系和服务团体，符合专业服务体系标准要求，提供原厂中文服务；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d)服务周期内提供产品的维修、换件和升级服务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*培训服务：供应商提供培训材料、产品手册、培训视频等培训相关内容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*服务周期：*服务周期：a)产品免费服务周期（含换件和维修）3年；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b)设备停产后继续提供质量保障服务（含备品备件），服务终止时间与最后一批设备交付时间间隔不低于6年；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c)产品停止服务时间提前1年告知客户；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d)产品发布日期需在随机文件中明确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*服务工具要求：*工具要求：供应商提供设置服务器硬件、辅助操作系统安装等功能的辅助工具和管理软件。且随附软件应具有合法授权和版权。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辅助工具：支持如下功能：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a)本地的数据备份和还原功能；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b)网络的数据备份和还原功能；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c)服务器操作系统的自动安装功能；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d)服务器所配硬件需要的驱动程序和系统补丁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驱动安装升级指引：供应商提供出厂安装的配件所需的驱动程序，形式包括但不限于驱动光盘、驱动下载链接等。其他配件应提供指引。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随机附开盖工具：随服务器打包提供开机箱工具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代码迁移工具：供应商提供从其他CPU架构到当前服务器CPU架构的软件迁移工具产品，支持软件包迁移评估，对满足产品重构要求的软件包，能重构为当前服务器CPU架构的软件包。提供源码迁移功能，检查分析C/C++/Fortran/Go/解释型语言/汇编等源码文件，基于产品功能给出迁移指导；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性能分析工具：供应商提供支持当前服务器CPU架构的性能分析工具产品，支持系统性能分析、Java性能分析和系统诊断，可分析系统或应用在CPU、内存、IO、网络等方面的性能，并给出优化建议；本次采购不做要求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跨架构平台应用兼容：跨CPU架构平台应用兼容工具，可兼容一种或者一种以上不同架构平台的应用；本次采购不做要求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*管理软件：具备资源管理、系统管理、性能监控、健康监控、基于网络控制、报警设置的可选功能；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*增值服务：*厂家升级产品软件与扩容服务：供应商提供原厂级的部件/软件产品升级和扩容能力；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服务保障升级：质保期内供应商提供远程技术支持、软件授权服务、备件更换服务、现场支承服务；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*提供上门服务：质保期内供应商具备提供上门服务的能力；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业务场景性能优化服务及整体架构升级服务：供应商提供针对特定业务场景性能优化服务及整体架构升级服务；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*供应链质量：*抗干扰性：当产品部件出现供应风险时，供应商会提前通知客户并提供风险应对方案确保产品的服务保障，必要时应停止相关受影响产品的销售；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*供应能力证明：供应商提供供应链稳定承诺书，确保产品的部件在产品服务周期内稳定供货；</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6台</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存储节点</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1.架构：存储节点采用分布式集群存储架构，须满足标准iSCSI协议以及私有客户端协议等多种访问方式。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2.硬件配置：本次配置≥3个节点。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单个数据控制器配置如下：X86架构处理器核心数≥12核2.1G，缓存≥256GB，8TB 3.5寸7.2K SATA硬盘≥8块，3.2TB NVME SSD硬盘≥2块，960GB SSD硬盘≥2块，4G RAID卡≥1块，千兆以太网接口≥2个，万兆以太网光口(含模块)≥4个，冗余电源，冗余风扇。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3.数据保护：存储系统支持多副本数据保护模式和纠删码数据保护模式；支持2-4副本，N+M EC数据保护方式，最大支持任意4个数据控制器或4块磁盘同时失效。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4.数据安全：支持磁盘分组、节点分区等技术，缩小故障域，进一步保障数据安全，支持以节点池为单位设定数据冗余模式，同一集群内不同节点池可以设置不同的冗余模式。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5.精简配置：配置自动精简配置功能，仅对实际写入的数据分配存储容量，提升存储利用率。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6.QoS：配置基于LUN的QoS设置功能，同时支持数据修复QoS设置。当磁盘或节点故障时，可灵活调整数据修复性能与前端业务性能的优先级。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7.快照：支持数据快照功能；支持一次性和周期性快照；快照可以映射给主机进行读写访问。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8.克隆：配置卷的链接克隆功能，可快速生成数据可写副本。</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9.备份：支持增量卷备份功能，可将数据根据时间策略定时备份至物理隔离的另一存储池中，并可保留多个历史时间点副本，供备份恢复使用。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10.远程复制：支持跨集群的远程数据复制功能，实现远程数据容灾。支持同步与异步复制模式。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11.一致性组：配置卷的一致性组功能，可将多个卷加入同一个一致性组中，支持对一致性组创建主机映射、快照等功能。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12.性能监控：配置集群、存储池、LUN等级别的性能监控，监控项包括带宽、IOPS、时延、重构速度等，支持历史性能监控。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13.云平台兼容性：产品须具备云平台兼容性。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14.管理要求：须提供GUI管理界面，无需第三方软件或插件，支持同一Web界面管理多套存储集群。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15.提供3年原厂商技术支持和调试服务。</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超融合操作系统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1.平台物理CPU授权≥16颗。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2.总体指标：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平台具备自主知识产权，基于业界主流KVM虚拟化架构研发。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平台为国产自研产品，不基于OpenStack、CloudStack等开源项目进行商业化二次开发。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兼容国产主流操作系统厂商，包括：麒麟、统信、中科方德等。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兼容国产主流国产数据库，包括：达梦、人大金仓。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3.计算资源管理：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支持在5分钟内完成200台主机批量创建（规格≥4C4G）。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支持主机的启动顺序调整，支持网络、硬盘和光驱3种启动方式，支持在图形界面对启动顺序进行调整，支持网络启动优先、硬盘启动优先等设置。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支持全局设置主机防欺诈模式，阻止用户非法修改IP地址和MAC地址后发出的数据包。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支持对单个主机单独设置防欺诈模式。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支持主流GPU设备的直通和虚拟化，支持将GPU设备或vGPU设备加载到主机中，支持关机自动卸载。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4.网络资源管理：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支持主机配置IPv4、IPv6或双栈（IPv4+IPv6）类型的网络，能够使用多种网络服务。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支持配置OSPF动态路由协议，实现和物理交换机建立OSPF邻接关系。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5.存储资源管理：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支持对接主流存储，平台支持对接本地存储、NFS存储、共享存储、Shared Block存储、分布式存储等后端存储。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支持对镜像服务进行数据清理操作，清理无效数据，释放存储空间。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支持共享存储，将一块存储共享给多个主机使用。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支持存储规格的创建、启用、停用、全局共享、全局召回、规格QoS、删除。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6.平台管理：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支持平台从低版本到高版本的无缝升级，支持任意跨多版本升级，半小时内完成。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扩展不受副本限制，可按节点扩展。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支持对云主机、路由器、镜像、镜像服务器、系统数据目录、物理机、三层网络、虚拟IP、主存储、监听器和项目资源等多种监控对象的单个资源或全部资源进行监控。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支持创建报警器自定义报警级别，方便平台用户关注最紧急的报警消息。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支持对主机、VPC路由器、镜像服务器、物理机、三层网络、虚拟IP、主存储、监听器等多种监控对象的单个资源或全部资源进行监控。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支持第三方用户/平台在平台上通过Access Key访问云资源，支持配置Access Key ID和Access Key Secret作为用户身份标识信息。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提供应用中心管理功能，支持添加包括存储、数据库、安全、IaaS、PaaS、SaaS类型在内的应用插件。支持一键设置安全场景。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7.提供3年原厂商技术支持和调试服务。</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OA系统管理节点</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*CPU规格：*CPU信息:≥2颗高性能国产C86架构，每颗CPU核心数≥16核，主频≥2.5GHz，≥24线程，L3缓存≥32M，热设计功耗(TDP)≤70W；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*主板规格：*主板支持的CPU和内存情况:支持≥2颗国产C86架构；支持DDR4 ECC内存(内存频率最高可支持到3200MHz)。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*主板内存槽数量:≥16根DDR4 内存插槽；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*主板存储接口:支持2.5寸/3.5寸硬盘，支持SAS/SATA硬盘混插，支持U.2 SSD，支持M.2 SSD；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*PCIe插槽接口:符合PCIe3.0和PCIe4.0的高速串行计算机扩展总线标准，PCIe的接口速率与位宽向下兼容；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*主板PCIe插槽数量及规格:最大可扩展≥6个PCIe 4.0插槽（含1个Storage专用插槽和1个OCP插槽）；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孔位及接口:a)服务器机箱内主板可根据用户实际使用需求支持安装多功能导入装置板卡，机箱内需预留多功能导入装置板卡安装位置，容量不小于55mm×45mm×15mm（长×宽×高，单位毫米）；b)服务器主板可根据用户实际使用需求预留满足 USB2.0 或 SB3.0 数据传输规范的接口，工作电压 5V，采用 USB2.0 时，最大过电流应不小于 0.5A，采用 USB3.0 时，最大过电流应不小于 1A；本次采购不做要求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板载网络接口: 1GE 网口≥1 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主板OCP插槽数量:支持OCP3.0插槽≥1个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*内存规格：*内存数量：≥16根DDR4 内存插槽；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*内存规格：≥DDR4 3200MHz;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*内存通道：≥1DPC。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规格：硬盘类型:支持3.5寸和2.5寸规格硬盘，支持SATA、M.2、NVME类型的固态硬盘和机械硬盘。单个硬盘容量支持：240GB、480GB、500GB、512GB、640GB、750GB、800GB、960GB、1TB、1.5TB、1.92TB、2TB、3TB、3.84TB、4TB、5TB、6TB、8TB、10TB、12TB、14TB、16TB、18TB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*硬磁盘实配容量:≥2块600GB SAS硬盘；≥6块4TB SATA硬盘。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硬盘接口类型:硬盘接口类型：2.5吋SAS和3.5吋 SATA；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*硬盘实配数量:≥2块600GB SAS硬盘；≥6块4TB SATA硬盘。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*硬盘插槽数量及规格:前置最高支持≥12个2.5寸/3.5寸硬盘，支持SAS/SATA硬盘混插，支持≥4块U.2 SSD，支持后置≥2个2.5寸/3.5寸硬盘，支持一个M.2 SSD；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硬盘其他参数要求:服务器所配置硬盘盘，符合SJ/T 11654相关规定。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RAID卡规格（若支持RAID卡）：RAID卡支持的SAS接口数：≥8个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*网络规格：*网口速率和数量：1G RJ45≥2个；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存储型服务器网口速率和数量：存储型服务器1GE网口数量不少于2个，10GE以上网口数量不少于2个；本次采购不做要求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独立网卡网口数量：独立网卡数量：≥2个口，≥2块双口10G SFP+光纤网卡；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独立网卡接口类型：支持RJ45/QSFP/SFP等；本次采购不做要求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板载网卡接口类型：支持RJ45/QSFP/SFP等；本次采购不做要求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*外部接口规格：*显示接口：VGA接口≥1个；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*USB接口：≥4个USB 3.0接口；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特殊接口及孔位：前面板预留1个专用USB母座接口孔位；本次采购不做要求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其他接口：a)串口数量不少于1个，并可实现GB/T 6107或GB/T 26803.2的相关功能；b)服务器主机前面板可根据用户实际使用需求预留1个专用USB母座接口孔位；本次采购不做要求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*电源规格：电源冗余模式：整机电源模块按1+1冗余配置；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*电源模块数量：≥2个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*电源功率：≥550W；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电源指示灯：配备电源指示灯，指示待机、工作异常等状态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*整机规格：*外观和结构：a）服务器的零部件紧固无松动，可插拔部件可靠连接，开关、按钮和其它控制部件灵活可靠，布局方便使用；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b）产品表面没有明显的凹痕、划伤、裂缝、变形和污染等。表面涂层均匀，不起泡、龟裂、脱落和磨损，金属零部件无锈蚀及其它机械损伤；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c）产品表面说明功能的文字、符号和标志清晰、端正且牢固；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d)在服务器的显著位置提供运行状态的指示功能，并在随机文件中明确具体含义；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e)机架、机箱的尺寸符合通用机柜的安装要求，插入总线插座的电路板接口外形尺寸符合有关总线标准的规定，将机箱固定在机柜上，机箱底面最大下垂变形不得干涉相邻机体；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f)高密度服务器应给出 CPU 个数与机柜高度；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g)服务器尺寸具体在随机文件中明确；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*尺寸（高×宽×深）：2U机架式服务器机箱；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≥87.8mm(高)x 448mm(宽)x729.8mm(深)；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≥87.8mm(高)x 482（含箱耳）mm(宽)x729.8（含手拧螺钉）mm(深)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服务器导轨：产品含导轨，尺寸：≥430mm(宽)x 89mm(高)x450.8mm(深)，说明书带安装导图；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CPU个数与机柜高度单位(U)比：供应商给出 CPU 个数与机柜高度；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*环境适应性：气候环境适应性应符合GB/T9813.3的有关规定，工作时5℃～45℃(41℉～113℉)；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存储-40℃～60℃(-40℉～140℉)；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工作相对湿度35%～80%，贮存运输相对湿度20％～93%（40℃);大气压86～106kPa；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特殊机型环境适应性：工作时5℃～45℃(41℉～113℉)；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存储-40℃～60℃(-40℉～140℉)；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*机械环境适应性：机械环境适应性应符合GB/T9813.3的有关规定；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*噪声：符合GB/T 9813.3的有关规定，在空闲状态下43dB；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机柜规格：*机柜尺寸：宽度19英寸（48.26厘米）；高度42U=186.69厘米，深度100厘米/120厘米；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*主板功能：*主板外部接口种类：提供USB、显示、管理等接口：VGA、USB3.0、BMC管理端口；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主板防烧板设计：支持主板防烧板设计，保证电源故障后不扩散；本次采购不做要求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扩展功能：提供扩展功能，如存储功能卡、显示功能卡、GPU运算加速功能卡及网络功能卡等扩展功能；本次采购不做要求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*网络功能：*网络功能：支持网络连接、网络访问、数据交换和网络管控功能；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功能：*计算处理：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*密码算法实现：CPU芯片符合GM/T 0008的相关规定，芯片密码模块符合GB/T37092、GM/T 0028的相关规定；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*电源功能：*电源热插拔：整机电源模块全部具备热插拔功能；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*电源过流保护：支持过流及短路保护的功能；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*整机功能：*散热方式：风冷散热方式；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其他功能：a)支持关键部件冗余（包括电源、风扇等）；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b)支持熔断保护与恢复功能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*管理系统功能：*BMC固件基础功能：1)支持DHCP设置网络功能；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2)支持静态IP设置网络功能；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3)支持设备日志记录，包括但不限于登录日志、操作日志和报警日志等功能；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4)支持日志信息导出和记录删除功能；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5)支持通过管理接口向外输出准确的报警信息功能；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6)设备的BMC管理软件能够按报警的严重程度进行区分；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7)支持IPMI2.0、SNMP或Redfish等接口功能；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8)支持键盘、鼠标和视频的重定向、文本控制台的重定向、远程虚拟媒体、高可靠的硬件监控和管理功能；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9)支持基于网络开启、关闭和重启设备的功能，并查询当前设备开机运行状态；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10)支持故障提示功能，并可通过接口读取服务器故障信息；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11)支持基于网络的固件更新功能，包括BMC和BIOS等；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12)支持基于网络安装操作系统的功能，并可通过网络控制台访问设备；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13)支持通过本地的硬盘或光驱等存储设备，基于网络完成设备的操作系统安装功能；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14)支持通过浏览器打开管理界面并登录功能；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15)支持设置口令策略功能；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16)支持访问权限设置功能，并通过日志记录访问事件；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17)支持对出厂默认的用户名及口令进行安全保护功能，并提供默认口令修改提示；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18)支持读取设备主板的工作环境温度功能；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19)支持读取服务器CPU等核心器件的温度功能；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20)支持通过外部管理工具进行BMC参数设置的功能，并可基于网络通过外部管理工具对BMC进行管理；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21)支持固件版本查询、固件升级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22)支持基于网络实现开关机和复位控制的功能；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23)BMC启动时间不超过180s，实现功能包括网络、IPMI、散热、传感器服务可用；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24)支持BMC固件设置的恢复出厂功能；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BMC固件增强功能：a)网络控制、安装提供图形访问界面网络；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b)设备的BMC管理软件界面显示报警信息，且能够按报警的严重程度进行区分；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c)Web GUI采用BMC端口直连，平均响应时间为不大于1s；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*BIOS固件基础功能：a）支持查看固件版本、内存信息、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主板信息、处理器信息和系统时间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b）支持上电初始化界面显示 CPU 信息、内存信息、固件版本和部分快捷键信息功能；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c）支持设置界面中英文显示切换功能；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d）支持查看 PCIe 设备信息，SATA设备信息功能；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e）支持操作系统安装和引导功能，应并向操作系统提供计算机主板信息和服务接口；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f）支持设置启动顺序，并按照设置的启动顺序启动功能；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g）支持安全启动功能；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h）支持设置口令、修改口令、验证口令功能；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i）支持板载显示控制或独立显卡的显示控制功能；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j）支持 RAID 识别和启动功能；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k）支持串口重定向功能；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l）支持固件更新功能；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m）支持 BIOS 固件设置的恢复出厂功能；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n）支持网络引导启用和关闭功能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*远程控制：支持远程关机和重新启动功能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*操作系统及驱动功能：*操作系统及驱动的升级：支持通过网络、闪存盘对操作系统、驱动进行升级；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操作系统及驱动的备份还原：支持操作系统备份及还原功能；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*操作系统功能：a)支持访问控制、安全审计、网络接入鉴别等功能；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b)操作系统其他功能应满足操作系统政府采购需求标准中加*的指标要求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*中文信息处理功能：*中文信息处理：满足涉及操作系统、数据库、输入法、办公软件等符合GB 18030的规定；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*关键部件安全要求：*关键部件安全要求：CPU和操作系统等关键部件符合安全可靠测评要求，中国信息安全测评中心和国家保密科技测评中心网站查看安全可靠测评结果；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*固件安全要求：*故障检测：支持故障检测功能，可以检测到具体的 FRU（内存、硬盘等）的故障并发出告警；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内存故障智能预测和自愈修复：支持内存故障智能预测和自愈修复，提前自动硬隔离，避免内存故障引起的非预期宕机以及内存寿命的降低；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硬盘故障智能预测：支持硬盘故障智能预测，基于故障模型预测出硬盘的故障；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PCIe链路故障智能诊断：支持 PCIe 链路故障智能诊断，判断出现故障的 PCIe 链路；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内存故障隔离：支持内存故障隔离，在内存产生CE故障时，内存地址被隔离成功，服务器正常运行，业务系统不中断；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内存、PCIe卡的故障精准告警功能：支持内存、PCIe 卡的故障精准告警功能，触发告警并明确指示具体的故障位置；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异常下电关键数据保护：支持异常下电关键数据保护，支持数据备份恢复机制，防止系统异常掉电导致的数据文件丢失；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BMC/BIOS固件双镜像保护：支持BMC/BIOS固件双镜像保护，运行异常时自动切换到备份镜像运行，提升系统稳定性；本次采购不做要求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CPU核重启隔离：支持CPU核发生不可纠正故障后，重启后由BIOS隔离该故障核，OS不可见，防止OS再次使用导致系统异常，核0除外；本次采购不做要求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内存地址隔离：在硬件支持的情况下，支持故障内存地址重启后隔离；本次采购不做要求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内存存储阵列替换：在硬件支持的情况下，支持故障内存存储阵列替换；本次采购不做要求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安全启动：支持执行环境要求在整个系统启动的过程中，系统应提供一个机制来保护平台的完整性；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*系统安全要求：syslog双向鉴别：支持系统日志双向鉴别，对服务器根证书和客户端根证书进行鉴别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*弱口令字典检查：支持弱口令字典检查功能，出现在弱口令字典中的字符串不能被设置为用户口令；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*白名单访问控制：支持基于时间、IP 或 MAC 白名单访问控制；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双因素鉴别：支持使用客户端证书和证书密码的双因素鉴别方式登录管理系统；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*二次鉴别：支持二次鉴别功能。对于用户配置、权限配置、公钥导入等重要的管理操作，已登录用户应通过二次鉴别后，才能执行操作；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匿名化用户告警接收邮箱：支持带外管理系统中的用户告警接收邮箱进行匿名化处理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*密码证书安全加密存储：支持对带外管理系统中的用户口令和证书等敏感信息进行加密存储，禁止使用私有的和业界已知不安全的密码算法；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*敏感信息安全加密传输：支持使用安全的传输加密协议（如SSH或HTTPS等）传输用户的敏感信息；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息安全要求：*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漏洞管理：供应商承诺，生产商已建立漏洞全量视图，保证产品版本涉及到的所有漏洞(如驱动程序、BMC软件等)都可以查看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网络关键设备服务器要求：作为网络关键设备的服务器应符合GB 40050的相关规定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增强要求：a)嵌入物理可信根，实现设备的信任链构建；本次采购不做要求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b)支持可信平台控制模块(TPCM)；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c)支持在固件系统（BMC、BIOS）启动前实现对固件度量的功能，支持物理可信根对BMC固件或BIOS固件进行完整性检测、更新和恢复；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d)支持对CPU、网络控制器等关键处理器进行身份识别与度量的功能；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e)支持基于处理器或可信计算模块度量的功能；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f)所采用的可信密码模块接口符合GM/T 0012的相关规定；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g)可信安全管理模块、处理器等硬件载体通过国家相关部门的认证和许可；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*物理安全：*物理安全：安全要求应符合GB 4943.1信息技术设备安全的规定；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*限用物质的限量要求：*限用物质的限量要求：符合GB/T 26572“电子电气产品中限用物质的限量要求的国家推荐标准”的要求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*CPU性能：*CPU主频：≥2.5GHz；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*单CPU核数：≥16核；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*单CPU末级缓存容量：≥32MB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*内存性能：单内存模块容量：≥128GB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*内存速率：≥3200MT/s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存储性能：硬盘转速：安装的硬磁盘转速不小于7200rpm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RAID卡性能：RAID卡缓存容量大小：≥4GB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网络性能：独立网卡速率：≥10GE光口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板载网卡速率：≥1GE电口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*电源能耗：*电源能耗：符合GB/T 9813.3的有关规定；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*部件兼容性要求：*内存兼容性：适配3种以上厂商的内存产品，且均不低于产品支持的内存规格；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*固态存储兼容性：适配3种以上厂商的固态存储产品，且均不低于产品支持的固态存储设备规格；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FC HBA卡兼容性：FC HBA应适配两种或以上厂商产品；本次采购不做要求；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RAID卡兼容性：RAID卡应适配两种以上厂商产品；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*网卡兼容性：网卡适配两种以上厂商产品；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*功能卡兼容性：支持适配符合PCIe的功能卡，如：网络功能卡、存储功能卡及图形显示功能卡；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*外设兼容性：*外设兼容性：兼容多种主流生产商的外部设备，包括显示器、键盘、鼠标、闪存盘、移动硬盘、USB光驱及KVM等，使用不同厂商的外部设备时，系统均能正常识别和安装驱动；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*软件兼容性：*数据库兼容：兼容 3 个及以上厂商的数据库产品；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*中间件兼容：兼容 3 个及以上厂商的中间件产品；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*平台软件兼容：兼容 3 个及以上厂商的大数据平台；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虚拟化软件兼容：兼容 2 款及以上虚拟化软件；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存储可靠性要求：SATA SSD可靠性：SSD 的 m1 值（MTBF 的不可接受值）≥ 200000h。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*整机可靠性要求：*整机可靠性：m1 值（MTBF 的不可接受值）≥30000h；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*风扇可靠性：风扇寿命≥ 40000h；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*部件可靠性：支持硬盘、电源、风扇热插拔(内置风扇除外)。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*包装及运输要求：*标志、包装、运输和贮存：符合GB/T 9813.3和商品包装政府采购需求标准的相关规定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*服务响应：*服务响应：a)提供电话、电子邮件、远程连接等多种形式服务；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b)提供同城4h、异地12h技术响应服务，2个工作日解决问题，对于未能解决的问题和故障应提供可行的升级方案，并提供周转设备；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c)建立全国技术服务体系和服务团体，符合专业服务体系标准要求，提供原厂中文服务；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d)服务周期内提供产品的维修、换件和升级服务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*培训服务：供应商提供培训材料、产品手册、培训视频等培训相关内容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*服务周期：*服务周期：a)产品免费服务周期（含换件和维修）3年；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b)设备停产后继续提供质量保障服务（含备品备件），服务终止时间与最后一批设备交付时间间隔不低于6年；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c)产品停止服务时间提前1年告知客户；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d)产品发布日期需在随机文件中明确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*服务工具要求：*工具要求：供应商提供设置服务器硬件、辅助操作系统安装等功能的辅助工具和管理软件。且随附软件应具有合法授权和版权。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辅助工具：支持如下功能：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a)本地的数据备份和还原功能；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b)网络的数据备份和还原功能；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c)服务器操作系统的自动安装功能；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d)服务器所配硬件需要的驱动程序和系统补丁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驱动安装升级指引：供应商提供出厂安装的配件所需的驱动程序，形式包括但不限于驱动光盘、驱动下载链接等。其他配件应提供指引。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随机附开盖工具：随服务器打包提供开机箱工具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代码迁移工具：供应商提供从其他CPU架构到当前服务器CPU架构的软件迁移工具产品，支持软件包迁移评估，对满足产品重构要求的软件包，能重构为当前服务器CPU架构的软件包。提供源码迁移功能，检查分析C/C++/Fortran/Go/解释型语言/汇编等源码文件，基于产品功能给出迁移指导；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性能分析工具：供应商提供支持当前服务器CPU架构的性能分析工具产品，支持系统性能分析、Java性能分析和系统诊断，可分析系统或应用在CPU、内存、IO、网络等方面的性能，并给出优化建议；本次采购不做要求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跨架构平台应用兼容：跨CPU架构平台应用兼容工具，可兼容一种或者一种以上不同架构平台的应用；本次采购不做要求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*管理软件：具备资源管理、系统管理、性能监控、健康监控、基于网络控制、报警设置的可选功能；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*增值服务：*厂家升级产品软件与扩容服务：供应商提供原厂级的部件/软件产品升级和扩容能力；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服务保障升级：质保期内供应商提供远程技术支持、软件授权服务、备件更换服务、现场支承服务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*提供上门服务：质保期内供应商具备提供上门服务的能力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业务场景性能优化服务及整体架构升级服务：供应商提供针对特定业务场景性能优化服务及整体架构升级服务；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*供应链质量：*抗干扰性：当产品部件出现供应风险时，供应商会提前通知客户并提供风险应对方案确保产品的服务保障，必要时应停止相关受影响产品的销售；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*供应能力证明：供应商提供供应链稳定承诺书，确保产品的部件在产品服务周期内稳定供货；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其他：需配置国产操作系统、数据库、中间件、流式文件，版式文件等。</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备份一体机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1.处理器：cpu≥2颗，单颗CPU性能主频≥2.8GHz，核数≥8核。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2.内存：配置≥2根16G内存。支持多达32个DDR4内存插槽，速率最高支持3200MT/s。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3.硬盘：配置≥2块480G SSD盘，配置≥5块12T HDD数据盘。支持多达20个3.5英寸硬盘。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4.支持安全机箱，TCM/TPM安全模块，双因素认证。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5.网卡：2端口万兆光接口网卡≥1块，4端口1GE电接口网卡≥1块。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6.配置虚拟KVM功能， 可实现与操作系统无关的远程对服务器的完全控制，包括远程的开机、关机、重启、更新Firmware、虚拟光驱、虚拟文件夹等操作，提供服务器健康日记、服务器控制台录屏/回放功能，能够提供电源监控，支持3D图形化的机箱内部温度拓扑图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7.备份软件支持安装在主流的操作系统平台上，主要有：UNIX、WINDOWS、LINUX平台。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8.支持SAP HANA、SAP R3、SAP MAXDB、MYSQL、PostgreSQL、Oracle、Sybase、DB2、SQL Server、Informix、Exchange、Domino等数据库；对以上数据库的集成备份，无需借助第三方工具或定制脚本。</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9.无限制标准客户端与企业客户端的许可，并提供客户端推送安装功能，降低认为误操作或者实施成本。</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10、支持HPMC/ServiceGuard、Microsoft Cluster Server、Veritas Cluster Server集群管理软件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11.对Oracle数据库进行备份和恢复时提供全图形化操作，尤其针对oracle数据库恢复时，无需手工编写RMAN脚本或者在客户端中执行RMAN恢复命令。统一通过恢复的GUI界面，完成恢复，并支持开启oracle数据库。支持Oracle CDB与PDB模式备份。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12.支持备份策略的计划任务冲突检查，与备份策略的优先级执行功能。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13.支持HP/EMC/Netapp存储厂家的磁盘阵列快照技术备份，直接通过存储阵列的快照进行备份，降低生产系统的资源消耗。无需编辑快照脚本，支持图形化操作。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14.本配置备份容量无限，备份通道≥4T。</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15.提供3年原厂商技术支持和调试服务。</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（四）数据中心安全设备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边界防火墙</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1.2U机架式安装，≥1个管理口、≥1个HA口、≥4个千兆电口、≥4个千兆光口、≥28个万兆光口、≥64G内存，≥256G SSD固态盘，冗余电源，网络层吞吐量(双向)：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IPv4：≥276358.906Mbps，IPv6：≥276358.859Mbps。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应用层吞吐量（单向）：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IPv4：≥31790.000Mbps，IPv6：≥32029.000Mbps。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TCP新建连接速率：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IPv4：≥369.911万/秒，IPv6：≥368.637万/秒。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TCP并发连接数：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IPv4：≥6000.073万，IPv6：≥6000.077万。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IDP特征库、WEB过滤库、专业版快速扫描查杀防病毒库、应用识别特征库3年升级服务许可。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2.●支持对终端设备的安全状态、资产类别、操作系统等进行统计分析，监督终端主机安全状态对于不符合安全基线的终端设备进行管控。（须提供相应证明材料）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3.具备高级威胁防护能力，可对DGA、隐蔽信道、恶意加密流量进行检测，并进行可视化展示。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4.●支持不开启SSH、TELNET等常见高危端口，通过设备web界面一键进入后台命令操作模块。（须提供相应证明材料）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5.支持多个配置文件并存，并可进行配置对比核查，对系统配置、路由配置、安全策略等部分配置或全部配置导入导出。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6.支持策略分析功能，实现策略命中分析、策略冗余分析、策略冲突检查、策略包含分析，可在WEB界面显示检测结果。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7.支持基于IPv6的应用层检测、病毒防御、入侵防御、URL过滤、ADS、WAF、流量控制、连接限制、文件过滤、数据过滤、邮件安全等安全控制功能。</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网络版杀毒软件</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1.●提供≥10000个接入授权。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2.支持全网风险展示，包括但不限于未处理的勒索病毒数量、高级威胁、暴力破解、僵尸网络、WebShell后门、高危漏洞及其各自影响的终端数量。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安全策略一体化配置，通过单一策略即可实现不同安全功能的配置，包括：终端病毒查杀的文件扫描配置、文件实时监控的参数配置、WebShell检测和威胁处置方式、暴力破解的威胁处置方式和Windows白名单信任目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4.支持按照扫描网段、扫描方式、扫描协议、扫描端口对终端进行扫描，及时发现尚未纳入管控的终端。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5.支持全网视角的终端资产统一清点，便于帮助用户快速发现风险面。清点信息包括操作系统、应用软件、监听端口和终端账户，其中操作系统和监听端口支持从资产和终端两个视角进行统计和展示。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6.支持对单个终端运行状态的监控，包括但不限于进程、服务、网络连接、计划任务和开放共享信息。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7.具备自研的基于人工智能的检测引擎，支持无特征检测技术，有效应对恶意代码及其变种。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通过智能识别终端环境情况（低配硬件、老旧设备、虚拟化等）和当前终端资源占用，在闲时实时监控和病毒扫描场景，都可智能调整客户端的资源占用（CPU、IO等），为业务让出资源，不卡业务，对业务零摩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具备针对最新未知的文件，使用IOC特征（文件hash、dns、url、ip等）的技术，进行云端查询。云端的安全中心，使用大数据分析平台，基于多维威胁情报、云端沙箱技术、多引擎扩展的检测技术等，秒级响应未知文件的检测结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10.支持禁止黑客工具启动，包含：冰刃、xuetr、ProcessHacker、PCHunter、火绒剑、Mimikatz的自启动，可以防止黑客攻击。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11.支持勒索可疑行为检测，通过行为AI能力对勒索信、命令行、修改文件等多种躲避式投放勒索病毒的高危高频场景进行精准告警和自动拦截。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对系统账号信息进行梳理，了解账号权限分布概况以及风险账号分布情况，可按照隐藏账号、弱密码账号、可疑root权限账号、长期未使用账号、夜间登录、多IP登录进行账号分类查看，支持统计最近一年未修改密码的账户。</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入侵检测系统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1.网络层吞吐量≥80G，接口≥4千兆电口、≥4千兆电口、≥8万兆光口，冗余电源。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2.产品支持路由模式、透明模式、虚拟网线模式、旁路镜像模式等多种部署方式。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3.●产品支持IPv4/IPv6双栈工作模式，以适应IPv6发展趋势。支持NAT64和NAT46 地址转换方式，满足IPv6改造要求。（须提供相应证明材料）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4.产品内置≥13800种漏洞规则，同时支持在控制台界面通过漏洞ID、漏洞名称、危险等级、漏洞CVE标识、漏洞描述等条件查询漏洞特征信息，支持用户自定义IPS规则。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5.产品支持基于IMAP、FTP、RDP、VNC、SSH、TELNET、ORACLE、MYSQL、MSSQL等应用协议进行深度检测与防护。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6.产品支持僵尸主机检测功能，产品内置僵尸网络特征库≥128万种，可识别主机的异常外联行为。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7.产品支持安全策略有效性分析功能，能够分析出策略冲突、策略冗余、权限放通过大、无效策略等，给运维人员提供优化建议。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8.产品支持对安全策略管理和审计功能，记录安全策略变更时间、变更账号、变更类型等内容，提升日常安全策略运维效率。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9.产品支持A|A、A|S两种双机模式部署。当主机故障时，双机切换时间&lt;1s。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10.支持被动监测和主动扫描两种资产识别方式，可梳理离线资产、高危端口开放、冗余端口等安全风险；同时通过可视化的拓扑关系图，直观地展示资产和资产之间的访问关系、访问细节协议端口等信息。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11.产品支持管理员三权分立功能，根据管理员权限分为安全管理员、安全审计员、系统管理员三种角色。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12.产品支持多条件的安全日志组合查询，查询条件包括但不限于日志类型、日志级别、生成时间。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13.产品支持SNMP V1/V2/V3/Trap等标准网络管理协议。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14.产品支持多种安全日志存储方式，包括防火墙本机、日志服务器等不同方式。</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防毒墙</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1.标准2U设备，双电源；标准配置≥8个自适应千兆电接口，≥4个千兆SFP接口、≥4个万兆光口，≥1个接口扩展槽；≥64G SSD硬盘。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2.吞吐量≥60G，最大并发数≥900万。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产品支持安全防护监测能力：SQL注入、XSS、系统命令注入、目录遍历、webshell上传、文件包含、cookie攻击等攻击方式的防御、web漏洞和系统漏洞攻击防护、缓冲区溢出检测、漏扫防扫描、支持国家/地区的流量管理、支持勒索病毒检测与防御和勒索软件通信防护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4.内置动态黑名单功能，可与入侵防护、WEB应用防护、防暴力破解功能实现联动封锁；支持静态和动态黑名单命中统计和监控；支持黑名单添加事件和生效时间展示。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并开通SD-WAN功能，对支持SD-WAN隧道的时延、抖动、丢包率等提供可视化展示。支持广域网双边优化，通过使用TCP动态拥塞控制、TCP窗口处理机制优化、TCP选择性应答、使用快速TCP协议传输以及数据压缩等机制，实现对业务访问的有效加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6.●产品支持实时更新的威胁情报提供安全防护功能，支持基于IP、域名的威胁情报查询与实时防护，支持基于威胁情报的内网风险主机/失陷主机分析。（须提供相应证明材料）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7.根据攻击事件，进行风险等级评估，智能判定内网的失陷主机和风险主机，并展示在威胁展示页面中。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可以将当前版本、配置文件存储为一个快照；遇到问题时可以从历史快照中选择一个进行备份；支持以每周、每月固定时间进行定期快照备份；系统支持≥16个快照；如果系统损坏无法进入，可以从bootloader中选择进入任意快照。</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数据库审计系统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1.2U，内存≥32G，机械硬盘≥6T，≥6个千兆电口(1个管理，1个HA)，≥4个千兆光口，冗余电源， ≥2个扩展槽位，吞吐：≥10Gbps可审计流量：≥3Gbps峰值SQL处理能力：≥60000条/s日处理能力：≥5000万条。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2.●实配独立的攻击检测模块，提供独立的特征库升级授权许可。能够检测包括系统和业务扫描探测、浏览器劫持、文件漏洞攻击、物联网漏洞攻击、工控漏洞攻击等网络攻击事件。（须提供相应证明材料）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3.实配独立的僵尸主机检测模块，提供独立的特征库升级授权许可。能够针对目前现网中的挖矿行为、勒索病毒、APT攻击、僵尸行为、木马控制、蠕虫、移动端木马控制等多类型的僵尸主机行为进行挖掘。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4.以饼图展示正常SQL与慢SQL占比情况、TOP10慢SQL的详细分析：TOP排名信息、事件ID、数据库名、目的ip、协议类型、源ip、sql响应时间、操作类型、具体sql语句等要素。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5.支持会话回放功能，并至少支持0.5倍速、1倍速、1.5倍速、2倍速、4倍速多级播放速度调节。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6.支持云检测，可对设备进行远程统一检测，保障设备的安全稳定运行；历史版本回退功能，系统内建历史版本库≥3个。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7.支持Oracle、SQLServer、MySQL、DB2、Sybase、Informix、PostgreSQL、Teradata、Cache、Hive、Hana、clickhouse、Tibero、Solr、MongoDB、HBase、ElasticSearch、Redis、KingBase、DaMeng、Oscar、GBase、Inspur_KDB、Highgo、GaussDB等主流数据库系统。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从数据库流量中自动识别数据库，从流量分析结果中自动判别包含的数据库类型、版本、地址、端口、发现时间、会话时长、总事件数等信息，并且自动添加到待监控审计列表，无需用户提供网段、数据库地址等信息。</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运维安全审计系统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1.2U，≥16G内存，≥4T机械硬盘，≥6个千兆电口，≥4个SFP插槽，冗余电源， ≥2个扩展槽位， ≥200个主机/设备许可，最大可扩容到500个主机/设备许可，用户数不限制，图形并发≥200，字符并发≥400。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2.支持第三方证书用户自行上传用作校验的CA证书和CRL列表，支持SM2国密证书认证。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3.须具有人脸识别登录认证模块，无需与第三方人脸识别系统对接开发。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4.支持OCR图像识别技术，可对图形操作过程中键盘输入操作记录、剪贴板和鼠标点击行为记录，可对高危命令进行告警。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5.●运维人员可通过堡垒机临时对该资产发起运维，可将该资产托管至堡垒机，并对该用户生成运维授权，今后可用常规方式运维该资产。（须提供相应证明材料）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6.支持对堡垒机虚拟为多台逻辑堡垒机，虚拟堡垒机之间实现独立配置、独立数据。实现IT资源的动态分配、跨域共享，提高IT资源利用率。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7.支持僵尸账号、幽灵账号和孤儿账号的统计、会话请求远程协助，且协同会话保持实时同步、提供授权关系查看功能，图形化直观展示用户、资产、协议、账号的授权关系。</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WEB防火墙</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1.网络层吞吐量≥100G，接口≥4千兆电口、8万兆光口，冗余电源。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2.支持路由模式、透明模式、虚拟网线模式、旁路镜像模式等多种部署方式。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3.●支持IPv4/IPv6双栈工作模式，以适应IPv6发展趋势。支持NAT64和NAT46 地址转换方式，满足IPv6改造要求。（须提供相应证明材料）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4.内置≥4580种WEB应用攻击特征，支持对跨站脚本（XSS）攻击、SQL注入、文件包含攻击、信息泄露攻击、WEBSHELL、网站扫描、网页木马等攻击类型进行防护。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5.支持X-Forworded-For字段检测，并对非法源IP进行日志记录和联动封锁。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6.支持服务器漏洞防扫描功能，并对扫描源IP进行日志记录和联动封锁。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7.支持Cookie攻击防护功能，并通过日志记录Cookie被篡改。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8.支持僵尸主机检测功能，产品内置僵尸网络特征库超过128万种，可识别主机的异常外联行为。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9.支持安全策略有效性分析功能，能够分析出策略冲突、策略冗余、权限放通过大、无效策略等，给运维人员提供优化建议。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10.支持对安全策略管理和审计功能，记录安全策略变更时间、变更账号、变更类型等内容，提升日常安全策略运维效率。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11.被动监测和主动扫描两种资产识别方式，可梳理离线资产、高危端口开放、冗余端口等安全风险；同时通过可视化的拓扑关系图，直观地展示资产和资产之间的访问关系、访问细节协议端口等信息。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12.支持管理员三权分立功能，根据管理员权限分为安全管理员、安全审计员、系统管理员三种角色。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13.支持多条件的安全日志组合查询，查询条件包括但不限于日志类型、日志级别、生成时间。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14.支持多种安全日志存储方式，至少包括防火墙本机、日志服务器等不同方式。</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漏洞扫描系统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1.主机漏洞扫描并发≥150，web漏洞扫描并发≥5。接口≥6千兆电，2个千兆光。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2.支持全局风险统计功能，通过扇形图、条状图、标签、表格等形式直观展示资产风险分布、漏洞风险等级分布、紧急漏洞、风险资产清单等信息，并可查看详情。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3.支持资产发现功能，可基于IP地址、IP网段、IP范围、URL等方式进行资产发现扫描，支持EXCEL格式批量导入。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4.支持存活探测、服务和端口探测、操作系统识别、应用识别、和设备指纹识别等功能，其中服务和端口探测支持常用端口、全量端口和自定义端口三种探测方式。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5.支持任务立即执行、指定时间执行和周期执行三种执行方式，且指定时间可以精确到分钟，周期执行可精确到每日、每周、每月和自定义周期等。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6.支持检测的漏洞数＞230000条，兼容CVE、CNNVD、CNVD、Bugtraq等主流标准。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7.支持紧急漏洞进行单独评估，实现紧急漏洞批量排查，包括Microsoft Windows RDP 远程代码执行漏洞（CVE-2019-0708）、OpenSSL Heartbleed 心脏滴血漏洞（CVE-2014-0160）、Windows SMB 远程代码执行漏洞（MS08-067）、Windows SMB 远程代码执行漏洞（MS17-010）等。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8.●支持国产数据库的漏洞扫描，包括达梦、人大金仓、南大通用等。（须提供相应证明材料）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9.支持行业通用标准OWASP，支持通用WEB漏洞检测，如：SQL注入、XSS、目录遍历、本地/远程文件包含漏洞、安全配置错误、命令执行、敏感信息泄露等。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内置不同的WEB漏洞模板，包括高可利用WEB漏洞、通用应用漏洞、SQL注入漏洞、XSS注入漏洞等类型，支持报表形式展示漏洞模板风险等级分布概览，支持报表形式展示漏洞模板详情，包括漏洞总数、漏洞名称、漏洞类型、风险等级等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11.支持对多种服务协议的弱口令猜解，包括FTP、IMAP、Microsoft SQL、MySQL、PcAnywhere、POP3、SMB、Telnet、VNC、SSH、RDP、ORACLE、Rsync、SMTP、VMware等。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12.提供检测结果综述分析，按照等保的检测项要求，统计业务系统存在的不符合、部分符合、符合、待确认、不适用检测项，直观了解自身业务系统合规情况。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13.产品支持对系统漏洞、WEB漏洞、基线配置、弱口令进行扫描和分析，可同时输出包含系统漏洞扫描、WEB漏洞扫描、基线配置核查、弱口令扫描结果的报表。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14.支持系统漏洞、web漏洞模板的自定义，可通过漏洞名称、CVE编号、风险等级、漏洞类型、漏洞组件、高可利用、漏洞发现时间、扫描方式等快速筛选漏洞，根据筛选结果选择相应漏洞生成自定义模板。</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抗拒绝服务系统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1.2U，内存≥32G（4×8G），机械硬盘≥1TB，≥2个千兆电口（含1个HA口和1个管理口）， ≥6个万兆光口插槽，≥1个CONSOLE口，冗余电源， ≥4个扩展槽位，清洗性能：≥20Gbps小包防御能力（64字节/pps）：≥2180万pps最大保护服务器数量：≥2000台。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2.●支持在线串接、旁路检测和旁路清洗三种模式。支持透明部署、旁路回注、旁路下注、主备模式、负载模式、集群及双活部署等；支持IPv4/IPv6双栈方式。（须提供相应证明材料）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3.●支持日志本地数据库存储，设备断电日志不丢失；支持滚动记录、停止写入、转储等方式，其中转储数据支持多种格式，包括但不限于：支持csv格式、HTML格式、XML等转储格式。（须提供相应证明材料）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4.支持镜像、分光、NetFlow等方式进行数据采集；支持Flow流数据流转发；支持将接收到的flow数据转发给多个终端；支持转发策略，转发策略可配置目的IP和目的端口。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5.支持HTTPS协议的DDOS的防护，包括但不限于：HTTPS flood、HTTPS新建和并发连接、HTTPS SSL DOS、HTTPS SSL Key Exchange等。最少支持6种认证算法，包括但不限于：基本模式、重定向、JS重定向、表单重定向、验证码、流量限速等；支持SSL证书导入功能。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6.支持NTP协议的防护，包括但不限于：NTP REQUEST FLOOD、NTP REPLY FLOOD攻击等。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7.支持基于IP、ICMP、ICMPV6、TCP、UDP、HTTP、HTTPS、DNS、SIP 、NTP、OTHER等协议的自定义报文字段等特征过滤。过滤策略可定义内容至少包含：域名、源地理、源/目的IP、IP总长度、TTL、TOS、分片、分片偏移、源/目的端口、tcp标记、tcp窗口大小、udp长度、icmp类型/编码、icmpv6类型/编码、起始偏移、深度、字符串、正则表达式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8.支持静态路由牵引；支持动态路由PBR、BGP、OSPF路由牵引；自动流量牵引模式下，流量的牵引在web界面可实现手动可控。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9.根据配置向导的指引依次实现设备管理配置、网络配置、客户类型选择配置既可上线。</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安全隔离网闸</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1.内端机≥6个10/100/1000Base-T接口（含1个管理口）； 外端机≥6个10/100/1000Base-T接口（含1个 HA口），单电源，网络吞吐量≥500Mbps，并发连接数≥6万，延时≤1ms，内外端机各≥2G内存。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硬件架构由内端机、外端机、专有隔离硬件三部分组成。内端机和外端机各自具有独立主板、独立总线、独立的存储和运算单元；内端机和外端机之间非网线、USB线、SCSI线等线缆直连，基于光隔离技术专有硬件进行隔离和数据交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3.支持HTTP消息头、消息体，上下行方向，命令及关键字的管控，支持允许、阻断、告警三种处理方式。内置HTTP安全模块，支持URL过滤引擎、内容过滤引擎、文件过滤引擎、病毒过滤引擎及单独启停控制。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4.●支持FTP协议内部命令及数据层内容过滤，支持允许、阻断、告警三种处理方式。（须提供相应证明材料）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5.●内置数据库安全模块，支持内容过滤引擎，能够对数据库用户名、命令、关键字等内容进行管控，支持允许、阻断、告警三种处理方式。（须提供相应证明材料）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6.内置VOIP安全模块，内置VOIP安全引擎，支持主被叫用户黑名单的控制。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7.支持专业版病毒防御引擎，采用国内知名厂商病毒库，支持病毒库升级，并提供后续升级服务。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8.支持基于URL分类知识库的web网站过滤功能，支持URL知识库的升级，并提供后续升级服务。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9.提供连接保护功能，支持基于源和目的IP地址的并发连接数和新建连接数控制，并可以手动设置相关阈值，超过阈值后可选限制和警告两种处理方式。支持IPv4 / IPv6双栈， 适用4to4、4to6、6to4、6to6多种应用场景，提供IP+MAC绑定功能，支持基于物理接口和IP网段的IP+MAC主动探测，支持IP、MAC信息查询功能。</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日志审计系统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1.接口≥6千兆电口，2万兆光口SFP+；审计许可证书数量≥500；可用存储量≥8TB；平均每秒处理日志数（eps）最大性能≥6000。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2.支持安全设备、网络设备、中间件、服务器、数据库、操作系统、业务系统等≥800种日志对象的日志数据采集。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3.支持主动、被动相结合的数据采集方式，支持通过Agent采集日志数据，支持通过syslog、SNMP Trap、JDBC、WMI、webservice、FTP、SFTP、文件\文件夹读取、Kafka等多种方式完成日志收集。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4.支持通过正则、分隔符、json、xml的可视方式进行自定义规则解析，支持对解析结果字段的新增、合并、映射，以满足除内置解析规则之外未被覆盖的日志类型的解析。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5.支持对单个/多个日志源批量转发，支持定时转发，可通过syslog和kafka方式转发到第三方平台，同时支持转发已解析日志和原始日志的两种日志。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6.支持自定义过滤条件检索，支持对模糊ip、多个ip、ip地址段、应用、协议、MAC地址等其他字段精准检索，至少支持AND、OR、NOT三种运算符。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7.支持将检索查询的条件收藏为查询模版，支持查询模版创建、导入导出、删除功能，支持历史搜索记录功能。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8.支持点击事件任意属性字段，该字段为条件对事件进行统计分析，排序支持正序和倒序，并可对统计内容进行点击下载。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9.支持资产全生命周期管理，资产入库审核、资产离线风险识别、资产退库、资产数据更新，责任人管理机制等，支持自定义资产标签、属性。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10.支持拓扑管理，能够基于拓扑图的资产相关数据信息快速查看资产评分、安全事件分布、告警分布等，支持通过拓扑下钻查看对应资产的关联事件、审计事件、日志数量。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11.支持对IPv4/ipv6对象的自动发现功能，对自动发现的设备可以修改、删除或转为资产。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12.支持POC测试工具一键生成数据，验证日志数据采集是否成功，避免设备部署后采集失效但不被发现等风险。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13.支持网络连通性测试工具，至少支持ping、telnet两种拨测方法。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14.支持个性化定制，支持全系统更换logo与系统名称，支持一键恢复默认。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15.支持自定义首页卡片，支持实时监控系统日志传输量和日志留存的合规情况。</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上网行为管理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1.2U， ≥1个console口，≥2个USB接口，≥6个千兆电口，≥4个千兆光口插槽，支持≥2对电口Bypass， SFP+万兆光口模块，含≥2个万兆多模LCLC接口，支持bypass;其中千兆电口中包含一个HA口，一个MGMT口，冗余电源， ≥4个扩展槽位，建议适配带宽：≥10G，网络吞吐量≥20G，最大并发连接数&gt;1500万；推荐用户数：≥150000人。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2.●支持路由模式，旁路模式、网桥模式、混合模式部署；切换部署模式无需重启，不影响设备正常使用。（须提供相应证明材料）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3.实配设备集中管控平台模块，并通过移动端APP查看设备的状态和告警信息。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4.实配安全准入模块，准入类别包含但不限于管理员准入、进程准入、文件准入、注册表准入、操作系统准入；实配L2TP、GRE、PPTP、IPSEC接入模块，实现数据的安全传输。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5.支持与终端检测防御系统联动，建立终端准入基线，实现安装了终端检测防御系统的终端才能入网，没有安装的不允许入网。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6.支持将多个以太网物理端口捆绑成一条逻辑端口（即将多个端口捆绑成一个逻辑的端口以增加带宽，同时增加链路备份）支持基于轮循、主备、哈希、广播、802.3ad、发送自适应、双向自适应等多种负载方式。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7.可通过 NetbIOS 协议扫描内网的主机信息，扫描结果将列出每个主机的 IP 地址、MAC地址和主机名等，然后可以将其加入某个用户组中，逐步完善组织结构的管理。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8.支持刷卡认证功能，实现通过磁卡识别用户身份并进行用户权限控制。</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数据中心防火墙</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1.标准2U设备，双电源；配置≥8个千兆电接口，≥4个千兆SFP接口、≥4个万兆光口，≥1个接口扩展槽；≥64G SSD硬盘，须支持液晶显示。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2.吞吐量≥60G，最大并发数≥900万。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产品支持安全防护监测能力：SQL注入、XSS、系统命令注入、目录遍历、webshell上传、文件包含、cookie攻击等攻击方式的防御、web漏洞和系统漏洞攻击防护、缓冲区溢出检测、漏扫防扫描、支持国家/地区的流量管理、支持勒索病毒检测与防御和勒索软件通信防护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4.内置动态黑名单功能，可与入侵防护、WEB应用防护、防暴力破解功能实现联动封锁；支持静态和动态黑名单命中统计和监控；支持黑名单添加事件和生效时间展示。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并开通SD-WAN功能，对支持SD-WAN隧道的时延、抖动、丢包率等提供可视化展示。支持广域网双边优化，通过使用TCP动态拥塞控制、TCP窗口处理机制优化、TCP选择性应答、使用快速TCP协议传输以及数据压缩等机制，实现对业务访问的有效加速。（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6.●支持实时更新的威胁情报提供安全防护功能，支持基于IP、域名的威胁情报查询与实时防护，支持基于威胁情报的内网风险主机/失陷主机分析。（须提供相应证明材料）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7.根据攻击事件，进行风险等级评估，智能判定内网的失陷主机和风险主机，并展示在威胁展示页面中。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可以将当前版本、配置文件存储为一个快照；遇到问题时可以从历史快照中选择一个进行备份；支持以每周、每月固定时间进行定期快照备份；系统支持≥16个快照；如果系统损坏无法进入，可以从bootloader中选择进入任意快照。</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服务器密码机</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1.标准2U机架式设备，1+1冗余热拔插电源，RJ-45 10/100/1000Mb≧2，支持万兆光口扩展。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2.支持SM1、SM2、SM3、SM4国密算法，算法模式支持ECB/CBC/OFB/CFB/CTR/XTS/GCM/CCM；同时，兼容国际算法RSA、3DES、AES、SHA-1和SHA-2等，具有良好的可扩展性，支持扩展SM7、SM9等算法。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3.密码机API支持符合GM/T 0018标准接口规范，支持PKCS#11、JCE等国际标准接口。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4.支持基于控件的设备远程管理，支持web界面的设备自检、设备升级和回滚功能，支持通过web界面进行外部密钥导入且支持通过分量合成的方式产生本地主密钥。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5.支持消息鉴别码的产生及验证，包括CBC-MAC、CMAC的产生及验证；支持消息认证码的产生，包括HMAC的产生及验证。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6.采用“主密钥-业务密钥-会话密钥”的三层密钥保护结构，保证关键密钥在任何时候不以明文形式出现在设备外，密钥备份文件也受备份密钥的加密保护。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7.支持多网口绑定，支持IPv4/IPv6双栈网络协议。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8.支持智能密码钥匙“双因子”登入方式实现身份鉴别，支持日志完整性保护。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9.SM2密钥对产生速率≥80000对/秒；SM2签名速率≥80000次/秒；SM2验签速率≥30000次/秒；SM4加解密速率≥850Mbps，对称算法SM1运算速率≥850Mbps；杂凑算法SM3运算速率≥850Mbps。</w:t>
            </w:r>
          </w:p>
        </w:tc>
        <w:tc>
          <w:tcPr>
            <w:tcW w:w="39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SSL VPN安全网关</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1.标准2U机架式设备，1+1冗余热拔插电源，CPU≥4核，内存≥8G×2，硬盘≥SSD-128G，RJ-45 10/100/1000Mb≥6，支持万兆光口扩展。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2.支持SM2、SM3、SM4算法，具有密钥协商、身份认证、SSL隧道加密等功能。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3.支持多种优秀的负载算法，可以对后端多个应用服务进行负载，包括轮询、简单轮询、IP哈希、最少连接和最小响应等。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4.支持基于数字证书认证的智能密码钥匙方式进行系统管理和日志记录完整性保护，满足密评的强合规。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5.支持单双向SSL认证、动态认证功能、多站点证书功能、证书信任功能、支持第三方签发证书。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6.支持应用加速功能，包括WEB缓存、连接复用、异步I/O、Cache、Pool机制、HTTP压缩等。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7.支持对CPU、内存、磁盘容量、连接数、事务数等资源情况进行监控和展示，便于系统的维护和问题定位、支持以单机、服务、组方式统计业务信息，包括并发、吞吐量等。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8.SM2加密吞吐能力≥3100Mbps，SM2最大每秒新建用户数≥15000个，最大并发用户数≥50W。</w:t>
            </w:r>
          </w:p>
        </w:tc>
        <w:tc>
          <w:tcPr>
            <w:tcW w:w="39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签名验签服务器</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1.标准2U机架式设备，1+1冗余热拔插电源，RJ-45 10/100/1000Mb≥2，USB接口≥6，支持万兆光口扩展。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2.支持SM2、 RSA（1024/2048）、ECDSA算法，支持PKCS#1和PKCS#7签名/验签；符合GM/T 0019-2012《通用密码服务接口规范》数字信封和带签名的数字信封封装解封。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3.多信任域支持：支持配置不同的证书信任域，证书验证策略支持配置不验证、根证书、CRL、OCSP等多种验证策略。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4.支持SNMP标准协议监控功能，支持通过SYSLOG服务，外送业务日志功能，支持NTP时间同步功能。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5.密钥结构采用“系统保护密钥-用户密钥-会话密钥”的三层密钥保护结构，保证关键密钥在任何时候不以明文形式出现在设备外，密钥备份文件受备份密钥加密保护。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6.带签名的数字信封加密和解密：支持基于SM2、RSA等算法的带签名的数字信封加密、解密功能，数字信封格式符合PKCS#7、GM/T0010等标准中定义的数据类型。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7.支持采用基于数字证书的硬件密码钥匙（USBKEY）“双因子”认证方式管理人员的身份鉴别，支持日志完整性保护。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8.支持基于控件的设备远程管理，支持web界面的设备一键自检、设备一键升级和一键回滚功能。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9.支持IPV4/IPV6双栈网络协议。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10.支持符合GM/T 0019国密标准规范接口，SM2 PKCS1签名速率≥36000次/秒，SM2 PKCS1验签速率≥15000次/秒，SM2 PKCS7签名速率≥27000次/秒，SM2 PKCS7验签速率≥11000次/秒，SM2数字信封加密速率≥6000次/秒，SM2数字信封解密速率≥11000次/秒，最大并发数≥1000。</w:t>
            </w:r>
          </w:p>
        </w:tc>
        <w:tc>
          <w:tcPr>
            <w:tcW w:w="39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智能密码钥匙（USBKey）</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支持同时存储多组密钥和证书；提供身份认证、数据加解密、安全存储等功能。</w:t>
            </w:r>
          </w:p>
        </w:tc>
        <w:tc>
          <w:tcPr>
            <w:tcW w:w="39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20个</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国密浏览器</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浏览器密码模块，支持国密SM2算法</w:t>
            </w:r>
          </w:p>
        </w:tc>
        <w:tc>
          <w:tcPr>
            <w:tcW w:w="39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20个</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（五）安全等级保护测评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三级等保安全评估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评估内容主要包含模块化机房的物理安全、及相关软件的数据安全等方面。三级等保安全评估是对信息系统安全性进行全面评估的过程，涵盖物理安全、网络安全、主机安全、应用安全和数据安全等多个方面。安全性能符合国家标准，并具备相应的安全防护能力，降低信息安全风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2.评估范围和目标：明确评估的信息系统范围、评估的目标和评估的重点。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3.安全风险评估：识别信息系统面临的安全威胁和漏洞，评估潜在的安全风险。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4.安全保护方案：根据评估结果，制定相应的安全保护方案，包括技术措施和管理措施。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5.安全保护措施：根据安全保护方案，实施相应的技术措施和管理措施，确保信息系统的安全性。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6.安全测试和验证：对实施的安全保护措施进行测试和验证，确保有效性和可行性。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7.安全评估报告：根据评估过程和结果，编制安全评估报告，总结评估发现的问题和建议。</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密码应用安全评估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1.针对关键信息基础设施、信息网络、数据安全等方面进行评估。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密码应用安全评估依据《中华人民共和国密码法》相关法律法规和标准规范。评估的对象涵盖基础信息网络、重要信息系统、重要工业控制系统以及关键信息基础设施、网络安全等级保护第三级及以上的信息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3.评估内容包含对网络与信息系统使用商用密码技术、产品和服务的合规性、正确性、有效性进行检测、分析和评估验证。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4.评估范围包括检查密码管理制度、人员管理、建设运行、应急处置等方面的情况，以及密码设备的配置和正确性、密码安全防护措施的有效性等。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（六）高清视频会议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主会场高清视频会议终端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1.尺寸：≥86英寸。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2.显示比例：16:9。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3.背光类型：DLED。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4.分辨率：≥3840（H）×2160（V）。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5.触摸屏材料防眩钢化玻璃。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6.触摸技术：≥20点。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7.书写工具：手指+智能笔。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8.摄像头：内置≥800万像素摄像头，最大分辨率4k。</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9.麦克风：内置≥800万像素摄像头，最大分辨率4k。</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10.扩音：内置扬声器。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11.视频输入：HDMI输入。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12.视频输出：HDMI输出。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13.网络接口：≥2路RJ45 1000M网口。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14.配置：≥四核，≥32GB ROM。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15.含软硬终端账号及视频资源3年费用。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分会场高清视频会议终端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1.视频标准：H.265、H.264 HP/BP等。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2.视频分辨率：主视频流：1080P、720P、4CIF、CIF，演示流：1080P、UXGA、WXGA、SXGA、XGA、SVGA、VGA。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3.视频帧率：25fps、30fps。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4.视频码率：64Kbps～8Mbps。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5.双流：1080P30fps双流。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6.内置拾音器：频响范围：100‒20，000Hz、360度拾音，≥6米拾音范围。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7.会议媒体协议：ITU-T H.323、IETF SIP。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8.网络传输协议：IPv6/IPv4、TCP/IP、RTP、RTCP、HTTP/HTTPS、DNS、PPPoE、DHCP、TLS。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9.图像传感器：1/2.8英寸HD CMOS传感器。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10.有效像素：≥200万。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11.镜头变倍：≥10倍光学变焦。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12.视频输入：≥1×内置摄像机输入、1×HDMI。</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13.视频输出：≥1×HDMI。</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14.75寸高清显示终端：分辨率：≥3840x2160、CPU：≥四核处理器、内存：≥1.5GB、闪存：≥8GB、HDMI：≥2个。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15.配套移动支架。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16.全向麦。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17.含软硬终端账号及视频资源3年费用。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（七）智慧教育运维服务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人员及车辆保障</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1.驻场运维人员：驻场运维人员≥14人。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2.提供维护用设备的备件、备品、耗材零件。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3.提供维护的条件装备：服务车辆、工具设备。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4.提供服务电话、维护记录登记及跟踪反馈。</w:t>
            </w:r>
          </w:p>
        </w:tc>
        <w:tc>
          <w:tcPr>
            <w:tcW w:w="39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2年</w:t>
            </w:r>
          </w:p>
        </w:tc>
        <w:tc>
          <w:tcPr>
            <w:tcW w:w="26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服务内容</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成立专门的运维团队和项目管理机构，负责保障服务期内本项目安全、稳定地运行。明确运维团队组织、人员、岗位职责、工作流程等，运维人员应定期对系统软、硬件进行巡检，主要从故障检查、功能检查、可用性检查等方面进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须建立详细的运维保障体系和配套运维平台软件，网络及安全设备管理、安全域划分、安全策略优化、防火墙配置、VPN管理技术，具备视频服务管理能力，精通各种视频监控设备与平台，精通视频资源目录服务体系管理，精通各种可视调度系统设备维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3.维护人员应围绕系统功能、系统的各项技术指标及操作运行情况，逐点、逐台、逐项地进行检验，边检边进行记录，并排除发现的故障。运维人员应定期对平台系统数据进行备份，以保证数据的完整性。</w:t>
            </w:r>
          </w:p>
        </w:tc>
        <w:tc>
          <w:tcPr>
            <w:tcW w:w="39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26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响应机制</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提供7×24小时故障受理服务，受理方式包括热线电话、现场受理、网络受理。10分钟电话响应、1小时上门服务。</w:t>
            </w:r>
          </w:p>
        </w:tc>
        <w:tc>
          <w:tcPr>
            <w:tcW w:w="39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26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highlight w:val="none"/>
                <w:u w:val="none"/>
                <w:lang w:val="en-US" w:eastAsia="zh-CN" w:bidi="ar"/>
              </w:rPr>
              <w:t>三、融媒体中心建设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（一）“中央厨房”体系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采编播管理系统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1.素材采集：支持从多种来源（如摄像机、手机、网络等）获取新闻素材，并自动导入到系统中进行分类管理。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2.素材管理：具有素材库管理功能，包括素材的预览、标记、检索、导出等操作。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3.节目编辑：具有视频编辑工具，支持对素材进行剪辑、拼接、转场、特效等处理。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4.节目播出：支持将制作好的新闻节目自动或手动播出到指定的电视频道或网络平台，同时提供播出监控和日志记录功能。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流媒体资源管理系统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1.媒体内容管理：支持对各种流媒体内容进行集中式的存储和管理，包括音频、视频等多媒体文件。提供内容检索和浏览功能，使用户找到所需的媒体内容。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2.媒体内容发布：支持将流媒体内容发布到各种网络平台上，如互联网、移动网络等，满足不同用户的需求。提供多种发布方式和策略，如实时发布、定时发布等。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3.用户权限管理：对流媒体资源的访问进行权限控制，只有授权用户才能访问相应的媒体内容。提供用户认证和授权功能。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4.系统监控和维护：对流媒体资源管理系统的运行状态进行实时监控，及时发现并处理潜在的问题。提供系统维护和升级功能。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媒体发布系统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1.媒体内容管理：支持对多种媒体内容进行集中管理，包括上传、编辑、删除等操作。同时提供内容检索和分类功能。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2.节目制作与发布：支持将各种媒体文件组合成多媒体节目，并设置节目的播放顺序和时间。可以将制作好的节目发布到指定的显示设备上，支持定时发布和立即发布等多种方式。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3.设备管理与监控：对系统中的显示设备进行管理和监控，包括设备的状态、播放内容等信息。支持远程控制和调试功能。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4.用户权限管理：对系统的访问进行权限控制，只有授权用户才能访问相应的功能和数据。提供用户认证和授权功能。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超融合计算节点</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1.硬件设备采用X86机架式，设备规格≥2U。</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2.每节点配置≥2颗英特尔第三代至强可扩展处理器；单颗处理器主频≥2.0GHz，核数≥28核，缓存≥42MB，TDP≥205W，本次配备2个节点。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3.≥512G内存，系统盘≥2块240G SSD;缓存盘≥2块1.92T SSD;数据盘≥4块8T HDD。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4.集成系统管理芯片，提供ikvm和KVM Over IP高级管理功能，本地固件更新、错误日志，提供系统状况的可视显示；配置独立的远程管理控制端口，支持远程监控图形界面，可实现与操作系统无关的远程对服务器的完全控制，包括远程开机、关机、重启、虚拟设备挂在等操作；可实现监控服务器内部主要部件的状态，包括CPU、内存、硬盘、风扇、电源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5.支持对超融合平台的硬件进行监控和展示，包含CPU、内存、网卡、硬盘、存储、RAID等硬件健康检测。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6.虚拟机调度策略支持互斥和聚集策略，可指定虚拟机运行到指定主机组，提供基于主机组的调度策略。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7.虚拟机可以实现物理机的全部功能，如具有自己的资源（内存、CPU、网卡、存储），可以指定单独的IP地址、MAC地址等。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8.超融合管理平台界面上提供虚拟机删除、开关机、挂起、重启、关闭、关闭电源、克隆、迁移、备份、模板导出、快照、标签管理等功能，以上功能均支持批量操作。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9.无需安装插件或代理软件，支持虚拟机的无代理备份，无备份数据容量限制，可直接将虚拟机备份到存储，并支持生成全新虚拟机的方式进行恢复。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10.须支持物理机上的USB映射给虚拟机使用，且虚拟机迁移或故障迁移到其他主机上也能自动映射USB设备。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虚拟机资源告警项支持虚拟机CPU利用率、内存利用率，虚拟机单网口链接session数过高、虚拟机过期时间，并检测异常状态持续时间，支持检测虚拟机镜像文件损坏，备份失败，虚拟机与外部网络不通的监控告警，用户可自定义告警项并支持通过邮件和短信进行告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标准的iSCSI协议，允许外部物理主机或应用通过标准的iSCSI接口访问虚拟存储。支持iSCSI存储、FC存储、NFS存储、本地存储。支持通过iSCSI透传/非透传指令使虚拟机支持存储裸设备映射（RDM），可以将存储设备上的LUN 直接映射给虚拟机使用。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网络存储设备</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1.CPU型号:2颗国产CPU， ≥16核。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2.CPU架构:64-bit。</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3.硬盘盘位:≥12个3.5寸(或2.5寸)SATA、SAS、SSD。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4.存储容量:单盘≥24TB+。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5.系统内存:≥64GB DDR4。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6.网络接口:≥2个 RJ-45 1GbE，≥2个SFP+10GbE。</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7.机器电源:双电源。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8.配置容量：≥192TB。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9.RAID模式:0，1，5，6，10等。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融媒体运营服务</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1.提供≥20人的运营团队，保障融媒体平台日常运营工作：包括内容策划、采集、编辑、制作、审核、校对、发布、维护和更新。确保各个媒体内容质量和时效性，满足日常的运营需求。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2.采集和整理与教育相关的新闻和信息，包括政策解读、体育赛事报道和教育日常活动，确保各个媒体平台的内容丰富和多样。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3.提供专业的编辑服务，对采集的内容进行整理、撰写、优化和审核，确保内容的质量和准确性。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4.提供多媒体内容的播放支持，如视频、音频和图文等，确保内容在各个媒体平台上的流畅播放。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5.利用各种渠道和平台进行宣传和推广，增加媒体平台的知名度和影响力。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6.协助策划和组织各类线上线下活动，增强用户参与度和粘性。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7.对发布的内容进行审核，确保内容符合法律法规、政策要求以及道德标准，避免不良或违规内容发布。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8.支持运维所涉及中央厨房系统内的所有应用软件的现场技术服务。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9.提供专门的技术工程师负责技术支持，用户要求现场排查问题时，需要第一时间赶赴用户现场。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10.现场技术服务队伍由项目骨干组成，保证技术服务队伍的相对稳定。系统软件、硬件维修时应当详细记录故障原因及排除方法，快速有效解决问题，提供高质量的保障服务。</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镜头群</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定焦镜头、变焦镜头:16-35mm、24-70mm、70-200mm、24-105mm、35mm、50mm、85mm、100mm微距、100-400mm每个型号2只。</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固态硬盘</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2TB SSD固态硬盘 M.2接口 读速≥7000MB/s，USB-C口硬盘盒。</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三脚架及其他设备</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1.广播级EFP三脚架6套：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承重：≥30kg。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支持俯仰/水平阻尼。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支持一键式水平固定和动态平衡。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支持俯仰摇摄：-70°- +90°。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水平摇摄：360°。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工作高度：800-1700mm。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球座直径：≥100mm。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摄像机安装：前后±100mm可调整的及200mm长的快装板。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水平气泡：照明气泡水平仪。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延伸器：地置延伸器。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手柄：双伸缩手柄。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三脚架：EFP 1 D单级三脚架。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2.广播级ENG三脚架4套（带云台）。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承重范围-云台：≤18kg。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承重范围-架体：≥60kg。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水平气泡：夜视水平泡。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平衡托板：≤70mm。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阻尼：水品≥6档阻尼，俯仰≥6档阻尼。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动态平衡：≥8档阻尼。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俯仰范围：-75°- +90°。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升降高度：800mm-1700mm（云台）。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3.满足100米SDI线缆10根。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4.满足100米卡农线缆10根。</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快速移动拍摄设备</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1.上升速度：≥8米/秒。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2.下降速度：≥6米/秒。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3.水平飞行速度（海平面附近无风）：≥21米/秒。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4.起飞海拔高度：≥6000米。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5.飞行时间：≥40分钟。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6.悬停时间：≥35分钟。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7.续航里程：≥25公里。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8.机载内存：≥8G。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9.影像传感器:4/3 CMOS，有效像素≥2000万、1/1.3 英寸 CMOS，有效像素≥4800万、1/2 英寸 CMOS，有效像素≥1200万。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10.实时图传质量：1080p/30fps，1080p/60fps.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11.电池容量：≥5000毫安时。</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全画幅微单</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1.影像传感器类型：CMOS。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2.总像素数：≥4680万。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3.有效像素数：≥4570万。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4.快门类型：电子控制纵走式焦平面机械快门；电子前帘快门；电子快门。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5.ISO感光度（推荐曝光指数）：ISO 64-25600。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6.自动对焦系统：复合相位侦测/对比侦测自动对焦，带自动对焦辅助。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7.视频画面尺寸（像素）和帧频：3840 x 2160 (4K超高清)；30p（逐行）、25p、24p_x005f 、1920 x 1080；120p、100p、60p、50p、30p、25p、24p。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9.16-35、24-70、70-200、80定焦镜头各两套、其他配件。</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　</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无线拾音设备</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一体收纳，开盖即用；≥250米稳定无线传输；标配充电盒≥15小时续航；支持磁吸，快捷隐藏；触控屏快速调参； 14小时无损内录并快捷导出适合多人录制。</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图传设备</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1.最大通信带宽：≥40MHz。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2.最大编码码率:≥40Mbps。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3.功耗：图传发射器≥11瓦；图传接收器≥9瓦。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4.视频输入格式：图传发射器：1080p：23.98/24/25/29.97/30/50/59.94/60fps、720p：50/59.94/60fps。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5.输入音频格式：SDI内嵌，HDMI内嵌。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6.图传延时：≤70 毫秒。</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手持拍摄摄像机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1.触控屏尺寸：≥2.0 英寸。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2.屏幕像素:≥900万像素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3.分辨率：≥314×556。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4.亮度：≥700尼特。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5.麦克风：≥3个。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6.影像传感器：≥1英寸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7.照片最大分辨率：≥3840 × 2160 像素。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8.镜头转动功能：平移、俯仰、横滚。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9.拍摄功能：支持拍摄视频、照片。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10.变焦方式：包括不限于数码变焦。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11.对焦范围：≥0.2m。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12.电池容量：≥1300 毫安时。</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三轴稳定器</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1.支持蓝牙快门控制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2.支持增稳算法。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3.支持原生横竖拍切换。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4.彩色触屏≥1.4 英寸。</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手持微单稳定器</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1.角度抖动量 ±0.02°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2.最大可控转速 平移方向：≥180°/s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3.俯仰方向：≥180°/s。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4.横滚方向：≥180°/s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5.机械限位范围 平移方向：无限位。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6.俯仰方向：-202.5°至 +112.5°。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7.横滚方向：-95°至 +220°。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8.可控转动范围 平移方向：360°连续旋转。</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9.俯仰方向：-90°至 145°。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10.横滚方向：±30°。</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运动摄像机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1.影像传感器:1/1.3 英寸 CMOS。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2.镜头:视场角：≥155°；光圈：f/2.8，焦点范围：0.4 米至无穷远。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3.ISO 范围:拍照：100 至 12800;录像：100 至 12800。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4.电子快门速度:拍照：1/8000 秒至 30 秒;录像：1/8000 秒至帧率限制快门。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5.照片最大分辨率:3648×2736。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6.变焦:数码变焦，拍照：4 倍，录像：最大2倍。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7.照片拍摄模式:单张照片：约 1000 万像素。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8.倒计时拍照：关闭/0.5/1/2/3/5/10 秒。</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配套设备</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1.20个SD卡，读写速度≥300MB/s，支持支持拍摄 8K UHD视频。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2.10个Cfast卡。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3.10个专用读卡器。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4.20块原厂电池随机器配。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5.20根全功能type-c线材。</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安全播出延迟设备</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1.支持液晶显示系统设置。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2.支持≥8路SDI输入，≥2路SDI输出。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3.SDI输出支持无缝切换;可从8路任切1路输出。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4.音视频信号支持1-600秒延时输出，最大支持600s延迟，可通过前面板旋钮设定。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5.支持1组XLR模拟平衡音频输入(音频加嵌);1组XLR模拟平衡音频输出。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6.2路SDI均可无缝输出，其中1路可配置为无延时输出。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7.前面板有按键、旋钮、液晶面板，方便客户操作以及显示实时状态。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8.支持FTB输出黑场。</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文本校对</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1.文字差错校对：支持错别字、词、多字错误、少字错误、语义重复、语序错误句式杂糅、标点符号差错、量词和单位差错、数字差错、句子查重、英文校对。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2.知识性差错校对：支持重要讲话引用、姓名和职务信、地理名词、机构名称、专有名词及术语、法律法规名称、常识差错、时政重点词、媒体报道禁用词和慎用词校对。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3.内容导向风险识别：支持涉国家统一、主权和领土完整、涉民族宗教、涉黄、暴、恐、赌、毒、涉违法违规、其他敏感内容的违法信息识别。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4.账号安全管理：支持账号集中授权管理，避免多人都掌握账号密码:分级分职责设置操作权限，避免账号管理权限越界;采用官方Oauth方式授权，避免密码在传输过程中暴露。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5.发布安全管理：支持编、校、审一体化管理，用技术约束操作流程，避免执行偏差，审核和发布环节同频控制，支持自定义禁发词库，系统自动拦截。</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内容检查</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1.支持敏感信息检查：涉黄、涉暴、侮辱、歧视、行业禁用语等。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2.支持知识类检查：单位全称简称、地域名称、短语警句、标准化表述等。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3.支持拼写语法检查：文档中常见的音近字，形近字，多字，少词、乱序等问题。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4.支持标点符号检查：根据《标点符号用法》GB/T15834―2011等规范制定标点符号用法不当检查。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5.支持政治类检查：领导人姓名、领导人职务、领导人排序、表述不当等描述不当。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6.支持公文书写检查：根据《国家行政机关公文处理办法》检查公文标题、文种、成文日期、主送机关等。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7.支持图片类检查：对图片类型文件中存在的敏感词、表述不当等问题进行校对。</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信息化素养提升</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每年500-800人次4次线上线下结合培训，包含场地租赁费，专家劳务费、现场会务等。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（二）多功能演播厅建设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多功能演播厅室内配套及其他</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演播厅配套舞台灯光音响系统、显示设备、舞台幕布（电动）、座椅等设备设施，以及室内场地改造，配套线缆及辅助设备、具体尺寸、颜色和数量根据场地情况确认。</w:t>
            </w:r>
          </w:p>
          <w:p>
            <w:pPr>
              <w:keepNext w:val="0"/>
              <w:keepLines w:val="0"/>
              <w:widowControl/>
              <w:suppressLineNumbers w:val="0"/>
              <w:ind w:firstLine="480" w:firstLineChars="200"/>
              <w:jc w:val="left"/>
              <w:textAlignment w:val="bottom"/>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供应商将</w:t>
            </w:r>
            <w:r>
              <w:rPr>
                <w:rFonts w:hint="eastAsia" w:ascii="宋体" w:hAnsi="宋体" w:eastAsia="宋体" w:cs="宋体"/>
                <w:i w:val="0"/>
                <w:iCs w:val="0"/>
                <w:color w:val="000000"/>
                <w:kern w:val="0"/>
                <w:sz w:val="24"/>
                <w:szCs w:val="24"/>
                <w:highlight w:val="none"/>
                <w:u w:val="none"/>
                <w:lang w:val="en-US" w:eastAsia="zh-CN" w:bidi="ar"/>
              </w:rPr>
              <w:t>该项以</w:t>
            </w:r>
            <w:r>
              <w:rPr>
                <w:rFonts w:hint="eastAsia" w:ascii="宋体" w:hAnsi="宋体" w:cs="宋体"/>
                <w:i w:val="0"/>
                <w:iCs w:val="0"/>
                <w:color w:val="000000"/>
                <w:kern w:val="0"/>
                <w:sz w:val="24"/>
                <w:szCs w:val="24"/>
                <w:highlight w:val="none"/>
                <w:u w:val="none"/>
                <w:lang w:val="en-US" w:eastAsia="zh-CN" w:bidi="ar"/>
              </w:rPr>
              <w:t>暂估价2020000</w:t>
            </w:r>
            <w:r>
              <w:rPr>
                <w:rFonts w:hint="eastAsia" w:ascii="宋体" w:hAnsi="宋体" w:eastAsia="宋体" w:cs="宋体"/>
                <w:i w:val="0"/>
                <w:iCs w:val="0"/>
                <w:color w:val="000000"/>
                <w:kern w:val="0"/>
                <w:sz w:val="24"/>
                <w:szCs w:val="24"/>
                <w:highlight w:val="none"/>
                <w:u w:val="none"/>
                <w:lang w:val="en-US" w:eastAsia="zh-CN" w:bidi="ar"/>
              </w:rPr>
              <w:t>元</w:t>
            </w:r>
            <w:r>
              <w:rPr>
                <w:rFonts w:hint="eastAsia" w:ascii="宋体" w:hAnsi="宋体" w:cs="宋体"/>
                <w:i w:val="0"/>
                <w:iCs w:val="0"/>
                <w:color w:val="000000"/>
                <w:kern w:val="0"/>
                <w:sz w:val="24"/>
                <w:szCs w:val="24"/>
                <w:highlight w:val="none"/>
                <w:u w:val="none"/>
                <w:lang w:val="en-US" w:eastAsia="zh-CN" w:bidi="ar"/>
              </w:rPr>
              <w:t>列入</w:t>
            </w:r>
            <w:r>
              <w:rPr>
                <w:rFonts w:hint="eastAsia" w:ascii="宋体" w:hAnsi="宋体" w:eastAsia="宋体" w:cs="宋体"/>
                <w:i w:val="0"/>
                <w:iCs w:val="0"/>
                <w:color w:val="000000"/>
                <w:kern w:val="0"/>
                <w:sz w:val="24"/>
                <w:szCs w:val="24"/>
                <w:highlight w:val="none"/>
                <w:u w:val="none"/>
                <w:lang w:val="en-US" w:eastAsia="zh-CN" w:bidi="ar"/>
              </w:rPr>
              <w:t>投标价中</w:t>
            </w:r>
            <w:r>
              <w:rPr>
                <w:rFonts w:hint="eastAsia" w:ascii="宋体" w:hAnsi="宋体" w:cs="宋体"/>
                <w:i w:val="0"/>
                <w:iCs w:val="0"/>
                <w:color w:val="000000"/>
                <w:kern w:val="0"/>
                <w:sz w:val="24"/>
                <w:szCs w:val="24"/>
                <w:highlight w:val="none"/>
                <w:u w:val="none"/>
                <w:lang w:val="en-US" w:eastAsia="zh-CN" w:bidi="ar"/>
              </w:rPr>
              <w:t>。</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400平方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暂估价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（三）多媒体实训工作室建设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多媒体实训工作室室内配套及其他</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多媒体实训工作室配套录播系统、显示设备、等设备设施，以及室内场地改造，配套线缆及辅助设备、具体尺寸、颜色和数量根据场地情况确认。</w:t>
            </w:r>
          </w:p>
          <w:p>
            <w:pPr>
              <w:keepNext w:val="0"/>
              <w:keepLines w:val="0"/>
              <w:widowControl/>
              <w:suppressLineNumbers w:val="0"/>
              <w:ind w:firstLine="480" w:firstLineChars="200"/>
              <w:jc w:val="left"/>
              <w:textAlignment w:val="bottom"/>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供应商将</w:t>
            </w:r>
            <w:r>
              <w:rPr>
                <w:rFonts w:hint="eastAsia" w:ascii="宋体" w:hAnsi="宋体" w:eastAsia="宋体" w:cs="宋体"/>
                <w:i w:val="0"/>
                <w:iCs w:val="0"/>
                <w:color w:val="000000"/>
                <w:kern w:val="0"/>
                <w:sz w:val="24"/>
                <w:szCs w:val="24"/>
                <w:highlight w:val="none"/>
                <w:u w:val="none"/>
                <w:lang w:val="en-US" w:eastAsia="zh-CN" w:bidi="ar"/>
              </w:rPr>
              <w:t>该项以</w:t>
            </w:r>
            <w:r>
              <w:rPr>
                <w:rFonts w:hint="eastAsia" w:ascii="宋体" w:hAnsi="宋体" w:cs="宋体"/>
                <w:i w:val="0"/>
                <w:iCs w:val="0"/>
                <w:color w:val="000000"/>
                <w:kern w:val="0"/>
                <w:sz w:val="24"/>
                <w:szCs w:val="24"/>
                <w:highlight w:val="none"/>
                <w:u w:val="none"/>
                <w:lang w:val="en-US" w:eastAsia="zh-CN" w:bidi="ar"/>
              </w:rPr>
              <w:t>暂估价690000</w:t>
            </w:r>
            <w:r>
              <w:rPr>
                <w:rFonts w:hint="eastAsia" w:ascii="宋体" w:hAnsi="宋体" w:eastAsia="宋体" w:cs="宋体"/>
                <w:i w:val="0"/>
                <w:iCs w:val="0"/>
                <w:color w:val="000000"/>
                <w:kern w:val="0"/>
                <w:sz w:val="24"/>
                <w:szCs w:val="24"/>
                <w:highlight w:val="none"/>
                <w:u w:val="none"/>
                <w:lang w:val="en-US" w:eastAsia="zh-CN" w:bidi="ar"/>
              </w:rPr>
              <w:t>元</w:t>
            </w:r>
            <w:r>
              <w:rPr>
                <w:rFonts w:hint="eastAsia" w:ascii="宋体" w:hAnsi="宋体" w:cs="宋体"/>
                <w:i w:val="0"/>
                <w:iCs w:val="0"/>
                <w:color w:val="000000"/>
                <w:kern w:val="0"/>
                <w:sz w:val="24"/>
                <w:szCs w:val="24"/>
                <w:highlight w:val="none"/>
                <w:u w:val="none"/>
                <w:lang w:val="en-US" w:eastAsia="zh-CN" w:bidi="ar"/>
              </w:rPr>
              <w:t>列入</w:t>
            </w:r>
            <w:r>
              <w:rPr>
                <w:rFonts w:hint="eastAsia" w:ascii="宋体" w:hAnsi="宋体" w:eastAsia="宋体" w:cs="宋体"/>
                <w:i w:val="0"/>
                <w:iCs w:val="0"/>
                <w:color w:val="000000"/>
                <w:kern w:val="0"/>
                <w:sz w:val="24"/>
                <w:szCs w:val="24"/>
                <w:highlight w:val="none"/>
                <w:u w:val="none"/>
                <w:lang w:val="en-US" w:eastAsia="zh-CN" w:bidi="ar"/>
              </w:rPr>
              <w:t>投标价中</w:t>
            </w:r>
            <w:r>
              <w:rPr>
                <w:rFonts w:hint="eastAsia" w:ascii="宋体" w:hAnsi="宋体" w:cs="宋体"/>
                <w:i w:val="0"/>
                <w:iCs w:val="0"/>
                <w:color w:val="000000"/>
                <w:kern w:val="0"/>
                <w:sz w:val="24"/>
                <w:szCs w:val="24"/>
                <w:highlight w:val="none"/>
                <w:u w:val="none"/>
                <w:lang w:val="en-US" w:eastAsia="zh-CN" w:bidi="ar"/>
              </w:rPr>
              <w:t>。</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200平方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暂估价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（四）新闻发布厅建设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新闻发布厅室内配套及其他</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新闻发布厅配套显示系统、灯光音响系统、舞台幕布（电动）、座椅等设备设施，以及室内场地改造，配套线缆及辅助设备、具体尺寸、颜色和数量根据场地情况确认。</w:t>
            </w:r>
          </w:p>
          <w:p>
            <w:pPr>
              <w:keepNext w:val="0"/>
              <w:keepLines w:val="0"/>
              <w:widowControl/>
              <w:suppressLineNumbers w:val="0"/>
              <w:ind w:firstLine="480" w:firstLineChars="200"/>
              <w:jc w:val="left"/>
              <w:textAlignment w:val="bottom"/>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供应商将</w:t>
            </w:r>
            <w:r>
              <w:rPr>
                <w:rFonts w:hint="eastAsia" w:ascii="宋体" w:hAnsi="宋体" w:eastAsia="宋体" w:cs="宋体"/>
                <w:i w:val="0"/>
                <w:iCs w:val="0"/>
                <w:color w:val="000000"/>
                <w:kern w:val="0"/>
                <w:sz w:val="24"/>
                <w:szCs w:val="24"/>
                <w:highlight w:val="none"/>
                <w:u w:val="none"/>
                <w:lang w:val="en-US" w:eastAsia="zh-CN" w:bidi="ar"/>
              </w:rPr>
              <w:t>该项以</w:t>
            </w:r>
            <w:r>
              <w:rPr>
                <w:rFonts w:hint="eastAsia" w:ascii="宋体" w:hAnsi="宋体" w:cs="宋体"/>
                <w:i w:val="0"/>
                <w:iCs w:val="0"/>
                <w:color w:val="000000"/>
                <w:kern w:val="0"/>
                <w:sz w:val="24"/>
                <w:szCs w:val="24"/>
                <w:highlight w:val="none"/>
                <w:u w:val="none"/>
                <w:lang w:val="en-US" w:eastAsia="zh-CN" w:bidi="ar"/>
              </w:rPr>
              <w:t>暂估价369600</w:t>
            </w:r>
            <w:r>
              <w:rPr>
                <w:rFonts w:hint="eastAsia" w:ascii="宋体" w:hAnsi="宋体" w:eastAsia="宋体" w:cs="宋体"/>
                <w:i w:val="0"/>
                <w:iCs w:val="0"/>
                <w:color w:val="000000"/>
                <w:kern w:val="0"/>
                <w:sz w:val="24"/>
                <w:szCs w:val="24"/>
                <w:highlight w:val="none"/>
                <w:u w:val="none"/>
                <w:lang w:val="en-US" w:eastAsia="zh-CN" w:bidi="ar"/>
              </w:rPr>
              <w:t>元</w:t>
            </w:r>
            <w:r>
              <w:rPr>
                <w:rFonts w:hint="eastAsia" w:ascii="宋体" w:hAnsi="宋体" w:cs="宋体"/>
                <w:i w:val="0"/>
                <w:iCs w:val="0"/>
                <w:color w:val="000000"/>
                <w:kern w:val="0"/>
                <w:sz w:val="24"/>
                <w:szCs w:val="24"/>
                <w:highlight w:val="none"/>
                <w:u w:val="none"/>
                <w:lang w:val="en-US" w:eastAsia="zh-CN" w:bidi="ar"/>
              </w:rPr>
              <w:t>列入</w:t>
            </w:r>
            <w:r>
              <w:rPr>
                <w:rFonts w:hint="eastAsia" w:ascii="宋体" w:hAnsi="宋体" w:eastAsia="宋体" w:cs="宋体"/>
                <w:i w:val="0"/>
                <w:iCs w:val="0"/>
                <w:color w:val="000000"/>
                <w:kern w:val="0"/>
                <w:sz w:val="24"/>
                <w:szCs w:val="24"/>
                <w:highlight w:val="none"/>
                <w:u w:val="none"/>
                <w:lang w:val="en-US" w:eastAsia="zh-CN" w:bidi="ar"/>
              </w:rPr>
              <w:t>投标价中</w:t>
            </w:r>
            <w:r>
              <w:rPr>
                <w:rFonts w:hint="eastAsia" w:ascii="宋体" w:hAnsi="宋体" w:cs="宋体"/>
                <w:i w:val="0"/>
                <w:iCs w:val="0"/>
                <w:color w:val="000000"/>
                <w:kern w:val="0"/>
                <w:sz w:val="24"/>
                <w:szCs w:val="24"/>
                <w:highlight w:val="none"/>
                <w:u w:val="none"/>
                <w:lang w:val="en-US" w:eastAsia="zh-CN" w:bidi="ar"/>
              </w:rPr>
              <w:t>。</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120平方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暂估价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（五）研磨课实训室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智慧研磨课系统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1.主要功能包括：系统登录、研讨录播、安全日志、用户管理、修改密码、退出系统等功能，长期保存系统数据。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2.系统能够自动整合、分类和存储各种教学资源，如课件、视频、音频、图片等，提高备课效率。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3.系统支持实时互动、问答、讨论、评论、点赞、投票等功能，同时提供研磨课反馈。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4.技术方法和路线： 由集成环境开发工具研发，数据库采用关系型数据库统一管理，服务端采用WebService数据服务做接口统一配置；采用Entity Framework 架构进行开发，系统架构设计遵循正确性、可靠性、易用性、可扩展性、兼容性等原则 。</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出口路由器</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1.转发性能：9Mpps-25Mpps。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2.带机量：≥300 台PC。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3.固定WAN 接口：≥2×GE Combo，≥1×GE 光（兼容GE 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4.固定LAN 接口：≥1×GE Combo，≥8×GE 电（可切换为WAN 口）。</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接入交换机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≥24个10/100/1000BASE-T以太网端口，≥4个千兆SFP，交流供电， 交换容量336Gbps-3.36Tbps，包转发率51-126Mpps。</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无线AP</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支持双射频 2.4GHz(2x2) + 5GHz（2x2）同时工作，其中 2.4GHz 频段最大速率 575Mbps，5GHz 频段最大速率2.4Gbps，整机速率可达 2.975Gbps；支持 1 x GE 电口，支持 FIT/FAT/云管理三种工作模式。</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防火墙&amp;VPN</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1.小1U，内存≥1G，无硬盘，≥5个千兆电口，≥1个Combo口。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2.单电源，防火墙吞吐≥700M，并发连接≥20万，每秒新建连接≥2000，IPSEC VPN吞吐≥20M，IPSEC VPN隧道数≥1000，SSL VPN吞吐≥50M。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3.含IPSEC VPN模块，40个用户PVN。</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服务器机柜</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1.2米服务器机柜，600×1000×1200</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高清显示终端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1.尺寸：≥55寸。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2.分辨率：≥3840x2160。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3.可视角度：≥178°。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4.CUP：≥四核处理器。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5.内存：≥1.5G。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6.闪存：≥8G。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7.WiFi：单频 2.4GHz。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8.HDMI：≥2个。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9.配套移动支架。</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高清摄像终端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1.传感器类型2 MP CMOS，支持USB连接。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2.支持分辨率&gt;= 1920（水平）× 1080（垂直）。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3.视频帧率MJPG:&gt;=1920 × 1080 @ 30/25 fps。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4.最低照度0.1 Lux @ (F1.2， AGC ON)。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5.镜头 定焦：&gt;=3.6 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6.视场角 水平：&gt;=86°，垂直：&gt;=55°，对角线：&gt;=95°。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7.拾音距离&gt;=3 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8.三轴或两轴调节角度 水平：&gt;=360°；垂直：-15°~15°；旋转：0°。</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语音转写</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1.智能识别录音文字内容，兼容多种音频格式，支持转为文档，字幕文件，支持批量处理，支持一键语音转写。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2.支持翻译文字、文档、图片等内容，识别和翻译的文字内容，支持实时编辑，调整和复制。</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网络建设线辅材及其他</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六类网线、六类模块、面板底盒、24口配线架、24口理线架、六类水晶头、机架式PDU、HDMI高清线缆等满足现场使用需求。</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120平方</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高清互动显示终端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1.LED液晶屏体：A规屏，显示尺寸≥75英寸，显示比例≥16:9，物理分辨率：≥3840×2160（4K），支持4K分辨率下≥60Hz刷新率。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2.交互平板采用金属材质，屏幕采用防眩光钢化玻璃保护，厚度≤4mm，雾度≤8%。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3.交互平板表面玻璃采用钢化玻璃，硬度莫氏≥7级。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4.红外触控技术，在双系统下均支持≥15点触控及同时书写；触摸高度≤2mm；最小识别直径≤2mm，书写延迟速度≤15ms。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5.前置面板需具有以下输入接口：≥2路双通道USB3.0接口。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6.交互平板板具有一体化4K高清摄像头，像素≥1200万，水平视角≥120°；拾音单元有效保真拾音距离≥12米。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7.安卓教学辅助系统，四核CPU， ROM≥8G， RAM≥2G， 安卓系统版本≥11.0。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8.采用Intel通用OPS标准80pin接口，易拆卸维修。CPU≥Intel第11代酷睿I5处理器或AMD 锐龙R5 处理器（6 代及其以上）；内存：≥8G DDR4；硬盘：≥256G SSD；≥6个USB接口（其中至少包含3路USB3.0接口）；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9.电脑系统具备弹窗拦截功能：提供广告拦截，对广告弹窗实现一键拦截，默认直接开启拦截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10.无需借助PC，整机可一键进行硬件自检，包括对系统内存、存储、屏温、触摸系统、光感系统、内置电脑等进行状态提示及故障提示。</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6台</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视频展台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1.箱体环保材质，整机无锐角无利边设计。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2.文稿展示区域采用折叠式开合托板。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3.机身带有安全锁。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4.托板上带有防滑书夹。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5.≥800万像素，影像区域A4面积，支持白平衡自动调节，传输速度≥30帧率/秒。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6.采用USB高速接口，单根USB线实现数据传输和供电。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7.分辨率支持4160×3120、3264x2448、2592×1944、2048×1536、1920×1080、640×480等。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8.整机自带LED补光灯支持放大、缩小、旋转、冻结功能。</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6台</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推拉黑板</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1.黑板材料：镀锌钢板，面漆喷涂，裸板厚度&gt;=0.3mm。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2.教学黑板板面颜色：墨绿色，整块板面色调一致。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3.黑板书写性：用熟石膏或碳酸钙粉笔书写。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4.硬度要求：用普通粉笔敲击板面无凹痕，无反光。</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6套</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2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智慧黑板</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1.整机需采用一体化（ABA方式）拼接设计。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2.副板采用金属材质纳米镀膜，支持磁性材料吸附。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3.屏幕尺寸≥86英寸，屏幕显示分辨率最高可支持4K，屏幕刷新率≥60Hz画面无闪烁。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4.液晶屏幕对比度≥4000:1，亮度≥400cd/㎡；屏幕表面采用厚度≥4mm钢化玻璃，具有防眩光功能。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5.采用电容触控技术，在Android、Windows双系统下均支持≥20点触控，触控笔接触面积直径≥6mm，触摸响应时间≤10ms，书写精度≤2mm。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6.整机外观尺寸宽度≥4200mm，高度≥1200mm。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7.设备支持一键还原功能。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8.OPS插拔式电脑：采用插拔式电脑模块架构，针脚数≥80pin，处理器配置≥Intel Core i5处理器，≥8G内存，≥256G-SSD固态硬盘。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9.Windows客户端投屏至少支持桌面同步、镜像投屏和拓展投屏功能。</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5台</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2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环境调节设备</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1.类型：柜式。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2.匹数：≥3匹 ，冷暖类型：冷暖。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3.变频/定频：变频，国家能效等级：≤3级。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4.制冷量：≥7300瓦，制冷功率：≥2450瓦，制热量：≥9220瓦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5.制热功率：≥3400瓦，制冷面积：≥30平方米，制热面积：≥30平方米。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6.噪音值：≤37分贝，循环风量：≥30立方米，扫风方式：上下/左右扫风。</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5台</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2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教室护眼灯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教室黑板灯（2盏）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1.一体式LED灯具，整灯长度：≥1200mm。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2.LED黑板灯色温5000±100K，色容差（色品容差）≤3。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3.LED黑板灯显色指数Ra≥90，R9≥70。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4.LED黑板灯功率≥36W±10%，功率因数≥0.97，灯具效能≥900m/w。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5.LED黑板灯开关循环寿命≥50000次，且光通维持率≥98%。LED黑板灯50000小时或以上光通维持率≥98%。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6.LED 黑板灯满足 20kHz-10MHz 感应电流密度系数≤0.2。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7.LED黑板灯蓝光危害等级为RG0。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8.LED黑板灯寿命≥50000小时。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9.模拟真实教室数据 LED 黑板灯平均照度≥ 500LX，照度均匀度≥0.7，统一眩光值≥17，照明功率密度≥8W/m2，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教室护眼灯（9盏）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1.一体式LED灯具，整灯长度：≥1200mm。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2.教室护眼灯色温5000±150K，色容差（色品容差）≤3。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3.教室护眼灯显色指数Ra≥95，R9≥95。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4.教室护眼灯功率≥36W±10%，功率因数≥0.97，灯具效能≥900m/w。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5.教室护眼灯开关循环寿命≥50000次，且光通维持率≥98%。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6.教室护眼灯50000小时或以上光通维持率≥98%。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7.教室护眼灯满足 20kHz-10MHz 感应电流密度系数≤0.2。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8.教室护眼灯蓝光危害等级为RG0。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9.教室护眼灯寿命≥50000小时。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10.LED教室护眼灯50000次及以上开关通断后的光通量的维持率≥98%、Ra≥95、R9≥95、R11≥90 及色容差&lt;3SCDM。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11.模拟真实教室数据LED教室灯平均照度≥300LX，照度均匀度≥0.7，统一眩光值≥16，照明功率密度≥8W/㎡。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备注：含教室照明图纸设计，线缆、开关改造及灯具安装，满足国家标准照明要求。</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10间</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72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高清显示终端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1.尺寸：≥86寸。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2.分辨率：≥3840×2160。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3.可视角度：≥178°。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4.刷新率：≥60Hz。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5.内存：≥2GB。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6.闪存：≥32GB。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7.配套移动支架。</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72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高清双屏便携式录播系统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录播工作站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1.内置≥15.6寸液晶触控屏和键盘；ARM 双核处理器 ，Linux系统 ，内置≥2T硬盘。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2.视频模块须提供≥5路HD-SDI输入，≥2路VGA输入≥2路HDMI输入，≥1路HDMI输出，≥1路SDI输出；≥4个USB2.0接口；USB接口可外接鼠标；键盘，U盘读取。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3.音频模块支持≥2路话筒（48V幻象，卡农）输入，≥2路Line in 线路输入、≥1路6.5mm插座线路输入。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4.内置物理按键导播台，并实现音频控制区、录播控制区、视频切换区和摄像机控制区一体化设计。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5.录播控制须支持一键控制录播状态，开始、暂停、停止，画中画、主副画面快速选择，一键开启直播功能，添加字幕、台标等功能，支持设置≥4个场景。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6.提供≥2个10/100/1000Mbps自适应网口。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7.输入视频格式支持HD-SDI，1080P 25/30fps、1080i 50/60fps。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全高清录播系统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1.支持对设备的录制编码、帧率、IP地址、内置时间、视频输出、互动功能等参数进行设置。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2.支持本地导播和web远程导播两种导播方式。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3.支持电影模式、资源模式及“电影+资源”模式三种录播、直播模式。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4.支持添加台标、字幕，可以插入片头、片尾；提供多种画中画模式，支持多种特效。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5.提供预编辑录制窗口（PVW）和录制窗口（PGM）。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6.具备录像管理功能，支持显示已有文件的列表，并进行点播、下载、修改属性、删除等操作。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7.支持对多个地址推送直播视频流。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8.支持录制时长的设置。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高清摄像机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1.成像器件：≥1/2.7英寸， CMOS， 有效像素：≥207万。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 镜头：≥12x， f3.5mm ~ 42.3mm， F1.8 ~ F2.8，数字变焦：16x。</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3.支持水平、垂直翻转，水平视场角72.5° ~ 6.9°，垂直视场角44.8° ~ 3.9°，水平转动范围±170°，垂直转动范围-30° ~ +90°，水平转动速度范围1.7° ~ 100°/s，垂直转动速度范围1.7° ~ 69.9°/s。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5.传输数据速率：≥300Mbps。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6.网络模式：点对点，点对多点。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7.无线传输距离：≥500米。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8.标准协议：802.11a/n。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9.网络接口：≥1路RJ45以太网接口，≥1路5G WiFi。</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10.配套摄像机三脚架、无线传输器、无线话筒、电池、充电器、拉杆箱等。</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72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研磨课工作台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2组6座位圆形可组合桌子，12个椅子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1.面板：采用≥25mm 厚三聚氰胺板高密度板；挡板：≥15mm厚三聚氰胺板高密度板，四周全自动机器近色封边，所用基材及防火板材料符合国家环保标准（E1 级）；面板颜色可选。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2.侧脚：冷轧钢管旦管 ≥25×50×1.5（mm)、静电喷涂。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3.横梁：冷轧钢管旦管 ≥25×50×1.2（mm)，静电喷涂。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4.面架：冷轧钢板压型≥25×25×1.2mm 方管，静电喷涂。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5.二层书网：直径≥14mm圆管，静电喷涂。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6.连接件为一次性压铸铝件。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7.桌面两侧配备转动旋钮，可自由翻起及放平。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8.架子采用≥18×32mm异形扁管喷涂，烤漆。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9.背板采用尼龙塑料网布进口特网靠背，连接件为工程塑料ABS，坐板采用定型海绵。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10.可移动万向轮。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w:t>
            </w:r>
            <w:r>
              <w:rPr>
                <w:rFonts w:hint="eastAsia" w:ascii="宋体" w:hAnsi="宋体" w:eastAsia="宋体" w:cs="宋体"/>
                <w:i w:val="0"/>
                <w:iCs w:val="0"/>
                <w:color w:val="000000"/>
                <w:kern w:val="0"/>
                <w:sz w:val="24"/>
                <w:szCs w:val="24"/>
                <w:highlight w:val="none"/>
                <w:u w:val="none"/>
                <w:lang w:val="en-US" w:eastAsia="zh-CN" w:bidi="ar"/>
              </w:rPr>
              <w:t>.外观、颜色、尺寸根据学校要求定制。</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四、智慧教育应用系统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（一）“互联网+教育”平台组织管理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机构管理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构管理可以进行系统内组织机构、部门的设置，将一个单位按照管辖关系进行划分，为管理员提供整个单位组织的新增、修改、删除、校区管理、导入、导出等功能。组织机构树创建方式、创建时间、组织机构树添加、修改、删除、导入、导出、同步信息等。上级机构可以对下级机构及用户进行信息管理、授权管理、使用等。支持 CSV 格式的全量部门导出。支持树形结构展示完整部门。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1.【创建机构】选择上级机构、所属行政区、机构类型等关键信息，进行机构创建。当前机构自动关联上级机构。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2.【导入、导出】按照系统模版进行机构信息的快捷导入。导出当前机构的基本信息。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3.【编辑】对机构基础信息编辑修改及超级管理员的账号密码的编辑。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4.【机构列表】树形结构查看当前机构以及下属机构列表。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5.【删除】严格管控删除等级。须从叶子结点逐级向上删除。当本级机构下无下属机构时，才能删除本级机构。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6.【筛选、查找】通过机构名称、类型查找机构</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部门管理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对局办单位、学校下属相关部门进行统一管理，实现上级部门对多个子部门的管理，提供新增、编辑、删除、导入、导出等功能。部门新增、部门修改、部门信息导入、部门信息导出。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1.【创建部门】选择所属机构，逐级创建部门。基础信息包括部门名称、编号、排序号、介绍。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2.【编辑】对部门基础信息编辑。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3.【部门列表】树形结构查看当前机构的下属部门列表。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4.【删除】严格管控删除等级。须从叶子结点逐级向上删除。当本级部门下无下属机构时，才能删除本级部门。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5.【部门成员管理】可从机构员工中搜索或筛选成员，加入部门。一个员工可从属多个部门。可设置部门内职务及人员。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6.【导出、导入】按照系统模版进行部门信息的导入。导出当前部门的基本信息。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7.【筛选、查找】通过部门名称、类型查找部门。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实现所有学校的基本信息管理，包括学校代码、学校名称、学校全称、联系方式、学校办别、学校类别、详细地址等信息。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1.【创建学校】选择学校从属的上级机构（局）、设置学校名称、学制、学段、学校编码、学校性质、学校地址、校徽等基础信息，进行学校的创建。同时创建学校的超级管理员账号、密码。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2.【编辑】编辑学校的基础信息。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3.【删除】严格管控删除等级。须从叶子结点逐级向上删除。当学校下无下属校区和年级、班级时，才能删除学校。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4.【导入、导出】按照系统模版进行学校信息的导入。导出当前学校的基本信息。</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校区管理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在校区页面可以对多校区进行管理，支持对校区的新增、编辑和删除和排序。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1.【创建校区】 关联上级学校、填写校区名称、校区地址。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2.【编辑】编辑校区的基础信息。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3.【删除】严格管控删除等级。须从叶子结点逐级向上删除。当校区下无年级、班级时，才能删除校区。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4.【列表】列表显示校区基础信息</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1.教职工管理包括教育局职工、其他教育事业单位职工以及教师的基本信息管理等功能。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2.支持批量导入教职工信息完成统一注册，教师类别增加是教师、教研员。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3.【新增】新增教职工，填写教职工姓名、性别、编号、身份证号、手机号、任职科目、所属部门、职务等基础信息。系统自动创建教职工登录账号、密码。身份证、手机号等隐私信息进行脱敏处理。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4.【编辑】对教职工基础信息的编辑。包括对账号、密码的重置。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5.【删除】严格管控删除关系。当教职工删除时，需要对有关联关系的信息进行统一删除，如班主任信息、部门员工信息等。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6.【异动】设置教职工的异动原因、接收单位。添加异动后，系统自动解除该教职工在本单位的所有关联关系。接收单位在异动列表中接收异动教职工。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7.【筛选、查找】可按照教职工姓名查找人员。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8.【导入、导出】按照系统模版进行教职工信息的导入。导出基本信息。隐私信息脱敏导出。</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支持单个/批量维护学生信息，包括批量新增学生、批量修改 学生、批量调班、批量导出学生、批量生成条码、学生异动等。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1.【新增】新增学生，填写学生姓名、性别、学号、身份证号、所在校区、年级、班级等基础信息。系统自动创建学生登录账号、密码。身份证等隐私信息进行脱敏处理。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2.【编辑】对学生基础信息的编辑。包括对账号、密码的重置。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3.【删除】删除学生信息。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4.【异动】设置学生的异动原因、接收单位。添加异动后，系统自动解除学生在本校的关联关系。接收单位在异动列表中接收异动学生。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5.【筛选、查找】可按照学生姓名、学号查找人员。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6.【导入、导出】按照系统模版进行学生信息的快捷导入。导出基本信息。隐私信息脱敏导出。</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家长管理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支持学生家长信息关系管理，对家长基本信息进行查看、修改，实现学生与家长之间的绑定。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1.【新增】一个学生可绑定4个家长，每个家长必须设置和学生关系、家长联系方式。系统自动生成家长登录账号、密码。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2.【导入】按照系统模版进行家长信息的快捷导入。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3.【筛选、查找】可按照学生姓名、家长姓名查找家长。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4.【删除】接触绑定关系，删除家长信息。</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机构用户管理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支持单个机构用户的新增、修改、删除，也支持批量机构用户的新增、修改、删除操作。</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（二）“互联网+教育”平台业务中台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统一账号管理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1.提供统一账号管理能力，对用户体系、组织架构体系进行统一管理，实现用户与组织架构的统一管理。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2.提供统一信任传递能力，完成统一身份认证和业务系统之间、各个业务系统之间的跨节点身份认证和单点登录注销，实现“一处登录、处处登录”，“一处登出、处处登出”的业务需求。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3.支持对于应用、角色、用户、部门不同维度的访问授权管理。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4.统一认证系统和业务系统之间可通过统一角色标识完成权限的自动管理。</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统一用户中心</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1.用户中心作为业务中台的核心模块之一，是用户接入访问业务系统的入口，对于用户信息、组织架构信息、角色信息等相关信息进行统一管理维护。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2.通过数据同步、数据共享实现用户数据的统一、组织数据的统一、权限管理的统一。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3.实现只需要一个账号就可以在各个系统中进行登录、业务办理、数据查询等操作。包含个人资料编辑、任务进展查看、消息浏览等，对应“个人信息”、“任务进展”、“我的消息”、等信息管理。</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用户认证管理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1.支持用户名密码登录，系统内置密码长度/复杂度/黑名单词库等、密码过期时间。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2.支持短信验证登录。指定人员范围内的帐号锁定/解锁、重置密码方式。</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用户注册登录</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1.提供管理用户登录、身份信息验证、确认等信息管理，支持对用户账号的批量建立与分发。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2.统一用户管理入口。主要用户包含个人（学生、家长、教师、教育工作者等）登录及信息管理。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3.支持个人信息各个基础字段，主要包含用户名，主邮箱，部门，姓名，手机号的查看。</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用户属性管理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1.支持人员角色管理，可对人员身份新增，删除。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2.支持多状态流转，包含：待激活，已启用，停用，锁定，离职状态。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3.支持管理员通过设置新密码及发送重置密码邮件的方式进行用户重置密码操作，重置密码支持批量操作。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4.支持管理员对锁定人员进行解锁，解锁支持批量操作。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5.支持管理员对对应人员进行启用、停用、离职，均支持批量操作。</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用户权限管理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1.支持应用系统权限授予机构、授予角色、授予用户组、授予岗位信息管理和维护。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2.支持一人多身份、多账号管理，可通过切换用户身份或账号的方式，自动变更用户的权限。</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用户多身份切换</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以自然人身份进行认证登录，登录后如果该自然人拥有多个用户身份，则可以进行自主切换以实现不同用户身份的不同业务需求。</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应用资源管理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1.提供应用添加、修改、删除、注销等信息信息管理，包含应用名称、IP、登录地址、 退出、集成、同步等管理。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2.提供应用接口白名单管理、数据字段白名单管理。数据调用全流程日志记录。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3.支持系统集群功能，防止系统单点故障。</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应用工作台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1.支持简单工作台功能，能够显示各个应用系统。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2.支持搜索，快速定位应用。支持常用应用模块。</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分级分权管理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1.支持对管理员角色的管辖范围实现分权管理。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2.支持用户/组织机构角色管理员支持自定义管辖范围的只读和读写权限。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3.支持应用实例管理员支持自定义管辖应用范围权限。</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消息接发服务</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1.支持邮件、短信等消息。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2.支持消息接收服务管理等。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3.支持消息分发规则、消息任务、消息发送管理等。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消息提醒服务</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消息提醒信息，包含提醒规则、提醒内容、时间机制、提醒方式信息，重要信息二次提醒、验证等。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消息处理运行日志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支持查看深度集成数的实时或历史运行日志。</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消息处理错误统计</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支持错误应用的统计、错误类型的统计及应用运行时出错的作业概览，通过查看错误能够了解集成流的错误详情。</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调查问卷创建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1.支持通过文本编辑、选择问卷模板，在文本编辑模式下可视化快速编辑问卷内容。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2.支持使用 EXCEL 编辑问卷题目，按模板格式编辑导入生成问卷。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3.支持创建空白问卷的形式创建问卷。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4.支持使用模板创建问卷，提供场景模板、团队模板，场景模板。</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调查问卷管理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1.支持界面功能包含：团队问卷、回收站、问卷排序方式、问卷显示方式、问卷名称、 创建人、创建时间、问卷 ID、回收统计、问卷状态、允许答题、导出原始问卷。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2.支持对问卷进行归类及基础编辑设置，包括编辑、复制、打印、移动、重命名、清空 数据、移动到回收站功能选项设计，删除后问卷可在废纸篓中恢复。</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调查问卷投放</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1.支持通过 PC 链接、生成问卷二维码，下载二维码，生成海报等方式的分享生成自主投放，提供网站 iframe 嵌入代码。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2.支持通过邮件分享、短信分享、嵌入网站链接方式分享。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3.支持通过团队通讯录联系人添加邮件、短信收件人。</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调查问卷回答</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1.支持用户回答过程退出后二次进入后继续回答，答题者可选择重新开始回答或继续上次回答。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2.支持根据用户设备系统语言，提示语将自动适应中文、英语。</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数据统计分析</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1.支持对回收的数据进行实时统计。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2.支持实时统计问卷回收量、浏览量、回收率、平均完成时间的概览数据。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3.支持根据统计答题地域、设备、系统、渠道来源、按时间、题目筛选数据。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4.支持实时统计题目回收数据，以统计表格、饼状图、柱状图、条形图、折线图形式直观展示。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5.支持统计结果打印和导出。</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（三）“互联网+教育”平台数据中台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账号管理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1.成员管理：支持租户级成员的增加、删除和修改操作。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2.支持为用户配置不同角色：系统管理员、安全管理员、数据源管理员、质量管理员等。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3.支持对接第三方账号系统，对接后支持同步用户所属部分信息。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4.支持户组配置转交负责人。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5.支持转交用户的负责人，包括研发模块的负责人、告警接收人、资产管理模块的负责人等功能。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权限管理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1.支持对单表进行权限授权。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2.对单表的授权进行查看，同时可以进行权限回收支持按照板块/项目进行批量授权和批量回收。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3.数据源权限：支持主动给个人开发账号或项目生产账号授权数据源的同步读、同步写权限，支持批量授权，支持回收已授予的权限。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4.功能权限：支持主动给成员授权功能权限数据服务权限：支持基于API、数据单元、 APP的权限申请。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5.用户组权限管理：支持用户组的权限管理，包括权限的申请、授权等。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数据安全</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1.安全工作台-数据安全：支持统一管理所有项目的安全策略。能够管理项目的安全策略的安装、安全策略生效的开关、查看安全策略的安装日志。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2.支持查看项目的权限申请和数据下载等安全配置的状态数据识别。识别结果。能够查看所有已经识别出来的敏感数据。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3.支持手动上传、指定、切换敏感数据的识别规则。识别结果的分类分级会在资产目录、资产权限审批流程等关键模块进行透出。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4.支持权限管控。</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数据应用</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1.服务管理：支持选择服务类型创建服务、查看服务任务列表，服务类型包括：标签服务、离线服务、实时查询，群组服务：离线服务。画像服务：个体画像构建应用管理。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2.支持管理创建的应用，增删改查应用、管理应用成员。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3.支持管理应用下已申请的标签、群组、已创建的服务。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4.支持对应用下申请的群组进行下载。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数据访问</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1.数据访问：能够设置跨项目安全模式：禁止跨项目 DDL，包括执行和提交发布。生产数据安全模式： PROD 项目的 DDL 变更（含建表）必须走发布。变更将在几分钟后生效，请耐心等候。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2.数据访问：能够开启或关闭 Spark Jar 任务数据下载设置：能够支持设置数据结果下载的格式（CSV、Excel），并在使用 Excel 格式时，支持文件中增加水印。</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数据全景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全局模式：能够以不同的展现形式展示数据的业务板块及其数据总量，例如表格、饼图、柱状图、折线图等，并支持三维、多维数据展示。流动模式：展示数据的流入、整合与输出过程，包括总项目数、总物理表数，存储大小和趋势等总览统计信息，体现数据中台能力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2.结构化模式：以不同形状的组件表示业务实体，以不同样式的连线表示实体间不同的业务过程关系。</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数据源连接</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 MySQL、SQLSever、PPAS、HybridDB for MySQL、HybridDB for PostgreSQL、DLA 等数据库。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 Oracle、MySQL、SQLSever、clickhouse、hive、impala、Sybase IQ、SAP HANA、Gbase、snowflake 等自建数据源。支持 API 数据源连接方式。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 Excel、CSV 文件上传作为数据源。</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数据集建模</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1.支持基于SQL、数据表和上传文件等三种方式创建数据集，并提供数据集 表结构预览功能和表结构同步功能，同一个数据集可以切换不同的数据源。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2.支持字段名称重定义、层次设置、字段类型格式化、日期数据格式化、添加计算字段、自定义分组、字段复制、指标维度切换、字段隐藏、字段移动、自定义字段排序等功能。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数据分析</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1.分类分组管理:支持基于标签、行为关系、分类管理或本地上传分类建立分组，支持多级标签管理建立不同的群组等。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2.群组支持手动更新或自动更新支持对群组进行生命周期管理，包括增删改查、发布下线、上下架市场、进行群组分析。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3.支持对同一群组进行多版本创建并进行版本对比、提交撤回等。离线视图:支持 3 种以上创建离线视图方式，包括表映射、表单加工、 SQL 加工。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角色认证</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1.支持不同类型的角色认证。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 SAML、OAuth 等认证方式。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3.支持其他平台自建账号等认证方式，支持 SSO 认证对接。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通知中心</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1.任务中心：支持权限、流程等的任务处理，可支持通过、驳回、转交、加签等处理方式。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2.消息中心：权限变更、流程状态变更时可推送消息，包括短信、电话及邮件渠道。支持消息渠道的对接，包括语音、短信及其他企业自有的消息渠道的对接。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限流配置</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1.支持配置全局限流，以实现故障异常场景下的快速恢复。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2.支持按照环境、任务所属项目、调度类型（周期、手动、补数据一次性查 询）、任务类型、业务类型（集成同步、离线数据处理、建模研发、萃取研发）等任务属性自定义限流规则并设置并发运行数，支持设置多个生效时间段，以实现灵活限流配置。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3.支持快捷开启/关闭已经配置的限流规则，即时生效。</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接口服务</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API服务：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1.提供已发布的 API 列表及 API具体详细信息，供服务调用者查看及申请。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 API文档下载。数据源服务：提供已发布的数据源列表及数据源详细信息，供服务调用者查看及申请。</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运维管理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API 运维：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1.支持对所有已发布的API进行限流管控和告警配置管理。服务调用日志查询：支持查看 API 调用、数据源服务调用日志查看。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2.运维监控：支持基于API的访问调用分析及限流管控。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3.支持运维视角的API状态监控和异常API的分析等管理服务。</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数字仪表板</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1.支持拖拽式进行组件选择和布局，自动调整和适配各种屏幕大小。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故事讲述功能，将页面的报表按照故事逻辑自由组合段落，形成逻辑清晰的数据分析报告。支持柱状图、折线图、条形图、面积图、饼图、气泡地图、色彩地图、仪表盘、雷达图、散点图、指标看板、矩阵树图、词云图、指标拆解图、来源去向图、交叉表、进度条等图表组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3.支持满足个性化图表需求。</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电子表格</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1.支持二维表格类 Execl 的界面操作，提供数据集表格与自由式单元格两种画布模式进行自由布局。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2.支持样式控制，能够进行边框、字体、背景等各种样式控制，并支持类 Excel 的拖拉拽式填充。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3.支持文本函数、数字函数、汇总函数、查找和引用函数等Excel的400多种函数，支持跨Sheet 引用，并支持类 Excel 的拖拉拽式填充。</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数据看板</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1.支持添加多页面展示，以及页面轮播效果。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2.支持自由式布局、以及多分辨率适配，适配不同尺寸屏幕展示。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3.支持多图层、多个组件任意重叠排布，搭建 pix-perfect 效果的驾驶舱。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4.提供图表组件，包括指标翻牌器、进度条、排行榜、表格、线柱图和饼图等，支持元素级的精细化配置。提供展示类组件，包含跑马灯、更新时间等。内置素材库，包含大量 icon、图片、组件边框、背景适配，可以快速直接使用。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1.提供多层次的安全访问机制，从系统访问登录、工作空间隔离到行级数据权限的一整套安全访问机制。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2.支持多工作空间隔离、协同开发和空间成员的管理。各工作空间能够新建不同的数据源、数据集、报表以及门户，并且支持跨工作空间的资源导入导出。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3.支持基于用户、用户组的授权，授权范围包括数据集、报表和数据门户等。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（四）统一身份认证系统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逻辑架构</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1.用户层：包括各种类型的用户。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2.接入层：提供多种接入方式，如Web门户、移动应用、API接口等。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3.认证层：负责用户身份验证，包括用户名/密码验证、多因素认证等。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4.授权层：根据用户角色和权限，控制对资源的访问。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5.资源层：包含需要保护的应用系统和数据资源。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6.管理层：提供系统管理、用户管理、日志审计等功能。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技术架构</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1.前端：采用HTML5、CSS3、JavaScript等技术构建用户界面。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2.后端：使用PHP、Java、Python、.NET等语言开发业务逻辑。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3.数据库：使用关系型数据库（如MySQL、Oracle）或非关系型数据库（如MongoDB）存储数据。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4.缓存：redis、文件缓存。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5.队列服务：redis、kafka。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6.安全组件：集成加密、解密、数字签名等安全功能。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7.中间件：利用负载均衡等技术提升系统性能。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1.用户注册：采用账户生成制。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2.用户信息管理：维护用户的个人信息和账户设置。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3.用户角色分配：给用户分配不同的角色，如管理员、普通用户等。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身份认证</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1.本地认证：通过本地存储的用户信息进行认证。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2.第三方认证：集成OAuth等协议，支持通过第三方身份提供者进行认证。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3.多因素认证：结合密码、手机验证、生物识别等多种方式进行身份验证。</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授权管理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1.基于角色的访问控制（RBAC）：根据用户角色分配访问权限。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2.基于属性的访问控制（ABAC）：根据用户、资源、环境等属性动态决定访问权限。</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日志和审计</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1.登录日志：记录用户登录和注销的时间、地点等信息。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2.操作日志：记录用户对资源的访问和操作详情。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3.安全审计：提供对日志的分析和报警功能，以检测潜在的安全威胁。</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1.配置管理：管理系统配置参数和设置。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2.性能监控：实时监控系统的运行状态和性能指标。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3.故障恢复：提供系统备份和恢复机制，确保数据安全。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安全设计</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1.数据传输安全：使用HTTPS、SSL/TLS等加密技术保护数据传输。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2.数据存储安全：对敏感数据进行加密存储，采用哈希和加盐等技术保护用户密码。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3.访问控制安全：实施最小权限原则，确保用户只能访问其被授权的资源。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4.防范攻击：采取措施防范SQL注入、跨站脚本攻击（XSS）、跨站请求伪造（CSRF）等常见攻击。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5.安全更新和补丁管理：定期更新系统和组件，及时应用安全补丁。</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接口设计</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1.内部接口：定义系统内部各模块之间的交互协议和数据格式。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2.外部接口：提供RESTful API、SOAP、GraphQL等接口，支持与其他系统的集成。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3.接口安全：使用API密钥、OAuth令牌等机制保护接口安全。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部署和运维</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1.部署环境：支持在物理机、虚拟机、容器等多种环境中部署。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2.负载均衡：使用负载均衡技术，提高系统的并发处理能力和可用性。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3.监控和告警：集成系统监控工具，实时收集和分析系统日志，提供告警功能。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4.灾难恢复：制定灾难恢复计划，确保在发生灾难时能够快速恢复系统。</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（五）物料监管收费分析评价系统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逻辑架构</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1.数据层：包含物料数据、收费数据、用户数据等基础信息。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2.服务层：提供数据处理、业务逻辑处理、算法分析等核心功能。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3.应用层：面向用户的各种功能界面，如监管界面、收费界面、分析评价界面等。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4.接口层：提供与其他系统的数据交互接口。</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技术架构</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1.前端技术：使用HTML5、CSS3、JavaScript等技术构建用户界面，支持采用前端框架如React、Vue.js等。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2.后端技术：使用PHP、Java、Python、.NET等后端语言进行业务逻辑处理，配合数据库进行数据存储和查询。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3.数据库技术：使用关系型数据库（如MySQL、Oracle）或非关系型数据库（如MongoDB）进行数据存储。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4.中间件技术：使用消息队列、缓存技术、负载均衡等中间件提升系统性能。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物料监管模块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1.物料信息管理：记录物料的名称、规格、数量、位置等基本信息。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2.物料状态监控：实时监控物料的状态变化，如库存量变化、位置移动等。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3.异常报警：当物料状态发生异常时，及时发出报警通知相关人员。</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收费管理模块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1.收费规则设置：根据物料类型、数量、存放时间等因素设置相应的收费规则。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2.费用计算：根据收费规则和物料信息自动计算费用。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3.费用结算：支持多种结算方式，如在线支付、定期结算等。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分析评价模块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1.数据统计：对物料监管和收费数据进行统计和分析，生成各种报表和图表。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2.绩效评估：根据预设的评价指标对物料监管和收费效果进行评估。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3.优化建议：根据分析结果提供优化建议，帮助改进物料监管和收费策略。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用户权限管理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1.用户登录：支持用户登录功能，确保系统安全。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2.权限分配：根据用户角色分配不同的操作权限，如管理员、操作员等。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3.操作日志记录：记录用户的操作日志，支持追溯和审计。</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系统安全性设计</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1.数据传输安全：使用HTTPS、SSL/TLS等加密技术保护数据传输安全。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2.数据存储安全：对敏感数据进行加密存储，确保数据安全。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3.访问控制安全：实施严格的访问控制策略，防止未经授权的访问。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4.防范攻击：采取措施防范SQL注入、跨站脚本攻击等常见安全攻击。</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系统性能优化</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1.缓存技术：使用缓存技术提高数据访问速度。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2.负载均衡：采用负载均衡技术提高系统并发处理能力。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3.异步处理：对耗时较长的任务进行异步处理，提高系统响应速度。</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系统可扩展性设计</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1.模块化设计：采用模块化设计思想，方便功能扩展和维护。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2.接口标准化：提供标准化的数据接口，方便与其他系统集成。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3.技术选型考虑：在技术选型时考虑技术的成熟度和社区支持情况，确保系统的可持续发展。</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（六）智慧研学管理评价系统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基础平台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1.需采用面向服务的一体化公共基础平台框架，按需动态分配，弹性扩展。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2.可基于平台支撑服务提供的统一身份认证、统一用户管理、统一权限管理、统一应用集成管理、统一基础数据、统一数据服务、统一资源管理、统一运维服务。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3.持续支撑教育信息化未来的业务发展，而不用对平台进行重新架构，为研学教育信息化的全面、深入、持久的实施应用打下坚实的基础。</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系统环境初始化</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装系统运行基础服务（数据库、软件代码部署、任务处理服务），创建开封市智慧研学管理服务专属平台，分配域名绑定、初始化系统对应基地营地旅行社名称，安装系统应用模块、定制化LOGO，初始化接口服务。</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统一账户认证</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1、统一身份认证平台为平台系统提供安全、方便、稳定的统一授权和认证平台，支持教育局、学校、老师等角色只使用一套帐号和密码就可以登陆所有授权的系统。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2、系统支持统一用户身份管理、统一权限管理、统一身份认证、单点登录。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3、支持统一身份认证系统对第三方平台开放，能提供接口文档和技术支撑。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4、支持统一用户管理，系平台超级管理员，可以对角色、用户及授权服务接口等提供统一权限管理。</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统一权限管理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1.支持统一权限管理。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2.支持基于角色的统一权限控制管理。角色管理功能拥有各个业务系统及其所属功能模块授权访问的控制权。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3.局端账号、校端账号、机构账号在运营后台统一开通，学校管理员账号，在教育局开通。</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菜单权限</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管理端、教育局端和学校端。</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角色管理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1.支持创建新的角色：系统应该允许管理员或具有相关权限的用户创建新的角色。管理员可以输入新角色的名称、描述和其他相关信息。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2.支持查看、编辑和删除角色：对于每个角色，系统应该提供查看、编辑和删除的选项。支持查看角色的名称和描述。允许用户更改角色的名称和描述。删除角色需要确认机制，以防止误删。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3.支持为角色分配权限：系统应该允许为每个角色分配特定的权限。每个角色有一组权限，定义该角色可以在系统中执行的操作。管理员或具有相关权限的用户可以用于为角色分配权限。</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成员权限</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1.通过用户管理系统，可以根据角色、姓名或手机号查询用户信息。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2.无论是寻找特定用户还是批量处理用户数据，系统支持快速准确找到目标用户。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3.用户列表查看功能支持显示所有用户的概况和详细信息。支持显示用户的状态和需求。</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管理平台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1.查询：用户可以通过输入名称来查询相关的信息。系统支持搜索和匹配数据库中的信息，并返回匹配的结果。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2.添加：管理员可以通过系统添加新的信息。包括填写名称、地址、联系方式等信息，并将其存储到数据库中。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3.查看：用户可以查看列表，了解各类基本信息。管理员可以查看详细信息，包括其名称、地址、联系方式、员工数量、学生数量等。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4.启用/禁用：管理员可以根据需要对账号进行启用或禁用操作。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5.数据维护：管理员可以删除不需要的信息。在删除之前，系统应该确认该数据是否正在被使用或与其他数据相关联，以避免数据完整性问题。</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客服设置</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1.添加客服：添加客服将信息存储在数据库中。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2.查看客服列表：从数据库中检索并显示客服的信息。一个表格或者列表来显示这些信息。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3.编辑、删除客服：根据某种权限来更新或删除客服的信息。编辑功能支持用户更改姓名、电子邮件或电话号码等。删除功能可能包括永久删除客服的信息。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4.开启/关闭客服：改变客服的状态，例如激活或停用账号，或者改变客服的可用性。可以通过在数据库中更新一个状态字段来实现。</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地区设置</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1.针对不同地区，支持分区域设置客服。根据不同的地理位置，可以为不同的客户群体提供专门的客服支持，提供更加高效的服务。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分区域控制材料包弹窗和购买入口的显示。在不同的地区通过控制材料包的弹窗和购买入口的显示，来满足不同客户的需求和偏好。可以根据不同地区的市场情况和客户需求，来提供更加个性化和精准的服务。</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基地课程</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1.系统支持查看研学基地创建的课程功能，研学基地创建各种类型的课程，包括线上课程、线下课程、混合课程等。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2.在创建课程时，研学基地需要提供课程的描述信息，如课程名称、课程简介、课程目标、课程内容等。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研学评价</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1.系统支持授课老师进行学生研学过程评价、研学活动评价和期末综评，具备一键智能批量评价研学活动的功能。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2.研学过程评价，系统可以记录学生在研学过程中的表现，如参与度、完成度、创新性等，老师可以根据系统记录的数据进行客观评价。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3.研学活动评价，系统可批量评价活动的完成情况、质量等，授课老师只需设定评价标准，系统便能自动根据标准进行批量评价。</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研学活动</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1.能够查看学校参与的研学活动信息，支持了解活动具体情况。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2.能够查看活动的名称、时间、地点、参与人员、活动内容等相关信息。</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活动作品</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1.支持查看本校学生提交的研学活动作品。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2.能够查看学生提交的作品，包括各种形式的创作，如研究报告、实验成果、艺术作品等。支持对学生作品进行评论和点赞，与其他用户进行交流和分享。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3.按照不同的学科和研学活动，将学生作品进行分类展示，方便用户查找和浏览。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4.点击感兴趣的作品，能够查看作品的详细信息，包括标题、作者、提交时间、活动名称等。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报表管理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1.按年级、班级查看本校的教学数据：可以查看每个年级、每个班级的教学数据，包括但不限于课程安排、学生参与度、教师评估等。学校了解不同年级和班级的教学情况，以便进行针对性的改进。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2.支持教学数据的导出：支持将教学数据导出为常用的数据格式，例如Excel，以便进行进一步的数据分析和处理。学校可以更方便地使用其他工具进行数据分析。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按照时间、年级、绑定率、开课率、作品提交率、达优率进行数据查询：根据不同的维度来查询教学数据。学校可以查看某个时间段内的教学数据变化，或者比较不同年级或班级之间的教学数据。学校可以了解学生的绑定率（即学生参与特定课程的比例）、开课率（即实际开课的课程比例）以及作品提交率和达优率（即提交的作品数量和优秀作品的数量比例）等关键指标，以便评估教学质量和学生的学习表现。</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服务订单</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1.查看各学校即将出行到访的服务订单，允许用户查看所有即将出发到访的学校、行程时间以及学生人数。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2.支持行程情况，方便进行后续操作。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3.支持查看每一个服务订单所对应的学生名册。名册中应包括学生的基本信息，如姓名、性别、年龄、联系方式等，方便用户进行管理和联系。</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对账结算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1.功能允许用户查看基地的结算收益，包括来自各个研学活动的收入、支出和净收益。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2.支持查看基地的结算数据，包括收入来源、收入项目和相应的金额，最终的净收益。</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移动端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教师端、家长端、机构端小程序。</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（七）优质教育资源共享系统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课程录制与上传</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支持名师录制自己的课程，包括视频、音频、PPT演示等，并上传到名师课堂平台。课程包括预习、复习、知识点讲解、习题解析等内容。</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课程管理与分类</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平台提供课程管理功能，支持名师对课程进行分类、标签化，方便学生按需选择。课程管理功能包括课程发布、更新、删除等操作。</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在线直播授课</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支持名师进行在线直播授课，与学生实时互动。在直播授课过程中，名师可以提问学生、展示PPT或其他教学资料，进行在线测试等。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平台记录学生的学习情况，包括已学习的课程、学习进度、作业完成情况等。平台提供学生分组功能，方便名师对学生进行个性化指导。</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作业布置与批改</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名师可以在平台上布置作业，并要求学生按时提交。作业支持文字、图片、音频或视频等形式。名师批改完作业后，支持将作业成绩和评语反馈给学生。</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数据分析与反馈</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平台收集学生的学习数据，并提供数据分析功能，帮助名师了解学生的学习情况，支持针对性的教学调整。</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教育资源库管理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1.支持建立丰富多样的教育资源库，包括动画、软件、音频、视频、图片和文字等各类教学资源。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2.提供资源的上传、格式自动转换、内容审核、删除和下载等功能。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3.支持资源的分类、标签和搜索功能，支持快速找到所需资源。</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在线交流与答疑</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1.提供即时聊天工具，支持学生、教师之间的实时交流。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2.设立名师在线答疑模块，解答学生在学习过程中遇到的问题，提高学生的学习效率。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3.支持留言功能，方便用户随时发表自己的观点和问题，促进学习共同体的形成。</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资源共享与推送</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1.根据用户的需求和偏好，智能推荐相关教育资源，提高资源的利用率。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2.支持资源的共享功能，支持将自己的资源分享给其他人，促进资源的共建共享。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3.提供资源的推送功能，将最新、最热门的资源推送给用户，帮助用户及时了解教育资源动态。</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学习进度与成果展示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1.支持记录学生的学习进度和成果，包括学习时间、学习内容、测试成绩等信息。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2.提供学习报表和统计分析功能，帮助学生和教师了解学习情况，及时调整学习策略。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3.支持展示学生的优秀作品和成果，激发学生的学习积极性和创造力。</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移动学习与智能终端支持</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1.支持移动设备访问，用户可以通过手机、平板等终端设备随时随地访问系统。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2.提供智能终端应用，如移动课程中心、智慧课堂等，支持学生在线学习、互动和提交作业等功能。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3.利用物联网技术实现各设备深度互联，为学生提供更加智能化的学习环境。</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系统管理与安全</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1.提供用户管理功能，包括用户登录、权限分配、角色管理等，确保系统的安全性和稳定性。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2.采用数据加密、备份恢复等安全措施，保障系统数据的安全性和完整性。</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（八）局校协同OA办公系统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统一用户</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统一用户管理系统作为协同办公系统建设项目独立的一部分，实现单位多层次组织架构、全员管理，实现用户真正意义上的“One ID”和身份认证统一管控，从用户与安全管控的角度打通单位所有应用。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统一认证</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平台提供统一认证服务，能够支持现有LDAP、Kerberos的标准协议认证，能沟通认证平台进行互信（如CAS、Tivoli 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统一门户</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息发布实现公告通知、新闻、公共信息等方面的信息管理功能。其中，新闻公告实现单位行政类信息的发布功能，如发布行政公告、通知、新闻等；公共信息实现公共事务类信息的发布功能，如发布单位各类检查、培训通知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公文管理</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公文审批：实现领导审核审批、电子盖章、签字、文单签批、提交意见等应用，为组织中各级领导处理公文提供易用工具。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公文督办：使得目标管理与督查督办相结合，规范办理流程、梳理和明确各部门职能，发挥领导枢纽作用。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公文统计：可以查看查询结果中的具体公文，包括公文正文、流程、文单。</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公文交换</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针对单位内部公文交换，需提供内部数据公文交换平台，支持单位与下属单位之间的公文及流程数据交换。通过公文交换平台，实现单位与下属单位的数据共享及信息的上传下达。</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流程管理</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涵盖单位行政和业务等多方面流程。系统提供可视化流程设计工具，实现图形化工作流设计工具；支持工作流流程和表单的自定义；提供流程节点控制机制、流程数据安全管控机制、容错及异常处理机制等，支持流程实例创建、激活、挂起、终止等环节严格按照流程定义正常运转，确保业务数据安全可靠；系统提供流程监控、管理平台，提供业务扩展接口，支持插件机制，便于与其他业务系统的对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知识管理</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支持资料文档的上传、分类管理、权限管理；支持全系统的文件、任务及资料等搜索，支持模糊、全文、智能及关联检索等；用户可定制生成各类查询统计报表。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会议管理</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会议室管理和会议安排、会议通知、会议材料、会议纪要。支持会议通知的拟定、审核、发布等，会议室管理包括会议室概况、会议室状态，会议室的申请、审批、通知与会人、查询、使用统计等功能。会议室管理在日程安排的基础上，避免会议时间和会议场地的冲突，支持会议时间确定和会议场地的安排。申请完毕后，将会议通知发送给与会单位或个人，支持短信提醒开会等功能。会议纪要根据权限浏览、查询等，并自动归档。管理单位内部上会及下属单位会议上报的审核。</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人事管理</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提供人员基本档案、以及对人员各种信息进行统计，可按人员、部门、类型等多种方式进行统计等功能。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支持入职、转正、续签、调动、离职、退休、反聘、解聘、试用等全生命周期。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年休假管理：根据国家发布的休假管理规则，进行员工年休假参数设置。提高员工休假流程管理的便捷性、及时性和准确性。</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车辆管理</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支持对车辆档案的基本资料维护、车辆保养维修记录等；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支持审批对车辆的使用申请；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提供管理司机基本档案、以及对车辆各种信息进行统计，可按人员、部门、时间、车辆类型等多种方式进行统计等功能。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日程管理</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支持单位单位领导日程信息的新增、编辑、查看、检索;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新增和编辑的内容包括领导姓名、日期（包括日期和时间）、活动名称、地点、相关人员（选填）、具体安排（选填）等栏目；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可按照领导姓名、日、周、月进行分类查看；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设置检索功能，通过关键词搜索并展示领导日程内相关内容。</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通讯录管理</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包括通讯录的分类、设置及查询功能，实现通讯方式个人维护，支持不同单位不同部门构建不同通讯录。</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移动应用</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支持移动端信息查看、通知公告、新闻消息提醒和查看，公文和流程审批；支持H5页面、支持对接到公众号。</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督查督办</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主要用于单位领导安排的重要工作的下达，实现督办事宜的执行、跟踪等记录和反馈功能。支持多种形式催办，包含对进度超期及进度延误进行催办。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每个督查事项都可以设置上报进度周期，系统自动提醒指定对象上报。督查专员可自行对某个、某类事项临时设置上报时限，系统自动提醒责任处室。</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（九)资产招采管理系统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系统架构</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系统采用B/S架构或云计算架构，支持跨平台、跨浏览器的访问。</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系统提供完善的用户管理功能，包括用户注册、登录、权限分配、角色管理等，支持不同用户根据权限访问不同的功能模块和数据。</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系统提供供应商注册、认证、准入、评级等管理功能，能够建立完整的供应商信息库，对供应商进行全面管理和风险控制。</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采购管理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实现从采购需求分析、供应商选择、报价管理到采购决策的全流程管理。</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招标管理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发布招标信息、接收投标文件、组织评标，确保招标过程公正、公平。系统支持招标计划的制定、招标文件的编制与发布、投标邀请等功能，可以自动化管理整个招标流程。</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投标管理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供应商在线提交投标文件，跟踪投标进度，确保投标过程的顺利进行。系统支持在线投标、投标文件上传与下载、投标保证金管理等功能，方便供应商进行投标操作，并确保投标过程的公正、透明。</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评标管理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系统提供评标专家管理、评标标准设定、在线评标等功能，支持自动化计算得分和排名，减少人为干预，提高评标公正性。</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合同管理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管理合同信息、合同执行情况，确保合同的履行。系统支持中标通知书的生成与发送、合同在线签署与归档等功能，实现合同全生命周期的电子化管理。</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统计分析</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对招采数据进行多维度分析，为单位决策提供数据支持。</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权限管理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设定不同用户的权限，确保数据的安全性和系统的正常运行。</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通知与提醒</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系统自动发送通知和提醒，确保招采过程的及时性和准确性。</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文档管理</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集中管理招采过程中产生的文档资料，方便查询和追溯。</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系统安全</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系统采用多种安全技术，如数据加密、访问控制、日志审计等，确保系统数据的安全性和完整性。</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系统集成</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系统提供API接口或中间件服务，方便与其他系统进行集成和数据交换。</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系统设置</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系统提供API接口或中间件服务，方便与其他系统进行集成和数据交换。</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(十）互联网+监管系统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留言接收系统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支持接收符合“互联网+督查”工作范畴的网民问题线索，支持留言编辑、过滤、分类、标识等功能。支持与信访信息系统进行对接，实现问题线索比对查重等。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筛选转办系统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支持运行中心工作人员可按照不同账号权限对留言进行线上逐级审看、报批、筛选。系统支持将不同类型的问题线索分发给部门地方等有关方面办理，并能够对已反馈的办理结果进行审核和确认。</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任务管理系统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支持工作人员能够在系统中自行创建“互联网+监管系统”重大问题线索直接监管、挂牌监管、核查办理等任务，并可在系统中进行任务下发、分配、办理结果收集与登记、进度跟踪查询等。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结果反馈系统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支持根据实际需要，为各部门开通专属账号，有关方面可通过登录平台接收、办理、退回由部门转送的问题线索，并可在线反馈结果等，实现问题线索网上全流程办理。</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督办监管系统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支持对部门申请延期和即将延期的问题线索办理等任务进行线上监管、催办，同时可对重点和热点问题等进行风险预警和提醒。</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效能分析系统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支持按照不同角色为工作人员建立考核评估指标，并根据问题线索办理等“互联网+监管系统”任务完成情况评分排名，进而对相关部门进行效能评估。</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监管工作台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支持为不同角色的工作人员定制专属工作界面，方便工作人员进行高效浏览、查询、操作等。同时可按照需求为不同角色提供专报信息、要情信息、通知公告等内容。</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结果公示系统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支持以适当形式在地方官网发布重大典型案例，公开已查证属实、较为典型的问题线索，展示部门地方办理数据，有效接受群众监督。</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档案管理系统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支持为企业和群众留言建立专门台账，包括模板在线配置、模板导入导出、多媒体文档管理等功能，实现台账个性化模板化配置、按定制化要求导出导入、在线填报、自动归档管理等。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分析研判系统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支持热点问题统计排名、问题话题分析、问题地域分析、用户分析等功能，为监管工作提供研判参考，有效辅助领导决策。</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移动端访问系统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工作人员在手机端访问和使用“互联网+监管系统”，按照权限为工作人员和领导提供掌上留言查看、转办、审批等功能。同时，需按照标准规范开发交换系统，与具备成熟自有业务系统的部门地方实现互联互通。并通过系统管理子系统对角色权限、各类规则配置等加强管理。</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监管数据采集系统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支持通过数据接口、数据交换等方式，实时采集各个领域的监管数据，包括企业信息、业务数据、质量检测数据等。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数据分析系统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支持利用大数据分析技术，对采集到的数据进行深入分析，挖掘潜在的风险点、问题点和优化点，为监管决策提供数据支持。</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数据可视化</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通过数据可视化技术，支持监管数据以图表、报表等形式呈现。</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预警与预测</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支持根据数据分析结果，对可能存在的风险和问题进行预警，并提供相应的解决方案。支持利用预测模型，对未来的监管趋势进行预测，为监管决策提供参考。</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部门协同系统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支持通过互联网技术，实现跨部门、跨地区的监管信息共享和协同工作，提高监管效率和响应速度。</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智能分析与报告</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对监管数据进行智能化的分析和总结，生成相应的报告和报表，为监管部门和企业提供决策依据</w:t>
            </w:r>
            <w:r>
              <w:rPr>
                <w:rFonts w:hint="eastAsia" w:ascii="宋体" w:hAnsi="宋体" w:cs="宋体"/>
                <w:i w:val="0"/>
                <w:iCs w:val="0"/>
                <w:color w:val="000000"/>
                <w:kern w:val="0"/>
                <w:sz w:val="24"/>
                <w:szCs w:val="24"/>
                <w:u w:val="none"/>
                <w:lang w:val="en-US" w:eastAsia="zh-CN" w:bidi="ar"/>
              </w:rPr>
              <w:t>。</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数据安全与隐私保护</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在保障数据安全和隐私的基础上，进行数据采集、存储和使用，确保监管工作的合规性和安全性。</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五、校园网络基础设施建设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（一）42所校区互联网出口带宽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42所校区互联网出口带宽</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1.42所校园外网出口带宽≥1G。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2.传输速率下行≥1000M、上行≥500M。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3.网络丢包率≤0.001%。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4.网络延时≤5ms。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5.年网络可用率≥99.9%。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6.网络服务符合《电信服务规范》。</w:t>
            </w:r>
          </w:p>
        </w:tc>
        <w:tc>
          <w:tcPr>
            <w:tcW w:w="39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（二）分布式计算存储节点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分布式计算存储节点</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*CPU规格：*CPU信息：≥2颗高性能国产C86架构，每颗CPU核心数≥16核，主频≥2.5GHz，≥24线程，L3缓存≥32M，热设计功耗(TDP)≤70W；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*主板规格：*主板支持的CPU和内存情况:支持≥2颗国产C86架构；支持DDR4 ECC内存(内存频率最高可支持到3200MHz)。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*主板内存槽数量:≥16根DDR4 内存插槽；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*主板存储接口:支持2.5寸/3.5寸硬盘，支持SAS/SATA硬盘混插，支持U.2 SSD，支持M.2 SSD；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*PCIe插槽接口:符合PCIe3.0和PCIe4.0的高速串行计算机扩展总线标准，PCIe的接口速率与位宽向下兼容；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*主板PCIe插槽数量及规格:最大可扩展≥6个PCIe 4.0插槽（含1个Storage专用插槽和1个OCP插槽）；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孔位及接口:a)服务器机箱内主板可根据用户实际使用需求支持安装多功能导入装置板卡，机箱内需预留多功能导入装置板卡安装位置，容量不小于55mm×45mm×15mm（长×宽×高，单位毫米）；b)服务器主板可根据用户实际使用需求预留满足 USB2.0 或 SB3.0 数据传输规范的接口，工作电压 5V，采用 USB2.0 时，最大过电流应不小于 0.5A，采用 USB3.0 时，最大过电流应不小于 1A；本次采购不做要求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板载网络接口: 1GE 网口≥1 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主板OCP插槽数量:支持OCP3.0插槽≥1个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*内存规格：*内存数量：≥16根DDR4 内存插槽；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*内存规格：≥DDR4 3200MHz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*内存通道：≥1DPC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规格：硬盘类型：支持3.5寸和2.5寸规格硬盘，支持SATA、M.2、NVME类型的固态硬盘和机械硬盘。单个硬盘容量支持：240GB、480GB、500GB、512GB、640GB、750GB、800GB、960GB、1TB、1.5TB、1.92TB、2TB、3TB、3.84TB、4TB、5TB、6TB、8TB、10TB、12TB、14TB、16TB、18TB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*硬磁盘实配容量：≥2块480GB SSD硬盘；≥3块4TB SATA硬盘。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硬盘接口类型：硬盘接口类型：2.5吋固态盘和3.5吋 SATA硬盘；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*硬盘实配数量：≥2块480G SSD硬盘；≥3块4TB SATA硬盘；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*硬盘插槽数量及规格：前置最高支持≥12个2.5寸/3.5寸硬盘，支持SAS/SATA硬盘混插，支持≥4块U.2 SSD，支持后置≥2个2.5寸/3.5寸硬盘，支持一个M.2 SSD；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硬盘其他参数要求：配置SSD 固态硬盘和SATA硬盘，符合SJ/T 11654相关规定。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RAID卡规格（若支持RAID卡）：RAID卡支持的SAS接口数：≥8个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*网络规格：*网口速率和数量：1G RJ45≥2个；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存储型服务器网口速率和数量：存储型服务器1GE网口数量不少于2个，10GE以上网口数量不少于2个；本次采购不做要求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独立网卡网口数量：独立网卡数量：≥2个口，≥2块双口10G SFP+光纤网卡；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独立网卡接口类型：支持RJ45/QSFP/SFP等；本次采购不做要求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板载网卡接口类型：支持RJ45/QSFP/SFP等；本次采购不做要求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*外部接口规格：*显示接口：VGA接口≥1个；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*USB接口：≥4个USB 3.0接口；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特殊接口及孔位：前面板预留1个专用USB母座接口孔位；本次采购不做要求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其他接口：a)串口数量不少于1个，并可实现GB/T 6107或GB/T 26803.2的相关功能；b)服务器主机前面板可根据用户实际使用需求预留1个专用USB母座接口孔位；本次采购不做要求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*电源规格：电源冗余模式：整机电源模块按1+1冗余配置；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*电源模块数量：≥2个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*电源功率：≥550W；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电源指示灯：配备电源指示灯，指示待机、工作异常等状态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*整机规格：*外观和结构：1.服务器的零部件紧固无松动，可插拔部件可靠连接，开关、按钮和其它控制部件灵活可靠，布局方便使用；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2.产品表面没有明显的凹痕、划伤、裂缝、变形和污染等。表面涂层均匀，不起泡、龟裂、脱落和磨损，金属零部件无锈蚀及其它机械损伤；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3.产品表面说明功能的文字、符号和标志清晰、端正且牢固；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4.在服务器的显著位置提供运行状态的指示功能，并在随机文件中明确具体含义；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5.机架、机箱的尺寸符合通用机柜的安装要求，插入总线插座的电路板接口外形尺寸符合有关总线标准的规定，将机箱固定在机柜上，机箱底面最大下垂变形不得干涉相邻机体；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6.高密度服务器应给出 CPU 个数与机柜高度；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7.服务器尺寸具体在随机文件中明确；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*尺寸（高×宽×深）：2U机架式服务器机箱；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≥87.8mm(高)x 448mm(宽)x729.8mm(深)；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≥87.8mm(高)x 482（含箱耳）mm(宽)x729.8（含手拧螺钉）mm(深)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服务器导轨：产品含导轨，尺寸：≥430mm(宽)x 89mm(高)x450.8mm(深)，说明书带安装导图；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CPU个数与机柜高度单位(U)比：供应商给出 CPU 个数与机柜高度；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*环境适应性：气候环境适应性应符合GB/T9813.3的有关规定，工作时5℃～45℃(41℉～113℉)；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存储-40℃～60℃(-40℉～140℉)；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工作相对湿度35%～80%，贮存运输相对湿度20％～93%（40℃);大气压86～106kPa；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特殊机型环境适应性：工作时5℃～45℃(41℉～113℉)；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存储-40℃～60℃(-40℉～140℉)；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*机械环境适应性：机械环境适应性应符合GB/T9813.3的有关规定；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*噪声：符合GB/T 9813.3的有关规定，在空闲状态下43dB；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机柜规格：*机柜尺寸：宽度19英寸（48.26厘米）；高度42U=186.69厘米，深度100厘米/120厘米；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*主板功能：*主板外部接口种类：提供USB、显示、管理等接口：VGA、USB3.0、BMC管理端口；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主板防烧板设计：支持主板防烧板设计，保证电源故障后不扩散；本次采购不做要求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扩展功能：提供扩展功能，如存储功能卡、显示功能卡、GPU运算加速功能卡及网络功能卡等扩展功能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*网络功能：*网络功能：支持网络连接、网络访问、数据交换和网络管控功能；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功能：*计算处理：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*密码算法实现：CPU芯片符合GM/T 0008的相关规定，芯片密码模块符合GB/T37092、GM/T 0028的相关规定；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*电源功能：*电源热插拔：整机电源模块全部具备热插拔功能；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*电源过流保护：支持过流及短路保护的功能；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*整机功能：*散热方式：风冷散热方式；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其他功能：1.支持关键部件冗余（包括电源、风扇等）；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2.支持熔断保护与恢复功能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*管理系统功能：*BMC固件基础功能：1.支持DHCP设置网络功能；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2.支持静态IP设置网络功能；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3.支持设备日志记录，包括但不限于登录日志、操作日志和报警日志等功能；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4.支持日志信息导出和记录删除功能；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5.支持通过管理接口向外输出准确的报警信息功能；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6.设备的BMC管理软件能够按报警的严重程度进行区分；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7.支持IPMI2.0、SNMP或Redfish等接口功能；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8.支持键盘、鼠标和视频的重定向、文本控制台的重定向、远程虚拟媒体、高可靠的硬件监控和管理功能；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9.支持基于网络开启、关闭和重启设备的功能，并查询当前设备开机运行状态；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10.支持故障提示功能，并可通过接口读取服务器故障信息；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11.支持基于网络的固件更新功能，包括BMC和BIOS等；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12.支持基于网络安装操作系统的功能，并可通过网络控制台访问设备；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13.支持通过本地的硬盘或光驱等存储设备，基于网络完成设备的操作系统安装功能；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14.支持通过浏览器打开管理界面并登录功能；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15.支持设置口令策略功能；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16.支持访问权限设置功能，并通过日志记录访问事件；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17.支持对出厂默认的用户名及口令进行安全保护功能，并提供默认口令修改提示；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18.支持读取设备主板的工作环境温度功能；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19.支持读取服务器CPU等核心器件的温度功能；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20.支持通过外部管理工具进行BMC参数设置的功能，并可基于网络通过外部管理工具对BMC进行管理；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21.支持固件版本查询、固件升级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22.支持基于网络实现开关机和复位控制的功能；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23.BMC启动时间不超过180s，实现功能包括网络、IPMI、散热、传感器服务可用；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24.支持BMC固件设置的恢复出厂功能；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BMC固件增强功能：1.网络控制、安装提供图形访问界面网络；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2.设备的BMC管理软件界面显示报警信息，且能够按报警的严重程度进行区分；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3.Web GUI采用BMC端口直连，平均响应时间为不大于1s；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*BIOS固件基础功能：1.支持查看固件版本、内存信息、主板信息、处理器信息和系统时间信息功能；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2.支持上电初始化界面显示CPU信息、内存信息、固件版本和部分快捷键信息功能；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3.支持设置界面中英文显示切换功能；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4.支持查看PCIe设备信息，SATA设备信息功能；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5.支持操作系统安装和引导功能，应并向操作系统提供计算机主板信息和服务接口；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6.支持设置启动顺序，并按照设置的启动顺序启动功能；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7.支持安全启动功能；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8.支持设置口令、修改口令、验证口令功能；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9.支持板载显示控制或独立显卡的显示控制功能；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10.支持RAID识别和启动功能；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11.支持串口重定向功能；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12.支持固件更新功能；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13.支持BIOS固件设置的恢复出厂功能；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14.支持网络引导启用和关闭功能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*远程控制：支持远程关机和重新启动功能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*操作系统及驱动功能：*操作系统及驱动的升级：支持通过网络、闪存盘对操作系统、驱动进行升级；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操作系统及驱动的备份还原：支持操作系统备份及还原功能；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*操作系统功能：1.支持访问控制、安全审计、网络接入鉴别等功能；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2.操作系统其他功能应满足操作系统政府采购需求标准中加*的指标要求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*中文信息处理功能：*中文信息处理：满足涉及操作系统、数据库、输入法、办公软件等符合GB 18030的规定；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*关键部件安全要求：*关键部件安全要求：CPU和操作系统等关键部件符合安全可靠测评要求，中国信息安全测评中心和国家保密科技测评中心网站查看安全可靠测评结果；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*固件安全要求：*故障检测：支持故障检测功能，可以检测到具体的 FRU（内存、硬盘等）的故障并发出告警；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内存故障智能预测和自愈修复：支持内存故障智能预测和自愈修复，提前自动硬隔离，避免内存故障引起的非预期宕机以及内存寿命的降低；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硬盘故障智能预测：支持硬盘故障智能预测，基于故障模型预测出硬盘的故障；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PCIe链路故障智能诊断：支持 PCIe 链路故障智能诊断，判断出现故障的 PCIe 链路；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内存故障隔离：支持内存故障隔离，在内存产生CE故障时，内存地址被隔离成功，服务器正常运行，业务系统不中断；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内存、PCIe卡的故障精准告警功能：支持内存、PCIe 卡的故障精准告警功能，触发告警并明确指示具体的故障位置；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异常下电关键数据保护：支持异常下电关键数据保护，支持数据备份恢复机制，防止系统异常掉电导致的数据文件丢失；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BMC/BIOS固件双镜像保护：支持BMC/BIOS固件双镜像保护，运行异常时自动切换到备份镜像运行，提升系统稳定性；本次采购不做要求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CPU核重启隔离：支持CPU核发生不可纠正故障后，重启后由BIOS隔离该故障核，OS不可见，防止OS再次使用导致系统异常，核0除外；本次采购不做要求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内存地址隔离：在硬件支持的情况下，支持故障内存地址重启后隔离；本次采购不做要求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内存存储阵列替换：在硬件支持的情况下，支持故障内存存储阵列替换；本次采购不做要求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安全启动：支持执行环境要求在整个系统启动的过程中，系统应提供一个机制来保护平台的完整性；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*系统安全要求：syslog双向鉴别：支持系统日志双向鉴别，对服务器根证书和客户端根证书进行鉴别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*弱口令字典检查：支持弱口令字典检查功能，出现在弱口令字典中的字符串不能被设置为用户口令；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*白名单访问控制：支持基于时间、IP 或 MAC 白名单访问控制；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双因素鉴别：支持使用客户端证书和证书密码的双因素鉴别方式登录管理系统；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*二次鉴别：支持二次鉴别功能。对于用户配置、权限配置、公钥导入等重要的管理操作，已登录用户应通过二次鉴别后，才能执行操作；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匿名化用户告警接收邮箱：支持带外管理系统中的用户告警接收邮箱进行匿名化处理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*密码证书安全加密存储：支持对带外管理系统中的用户口令和证书等敏感信息进行加密存储，禁止使用私有的和业界已知不安全的密码算法；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*敏感信息安全加密传输：支持使用安全的传输加密协议（如SSH或HTTPS等）传输用户的敏感信息；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息安全要求：*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漏洞管理：供应商承诺，生产商已建立漏洞全量视图，保证产品版本涉及到的所有漏洞(如驱动程序、BMC软件等)都可以查看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网络关键设备服务器要求：作为网络关键设备的服务器应符合GB 40050的相关规定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增强要求：1.嵌入物理可信根，实现设备的信任链构建；本次采购不做要求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2.支持可信平台控制模块(TPCM)；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3.支持在固件系统（BMC、BIOS）启动前实现对固件度量的功能，支持物理可信根对BMC固件或BIOS固件进行完整性检测、更新和恢复；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4.支持对CPU、网络控制器等关键处理器进行身份识别与度量的功能；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5.支持基于处理器或可信计算模块度量的功能；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6.所采用的可信密码模块接口符合GM/T 0012的相关规定；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7.可信安全管理模块、处理器等硬件载体通过国家相关部门的认证和许可；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*物理安全：*物理安全：安全要求应符合GB 4943.1信息技术设备安全的规定；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*限用物质的限量要求：*限用物质的限量要求：符合GB/T 26572“电子电气产品中限用物质的限量要求的国家推荐标准”的要求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*CPU性能：*CPU主频：≥2.5GHz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*单CPU核数：≥16核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*单CPU末级缓存容量：≥32MB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*内存性能：单内存模块容量：≥128GB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*内存速率：≥3200MT/s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RAID卡性能：RAID卡缓存容量大小：≥4GB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网络性能：独立网卡速率：≥10GE光口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板载网卡速率：≥1GE电口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*电源能耗：*电源能耗：符合GB/T 9813.3的有关规定；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*部件兼容性要求：*内存兼容性：适配3种以上厂商的内存产品，且均不低于产品支持的内存规格；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*固态存储兼容性：适配3种以上厂商的固态存储产品，且均不低于产品支持的固态存储设备规格；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FC HBA卡兼容性：FC HBA应适配两种或以上厂商产品；本次采购不做要求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RAID卡兼容性：RAID卡应适配两种以上厂商产品；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*网卡兼容性：网卡适配两种以上厂商产品；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*功能卡兼容性：支持适配符合PCIe的功能卡，如：网络功能卡、存储功能卡及图形显示功能卡；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*外设兼容性：*外设兼容性：兼容多种主流生产商的外部设备，包括显示器、键盘、鼠标、闪存盘、移动硬盘、USB光驱及KVM等，使用不同厂商的外部设备时，系统均能正常识别和安装驱动；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*软件兼容性：*数据库兼容：兼容 3 个及以上厂商的数据库产品；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*中间件兼容：兼容 3 个及以上厂商的中间件产品；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*平台软件兼容：兼容 3 个及以上厂商的大数据平台；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虚拟化软件兼容：兼容 2 款及以上虚拟化软件；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存储可靠性要求：SATA SSD可靠性：SSD 的 m1 值（MTBF 的不可接受值）≥ 200000h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*整机可靠性要求：*整机可靠性：m1 值（MTBF 的不可接受值）≥30000h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*风扇可靠性：风扇寿命≥ 40000h；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*部件可靠性：支持硬盘、电源、风扇热插拔(内置风扇除外)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*包装及运输要求：*标志、包装、运输和贮存：符合GB/T 9813.3和商品包装政府采购需求标准的相关规定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*服务响应：*服务响应：1.提供电话、电子邮件、远程连接等多种形式服务；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2.提供同城4h、异地12h技术响应服务，2个工作日解决问题，对于未能解决的问题和故障应提供可行的升级方案，并提供周转设备；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3.建立全国技术服务体系和服务团体，符合专业服务体系标准要求，提供原厂中文服务；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4.服务周期内提供产品的维修、换件和升级服务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*培训服务：供应商提供培训材料、产品手册、培训视频等培训相关内容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*服务周期：*服务周期：1.产品免费服务周期（含换件和维修）3年；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2.设备停产后继续提供质量保障服务（含备品备件），服务终止时间与最后一批设备交付时间间隔不低于6年；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3.产品停止服务时间提前1年告知客户；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4.产品发布日期需在随机文件中明确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*服务工具要求：*工具要求：供应商提供设置服务器硬件、辅助操作系统安装等功能的辅助工具和管理软件。且随附软件应具有合法授权和版权。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辅助工具：支持如下功能：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1.本地的数据备份和还原功能；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2.网络的数据备份和还原功能；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3.服务器操作系统的自动安装功能；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4.服务器所配硬件需要的驱动程序和系统补丁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驱动安装升级指引：供应商提供出厂安装的配件所需的驱动程序，形式包括但不限于驱动光盘、驱动下载链接等。其他配件应提供指引。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随机附开盖工具：随服务器打包提供开机箱工具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代码迁移工具：供应商提供从其他CPU架构到当前服务器CPU架构的软件迁移工具产品，支持软件包迁移评估，对满足产品重构要求的软件包，能重构为当前服务器CPU架构的软件包。提供源码迁移功能，检查分析C/C++/Fortran/Go/解释型语言/汇编等源码文件，基于产品功能给出迁移指导；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性能分析工具：供应商提供支持当前服务器CPU架构的性能分析工具产品，支持系统性能分析、Java性能分析和系统诊断，可分析系统或应用在CPU、内存、IO、网络等方面的性能，并给出优化建议；本次采购不做要求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跨架构平台应用兼容：跨CPU架构平台应用兼容工具，可兼容一种或者一种以上不同架构平台的应用；本次采购不做要求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*管理软件：具备资源管理、系统管理、性能监控、健康监控、基于网络控制、报警设置的可选功能；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*增值服务：*厂家升级产品软件与扩容服务：供应商提供原厂级的部件/软件产品升级和扩容能力；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服务保障升级：质保期内供应商提供远程技术支持、软件授权服务、备件更换服务、现场支承服务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*提供上门服务：质保期内供应商具备提供上门服务的能力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业务场景性能优化服务及整体架构升级服务：供应商提供针对特定业务场景性能优化服务及整体架构升级服务；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*供应链质量：*抗干扰性：当产品部件出现供应风险时，供应商会提前通知客户并提供风险应对方案确保产品的服务保障，必要时应停止相关受影响产品的销售；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*供应能力证明：供应商提供供应链稳定承诺书，确保产品的部件在产品服务周期内稳定供货；</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38套</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（三）万兆光网建设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校园出口路由器</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1.采用无阻塞交换架构，路由和交换平面分离，实现高速传输速率。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2.交换容量≥105Gbps，整机包转发率≥30Mpps。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3.端口：10GE光≥6个，GE电≥16个。含双电源冗余，含≥2个千兆单模模块。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4.SIC业务槽位≥4个，HMIM业务槽位≥2个。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5.支持Telemetry，Netconf等管理控制协议，支持控制器管理控制，支持SDN控制器批量下发SRv6 Poilicy隧道。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6.支持基于报文五元组过滤，ASPF状态过滤、MAC地址过滤、URL过滤、基于域防火墙、IPS等。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7.支持丰富的VPN互联技术，包括：IPSec、L2TP、ADVPN等，支持国密办加密算法。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8.多级风扇调速方案，系统会根据产品内部温度确定系统需要的风扇转速，降低风扇噪音与能耗。</w:t>
            </w:r>
          </w:p>
        </w:tc>
        <w:tc>
          <w:tcPr>
            <w:tcW w:w="39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42台</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智能光线路终端</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1.产品高度 1U的盒式设备，支持GPON接入。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2.系统性能：系统转发容量≥110 Gbit/s。IPv4路由表≥8K，ARP表项≥16K。</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3.●设备配置：上行接口支持≥4个10GE/GE光接口，下行≥8个GPON端口（要求满配Class C+光模块）。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4.安全可靠性：设备支持ERPS（G.8032）协议的Type B/C保护。设备支持直流供电（双路备份）或 交流供电（双路备份）供电保护。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5.Wi-Fi管理：CAPWAP服务自动布放、ONT（FIT AP）管理、STA接入和漫游管理、射频调优。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6.三层特性：支持静态路由，RIP/RIPng。 OSFP/OSPFv3：IS-IS。BGP/BGP4+：ARP。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7.IPv6：IPv4 和IPv6 双栈， IPv6 二层和三层转发，支持DHCPv6 server 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8.QoS：QoS 流量分类， 优先级处理， 基于trTCM 的流量监管，  流量整形， WRED， ACL。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9.运行环境：正常工作环境温度支持-40°C至+65°C，最低启动温度≥-24°C。</w:t>
            </w:r>
          </w:p>
        </w:tc>
        <w:tc>
          <w:tcPr>
            <w:tcW w:w="39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50台</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智能光网终端</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1.网络侧接口：≥1个光纤上行SC接口。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2.●用户侧接口：≥ 4×GE+1×POTS+2.4GHz&amp;5GHz Wi-Fi。</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3.提供2.4G/5G WIFI功能，天线采用2×2 MIMO，空口速率≥574Mbps(2.4G)和2402Mbps(5G)，符合IEEE 802.11 b/g/n/ax (2.4GHz)、IEEE 802.11 a/n/ac/ax (5GHz)。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4.可靠性高，支持TypeB单双归属业务保护。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5.网络管理：支持可视化管理、用户定义的带宽分配、Wi-Fi 优化&amp; Wi-Fi漫游、Wi-Fi运维、智能识别和抗干扰。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6.设备支持组播特性：支持IGMP v2/v3 snooping、IGMP v2/v3 proxy、MLD v1/v2 snooping。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7.设备支持高安全特性：支持MAC/IP 地址过滤 、支持 802.1X 认证、SPI 防火墙。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8.设备支持智能运维，支持IPTV视频质量诊断（eMDI）、OLT发起的流氓ONT检测和隔离、呼叫仿真/内、外线测试、PPPOE/DHCP仿真测试、一键诊断(Web)。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9.设备支持三层特性，PPPoE/静态IP/DHCP地址获取方式、NAT/NAPT、IPv6/IPv4双栈、静态路由/默认路由。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10.WLAN安全：支持 802.1X 认证、MAC 地址认证等。</w:t>
            </w:r>
          </w:p>
        </w:tc>
        <w:tc>
          <w:tcPr>
            <w:tcW w:w="39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3784台</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光网建设线辅材及其他</w:t>
            </w:r>
          </w:p>
        </w:tc>
        <w:tc>
          <w:tcPr>
            <w:tcW w:w="3291"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分光器、分线箱、蝶形光纤、光端盒、耦合器、尾纤、法兰、跳线、五孔插座、电源线、线管、线槽、接头等。</w:t>
            </w:r>
          </w:p>
        </w:tc>
        <w:tc>
          <w:tcPr>
            <w:tcW w:w="390" w:type="pc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3784项</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六、校园环境数字化改造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（一）智慧安防建设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高清人脸抓拍机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7485995"/>
                  <wp:effectExtent l="0" t="0" r="0" b="0"/>
                  <wp:wrapNone/>
                  <wp:docPr id="39" name="Object_2_SpCnt_6"/>
                  <wp:cNvGraphicFramePr/>
                  <a:graphic xmlns:a="http://schemas.openxmlformats.org/drawingml/2006/main">
                    <a:graphicData uri="http://schemas.openxmlformats.org/drawingml/2006/picture">
                      <pic:pic xmlns:pic="http://schemas.openxmlformats.org/drawingml/2006/picture">
                        <pic:nvPicPr>
                          <pic:cNvPr id="39" name="Object_2_SpCnt_6"/>
                          <pic:cNvPicPr/>
                        </pic:nvPicPr>
                        <pic:blipFill>
                          <a:blip r:embed="rId13"/>
                          <a:stretch>
                            <a:fillRect/>
                          </a:stretch>
                        </pic:blipFill>
                        <pic:spPr>
                          <a:xfrm>
                            <a:off x="0" y="0"/>
                            <a:ext cx="1162050" cy="1748599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9161760"/>
                  <wp:effectExtent l="0" t="0" r="0" b="0"/>
                  <wp:wrapNone/>
                  <wp:docPr id="40" name="Object_2_SpCnt_7"/>
                  <wp:cNvGraphicFramePr/>
                  <a:graphic xmlns:a="http://schemas.openxmlformats.org/drawingml/2006/main">
                    <a:graphicData uri="http://schemas.openxmlformats.org/drawingml/2006/picture">
                      <pic:pic xmlns:pic="http://schemas.openxmlformats.org/drawingml/2006/picture">
                        <pic:nvPicPr>
                          <pic:cNvPr id="40" name="Object_2_SpCnt_7"/>
                          <pic:cNvPicPr/>
                        </pic:nvPicPr>
                        <pic:blipFill>
                          <a:blip r:embed="rId13"/>
                          <a:stretch>
                            <a:fillRect/>
                          </a:stretch>
                        </pic:blipFill>
                        <pic:spPr>
                          <a:xfrm>
                            <a:off x="0" y="0"/>
                            <a:ext cx="1162050" cy="1916176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20586065"/>
                  <wp:effectExtent l="0" t="0" r="0" b="0"/>
                  <wp:wrapNone/>
                  <wp:docPr id="65" name="Object_2_SpCnt_8"/>
                  <wp:cNvGraphicFramePr/>
                  <a:graphic xmlns:a="http://schemas.openxmlformats.org/drawingml/2006/main">
                    <a:graphicData uri="http://schemas.openxmlformats.org/drawingml/2006/picture">
                      <pic:pic xmlns:pic="http://schemas.openxmlformats.org/drawingml/2006/picture">
                        <pic:nvPicPr>
                          <pic:cNvPr id="65" name="Object_2_SpCnt_8"/>
                          <pic:cNvPicPr/>
                        </pic:nvPicPr>
                        <pic:blipFill>
                          <a:blip r:embed="rId13"/>
                          <a:stretch>
                            <a:fillRect/>
                          </a:stretch>
                        </pic:blipFill>
                        <pic:spPr>
                          <a:xfrm>
                            <a:off x="0" y="0"/>
                            <a:ext cx="1162050" cy="2058606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7374870"/>
                  <wp:effectExtent l="0" t="0" r="0" b="0"/>
                  <wp:wrapNone/>
                  <wp:docPr id="66" name="Object_2_SpCnt_9"/>
                  <wp:cNvGraphicFramePr/>
                  <a:graphic xmlns:a="http://schemas.openxmlformats.org/drawingml/2006/main">
                    <a:graphicData uri="http://schemas.openxmlformats.org/drawingml/2006/picture">
                      <pic:pic xmlns:pic="http://schemas.openxmlformats.org/drawingml/2006/picture">
                        <pic:nvPicPr>
                          <pic:cNvPr id="66" name="Object_2_SpCnt_9"/>
                          <pic:cNvPicPr/>
                        </pic:nvPicPr>
                        <pic:blipFill>
                          <a:blip r:embed="rId13"/>
                          <a:stretch>
                            <a:fillRect/>
                          </a:stretch>
                        </pic:blipFill>
                        <pic:spPr>
                          <a:xfrm>
                            <a:off x="0" y="0"/>
                            <a:ext cx="1162050" cy="1737487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8505805"/>
                  <wp:effectExtent l="0" t="0" r="0" b="0"/>
                  <wp:wrapNone/>
                  <wp:docPr id="50" name="Object_2_SpCnt_10"/>
                  <wp:cNvGraphicFramePr/>
                  <a:graphic xmlns:a="http://schemas.openxmlformats.org/drawingml/2006/main">
                    <a:graphicData uri="http://schemas.openxmlformats.org/drawingml/2006/picture">
                      <pic:pic xmlns:pic="http://schemas.openxmlformats.org/drawingml/2006/picture">
                        <pic:nvPicPr>
                          <pic:cNvPr id="50" name="Object_2_SpCnt_10"/>
                          <pic:cNvPicPr/>
                        </pic:nvPicPr>
                        <pic:blipFill>
                          <a:blip r:embed="rId13"/>
                          <a:stretch>
                            <a:fillRect/>
                          </a:stretch>
                        </pic:blipFill>
                        <pic:spPr>
                          <a:xfrm>
                            <a:off x="0" y="0"/>
                            <a:ext cx="1162050" cy="1850580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7485995"/>
                  <wp:effectExtent l="0" t="0" r="0" b="0"/>
                  <wp:wrapNone/>
                  <wp:docPr id="49" name="Object_2_SpCnt_11"/>
                  <wp:cNvGraphicFramePr/>
                  <a:graphic xmlns:a="http://schemas.openxmlformats.org/drawingml/2006/main">
                    <a:graphicData uri="http://schemas.openxmlformats.org/drawingml/2006/picture">
                      <pic:pic xmlns:pic="http://schemas.openxmlformats.org/drawingml/2006/picture">
                        <pic:nvPicPr>
                          <pic:cNvPr id="49" name="Object_2_SpCnt_11"/>
                          <pic:cNvPicPr/>
                        </pic:nvPicPr>
                        <pic:blipFill>
                          <a:blip r:embed="rId13"/>
                          <a:stretch>
                            <a:fillRect/>
                          </a:stretch>
                        </pic:blipFill>
                        <pic:spPr>
                          <a:xfrm>
                            <a:off x="0" y="0"/>
                            <a:ext cx="1162050" cy="1748599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5428595"/>
                  <wp:effectExtent l="0" t="0" r="0" b="0"/>
                  <wp:wrapNone/>
                  <wp:docPr id="69" name="Object_2_SpCnt_12"/>
                  <wp:cNvGraphicFramePr/>
                  <a:graphic xmlns:a="http://schemas.openxmlformats.org/drawingml/2006/main">
                    <a:graphicData uri="http://schemas.openxmlformats.org/drawingml/2006/picture">
                      <pic:pic xmlns:pic="http://schemas.openxmlformats.org/drawingml/2006/picture">
                        <pic:nvPicPr>
                          <pic:cNvPr id="69" name="Object_2_SpCnt_12"/>
                          <pic:cNvPicPr/>
                        </pic:nvPicPr>
                        <pic:blipFill>
                          <a:blip r:embed="rId13"/>
                          <a:stretch>
                            <a:fillRect/>
                          </a:stretch>
                        </pic:blipFill>
                        <pic:spPr>
                          <a:xfrm>
                            <a:off x="0" y="0"/>
                            <a:ext cx="1162050" cy="1542859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7374870"/>
                  <wp:effectExtent l="0" t="0" r="0" b="0"/>
                  <wp:wrapNone/>
                  <wp:docPr id="70" name="Object_2_SpCnt_13"/>
                  <wp:cNvGraphicFramePr/>
                  <a:graphic xmlns:a="http://schemas.openxmlformats.org/drawingml/2006/main">
                    <a:graphicData uri="http://schemas.openxmlformats.org/drawingml/2006/picture">
                      <pic:pic xmlns:pic="http://schemas.openxmlformats.org/drawingml/2006/picture">
                        <pic:nvPicPr>
                          <pic:cNvPr id="70" name="Object_2_SpCnt_13"/>
                          <pic:cNvPicPr/>
                        </pic:nvPicPr>
                        <pic:blipFill>
                          <a:blip r:embed="rId13"/>
                          <a:stretch>
                            <a:fillRect/>
                          </a:stretch>
                        </pic:blipFill>
                        <pic:spPr>
                          <a:xfrm>
                            <a:off x="0" y="0"/>
                            <a:ext cx="1162050" cy="1737487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9161760"/>
                  <wp:effectExtent l="0" t="0" r="0" b="0"/>
                  <wp:wrapNone/>
                  <wp:docPr id="71" name="Object_2_SpCnt_14"/>
                  <wp:cNvGraphicFramePr/>
                  <a:graphic xmlns:a="http://schemas.openxmlformats.org/drawingml/2006/main">
                    <a:graphicData uri="http://schemas.openxmlformats.org/drawingml/2006/picture">
                      <pic:pic xmlns:pic="http://schemas.openxmlformats.org/drawingml/2006/picture">
                        <pic:nvPicPr>
                          <pic:cNvPr id="71" name="Object_2_SpCnt_14"/>
                          <pic:cNvPicPr/>
                        </pic:nvPicPr>
                        <pic:blipFill>
                          <a:blip r:embed="rId13"/>
                          <a:stretch>
                            <a:fillRect/>
                          </a:stretch>
                        </pic:blipFill>
                        <pic:spPr>
                          <a:xfrm>
                            <a:off x="0" y="0"/>
                            <a:ext cx="1162050" cy="1916176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8505805"/>
                  <wp:effectExtent l="0" t="0" r="0" b="0"/>
                  <wp:wrapNone/>
                  <wp:docPr id="51" name="Object_2_SpCnt_15"/>
                  <wp:cNvGraphicFramePr/>
                  <a:graphic xmlns:a="http://schemas.openxmlformats.org/drawingml/2006/main">
                    <a:graphicData uri="http://schemas.openxmlformats.org/drawingml/2006/picture">
                      <pic:pic xmlns:pic="http://schemas.openxmlformats.org/drawingml/2006/picture">
                        <pic:nvPicPr>
                          <pic:cNvPr id="51" name="Object_2_SpCnt_15"/>
                          <pic:cNvPicPr/>
                        </pic:nvPicPr>
                        <pic:blipFill>
                          <a:blip r:embed="rId13"/>
                          <a:stretch>
                            <a:fillRect/>
                          </a:stretch>
                        </pic:blipFill>
                        <pic:spPr>
                          <a:xfrm>
                            <a:off x="0" y="0"/>
                            <a:ext cx="1162050" cy="1850580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5428595"/>
                  <wp:effectExtent l="0" t="0" r="0" b="0"/>
                  <wp:wrapNone/>
                  <wp:docPr id="56" name="Object_2_SpCnt_16"/>
                  <wp:cNvGraphicFramePr/>
                  <a:graphic xmlns:a="http://schemas.openxmlformats.org/drawingml/2006/main">
                    <a:graphicData uri="http://schemas.openxmlformats.org/drawingml/2006/picture">
                      <pic:pic xmlns:pic="http://schemas.openxmlformats.org/drawingml/2006/picture">
                        <pic:nvPicPr>
                          <pic:cNvPr id="56" name="Object_2_SpCnt_16"/>
                          <pic:cNvPicPr/>
                        </pic:nvPicPr>
                        <pic:blipFill>
                          <a:blip r:embed="rId13"/>
                          <a:stretch>
                            <a:fillRect/>
                          </a:stretch>
                        </pic:blipFill>
                        <pic:spPr>
                          <a:xfrm>
                            <a:off x="0" y="0"/>
                            <a:ext cx="1162050" cy="1542859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47090330"/>
                  <wp:effectExtent l="0" t="0" r="0" b="0"/>
                  <wp:wrapNone/>
                  <wp:docPr id="52" name="Object_1_SpCnt_2"/>
                  <wp:cNvGraphicFramePr/>
                  <a:graphic xmlns:a="http://schemas.openxmlformats.org/drawingml/2006/main">
                    <a:graphicData uri="http://schemas.openxmlformats.org/drawingml/2006/picture">
                      <pic:pic xmlns:pic="http://schemas.openxmlformats.org/drawingml/2006/picture">
                        <pic:nvPicPr>
                          <pic:cNvPr id="52" name="Object_1_SpCnt_2"/>
                          <pic:cNvPicPr/>
                        </pic:nvPicPr>
                        <pic:blipFill>
                          <a:blip r:embed="rId13"/>
                          <a:stretch>
                            <a:fillRect/>
                          </a:stretch>
                        </pic:blipFill>
                        <pic:spPr>
                          <a:xfrm>
                            <a:off x="0" y="0"/>
                            <a:ext cx="1162050" cy="4709033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7374870"/>
                  <wp:effectExtent l="0" t="0" r="0" b="0"/>
                  <wp:wrapNone/>
                  <wp:docPr id="53" name="Object_2_SpCnt_17"/>
                  <wp:cNvGraphicFramePr/>
                  <a:graphic xmlns:a="http://schemas.openxmlformats.org/drawingml/2006/main">
                    <a:graphicData uri="http://schemas.openxmlformats.org/drawingml/2006/picture">
                      <pic:pic xmlns:pic="http://schemas.openxmlformats.org/drawingml/2006/picture">
                        <pic:nvPicPr>
                          <pic:cNvPr id="53" name="Object_2_SpCnt_17"/>
                          <pic:cNvPicPr/>
                        </pic:nvPicPr>
                        <pic:blipFill>
                          <a:blip r:embed="rId13"/>
                          <a:stretch>
                            <a:fillRect/>
                          </a:stretch>
                        </pic:blipFill>
                        <pic:spPr>
                          <a:xfrm>
                            <a:off x="0" y="0"/>
                            <a:ext cx="1162050" cy="1737487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20586065"/>
                  <wp:effectExtent l="0" t="0" r="0" b="0"/>
                  <wp:wrapNone/>
                  <wp:docPr id="54" name="Object_2_SpCnt_18"/>
                  <wp:cNvGraphicFramePr/>
                  <a:graphic xmlns:a="http://schemas.openxmlformats.org/drawingml/2006/main">
                    <a:graphicData uri="http://schemas.openxmlformats.org/drawingml/2006/picture">
                      <pic:pic xmlns:pic="http://schemas.openxmlformats.org/drawingml/2006/picture">
                        <pic:nvPicPr>
                          <pic:cNvPr id="54" name="Object_2_SpCnt_18"/>
                          <pic:cNvPicPr/>
                        </pic:nvPicPr>
                        <pic:blipFill>
                          <a:blip r:embed="rId13"/>
                          <a:stretch>
                            <a:fillRect/>
                          </a:stretch>
                        </pic:blipFill>
                        <pic:spPr>
                          <a:xfrm>
                            <a:off x="0" y="0"/>
                            <a:ext cx="1162050" cy="2058606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5428595"/>
                  <wp:effectExtent l="0" t="0" r="0" b="0"/>
                  <wp:wrapNone/>
                  <wp:docPr id="72" name="Object_2_SpCnt_19"/>
                  <wp:cNvGraphicFramePr/>
                  <a:graphic xmlns:a="http://schemas.openxmlformats.org/drawingml/2006/main">
                    <a:graphicData uri="http://schemas.openxmlformats.org/drawingml/2006/picture">
                      <pic:pic xmlns:pic="http://schemas.openxmlformats.org/drawingml/2006/picture">
                        <pic:nvPicPr>
                          <pic:cNvPr id="72" name="Object_2_SpCnt_19"/>
                          <pic:cNvPicPr/>
                        </pic:nvPicPr>
                        <pic:blipFill>
                          <a:blip r:embed="rId13"/>
                          <a:stretch>
                            <a:fillRect/>
                          </a:stretch>
                        </pic:blipFill>
                        <pic:spPr>
                          <a:xfrm>
                            <a:off x="0" y="0"/>
                            <a:ext cx="1162050" cy="1542859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20586065"/>
                  <wp:effectExtent l="0" t="0" r="0" b="0"/>
                  <wp:wrapNone/>
                  <wp:docPr id="57" name="Object_2_SpCnt_20"/>
                  <wp:cNvGraphicFramePr/>
                  <a:graphic xmlns:a="http://schemas.openxmlformats.org/drawingml/2006/main">
                    <a:graphicData uri="http://schemas.openxmlformats.org/drawingml/2006/picture">
                      <pic:pic xmlns:pic="http://schemas.openxmlformats.org/drawingml/2006/picture">
                        <pic:nvPicPr>
                          <pic:cNvPr id="57" name="Object_2_SpCnt_20"/>
                          <pic:cNvPicPr/>
                        </pic:nvPicPr>
                        <pic:blipFill>
                          <a:blip r:embed="rId13"/>
                          <a:stretch>
                            <a:fillRect/>
                          </a:stretch>
                        </pic:blipFill>
                        <pic:spPr>
                          <a:xfrm>
                            <a:off x="0" y="0"/>
                            <a:ext cx="1162050" cy="2058606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7485995"/>
                  <wp:effectExtent l="0" t="0" r="0" b="0"/>
                  <wp:wrapNone/>
                  <wp:docPr id="73" name="Object_2_SpCnt_21"/>
                  <wp:cNvGraphicFramePr/>
                  <a:graphic xmlns:a="http://schemas.openxmlformats.org/drawingml/2006/main">
                    <a:graphicData uri="http://schemas.openxmlformats.org/drawingml/2006/picture">
                      <pic:pic xmlns:pic="http://schemas.openxmlformats.org/drawingml/2006/picture">
                        <pic:nvPicPr>
                          <pic:cNvPr id="73" name="Object_2_SpCnt_21"/>
                          <pic:cNvPicPr/>
                        </pic:nvPicPr>
                        <pic:blipFill>
                          <a:blip r:embed="rId13"/>
                          <a:stretch>
                            <a:fillRect/>
                          </a:stretch>
                        </pic:blipFill>
                        <pic:spPr>
                          <a:xfrm>
                            <a:off x="0" y="0"/>
                            <a:ext cx="1162050" cy="1748599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8505805"/>
                  <wp:effectExtent l="0" t="0" r="0" b="0"/>
                  <wp:wrapNone/>
                  <wp:docPr id="55" name="Object_2_SpCnt_22"/>
                  <wp:cNvGraphicFramePr/>
                  <a:graphic xmlns:a="http://schemas.openxmlformats.org/drawingml/2006/main">
                    <a:graphicData uri="http://schemas.openxmlformats.org/drawingml/2006/picture">
                      <pic:pic xmlns:pic="http://schemas.openxmlformats.org/drawingml/2006/picture">
                        <pic:nvPicPr>
                          <pic:cNvPr id="55" name="Object_2_SpCnt_22"/>
                          <pic:cNvPicPr/>
                        </pic:nvPicPr>
                        <pic:blipFill>
                          <a:blip r:embed="rId13"/>
                          <a:stretch>
                            <a:fillRect/>
                          </a:stretch>
                        </pic:blipFill>
                        <pic:spPr>
                          <a:xfrm>
                            <a:off x="0" y="0"/>
                            <a:ext cx="1162050" cy="1850580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9161760"/>
                  <wp:effectExtent l="0" t="0" r="0" b="0"/>
                  <wp:wrapNone/>
                  <wp:docPr id="58" name="Object_2_SpCnt_23"/>
                  <wp:cNvGraphicFramePr/>
                  <a:graphic xmlns:a="http://schemas.openxmlformats.org/drawingml/2006/main">
                    <a:graphicData uri="http://schemas.openxmlformats.org/drawingml/2006/picture">
                      <pic:pic xmlns:pic="http://schemas.openxmlformats.org/drawingml/2006/picture">
                        <pic:nvPicPr>
                          <pic:cNvPr id="58" name="Object_2_SpCnt_23"/>
                          <pic:cNvPicPr/>
                        </pic:nvPicPr>
                        <pic:blipFill>
                          <a:blip r:embed="rId13"/>
                          <a:stretch>
                            <a:fillRect/>
                          </a:stretch>
                        </pic:blipFill>
                        <pic:spPr>
                          <a:xfrm>
                            <a:off x="0" y="0"/>
                            <a:ext cx="1162050" cy="1916176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lang w:val="en-US" w:eastAsia="zh-CN" w:bidi="ar"/>
              </w:rPr>
              <w:t>1.传感器类型：≥1/1.8" Progressive Scan CMOS。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2.电子快门：≥1/12s~1/8000s。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3.最低照度：彩色≤0.001Lux@F1.2。黑白≤0.0001Lux@F1.2。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4.宽动态范围：≥120dB。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5.视频压缩标准：H.265+/H.265/H.264/MJPEG。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6.功耗≤12V。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7.RJ45 10M/100M自适应以太接口≥1个。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8.客户端访问数量≥8个。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9.视频码率：32 Kbps~16Mbps。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10.最大图像尺寸≥1920 × 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11.视频分辨率：主码率≥1080P（1920x1080），辅码率≥D1（704x576）。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12.人脸区域光照出现局部过曝且照度值≤12001x。</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13.人脸区域光照保护线欠曝或逆光照度值≥71x。</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14.抓拍模式：支持≥7种抓拍模式：离开后抓拍（距离优先）、快速抓拍、间隔抓拍（以秒为单位）、间隔抓拍（以帧为单位）、担任模式、离开后抓拍（质量优先）、全抓模式。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15.网络协议：支持IPv4， TCP/IP， UDP， RTP， RTCP， UPNP， RTSP， SMTP， NTP， DHCP， DNS， PPPOE， DDNS， FTP，MQTT网络协议。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16.接入标准：设备支持ONVIF/ GA/T 1400接入协议。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17.人脸抓拍预览：支持人脸抓拍页面进行预览。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18.报警查询:支持按时间段对报警信息进行查询。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19.设备管理：支持对抓拍机的各项参数进行设置管理。</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1026台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智能视频分析盒</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1.处理器：国产芯片。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2.电源/功耗≥12V/2A。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3.存储≥64GB Flash。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4.DDR≥4GB。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5.工作温度：-20℃~65℃。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6.电源指示灯≥1个。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7.运行状态灯≥1个。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8.报警输入与输出≥8路。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9.最大同屏抓拍对象数≥50人。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10.内置人脸布控系统，支持登录系统并进行用户配置管理。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11.抓拍记录：支持按时间段、位置等信息，查询指定的人脸结果。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12.轨迹查询：支持按时间段查询人员的轨迹信息。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13.人脸识别模式：支持1：1比对模式、1：N搜索模式、M：N搜索模式。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14.监控管理：支持接入摄像设备与抓拍设备，可实时预览接入设备的视频、告警信息、抓拍信息界面。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15.人脸库管理：支持创建人员库，并支持人员图片的批量导入与增删改查操作。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16.布控任务管理：支持创建布控任务，并可绑定对应的人脸库和摄像头，告警阙值的设置。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17.图片属性检测：年龄，性别，胡子，口罩，帽子，眼镜，墨镜，打电话，发型，上衣种类，颜色，笑脸，肤色，胡子种类，帽子颜色类型等15+种属性检测能力。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18.接入协议:支持ONVIF、GB/T28181、RTSP视频流接入GA/T1400图片接入。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19.检测性能:支持最大16路12.5fps（人脸检测）。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20.人员分组:支持黑名单、白名单、陌生人分组。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21.人员导入:支持单张/批量导入人员，支持按照系统模板进行批量导入。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22.RS485接口≥1路。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23.RS2325线串口（5线）≥1路。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24.HDMI接口≥1路。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25.12V/3A电源接口≥2路。</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97台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智能行为分析盒</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1.操作系统内核：Linux 4.9及以上。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2.CPU：四核≥1.2GHz。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3.最大1080P视频接入数≥16路。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4.内存≥4GB。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5.100/1000 Mbps 以太网端口≥2个。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6.3.5mm音频接口≥2路。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7.显示接口≥1个。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8.告警输入接口≥4路，告警输出接口≥2路。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9.电源：220V。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10.USB接口≥2路。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11.接入协议：支持摄像头添加RTSP协议与ONVIF协议。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12.人脸比对模式：支持1：N人脸比对模式。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人员检测：支持人脸/人体检测、人脸比对、区域入侵、区域徘徊/滞留检测、人员聚集、跌倒检测、吸烟检测、打电话检测、未戴安全帽检测、人员离岗、未戴口罩检测、玩手机检测、奔跑检测、打架检测、车辆违停、烟雾检测、火焰检测等10+算法类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14.进出人员统计功能：支持通过分析实时视频，对进出场所的人员数进行统计。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15.数据展示：支持添加区域入侵检测区域，最多支持添加四个区域，可通过弹框与警声提醒告警信息。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16.人体抓拍数量检测≥30W。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17.布控任务管理：支持创建布控任务，并可绑定对应的人脸库和摄像头，告警阙值的设置。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18.抓拍记录：支持按时间段、位置等信息，查询指定的人脸结果。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19.轨迹查询：支持按时间段查询人员的轨迹信息。</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人脸识别一体机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1.处理器：双核，尺寸≥8寸。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2.内存≥1GB。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3.内嵌式存储器≥8GB。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4.摄像头≥210万有效像素，1920×1080。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5.成像器件：≥1/2.8" Progressive Scan CMOS。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6.最低照度：彩色≤0.01Lux @F1.2(ICR)。黑白≤0.001Lux @F1.2 (ICR)。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7.识别时间≤0.3S。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8.识别距离≥1.5m。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9.识别记录容量≥65000张。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10.人脸最大容量≥24000张。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11.刷卡模块：支持13．56MHz，支持Mifare S50、S70卡，ultralinght卡，NTAG卡，DESFire D21、D41、D81，非接触CPU卡。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12.RJ45网络接口≥1个。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13.韦根接口≥2路。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14.报警接口≥1个。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15.门磁接口≥1个。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16.开门接口≥1个。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17.门铃接口≥1个。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18.门锁接口≥1个。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19.智能分析功能：支持对设备的通行策略进行管理，支持对设备的参数进行设置。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20.网络设置：支持对rtsp、rtmp、email、upnp、ddns、Mqtt等接口参数进行设置。</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考勤APP一体机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1.CPU:≥ 1.8GHz 四核。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2.内存≥2G。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3.内置存储器≥16G。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4.存储器扩展:≥支持64GB的TF卡扩展。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5.分辨率:≥1920×1080。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6.操作系统:Android 6及以上。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7.网络支持:以太网、支持WiFi、蓝牙4.0、无线外设扩展。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8.USB2.0接口:2个USB HOST、4个USB插座。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9.WIFI、BT:内置WIFI，BT4.0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10.自适应以太网接口≥1个。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11.内置功能：内置考勤展示系统，支持实时刷脸人员照片提醒，形成考勤交互和展示。</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146台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宿舍考勤APP一体机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1.屏幕尺寸≥32英寸。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2.分辨率≥1920×1080。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3.操作系统：Android 9.0及以上。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4.RAM≥1G，ROM≥8G。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5.CPU类型：≥四核 1.3GHz。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6.扬声器：≥2x3W。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7.高亮度≥ 300nit高亮度显示。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8.外置接口：RJ45≥1个、USB≥2、OTG≥1个。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9.待机功耗 ≤1W。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10.工作湿度：10%～95%。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11.支持图片格式JPEG、BMP、PNG、GIF，支持音频格式MP3、WMA、AAC，支持视频格式MPEG-1/2/4、WMV、H.264、RM、DivX、FLV。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12.内置宿舍管理展示APP，支持以宿舍楼为单位，细分楼层及宿舍号，支持实时查找宿舍学生实时出入寝、学生归寝签到情况。</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16路网络硬盘录像机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1.8盘位网络硬盘录像机，ATX电源。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2.支持满配8TB硬盘（总容量可达64TB)。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3.≥1个HDMI接口、≥1个VGA接口，异源输出，可支持≥4K输出。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4.≥2个10M/100M/1000Mbps网口。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5.≥3个USB2.0接口。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6.报警IO接口：≥16路报警输入，≥4路报警输出。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7.输入带宽：≥160Mbps。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8.输出带宽：≥128Mbps。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9.接入能力：≥16路H.264、H.265格式高清码流接入。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10.解码能力：最大支持8×1080P。</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16口千兆交换机（POE）</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1.提供≥16个千兆PoE电口，≥2个千兆光口。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2.交换容量：≥36 Gbps。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3.包转发率：≥26.79 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4.支持IEEE 802.3at/af。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5.端口最大供电功率：30 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6.整机最大供电功率：125W。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7.支持IEEE 802.3、IEEE 802.3u、IEEE 802.3x。</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8.支持6 KV防浪涌（PoE口）。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9.支持PoE输出功率管理。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10.安装方式：机架式。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11.浪涌防护：6 KV。</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监控硬盘</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1.≥8TB，3.5英寸 SATA 3.0接口。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2.转速：≥5400RPM。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3.缓存：≥256MB。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4.24×7全天候高效稳定运行。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5.支持3年有限质保服务。</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325块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无感考勤系统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1.考勤：支持设置考勤任务，通过刷脸设备自动完成考勤。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2.考勤记录：支持实时记录每个学生、教职工的考勤信息。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3.消息提醒:支持考勤完成后，消息同步推送到家长/老师手机端。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学生出勤明细表：支持各班学生出勤情况明细，请假、迟到、早退、旷课晚归等出勤异常分析班级出勤汇总表：分析各班应到人数、实到人数、迟到人数、出勤率、缺勤学生明细。支持按天，按周，按月统计和导出考勤统计报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5.考勤设置：支持灵活设置考勤班次、考勤分组、考勤规则，针对不同的人员如住宿生、走读生设置不同的考勤规则。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6.请假管理：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（1）支持将请假记录关联考勤，自动计算到学生、教职工考勤结果中。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（2）支持对请假审批流程设置一级、二级审批人、审批组、抄送人。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（3）支持对请假模块设置支持是否需要门岗放行，是否联动门禁、请假后家长的寄送方式、是否需要家长签名请假。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（4）支持对学生、教职工请假记录按照进行查询、导出。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（5）支持请假的学生进出校门时推送消息给老师及家长。</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智能门禁管理系统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1.访客预约：访客预约与审批支持来访者在手机端登记预约信息，主要有来访人姓名、被访人姓名、手机号码、来访时间、人脸识别等。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2.访客审批：支持设置预约审批，被访人对预约信息进行审核，审批通过后会给来访人发送审批结果。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3.消息提醒：访客使用刷脸进校时，被访者将接收到来访者的到访消息推送。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4.访客记录查询：系统支持随时检索查询访客登记，查看实时审核状态。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5.支持查询访客记录：来访者信息、被访者信息、进校时间、进校抓拍照片、离校时间、离校抓拍照片等。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6.门禁信息设置：支持设置和查询每个门详细信息及门禁机内的通行名单。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7.门禁权限设置：支持根据需要设置不同的门禁权限组，以对应不同的门禁时段，未有门禁通行权限的无法开门。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8.门禁的通行权限和通行时间设置：支持针对不同的群体，如学生、领导、管理人员、普通职工等设置不同的通行权限和通行时间。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9.请假信息关联：已请假的学生在请假时间内自动关联门禁设备，具备刷脸通过门禁出校的权限，出校推送消息至家长手机。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10.进出摄像头抓拍照片：支持学生进出通道瞬间抓拍照片，并推送到家长手机（微信端）。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11.进出信息推送（微信端）：学生进出校门，家长微信端随即接收孩子到（离）校的考勤信息提醒。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12.支持记录接送家长的信息、时间、地点。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13.智慧门岗 保安专属智能管理系统，实时展示学校当天进出人员记录，请假人员审批状态、学生离校状态，访客来访情况，事件告警信息。</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智能安全告警系统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1.实时监控：支持同时接入多路视频流，实现了在PC端、移动端等多端视频的实时查看与监控，同时可查看当前监控实时抓拍告警记录。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2.抓拍比对记录查询：对经过摄像头的所有人员进行实时检测、抓拍，比对，以便统一检索与翻查，学生在校轨迹查询，进出校人员轨迹回溯，便于学校进行校内寻人、事件排查。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3.危险区域告警：围墙区域、公共区域等特殊区域等进行布控，当系统检测到有人闯入该区域，系统自动告警。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4.通过对特殊区域等进行绘制，当系统检测到有人闯入该区域，系统自动告警，分析类型包括区域入侵、区域徘徊、吸烟、打电话、跌倒、聚集。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5.黑名单布控：建立可能对校园安全造成危害的人员加入黑名单库，将这些黑名单进行布控，主动告警。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6.任务设置：提供对布控任务的配置和管理。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7.人员管理：提供对黑名单和白名单人员的增删改查。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8.陌生人告警：敏感区域外来人员系统主动识别告警推送。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9.告警设置：支持对告警规则进行配置，包含告警时间、推送人、告警时间间隔等规则。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10.轨迹查询：支持查询人员在学校的行动轨迹，方便学校进行寻人。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11.以图识人：通过上传照片，查找全校人脸库，确定人员身份信息。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12.校园综合数据看板：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（1）学生人数、教职工人数、班级数、住宿生数、学生类型比例。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（2）人员进校出校各时段柱状图。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（3）应到/已到/未到/请假统计、班级到校出勤排行榜、近七日考勤打卡情况。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（4）访客来访记录。</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智能宿舍管理系统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1.宿舍楼管理：支持对学校宿舍楼添加、删除、修改、查看，宿舍信息包括宿舍楼名称、负责人姓名、电话、楼层数等信息。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2.宿舍考勤配置：支持对楼栋学生进行考勤班次设置、考勤分组设置不同的考勤规则，实现对住宿学生出入寝进行考勤统计分析。支持相关消息推送规则，配置推送接收人、接收时段。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3.宿舍出入寝情况：统计每栋宿舍楼的所有学生归寝室情况，就寝多少人、未归多少人及具体的未归学生列表，同时可按照学号、按照学生姓名、寝室号进行查询。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4.宿舍出入情况：支持对进出宿舍学生进行记录和记录进行查询。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5.宿舍考勤明细：按班级，按姓名等列出每个学生的出归寝时间、结果信息明细，并支持信息结果导出。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6.宿舍考勤统计：支持按时段、按宿舍楼等统计对应的出归寝人数情况，并支持下转到具体明细信息。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7.宿舍异常告警：异常出入寝报警，对晚归学生报警展示，并实时推送到宿舍管理人员手机端，及时进行核查与处置。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8.外来人员记录：支持查询非寝室人员来访记录，支持外来人员信息查询。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9.宿舍数据看板展示：学生进出宿舍刷脸打卡实时展示确认。实时展示宿舍各楼栋、房间的归寝情况，出寝情况，方便学校管理员、宿管员进行核查与统计。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10.移动查寝：宿管员通过手机端可查看所管辖的宿舍楼学生入寝情况，包括学生归寝情况、未归情况，支持了解本栋未归学生情况，并可查询学生的历史出入记录，了解学生进出宿舍的规律。</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AI大数据分析</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1.多维度分析：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（1）活动轨迹分析：支持根据学生的抓拍记录，分析学生每周活动轨迹，经常出入的场所。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（2）考勤分析：支持统计学生本周的出勤情况，以及在整个班级的排名。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（3）好友分析：支持通过分析孩子经常通行的学生，进而分析出同其他同学的亲密度，按照亲密度分析出孩子的最长晚班，让老师、家长了解孩子的交友情况。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（4）精彩瞬间分析：支持从抓拍照片中智能筛选出小孩在学校的精彩时刻。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（5）心情分析：从学生日常的抓拍照片中识别小孩的表情、情绪，进而分析出小孩的心情指数，关注小孩在学校的情绪变化。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2.行为测评：通过大量的系统主动是抓拍图片分析，结合老师的综合性评价，系统从情绪稳定性、活力、情绪稳定性、社交力、攻击性多个维度评价小孩在校行为表现，为学校、家长提供基础信息参考。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3.学校测评：根据小孩的作业、成绩情况分析小孩学业表现曲线图，让家长、老师了解孩子成绩上的变化，及时关注。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4.综合标签：根据小孩的综合表现，系统根据小孩的行为特征，授予不同的荣誉勋章。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5.系统支持查看每个学生每一起的整体分析报告及对应的抓拍照片，支持多个条件筛查查询学生的记录。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6.系统按周定期推送学生的分析报告到家长端，让家长及时了解小孩每周的在校表现情况。</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校园综合展示系统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过数据看板综合展示全校的学生人数、教职工人数、班级数、住宿生数、学生类型比例、人员进校出校各时段柱状图、应到/已到/未到/请假统计、班级到校出勤排行榜、近七日考勤打卡情况、访客来访记录、安防告警记录等综合信息，实现校园数字化呈现。</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校园德育评价系统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1.德育评价体系：学校德育评价体系自定义，支持分级分类定义。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2.德育录入：对学生德育进行评分，包括评价类别、评价分数，支持查询德育评分记录 对学生德育进行评分，包括评价类别、评价分数，支持查询德育评分记录。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3.德育统计：对德育评分结果进行查询统计，支持按班级、按照个人进行查询统计 对德育评分结果进行查询统计，支持按班级、按照个人进行查询统计。</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（二）校园智慧管理应用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校园智慧管理应用</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1.学生管理：支持对学生信息的录入管理，包括单个新增修改，批量导入，人脸图片信息数据录入和采集等功能。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2.班级管理：支持创建班级，设置班级相关信息、班级升班。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3.教职工管理：支持创建教师信息，并实现教师与班级的绑定关系。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4.学期管理：对学校学期基础数据进行管理维护，系统根据学校学期设置，自动生成每学期对应的周分析报告。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5.家长管理：支持新增、修改、删除家长信息，支持批量新增、修改家长信息。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6.毕业班管理：对即将毕业、已毕业班级、人员信息进行维护，人员毕业后将不再参与相关业务。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7.校外人员管理：支持新增、修改、删除家长信息，支持批量新增、修改校外人员信息。 设备管理：支持对接入的智能设备进行配置和管理以及对状态进行监控。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8.任务管理：支持配置相关布控任务，考勤任务，实现摄像头与人员库的绑定关系和相关配置规则。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9.人脸库管理：支持对人脸库的创建修改、人员的单个和批量导入等功能，实现对人员库的管理。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10.系统设置：支持设置相关任务和系统参数管理。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11.用户管理：支持创建和维护用户信息，设置用户角色等。 设备参数配置：支持远程对设备关键参数进行修改与配置，实现对设备的远程管理。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12.设备远程操作：支持远程对设备进行重启操作。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13.设备在线升级：支持对设备进行远程升级维护。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14.设备人员维护：支持查看设备上下发的人脸信息，方便对设备人脸进行维护管理。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15.支持学校角色的灵活自定义。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16.多种应用权限管理，如 PC、移动端、智能设备端应用管理。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17.支持按学校进行应用权限配置管理，如每个学校 PC、移动端应用功能按需配置，实现一校一面。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18.实现功能点增加、调整、自动编排等功能。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19.实现每个功能点操作权限管理，每个功能点可动态配置操作权限。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20.支持多种应用管理、应用角色管理和应用功能管理，并且可按学校自定义应用、应用角色和应用操作权限。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21.日志管理：用于查询批量数据导入日志，可下载导入失败数据查看失败原因。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22.支持多种身份认证方案，如密码、验证码等多种方式。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23.支持多终端多设备身份认证，如 WEB、移动端、智慧终端等。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24.集成短信网关能力，快速配置提供短信认证，短信内容配置管理等。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25.支持按学校、按设备灵活选择认证方式配置。</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42项</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（三）家校社互通应用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1.学生管理：学生基础管理维护。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2.访客管理：访客来访邀请、来访审批，记录查看。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3.学生请假：代学生发起请假申请、学生请假审批。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4.动态发布：班级通知、作业、成绩、相册、班级圈信息发布与互动。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5.宿舍考勤：查看学生出入寝情况、异常出入寝告警。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6.德育评价：支持学习老师可以通过手机端对学生行为进行记录评分，形成学生德育评价结果。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7.班级通知：发布普通通知、重要通知，班级通知分享到微信班级群，班级通知统计查看。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8.班级作业：发布班级作业、作业批改、作业提交统计查看。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9.通讯录：提供老师通讯录、家长通讯录。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10.私密成绩：发布成绩记录查询。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11.荣誉管理：已发布的荣誉查询、维护。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12.德育评价：对学生德育评分以及教师评分记录查询。</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42项</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家长端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1.记录学生每天从进入学校到出学校情况，抓拍学生在学校的精彩瞬间并及时推送给家长。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2.班级圈：家长和老师可以随时发布学生在校动态情况 。支持老师、家长对发布的动态进行点赞评论。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3.班级通知：接收学校发布的通知通告，实时查看、确认。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4.班级作业：接收老师发布的作业信息，查看并提交作业。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5.私密成绩：家长接收老师发布的学生成绩，可查看学生作业。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6.刷脸记录：记录学生上下学的记录情况，以及在宿舍的归寝情况。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7.班级相册：老师、家长上传班级照片，照片分类保存，全班级共享查看。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8.孩子请假：支持学生家长、老师帮学生在线提交请假申请。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9.通讯录：提供学生家长的通讯录信息，方便及时沟通联。</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42项</w:t>
            </w:r>
          </w:p>
        </w:tc>
        <w:tc>
          <w:tcPr>
            <w:tcW w:w="265" w:type="pc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（四）备授课一体化终端（信创）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备授课一体化终端（信创）</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*CPU规格：*CPU信息≥8核8线程，主频≥2.7GHz，末级缓存≥8M，内存≥双通道DDR4-2666，设计功耗≥70W，位宽≥64位；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*内存规格：*内存配置容量≥8GB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*内存类型支持DDR4/LPDDR4/LPDDR4X及以上内存类型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*内存条配置数量（板载内存不涉及）≥1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*主板规格：*主板集成模块集成资源扩展模块、计算处理模块、音频扩展模块等，主板的互联拓扑可通过处理器或交换电路实现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*主板支持的CPU和内存情况≥8核8线程，主频≥2.7GHz，末级缓存≥8M，内存≥双通道DDR4-2666，设计功耗≥70W，位宽≥64位；内存条数量≥1；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主板内置PCIe插槽数量支持PCIe插槽数量不少于2个；本次采购不做要求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特殊孔位及接口：a）预留满足USB3.0数据传输规范的接口，工作电压5V，最大过电流应不小于3A；b)预留多功能导入装置板卡安装孔位，采用内置方式与主机一体化集成，容量不小于145mm×125mm ×16.5mm（长×宽×高）；本次采购不做要求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*主板其他内置接口：SATA接口≥4，USB接口≥10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*单内存插槽最大可支持容量（板载内存不涉及）≥8GB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*内存插槽满配时提供的最高内存总容量≥32GB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*存储设备规格：*固态盘数量≥1个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*固态存储容量≥256GB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*机械硬盘数量≥1个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*机械硬盘总容量≥1TB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*机械硬盘转速≥5400rpm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机械硬盘接口协议支持SATA3.0及以上或SAS3.0及以上接口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*机械硬盘形态2.5英寸或3.5英寸等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固态存储接口协议UFS/SATA/PCIe/NVMe等类型接口协议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*固态存储形态采用插卡或板载等形态，可选用符合M.2或2.5寸SATA或mSATA等标准的插卡形态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存储设备扩展盘位≥0；本次采购不做要求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*存储设备其他参数要求a)固态盘应符合SJ/T 11654相关规定；b)机械硬盘准备时间应不大于30s；侧面固定螺丝孔数量可为4孔或6孔；工作状态环境温度应满足5℃~55℃;其它参数应符合GB/T 12628相关规定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*显卡规格：*显卡类型集成显卡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*独立显卡显存类型；本次采购不做要求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*独立显卡显存位宽；本次采购不做要求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*独立显卡显存容量；本次采购不做要求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独立显卡接口协议支持PCIe协议版本大于等于2.0或HT（HyperTransport）协议版本大于等于3.0的独立显卡接口协议；本次采购不做要求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*显示设备规格：*显示屏屏占比≥80%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*显示屏分辨率≥1920x1080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显示屏像素密度≥85像素/英寸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显示屏可视角度水平≥170°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*显示屏尺寸≥23英寸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*显示屏屏幕比例16:9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*显示器外观颜色黑色/白色/银色等商务色系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*显示屏防蓝光支持防蓝光模式，蓝光加权辐射亮度比应≤0.0012W/(·cd·sr)（瓦每坎特拉每球面度）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*显示屏低频闪显示屏应支持低频闪≤-35dB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*显示屏防炫目显示屏镜面反射率≤10%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*外设规格：传声器数量≥0；本次采购不做要求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扬声器数量≥0；本次采购不做要求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*鼠标数量≥1个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*键盘数量≥1个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摄像头数量≥1个；本次采购不做要求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光驱数量≥1个；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*键盘按键数目≥61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键摄像头像素≥50万；本次采购不做要求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摄像头分辨率≥800×600；本次采购不做要求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扬声器功率≥1瓦/个；本次采购不做要求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扬声器频率范围不低于（100Hz-8kHz）范围；本次采购不做要求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扬声器总谐波失真谐波失真在100Hz-7kHz频率范围内不高于10%；本次采购不做要求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扬声器最大声压级最大声压级在粉红噪声播放场景下，工作距离处声压级不低于70dB；本次采购不做要求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*键盘连接方式有线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*键盘键程2.3mm~4.0mm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*键盘按键压力按键压力应在0.54 N±0.14N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*有线键盘连接线≥1.5米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*键盘颜色黑色/白色/银色等商务色系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键盘其他要求键盘外观结构、连接方式、主要功能、安全、电磁兼容性、可靠性应符合GB/T14081的相关规定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*鼠标连接方式有线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*有线鼠标连接线≥1.5米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*鼠标DPI分辨率800 ~1600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*鼠标颜色黑色/银色/白色等商务色系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*鼠标其他要求其它参数应符合GB/T 26245的相关规定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内置光驱:支持内置光驱；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*网络设备规格：*有线网卡数量≥1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无线网卡及天线数量≥0；本次采购不做要求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单无线网卡天线数量≥0；本次采购不做要求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*外部接口规格：*USB接口数量机箱前面板应提供不少于3个USB接口（含2个USB3.0及以上接口）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USB母座接口要求机箱前面板额外预留2个专用USB母座接口孔位和1个通用A型USB母座接口孔位，采用横向排列中心间距应不小于27mm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*视频接口数量≥1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*音频接口数量≥1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存储卡接口数量≥0；本次采购不做要求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基础规格：*整机外观：a)产品表面不应有凹痕、划伤、裂缝、变形和污染等。表面涂层均匀，不应起泡、龟裂、脱落和磨损，金属零部件无锈蚀及其它机械损伤；b)产品表面说明功能的文字、符号、标志，应清晰、端正、牢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*状态指示灯在产品显著位置提供状态指示功能，如运行状态，并由供应商提供详细参数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*整机结构：a)机箱应符合GB/T 4208、GB/T 26246的相关规定；b)产品内部结构应符合通用部件的安装需求；c)所有输入输出接口应符合相关国家或行业标准；d)产品零部件应紧固无松动，可插拔部件应可靠连接，开关、按钮和其它控制部件应灵活可靠，布局应方便使用；e)所有I/O连接器及需插接线缆的部位应预留采购人操作空间，方便插拔解锁与插拔线缆；f)可插拔板卡插槽部位应预留安装、拆卸或更换板卡空间；g)拆装可能接触到的金属剪口或金属尖角部位应做防划伤处理，以保证安全；h)整机内部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 9813.1的相关规定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*机箱防护要求机箱应符合GB/T 4208中IP20防护要求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*整机噪音产品工作在空闲状态下，产品的声功率级应不超过4.5 Bel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*整机散热在环境温度25℃及处理器满载情况下，产品表面温度应符合如下要求：a)出风口在机箱后面板情况下，出风口温度不高于55℃;  b)可触及面温度不高于45℃; c)显示器表面温度：显示屏不高于38℃，显示屏上下灯带位置温度（如涉及）不高于40℃，出风口温度不高于45℃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*整机能效限定值产品能效限定值应达到GB 28380-2012标准中能效等级2级及以上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*机身材质塑料/金属等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*机身颜色灰色/黑色等商务色系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*机箱尺寸容量机箱体积应不大于30L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*CPU性能：*CPU物理核数≥8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*CPU主频≥2.7GHz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*CPU末级缓存容量≥8MB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*CPU支持的内存最高速率≥2666MT/s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*内存性能：*内存读写速率≥2666MT/s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*显卡性能：*显示分辨率≥1920x1080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*显卡显示芯片核心频率≥300MHz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*显存等效频率≥1000MT/s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*显卡可支持多屏同时显示数量显卡应支持2块屏幕同时显示，分辨率应不低于1920×1080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*显示设备性能：*显示屏刷新率≥75Hz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*显示屏位深≥8位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*显示屏色域≥99%sRGB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*显示屏色准△E≤4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*显示屏响应时间≤8ms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*显示屏亮度≥250尼特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*显示屏亮度一致性≥70%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*显示屏对比度≥500：1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*显示屏其他参数其它参数应符合SJ/T 11292的相关规定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*网络设备性能：*有线网卡速率最高速率应不低于1000Mbps，应支持10Mbps、100Mbps、1000Mbps速率自适应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支持无线网络通信技术协议支持WAPI或WiFi5.0及以上协议；本次采购不做要求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无线网卡频宽≥20MHz；本次采购不做要求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*主板功能：*内存扩展接口(板载内存不涉及)≥2个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存储扩展接口(板载存储不涉及)供应商给出主板支持存储扩展接口类型，如UFS3.0、SATA3.0、SAS3.0、M.2等类型接口；本次采购不做要求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*主板USB瞬间过流保护支持有瞬间过流保护功能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*主板防静电保护支持防静电保护功能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*显卡功能：*显卡外接显示接口显卡至少支持VGA、HDMI、DVI、DP、Type-C中1种显示接口，并与显示器接口相匹配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独立显卡数量≥0；本次采购不做要求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*显示设备功能：*显示器接口显示器应与显卡外接显示接口匹配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*显示器支架显示器应提供显示器支架，支持屏幕旋转、升降等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*显示器参数调节a)提供OSD选单按钮用于调节色彩、模式等；b)支持色温、亮度、对比度调节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外设功能：摄像头物理隐私保护开关支持物理隐私保护开关；本次采购不做要求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传声器降噪支持降噪功能；本次采购不做要求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键盘背光支持键盘背光；本次采购不做要求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光驱功能光驱应支持只读、刻录等类型；最大读取速度CD不低于24×150KB/s；最大读取速度DVD不低于8×358KB/s；最大刻录速度CD不低于24×150KB/s；最大刻录速度DVD不低于6×1358KB/s；兼容光盘类型包含只读光盘、可读写光盘、可擦写光盘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*存储功能：*存储功能通过SATA固态存储/PCIe固态存储/UFS固态存储/SATA硬磁盘等存储部件提供存储功能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内置控制器固态存储加密固态存储通过内置控制器硬件支持加密，不依赖处理器，保障数据安全性，但不得影响存储性能。a)支持加密功能，且加密功能开启不影响SSD读写性能； b)支持固件加密、安全启动和安全升级； c)支持数据的安全擦除；本次采购不做要求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*网络设备功能：*网络功能：a)支持网络连接、网络开启/关闭功能；b)支持访问网络和数据交换功能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无线网卡频段支持双频段；本次采购不做要求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物理开关支持网络设备物理开关；本次采购不做要求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*数据传输支持数据传输能力，并提供数据流量和异常日志记录功能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蓝牙协议若支持蓝牙模块，蓝牙协议不低于5.0版本；本次采购不做要求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*有线网卡接口类型支持RJ45接口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无线网卡标准若配备无线网卡，产品应符合GB15629.11所有部分；本次采购不做要求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*网络设备拆装网络设备支持物理拆装，包括无线网卡和蓝牙模块等；本次采购不做要求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*外部接口功能：*音频接口类型支持3.5mm孔径3段式或4段式接口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*视频接口类型至少支持VGA、HDMI、DVI、DP、Type-C中1种显示接口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*HDMI、DP、Type-C显示接口要求若提供HDMI或DP或Type-C作为显示接口，应支持音频和视频同步输出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其他接口：a)支持串行接口，可实现GB/T 6107的功能；b)支持并行接口，可实现GB/T18235.1的功能；本次采购不做要求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存储卡接口类型支持SD、TF等存储卡接口；本次采购不做要求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*电源功能：*电源线适配能力电源适配器电线组件应符合GB/T15934的要求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*操作系统及软件功能：*中文信息处理要求符合GB 18030的相关规定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*操作系统备份及还原功能支持操作系统备份及还原功能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*固件备份还原能力支持备份及还原固件的功能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*操作系统及驱动升级支持通过网络、闪存盘等方式对操作系统、驱动进行升级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*固件升级支持通过网络、闪存盘等方式对固件进行升级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*BIOS支持关闭通讯接口支持BIOS关闭以太网及USB接口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*固件查看信息支持查看固件版本、内存信息、主板信息、处理器信息和系统时间信息等功能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*固件设置启动顺序支持设置启动顺序功能，并按照设置的启动顺序启动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*固件设置口令支持设置口令、修改口令、验证口令功能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*固件设置网络引导支持网络引导启动和关闭功能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*存储设备可靠性：*固态存储寿命TBW≥80TB（条件：256GB硬盘容量）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*机械硬盘寿命通电时间≥5万小时；本次采购不做要求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*显示设备可靠性：*显示屏屏幕失效点符合GB/T 9813.2的要求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*外设可靠性：*键盘按键寿命≥1000万次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*鼠标按键寿命≥500万次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*键盘鼠标线材寿命键盘鼠标所用线材经±60°弯折不低于3000次，功能、外观完好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*风扇寿命≥4万小时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*整机可靠性要求：*电磁兼容性要求的抗扰度符合GB/T 9254.2的规定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*环境条件要求的气候环境适应性符合GB/T 9813.1中规定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*环境条件要求的振动适应性符合GB/T 9813.1中规定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*环境条件要求的冲击适应性符合GB/T 9813.1中规定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*环境条件要求的碰撞适应性符合GB/T 9813.1中规定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*环境条件要求的运输包装件跌落适应性符合GB/T 9813.1中规定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*MTBF测试MTBF(m1)≥3万小时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*兼容要求：*常用软件兼容支持流式软件、版式软件、浏览器、邮件采购人端、解压软件、多媒体、图形图像处理等常用软件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*数据库兼容兼容3个及以上厂商的数据库产品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*中间件兼容兼容3个及以上厂商中间件产品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*平台软件兼容兼容3个及以上厂商云计算及大数据平台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*包装及运输要求：*标志、包装、运输和贮存符合GB/T 9813.1和商品包装政府采购需求标准的相关规定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*服务要求：*配置检查工具供应商提供自检测试工具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响应：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*服务周期:a)设备停产后应继续提供质量保障服务（含备品备件），服务终止时间与最后一批设备交付时间间隔不低于6年；b)产品停止服务时间应提前1年告知；c)应明确产品发布日期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*预装操作系统预装符合桌面操作系统政府采购需求标准的正版操作系统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*培训服务供应商提供培训材料、产品手册、培训视频等培训相关内容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*典型问题解决手册供应商提供典型问题解决说明文档或视频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*厂家升级软件与扩容服务供应商提供上门升级部件/软件与扩容的增值服务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*整机质量服务要求免费服务周期（含换件和维修）≥3年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*合格证书要求供应商提供产品合格证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*开箱组装/使用指导要求供应商提供开箱组装/使用指导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*驱动下载服务要求供应商提供驱动光盘或下载方式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*兼容适配软件下载服务要求供应商提供兼容适配软件下载渠道（光盘、网站）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跨架构平台应用兼容供应商提供跨架构平台的应用兼容工具，支持一种或者一种以上不同架构平台的应用；本次采购不做要求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*供应链合规性：*产品部件保障供应商保障产品主要部件，提供≥6年的备件服务能力（自购买之日起），或提供可兼容原设备的升级换代产品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*供应链质量：*抗干扰性当产品部件出现供应风险时，供应商应通知采购人并提供风险应对方案确保产品的服务保障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*供应能力证明供应商提供供应链稳定承诺书，确保产品的部件在产品服务周期内稳定供货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关键部件安全要求：*关键部件安全要求CPU和操作系统等关键部件应当符合安全可靠测评要求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*整机安全性要求：*密码算法实现CPU芯片应符合GM/T 0008的相关规定，或芯片密码模块应符合GB/T 37092或GM/T 0028的相关规定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USB端口管控支持USB端口管控；本次采购不做要求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安全物理锁支持安全物理锁；本次采购不做要求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*信息安全基本要求:a)产品应符合GB/T 39276的5.2的规定；b)生产厂商应建立漏洞跟踪表，保证产品版本涉及到的漏洞(如驱动程序等)可查看；c)产品不得包含已知的恶意代码或漏洞，不存在未声明的指令、功能、接口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*固件安全启动支持固件安全启动功能，固件启动过程中只有通过启动校验才能正常启动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*限用物质的限量要求符合GB/T 26572中规定</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1400台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（五）便携式备授课一体化终端（信创）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便携式备授课一体化终端（信创）</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*CPU规格：*CPU信息CPU：≥4核4线程，主频≥3.0GHz，末级缓存≥4M，内存≥双通道DDR4-2666，设计功耗≥35W，位宽≥64位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*内存规格：*内存配置容量≥16GB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*内存类型支持DDR4/LPDDR4/LPDDR4X及以上内存类型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*内存条配置数量（板载内存不涉及）≥1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*主板规格：*主板集成模块集成资源扩展模块、计算处理模块、音频扩展模块等，主板的互联拓扑可通过处理器或交换电路实现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*主板支持的CPU和内存情况≥8核8线程，主频≥2.7GHz，末级缓存≥8M，内存≥双通道DDR4-2666，设计功耗≥70W，位宽≥64位；内存条数量≥1；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主板内置PCIe 插槽数量≥0；本次采购不做要求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特殊孔位及接口主板支持安装多功能导入装置板卡，或预留相应孔位及接口；本次采购不做要求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*单内存插槽最大可支持容量（板载内存不涉及）≥8GB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*内存插槽满配时提供的最高内存总容量≥32GB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*存储设备规格：*固态盘数量≥1个；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*固态存储容量≥512GB；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*固态盘数量≥1个；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机械硬盘数量≥0；本次采购不做要求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机械硬盘总容量≥0GB；本次采购不做要求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机械硬盘转速≥0rpm；本次采购不做要求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机械硬盘接口协议支持 SATA3.0 及以上或 SAS3.0 及以上接口；本次采购不做要求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机械硬盘形态2.5 英寸或 3.5 英寸等；本次采购不做要求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固态存储接口协议支持UFS/SATA/PCIe/NVMe等类型接口协议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固态存储形态可采用插卡或板载等形态，插卡形态宜符合 M.2 或 mSATA 等标准尺寸和接口定义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*存储设备扩展盘位≥0；本次采购不做要求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*存储设备其他参与要求：固态盘应符合 SJ/T 11654 相关规定;工作状态环境温度应满足 5℃~55℃；其它参数应符合 GB/T 12628的相关规定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*显卡规格：*显卡类型集成显卡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*显示设备规格：*显示屏屏占比≥80%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*显示屏分辨率≥1920x1080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显示屏像素密度≥150像素/英寸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显示屏可视角度水平≥170°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*显示屏尺寸：≥14寸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*显示屏屏幕比例16:9/3:2/21:9/16:10等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*显示屏防蓝光支持防蓝光模式，蓝光加权辐射亮度比应≤0.0012W/(·cd·sr)（瓦每坎特拉每球面度）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*显示屏低频闪显示屏应支持低频闪≤-35dB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*显示屏防炫目显示器镜面反射率≤10%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*外设规格：*传声器数量≥1个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*扬声器数量≥1个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*鼠标数量≥1个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*键盘数量≥1个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*触控板数量≥1个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*摄像头数量≥1个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光驱数量≥0个；本次采购不做要求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*键盘按键数目≥62键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*摄像头像素≥100万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*摄像头分辨率≥1280x720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*内置扬声器功率≥1瓦/个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*内置扬声器频率范围100Hz-20kHz，其中100Hz-200Hz：35dB及以上；200Hz-12kHz：55dB及以上，12kHz-18kHz：35dB及以上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*内置扬声器总谐波失真总谐波失真在300Hz-7kHz频率范围内宜不高于5%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*内置扬声器最大声压级最大声压级在粉红噪声播放场景下，工作距离处声压级宜不低于70dB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*键盘键程0.9mm~2.3 mm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*键盘按键压力按键压力宜在0.3～0.8N之间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*键盘颜色黑色/银色/白色等商务色系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*鼠标连接方式有线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*有线鼠标连接线≥1.5米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*鼠标DPI分辨率~800 1600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鼠标颜色黑色/银色/白色等商务色系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*鼠标其他要求其它参数应符合GB/T 26245的相关规定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*触控板尺寸≥70mm×50mm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*触控板材质采用麦拉片或玻璃等材质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光驱规格：配备光驱设备，可为外置光驱；本次采购不做要求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*网络设备规格：*有线网卡数量：≥1（可通过扩展坞支持）；本次采购不做要求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无线网卡及天线数量≥1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单无线网卡天线数量≥1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*外部接口规格：*USB接口数量应不少于3个，至少包含1个USB3.0及以上标准接口（可通过拓展坞实现）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*视频接口数量≥1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*输入充电接口数量≥1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*音频接口数量≥1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存储卡接口数量≥0（本次招标可不提供）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*电池规格：*电池额定能量≥50Wh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*电池充放电次数≥500次（常温下500次充放电后电池容量应不低于原始容量的80%）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快速充电功能支持快速充电功能，如UFCS、USB PD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*电池安全要求符合GB 31241的规定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电池电芯材质供应商给出电池电芯材料信息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整机基础规格：*整机外观：a)产品表面不应有凹痕、划伤、裂缝、变形和污染等。表面涂层均匀，不应起泡、龟裂、脱落和磨损，金属零部件无锈蚀及其它机械损伤；b)产品表面说明功能的文字、符号、标志，应清晰、端正、牢固；c)宜在产品显著位置提供运行状态指示功能，并由生产厂商提供详细参数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*整机结构：a)产品应符合GB/T 4208的相关规定；b)产品内部结构应符合通用部件的安装需要；c)所有输入输出接口应符合相关国家或行业标准；d)产品零部件应紧固无松动，可插拔部件应可靠连接，开关、按钮和其它控制部件应灵活可靠，布局应方便使用；e)所有I/O连接器及需插接线缆的部位应预留用户操作空间，方便插拔解锁与插拔线缆；f)可插拔板卡插槽部位应预留安装、拆卸或更换板卡空间；g)拆装可能接触到的金属剪口或金属尖角部位应做防划伤处理，以保证安全；h)整机内部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显示屏的开合机械寿命应能承受至少15000次的显示屏开合，显示屏机械转轴的扭力应保持初始状态下扭力的75%以上；o)其它要求应符合GB/T 9813.2的相关规定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*整机噪音25摄氏度环温条件：空闲小于等于38dBA满载小于等于45dBA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整机散热产品在环境温度25℃且运行在满载的状态下，可触及面温度范围内应不高于45℃，各表面温度应符合以下要求：a)键帽温度不高于38℃;b)键盘间隙温度不高于40℃;c)掌托温度不高于38℃;d)触控板温度不高于38℃;e)底壳温度不高于45℃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*整机能效限定值产品能效限定值应达到GB 28380-2012标准中能效等级2级及以上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*整机重量≤2.2kg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*整机厚度≤22mm（不含脚垫）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机身材质塑料/金属等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*机身颜色一般选用灰色/黑色等商务色系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*CPU性能：*CPU物理核数≥4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*CPU主频≥3.0GHz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*CPU末级缓存容量≥4MB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*CPU支持的内存最高速率≥2666MT/s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*内存性能：*内存读写速率≥2666MT/s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*显卡性能：*显示分辨率≥1920x1080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*显卡显示芯片核心频率≥300MHz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*显存等效频率≥1000MT/s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*显卡可支持多屏同时显示数量显卡应支持2块屏幕同时显示，分辨率应不低于1920×1080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*显示设备性能：*显示屏刷新率≥60Hz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*显示屏位深≥8位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*显示屏色域≥99%sRGB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*显示屏色准△E≤4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*显示屏响应时间≤30ms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*显示屏亮度≥250尼特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*显示屏亮度一致性≥70%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*显示屏对比度≥500：1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*显示屏其他参数其它参数应符合SJ/T 11292的相关规定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*网络设备性能：*有线网卡速率最高速率不低于1000Mbps，支持10Mbps、100Mbps、1000Mbps速率自适应；本次采购不做要求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*支持无线网络通信技术协议支持WAP I或WiFi5.0及以上协议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*无线网卡频宽≥20MHz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*电源适配器性能：*电源适配器电源效率在20%/50%/100%负载下效率均应不低于87%</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*待机性能：*满载待机性能（LTP）≥1.5小时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*主板功能：*内存扩展接口(板载内存不涉及)≥2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存储扩展接口(板载存储不涉及)供应商给出主板支持存储扩展接口类型，如UFS3.0、SATA3.0、SAS3.0、M.2等类型接口；本次采购不做要求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*主板USB瞬间过流保护支持瞬间过流保护功能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*主板防静电保护支持防静电保护功能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I/O接口功能内置或通过扩展坞支持数据传输接口、视频接口、音频接口、网络接口、电源接口等各类标准接口产品应集成键盘、触控板输入部件，同时应具备接入键盘、鼠标、写字板等外设的能力，宜支持触摸屏、语音交互、手写笔等人机交互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*显卡功能：*显卡外接显示接口至少支持VGA、HDMI、DVI、DP、Type-C中1种显示接口；本次采购不做要求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*显示功能支持显示屏，同时应支持外接显示器。显示屏和外接显示器应支持多屏同时显示，显示模式应支持复制模式和扩展模式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*外设功能：摄像头物理隐私保护开关支持物理隐私保护开关；本次采购不做要求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传声器降噪支持降噪功能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音频处理功能支持音频效果处理功能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键盘背光支持键盘背光；本次采购不做要求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触控板多点触控支持2点及以上触控功能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*光驱功能光驱应支持只读、刻录等类型；最大读取速度 CD 不低于 24× 150KB/s；最大读取速度 DVD 不低于 8× 1358KB/s；最大刻录速度 CD 不低于 24× 150KB/s；最大刻录速度 DVD 不低于 6× 1358KB/s；应兼容光盘类型包含只读光盘、可读写光盘、可擦写光盘等；本次采购不做要求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*存储功能：*存储功能支持信息存储功能，包括支持易失性存储功能和非易失性存储功能。为提升存储性能和降低存储功耗，非易失性存储宜支持固态存储设备，如SSD/UFS。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产品应支持外出接口可以与独立的存储设备进行数据交互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*网络设备功能：*网络功能：a)支持网络连接、网络开启/关闭功能；b)支持访问网络和数据交换功能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*无线网卡频段支持双频段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物理开关支持网络设备物理开关；本次采购不做要求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*数据传输支持数据传输能力，并提供数据流量和异常日志记录功能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*蓝牙协议支持蓝牙模块，蓝牙协议不低于5.0版本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有线网卡接口类型支持 RJ45 接口；本次采购不做要求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*无线网卡标准符合GB 15629.11所有部分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网络设备拆装网络设备应支持物理拆装，包括无线网卡和蓝牙模块等；本次采购不做要求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*外部接口功能：*音频接口类型不少于1个，宜支持3.5mm孔径的3段式或4段式接口。若支持4段式接口，宜支持线序的自动识别及切换功能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*视频接口类型至少支持VGA、HDMI、DVI、DP、Type-C中1种显示接口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*HDMI、DP、Type-C显示接口要求若提供HDMI或DP或Type-C作为显示接口，应支持音频和视频同步输出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*输入充电接口类型DC in或Type-C接口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其他接口PS/2接口等；本次采购不做要求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存储卡接口类型支持SD、TF等存储卡接口；本次采购不做要求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*电源功能：电池快充支持快速充电功能，如 UFCS、USB PD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*电源线适配能力符合GB 15934-2008对于可拆线插头GB15934不做要求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*操作系统及软件功能：*中文信息处理要求符合GB 18030的相关规定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*操作系统备份及还原功能支持操作系统备份及还原功能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*固件备份还原能力支持备份及还原固件的功能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*操作系统及驱动升级支持通过网络、闪存盘等方式对操作系统、驱动进行升级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固件升级支持通过网络、闪存盘等方式对固件进行升级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*BIOS支持关闭通讯接口支持BIOS关闭以太网及USB接口功能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*固件查看信息支持查看固件版本、内存信息、主板信息、处理器信息和系统时间信息等功能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*固件设置启动顺序支持设置启动顺序功能，并按照设置的启动顺序启动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*固件设置口令支持设置口令、修改口令、验证口令功能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*固件设置网络引导支持网络引导启动和关闭功能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生物识别功能：指纹识别功能符合GB/T 37742的相关规定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*存储设备可靠性：*固态存储寿命TBW≥80TB（条件：256GB硬盘容量）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*机械硬盘寿命通电时间≥0小时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*显示设备可靠性：*显示屏屏幕失效点符合GB/T 9813.2的要求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*外设可靠性：*键盘按键寿命≥1000万次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*鼠标按键寿命≥500万次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*键盘鼠标线材寿命键盘鼠标所用线材经±60°弯折不低于3000次，功能、外观完好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*风扇寿命≥4万小时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*整机可靠性要求：*电磁兼容性要求的抗扰度符合GB/T 9254.2的规定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*环境条件要求的气候环境适应性符合GB/T 9813.2中规定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*环境条件要求的振动适应性符合GB/T 9813.2中规定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*环境条件要求的冲击适应性符合GB/T 9813.2中规定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*环境条件要求的碰撞适应性符合GB/T 9813.2中规定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*环境条件要求的自由跌落适应性符合GB/T 9813.2中规定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*环境条件要求的运输包装件跌落适应性符合GB/T 9813.2中规定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*MTBF测试MTBF(m1)≥3万小时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*兼容要求：*常用软件兼容支持流式软件、版式软件、浏览器、邮件客户端、解压软件、多媒体、图形图像处理等常用软件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*数据库兼容兼容3个及以上厂商的数据库产品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*中间件兼容兼容3个及以上厂商中间件产品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*平台软件兼容兼容3个及以上厂商云计算及大数据平台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*包装及运输要求：*标志、包装、运输和贮存符合GB/T 9813.2和商品包装政府采购需求标准的相关规定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*服务要求：*配置检查工具提供自检测试工具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*服务响应：a）提供产品3年维保及上门服务（满足同城4小时、异地12小时响应要求）；b）提供政企专线7×24在线服务；c）现场保障技术服务团队员，国内上门服务地级市覆盖率达100%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*服务周期：支持产品延保≥3年；提供每年延保服务报价；提供备件服务能力≥6年（自购买之日起）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*预装操作系统预装符合桌面操作系统政府采购需求标准的正版操作系统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*培训服务供应商提供培训材料、产品手册、培训视频等培训相关内容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*典型问题解决手册供应商提供典型问题解决说明文档或视频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*厂家升级软件与扩容服务提供应商供上门升级部件/软件的增值服务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*整机质量服务要求免费服务周期（含换件和维修）应不小于3年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*合格证书要求供应商提供产品合格证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*开箱组装/使用指导要求供应商提供开箱组装/使用指导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*驱动下载服务要求供应商提供驱动光盘或下载方式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*兼容适配软件下载服务要求供应商提供兼容适配软件下载渠道（光盘、网站）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跨架构平台应用兼容供应商提供跨架构平台应用兼容工具，兼容一种或者一种以上不同架构平台的应用运行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*供应链合规性：*产品部件保障保障产品主要部件，应提供6年的备件服务能力(自购买之日起)，或提供可兼容原设备的升级换代产品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*供应链质量：*抗干扰性当产品部件出现供应风险时，供应商应通知采购人并提供风险应对方案确保产品的服务保障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*供应能力证明提供供应链稳定承诺书，确保产品的部件在产品服务周期内稳定供货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*关键部件安全要求：*关键部件安全要求CPU和操作系统等关键部件应当符合安全可靠测评要求</w:t>
            </w:r>
            <w:r>
              <w:rPr>
                <w:rFonts w:hint="eastAsia" w:ascii="宋体" w:hAnsi="宋体" w:eastAsia="宋体" w:cs="宋体"/>
                <w:i w:val="0"/>
                <w:iCs w:val="0"/>
                <w:color w:val="000000"/>
                <w:kern w:val="0"/>
                <w:sz w:val="24"/>
                <w:szCs w:val="24"/>
                <w:highlight w:val="yellow"/>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*整机安全性要求：USB 端口管控支持 USB 端口管控；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*密码算法实现CPU芯片应符合GM/T 0008的相关规定，或芯片密码模块应符合GB/T37092或GM/T 0028的相关规定 安全物理锁支持安全物理锁；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*信息安全基本要求：a)应符合GB/T 39276的5.2的规定；b)生产厂商应建立漏洞跟踪表，保证产品版本涉及到的漏洞(如驱动程序等)可查看；c)不得包含已知的恶意代码或漏洞，不存在未声明的指令、功能、接口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*固件安全启动支持固件安全启动功能，固件启动过程中只有通过启动校验才能正常启动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*限用物质的限量要求符合GB/T 26572中规定</w:t>
            </w:r>
            <w:r>
              <w:rPr>
                <w:rFonts w:hint="eastAsia" w:ascii="宋体" w:hAnsi="宋体" w:eastAsia="宋体" w:cs="宋体"/>
                <w:i w:val="0"/>
                <w:iCs w:val="0"/>
                <w:color w:val="000000"/>
                <w:kern w:val="0"/>
                <w:sz w:val="24"/>
                <w:szCs w:val="24"/>
                <w:u w:val="none"/>
                <w:lang w:val="en-US" w:eastAsia="zh-CN" w:bidi="ar"/>
              </w:rPr>
              <w:br w:type="textWrapping"/>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1400台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（六）云桌面管理系统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云桌面管理系统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1.提供≥2800个VOI桌面使用授权。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2.支持兼容市场上主流外设，如高拍仪、扫描枪、扫描仪、摄像头、密码小键盘、指纹收集器、身份证读卡器、手写板、打印机、USB-key等不同外设。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3.●终端支持完全离线模式，即在云终端网络中断时，可使用当前正在使用的镜像环境，保障业务连续性。（须提供相应证明材料）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系统采用WEB管理界面，支持在同一管理界面下针对VOI桌面、VDI桌面、TCI桌面、WDI桌面资源进行统一管理，并可在同一界面下同时监控终端状态，包括终端CPU使用率、内存使用率、磁盘使用率、接入IP地址、终端登入登出时间等，降低运维复杂度。 （须提供相应证明材料）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5.同一个终端在硬件条件满足的情况下，可满足两个桌面架构形态使用，方便灵活切换使用。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6.支持可远程访问VOI桌面，方便日常运维管理。可设置自启动VOI桌面，方便用户快速登录。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7.支持直接在终端系统上更新软件和数据，并将修改的系统文件自动上传到服务器，作为系统模板文件，更新给所有终端使用。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8.支持多种还原模式，不还原、系统盘单独还原及全盘还原模式，且可以在平台和终端测都可以设置。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9.支持软件分发和文件分发，方便管理员对桌面发送软件和文件，不依赖于第三方软件使用。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10.满足大规模并发需求，管理平台具有较高的扩展性，支持集群化部署并且不限制具体数量，实现多节点的自动负载均衡。任意一台故障不影响用户的链接。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11.终端本地无需安装操作系统，镜像系统下发采用P2P方式，提高下发效率。不同架构桌面无需区分终端，实现一款胖终端可以支持VDI和VOI等模式启动，用户可以根据操作系统的匹配状态，自由选择启动方式。</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2800套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（七）精准作业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用户管理子系统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1.须支持对教师信息、学生信息、班级信息、年级信息进行有效管理。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2.须支持教务管理权限分配：“校长”、“教务主任”、“年级组长”、“教研员”、“学科组长”、“班主任”、“学科教师”。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3.须支持资源权限分配：区域资源、校本资源、教师资源三级设定权限。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4.须支持教师信息独立添加和批量导入并支持修改个人信息。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5.须支持学生信息独立添加和批量导入并支持修改个人信息，学生信息既可以用国家学籍号也需要支持自动生成。</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资源库管理子系统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1.须提供资源存储空间，满足区域资源、校本资源、教师资源的创建和管理。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2.须支持承载国家课程，同时保持电子教材与纸质教材保持一致担需要满足教材epub3标准同时可以支持多媒体课件的镶嵌（音频、图片、动画）。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3.须支持承载本地特色课程同时保持电子教材与纸质教材保持一致担需要满足教材epub3标准同时可以支持多媒体课件的镶嵌（音频、图片、动画）。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4.须支持区域、校本、教师个人课程进行分享并可以自由选定分享内容和分享的对象，需要支持对分享的课程进行管理：随时查看、管理和撤销分享的内容。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5.须支持教师可以使用区域课程、校本课程的资源（如教案、学案、课件等）进行授课。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6.须提供全学段、全学科的习题资源以及试卷资源并可以按照教材章节目录选用，同时也可以按照题型、题类、难度、年级、地区等检索条件查找选用。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教师备课子系统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1.须支持教师通过浏览器或者手机APP进行备课，通过账号密码或者短信验证码登录教师个人备课空间。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2.须支持班主任对行政班管理，可以新增、修改和删除行政班学生，支持将学生调出或调入班级。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3.须支持教师通过班级管理对教学班进行管理，支持查看班级学生信息及导出班级花名册。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4.须支持班主任对学生姓名的发音进行校准修改。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5.须支持分层教学，教师按照需求进行教学分层，教师可以自定义分层的名称。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6.须支持分组教学，教师按照需求进行教学分组，教师可以自定义分组的名称。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7.须支持跨年级跨学科创建教学资源，资源须支持多种不同的教材版本同时满足教师参考使用并自动匹配的教学课件、教案、学案、题库等资源。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8.须支持创建的教学资源与教材目录进行匹配并支持教师按需进行修改，同时满足学生能够根据教师备课的内容行自主预习、学习、复习。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9.须支持教师针对课程进行管理：复制、删除课程，复制的课程需要涵盖已整理好的教学资源以及作业资源。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10.须支持教师可以把个人课程发布成校本课程或区本课程，共享内容可以按章节或单一课件资源设定共享权限。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11.须支持教师将自己的教学资源进行分享给同学科的其他教师（本校和外校）进行使用。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12.须支持集团化办学场景的校群分享功能。须支持教师将课程、课件、作业等教学资源分享到校群内，校群内同学科教师可按需一键采用。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13.须支持教师在电子教材上圈画重点以及标注笔记，在授课能够显示备课标记。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14.须支持教师通过备课端对课件进行在线编辑与修改，支持在线创建新课件，满足最基本的PPT格式教学课件的编辑和修改。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15.须支持教师查看学情数据，按照班级和个人查看每个学生、每个知识点的掌握情况和变化情况，以及学生的相关题目作答记录。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16.平台须支持接入互联网题库、学科网、菁优网、区本题库、校本题库等题库资源，教师在布置作业时支持跨题库选择试题布置。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17.须支持学校新建智能卡，支持给其独立命名，选择适用年级、适用学科和适用教材版本，支持选择教材并自动匹配教材目录。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须支持智能卡可以从区、校本题库、试卷、个人题库和互联网题库选题，支持双列单列切换并自动排版，支持修改题型名称为如基础夯实、拓展提升等分层作业，支持选择题、填空题、综合题等不同题型混合排列，支持按住题型或题序实现前后拖动并自动排序、排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19.须支持教师采用系统智能卡模板，查看智能卡的章节目录、每章的题数、页面数等，采用智能卡后可以修改名称、适用年级、适用学科和适用教材。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20.须支持教师通过手机号邀请系统内其他教师参与协同选题，支持查看、删除集备组成员。</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课堂教学子系统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1.支持多种作业统计方式。支持作业提交人数统计、试卷平均得分率、满分、优秀、良好、薄弱学生人数统计，小组成绩统计、题型得分率统计、单一题得分率。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2.支持单个学生作答情况统计。查看学生试卷成绩，客观题和主观题作答结果、以及单一学生每道题的得分统计等。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3.支持作业在课堂上小组互批、学生互批使用场景，并支持课上教师展示作业答案功能。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4.支持多场景使用画板。支持教师在使用电子教材、讲解作业、讲解习题，可以随时使用画板并支持自动留存，并将留存的课堂板书自动关联到当前授课的章节课时下，教师、学生可随时在课后进行查看。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5.支持多种学生点名功能。教师可以根据教学所需设置学生点名范围，课上结合授课内容难易程度对不同层次的学生进行分层点名，并支持给个人和学生所在小组课堂积分统计。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6.支持多种分组加减分。小组加分支持自定义分值和默认加分理由并生成加分消息实时通知家长。也支持在教师手机 APP 中对学生和分组进行加减分操作。小组和个人成绩可以按照日、周、月、学期的维度查看积分情况。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7.支持课堂计时器。支持正计时和倒计时，教师可以自定义设置计时器时间，计时结束时有提示音，计时器缩小后可在屏幕上继续显示。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学生作业、试卷、成果、典型问题等以手机拍照的方式进行课上投影讲评。支持拍照和手机相册中选择照片在课上进行多名学生成果对比讲解，并以图集课件的形式保存并自动关联到当前授课的章节课时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9.支持容支持一键互联网搜索，进行教学内容互联网拓展。可以在线进行词语、图片等的网络搜索。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10.支持课上随时进行教材内容的网络拓展。支持加载电子书，对于电子书上内。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11.支持语文和英语电子教材中的语文和英语词典，老师选词后可以直接进行翻译解释，支持语文、英语学科教师选定的课文段落进行系统朗读。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12.备课时在电子教材上标注的重难点内容可以随时查看，让备课和上课成为一体。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13.支持教师随时隐藏屏幕内容，根据学生身高调整显示内容高低。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14.支持电子黑板功能。电子黑板中支持多块屏幕，并可以使用田字格和四线三格规范书写。支持板书留存，并自动地同步到教师手机 APP 和家长手机 APP 中将照片或课堂互动视频呈现到屏幕上进行展示讲解，自动保存并关联到当前授课的章节课时下，同时支持课上在线播放，支持发送给家长手机。</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课堂诊断交互系统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1.支持教师按照学科、教材章节课时进行教学资源展示，支持多种类型教学资源，包括但不限于word文档、ppt文档、音视频、多图，持课堂的实时授课资源展示，课堂精彩瞬间、音频视频的多媒体。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教师在课上随时查看班级每份作业/测验作答情况，支持教师查看每份作业/测验全班的成绩等级分析，划分优秀、良好、薄弱三个等级，以及每个等级对应的学生人数统计，需支持教师查看作业的最高得分、平均得分、学习小组的成绩分析、每道题型的正确率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需支持教师查看学生个人每份作业的答题情况，以及学生每道题的正误情况、学生主观题答题结果展示，可展示每道习题答案。须支持课堂互动反馈功能，支持学生通过智能学生证进行答题，实现与教师实时课堂互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4.须支持多场景使用画板。教师在使用电子教材、讲解习题时，可随时使用画板进行板书，板书内容可一键留存并关联到当前授课的教材章节课时下，教师、学生可随时在课后通过WEB浏览器或手机端APP进行查看。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须支持多种学生点名和加减分功能。教师可通过WEB浏览器或教师端APP对学生和学习小组进行点名和加减分操作，可根据教学所需设置学生点名范围，可自定义小组和个人加减分值，并可按照日、周、月、学期的维度查看小组和个人积分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6.须支持课堂正计时和倒计时，教师可以自定义设置计时器时间，计时结束时有提示音，计时器缩小后可在屏幕上方继续显示。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7.须支持学生作业、测验、笔记、典型问题等以拍照的方式进行课上投影讲评。支持拍照和手机相册中选择照片在课上进行多名学生成果对比讲解，并以图集课件的形式保存并自动关联到当前授课的章节课时下。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8.须支持教师在课堂教学过程中一键隐藏屏幕内容、根据学生身高一键下移屏幕调整平台内容显示高度。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9.须支持对电子教材上的内容进行网络拓展，实现在线百科、图片搜索。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10.须支持电子黑板功能，电子黑板中可多屏切换显示，可使用田字格和四线三格规范书写。支持板书一键留存，并自动同步到教师端APP和家庭端APP中。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11.须支持教师在班级内走动授课应用，教师可通过教师端APP操控授课平台，其中包括视频课件、PPT课件、学生作业数据展示、点名、加减分、作品展示投影操作与WEB浏览器端教学显示内容实时同步。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12.须支持教师在课堂教学过程中通过WEB浏览器自定义设置平台为明亮模式和护眼模式，设置电子课表、名人名言等内容之后自动保存并在线实时展示。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13.须支持记录教师课堂教学过程，如教学资源、板书、课堂互动、作业讲解等教学过程自动生成课堂实录，便于教师进行自我教学反思。</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作业时效管理平台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1.须支持教师按照套卷、学生错题、章节同步、教师收藏习题等方式选题组成纸质作业，学生直接在纸质上作答作业，不改变学生原有的答题习惯。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2.须支持教师在平台上给全班学生布置统一作业、分层作业和个性化靶向作业，布置作业时可对习题内容进行修改，修改后的习题自动保存到教师个人题库中。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3.须支持教师自由调整每一道习题答题区域的大小，支持答题区域跨页。须支持在学生答题框中插入田字格、作文格、题干和图片等内容，并支持自定义设置图片位置及大小。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4.须支持作业按照选题顺序排序或按照题目类型排序，可直接通过鼠标拖动的方式调整题目顺序，支持自定义大题标题及单题分值，支持查看作业结构分析包括难易度占比、各题型量占比等。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5.须支持教师在学生纸质作业上批改留痕，同时也支持教师在WEB浏览器、教师端APP上进行作业批改，支持教师在学生主观题答案上添加批注，须支持教师在课堂进行作业及学生作答内容讲解。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6.支持教师将批改后的学生纸质作业通过扫描仪快速收集作业数据并自动统计反馈，主观题保留批改痕迹和学生作答卷面笔迹，其中学生错题自动归集到学生错题本和班级错题本中。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学科组长创建校本作业本，其他教师可将自己布置的作业分享到校本作业本指定课时下。支持学科组长对教师分享的作业进行审核，审核通过后可上架，其他教师可一键采用已上架的作业布置发布，也可以从已上架的作业中挑选试题按需布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8.须支持教师布置年级作业，对应年级、学科内的教师均可使用作业，教师批改后扫描即可一键导入成绩。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9.学生可以按学科、时间段方式打印自己的错题，支持带答案和解析的报告模式，也支持无答案的习题模式，报告自动生成为PDF文件，可以通过微信分享进行打印。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10.支持学生在家庭端手机APP中提交作业，可以在线作答，主观题支持拍照上传。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须支持家长在家庭端APP上查看自己孩子各学科每个知识点的掌握情况、变化明细以及题目作答记录。家庭端APP上可查看教师备课资源，包括课件、教材、课堂板书、随堂检测、课堂中提交的作品、答题以及课堂表现图片和视频。</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智慧评价报告系统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1.须支持呈现市级整体的基本用户数据，包括整体学校、教师、班级、学生数，并对学生的性别比例、整体师生比和分学科的师生比、各性质对应的学校数作进一步呈现。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须支持按不同的行政区划展示市级地图，各行政区块根据学校数据所属区间以不同颜色呈现。在地图上有补充的区域范围的学校数、教师数、学生数做展示。点击地图区块，可跳转到对应行政区域的数据驾驶舱页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3.须支持呈现市级范围内的整体备课资源、题库资源、作业资源的储备、使用分析。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4.须支持统计分析历史累计和当日上课教师数量及占比、平台开课课程数数量及占比、平台开课课时数。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5.须支持统计分析整体教学效果，包括整体作业正确率，平均一位学生产生的错题中，消灭的错题占比。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6.须支持统计分析作业成效及变化分析，包含按月走向分析、分学科分析。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7.须支持成绩均衡度分析，分析各学段内各校的成绩均衡情况及与区域平均水平的差异。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8.须支持作业特征分析，综合分析各校的作业用时与作业正确率，评估学校的整体作业特征并给出建议。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9．须支持作业时段分布分析，了解区域内整体课后作业时段分布及作业效果分析。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10．须支持作业时间差异分析，分析各学段学科的平均作业用时及作业用时的集中分布区域和差异度。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11．须支持学科用时分布分析，分析各学科的作业用时，及教师预估和学生实际用时的差异。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12．以上数据均支持按照市级、区县级、学校级维度逐级分析展示。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 须支持展示区域内每所学校的半月平均每天作业用时呈现，监控作业负担。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 须支持按日、周、月、学期不同时间周期查看区域范围内的作业布置、学生作业提交数据和总体作答结果分析。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15.须支持按日、周、月、学期不同时间周期查看区域范围内的所有作业列表，包含的基础信息、作业分类、提交信息和作答情况。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16.须支持查看作业的优秀率、良好率、合格率、薄弱率、低分率，及作业的平均分、最高分、最低分，及对应得分的学生数，呈现总体数据和根据不同范围的作业呈现对应的维度对比。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17.须支持查看作业的用时分析对比。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18.须支持查看按题型分析不同题型的掌握情况。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19.须支持查看每道题目的掌握情况，分优秀、良好、薄弱三个档。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20.须支持查看学生的成绩分布，按不同分数段展示。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21.须支持查看成绩单，根据不同范围的作业呈现对应的排列维度。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22.须支持查看作业的基础排版信息。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23.须支持下载作业的分析数据为本地excel。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 须支持按照日、周、月、学期查询，查看平台功能综合使用情况，可查看学校整体使用活跃度，包括备课、授课、作业功能使用情况，可查看教师活跃度，教师布置与收集作业数据、教师上传/使用课件数，可按照规则进行排序，查看各模块功能使用优差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25.支持按照日、周、月、学期查询，查看各年级对应的教师平台功能使用情况，包括综合功能活跃度以及各个功能模块使用数据统计。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26.支持按照日、周、月、学期查询，查询学校内各年级各班级的智能卡采集情况，可查看班级数采集率、章节采集数与采集份数，可查看班级平均正确率、讲解章节数、布置靶向作业数、靶向作业平均正确率，并支持导出表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27.支持查看智能卡作答结果数据，可按照不同学科查看智能卡作答内容，可查看班级平均分，整体优秀率、良好率、及格率级各班数据数据对比，可查看各班级最高分、最低分，可查看各小题得分率，学生作答成绩单、班级成绩单、个人作业得分，并支持导出对应数据表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28.支持查看平台作业展示，可查看班级作业、分层作业、靶向作业，各种类型作业数据，可根据照日、周、月、学期查看，各学校布置作业教师占比、布置作业教师数、收集作业教师数、收集作业教师占比、布置作业次数、收集作业次数、布置作业与收集作业份数、对应时间段内平均作业正确率。可查看各教师各作业的布置收集情况，布置收集份数与作业正确率。支持数据导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29.支持按照日、周、月、学期查看各学校发布的作业列表，提交作答学生人数，作业正确率，可点击查看作业作答详情。可查看作业布置内容。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30.支持查看作业作答结果分析，可选择不同班级进行数据对比，支持查看作业提交情况，作业均分。可查看作业满分人数、优秀、良好、薄弱，可对比查看各班成绩分布，各班级优秀、良好、薄弱情况，可查看各班级各题型正确率对比，可查看各班最高分、最低分、均分对比，可查看各小题各班级得分情况得，可查看各班级成绩单、各学省作业提交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31.支持按周查看教师数据考核情况，包括作业布置、作业提交、靶向作业生均情况、教师授课均数。</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区域资源建设</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1.需提供5-6年级语数英3科的区本作业母版，包含目录、编排结构、题型、难易分布等供招标方教研人员参考。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2.需组织经验丰富的教辅编撰人员线下与招标方教研人员面对面交流（包括进校参观、现场会议等组织形态）。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3.需支持区本作业以数字资源的形式导入到教学云平台，教师可以一键布置作业，也可以选题布置作业。同时区本作业也支持提供PDF版，并支持对学生信息编码采集，以支持后续数据采集识别与分析。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4.试题资源：提供菁优网题库资源。实现与学科网等无缝对接，在学校购买了学科网资源的前提下，实现学科网试题及课件资源一键导入。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阅卷系统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1.要求支持8000+阅卷教师同时在线、500+扫描点以上集中或分散扫描。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2.要求提供详细的安全策略方案，包含操作系统级安全、运维操作级安全、数据库与物理文件备份等内容。有登录日志与重要操作记录，一旦发生问题有迹可循。并且重要操作都需密码确认防止误操作。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3.要求制作答题卡简单高效，采用所见即所得的网页制卡，后无需二次裁切，降低技术复杂度与工作量。支持多张答题卡、题卡一体、不同类型答题卡，支持依赖于定标点的识别，支持无特殊定标点的识别。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4.要求采集试卷与识别阅卷过程“无延迟”，平台支持边扫描、边上传、边识别、边计分、边裁切、边阅卷。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5.支持一键对错给分和一键下拉框给分，例如填空题批阅时，每空的作答区域高亮显示，点击对应高亮区域即可完成该空的给分，统计分析时每空分别统计。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6.支持阅卷质量监控：包括教师评分曲线、多评监控、抽查、抽查打分等功能，可查看与导出阅卷质量列表，可自定义设置教师批阅数量、平均给分、批阅时长、有效卷等参数，自动筛选评卷异常的教师。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7.一次考试支持创建多次自定义分析，自定义设置统计学科、学生群体、统计参数等，满足多样化分析需求。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成绩发布支持内容控制：成绩发布学校，支持控制是否学校查看学生答题卡（学生答题卡批注灵活控制分值、批阅痕迹、阅卷教师信息的显示）、是否允许学校进行成绩申诉（允许时教师发现学生成绩问题时可在线申诉，由小题组长进行处理）、是否发布学校平均分和学生排名、学校和班级等级（支持设置等级比例区间，定义等级的指标为平均分、比率、上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9.成绩发布权限控制：区域发布支持设置教研员是否能够查看某次考试分析、是否允许查看其它学科分析、是否能够查看学生分析（学生成绩榜、学生分析报告等），区域发布学校支持仅发布部分学校。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提供专业分析报告，按角色推送分析报告，并按分析对象、分析目标组织报告内容，通过可视化图表的方式呈现数据，并提供专业数据应用解读，帮助管理者和教研员了解数据应用方法与价值，分析报告包括区域整体分析报告、乡镇对比分析报告（集团校或学区）、学校对比分析报告、班级对比分析报告、学生分析报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11.需支持将考试数据与精准教学平台进行无缝对接，支持教师通过课堂诊断交互子系统讲解考试试卷，支持将考试错题自动导入精准教学平台错题本。</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12.其他兼容性要求：支持5种以上主流型号扫描仪（佳能、柯达、松下、富士通、三星等）方便用户方选用。兼容各主流浏览器访问、并无需安装任何插件（例如，适应欠发达地区学校windows xp系统下ie6或ie8浏览器）。支持多终端访问，包括PC/Pad/平板/智能手机等。</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运营建设服务</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一、线下服务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（一）培训服务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1.提供针对系统的使用和管理培训，提供具有相应专业知识、实际工作和教学经验的培训讲师、辅导人员和相应的教材，其中培训使用的语言和教材均为中文。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2.负责提供培训计划、培训资料，包括：纸质文档和电子文档等资料，招标人有权在系统内部使用这些资料。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3.对教育局、学校、老师、学生进行全方位培训。提供线下、线上相结合、多次多场景培训。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 培训服务内容主要从教师备、上课实践操作、作业设计分析、课件制作上传、班级学生CIO培训等方面进行培训，教会学校相关人员熟练掌握系统的应用，指导学校积极开展校本资源建设。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(二)驻校服务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1.须承诺为参与本项目服务学校提供驻校服务，驻校期间为教师进行平台操作培训、进班听课磨课、一对一辅导、区级/校级公开课服务保障。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2.要求参与本项目服务学校驻校服务人员≥1人，驻校服务时间≥3天。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3.驻校完成后按照服务学校提供驻校服务报告。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(三)巡校服务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1.须承诺为参与本项目服务学校提供巡校服务，解决教师日常使用系统问题，要求每所学校每月巡校服务≥1次，巡校完成后提供按照学校提供巡校服务报告。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二、线上服务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1.须承诺提供线上专业咨询服务，工作日及节假日8:00-18:00实时在线解答教师使用问题，每周提供一份在线服务报告。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2.须提供 7×24 小时远程线上技术支持服务，由专人负责，处理学校提出的各类问题，包括 系统使用、管理和维护等，对各类问题在30分钟内给予响应，4小时内予以解决。</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作业本</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提供2年4学期语文、数学、外语三科定制化的作业本约6000册。</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错题本</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1.支持基于学生在校日常统一作业的数据记录与分析，定位薄弱知识点，总结归纳错因，为每位学生提供专属的个性化练习，提升学习效率。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2.支持学情分析报告通过看报告，对比分析，发现差异，实现练个性，归纳错因，巩固练习，为每道试题提供参考答案，帮助学生答疑解惑。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3.支持按周、月提供电子版报告，学生家长可免费下载。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4.提供2年，每天3科语文、数学、外语针对性错题本约924000份。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测评作业成绩采集终端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1.屏幕：7寸电容屏（自带操作屏幕）。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2.幅面：支持A3、A4、B5等。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3.扫描速度：60ppm/120ipm（200dpi模式下黑白彩色同速）。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4.图像传感器 CIS。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5.光源：LED(R/G/B)。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6.扫描分辨率：150dpi/200dpi/300dpi。</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7.光学分辨率：300dpi/600dpi。</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8.送稿器容纸量：≥100张（A4:70g/㎡）。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9.进纸方式：自动进纸；直通道。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10.扫描页面：单面/双面。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11.介质尺寸：宽度：50.8-305mm，长度：70-630mm。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12.介质厚度或重量：0.06-0.15mm；40g-157g/㎡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13.扫描模式：灰度，彩色，黑白，自动颜色识别。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14.图像输出格式：JPEG/TIFF/BMP/PDF/PNG/双层PDF/OFD。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15.图像处理器：GPU（片上图像处理单元）。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16.内置操作系统：可在设备上安装客户端应用程序实现独立扫描并进行影像处理。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17.支持接口：USB3.0×2 Type A（支持外设打印、拍摄、NFC、键鼠等USB扩展设备）。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18.存储功能：扫描到U盘存储。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19.网络模块：以太网接口（RJ45）支持千兆有线联网；WIFI 2.4G\5G双频兼容；蓝牙连接。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20.硬件配置：4G（RAM）+32G（SSD），支持本地缓存功能。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图像处理功能：自适应幅面，对折，跳过空白页，正反面交换，图像拆分，亮度/对比度/伽玛，锐化与模糊，多流输出，消除黑框，自动纠偏，多流输出除红，答题卡除红，穿孔移除，噪点优化，背景移除，尺寸检测，待纸扫描模式，自动文本方向识别，连续/指定页数扫描 ，图像旋转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22.其他有用功能：超声波双张检测功能，休眠时间设置。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23.安卓设备端功能：颜色模式：彩色/灰度，分辨率模式：150dpi/200dpi/300dpi，图像格式：JPEG/TIFF。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24.支持驱动：TWAIN、SANE、可提供SDK开发包。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25支持操作系统 windows7、windows8、windows10、UOS、银河麒麟、中标麒麟等国产操作系统。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26电源：DC24V / 2.5A。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27.能耗：操作模式：≤45W；待机模式：≤ 0.5W；休眠时：≤ 2.4W。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28.支持终端上操作即可收取作业，无需连接其他辅助软件和电子设备，系统显示学生姓名及学号，可自动校正作业识别图像，位置正反，并提示纸张折叠残缺等异常作业。支持作业成绩收取完成后即可在平台中查看作业数据。</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（八）录播互动教室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互动主机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1.主机配置要求：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（1）采用嵌入式架构，壁挂式设计，集成音视频信号采集、导播、录制、直播、互动于一体。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（2）采用4K摄像头、录播模块、AI模块、互动模块内置集成一体化设计。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（3）内置≥1TB硬盘，支持录制课件的本地存储，内置≥2路USB接口（含USB3.0），插入USB存储设备后可拷贝录像资源。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（4）内置≥2路10/100/1000Mbps自适应POE网口、≥1路4K HDMI输入接口，内置≥2路HDMI输出接口，其中≥1路HDMI接口支持内置音频画面输出。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（5）内置≥2路线性输入接口，≥1路线性输出接口。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（6）内置≥1路控制面板接口（带DC 5V供电），≥2路RS-232控制口。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（7）内置≥1个10/100/1000Mbps自适应NET网口，支持接入校园网或互联网，实现录制课程上传及网络直播等。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（8）内置4K摄像头，采用1/2.8英寸CMOS成像器件，最大视场角支持≥120°，支持自动对焦，背光补偿，最低照度≥0.5 Lux@（F1.8，AGC ON）。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（9）摄像机有效像素≥829万（3840×2160），支持同时输出1路1080P全景视频和1路1080P特写画面。支持自动跟踪。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（10）视频输入格式支持4K@30fps、1080P@60fps等，视频编码帧率支持1080P@30fps、1080P@25fps、1080P@20fps、1080P@15fps、1080P@10fps、1080P@5fps可选。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（11）采用H.264视频编码方式，视频编码码率支持256kbps～8Mbps可调，主码流（录制）支持1Mbps～8Mbps可调，副码流（直播）支持256Kbps～1Mbps可调。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（12）采用AAC音频编码方式，音频采样率支持48KHz。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（13）内嵌AI模块，处理器及AI芯片核心数为≥6核，内存≥2GB，存储≥128GB，实现课堂教学行为分析。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（14）直播协议支持标准RTMP协议，支持RTSP实时协议流。网络协议支持TCP、UDP、RTMP、RTSP、FTP协议等。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（15）支持通过POE网口为POE摄像机进行供电，通过以太网双绞线即可摄像机视频信号、控制信号及供电电源复合一起传输。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（16）支持EPTZ电子云台，在采用两台4K高清摄像机的情况下，可实现教师全景、教师特写、学生全景、学生特写四个画面的拍摄。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（17）支持本地导播方式，插上显示屏、鼠标键盘即可完成本地无延迟导播。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（18）支持教学互动功能，支持通过红外遥控器控制1vN的教学互动，支持设备与设备直接进行教学互动。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（19）电源接口采用电子开关设计，具备呼吸灯，支持通过平台控制远程开关机。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（20）采用DC 48V电源供电，整机功耗：&lt;30W。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2.内置AI模块：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（1）支持对课堂场景进行自动捕捉与分析，支持通过浏览器访问AI模块IP地址进入AI分析系统界面，通过快速预览功实时查看教师和学生实时分析界面，实现教师及学生检测、教师及学生行为分析等。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（2）支持自定义配置AI分析模块网络信息、教师区摄像机及≥2路学生区摄像机网络信号，自定义设置教师摄像机和≥2路学生摄像机分析的区域范围。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支持快速预览，方便用户查看视频分析状态，及时生成课堂分析报告。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（3）支持≥9种行为分析的自定义显示控制，具备音量状态及分析时长监控功能。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（4）支持定时器分析，通过设定课程分析计划后可自动执行分析。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（5）支持实时显示AI分析模块温度信息，可对分析状态、网络及视频通断状态进行实时监测。</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全高清录播系统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1.须支持本地导播和web远程导播两种导播方式，两种导播方式中设置操作及相关信息一致。须支持云台控制、画中画设置、特效切换、台标字幕及片头片尾设置、录播开始、暂停、停止等设置操作。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须支持电影模式、资源模式及“电影+资源”模式三种直播模式，其中资源模式最多须支持6路视频图像，“电影+资源”模式最多支持7路视频图像，包含6路资源模式视频图像及1路电影模式视频图像。直播采用Flash Player进行播放，须支持多用户操作。支持标准的RTMP直播协议，可推送服务器进行大规模的直播观看。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3.须支持单流单画面的电影模式、多流多画面的资源模式以及单流多画面的“电影+资源”模式，可以单独录制也可以同时录制。须支持在同一设备完成6路视频同时录制，所生成文件在同一文件夹。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4.须支持在电影画面中添加台标、字幕，可以插入片头、片尾。支持台标更换及台标位置选择。支持图片、视频等格式文件的片头片尾，支持片头片尾时间选择：1-5s。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5.可以提供多种画中画模式，须支持提供15种已设定好的画中画模式，如大小、左右、平铺、三分屏、四分屏、全景等画中画模式，支持交换功能，方便画面快速对调。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须支持直切、擦除、覆盖、推拉模式的特效，每种模式提供8种特效。系统亦具备提供4种不同上述方式的特效，所有特效为系统自带，无须手动定义。特效的过渡时间支持不同的设置特效的过渡时间支持设定为0.3S、0.5s、0.8s、1.0s、1.2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7.须提供预编辑录制窗口（PVW）和录制窗口（PGM），录制时辅助人员可在预编辑窗口完成对视频的编辑，如添加字幕、台标、设置画中画等，设置完成后可直接推送到直播/电影模式窗口，进行录制及直播。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8.录像文件支持设置对应的学年学期、课程名称、学校院系、授课地点、学校代码、学科名称、授课教师、开课时间、授课年级、授课课时及课程描述等教学信息。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9.具备录像管理功能，支持显示已有文件的列表，并进行点播、下载、修改属性、删除等操作。录制后的视频可支持自动上传云平台个人空间且自动删除本地文件。支持磁盘格式化、磁盘满载后不录制或覆盖。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须支持≥5路摄像机云台控制，可对摄像机进行上下左右、变倍、聚焦、光圈控制，系统针对每路摄像机均提供≥5种固定位变焦，用户可以直接调用，无需手动调节。每个摄像机可设置≥8个预置位。摄像机光圈和聚焦设置提供手动和自动设置按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11.跟踪功能支持自动、手动及半自动三种跟踪模式。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12.须具备POC供电功能是否启用的总开关和≥5路摄像机的POC供电功能的独立开关设置。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13.须具备互动设置功能，可以实现录播工作站之间直接进行教学互动，支持开展1VN的教学互动。支持互动和会议软件的无缝切换。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14.至多支持对三个地址推送直播视频流。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15.支持录制时长的设置。可设置15分钟，30分钟、1小时、2小时、3小时、4小时。</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高清互动摄像机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1.支持1台摄像机输出1路教师全景和1路教师特写的1080P视频画面。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2.成像器件：1/2.8英寸CMOS。有效像素：≥829万。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3.前置/后置摄像机镜头：水平视场角:≥40°。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4.自动对焦：支持。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5.最低照度：≤0.5Lux@（F1.8，AGCON）。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6.电子快门：1/30s~1/10000s。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7.视频编码标准：H.265、H.264、MJEPG。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8.视频码率：128Kbps~20480Kbps。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9.音频压缩标准：AAC。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10.音频码率：96Kbps、128Kbps、256Kbps。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11.支持协议：TCP/IP，HTTP，RTSP，RTMP，Onvif，DHCP，组播等。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12.高清输出：≥1路SDI，支持PoC。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13.音频接口：≥1路LineIn，3芯凤凰口。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14.控制接口：≥1路RS485，2芯凤凰口，支持VISCA、Pelco-D、Pelco-P协议。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15.供电方式：DC12V、PoE、PoC。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16.设备平均故障间隔时间MTBF≥30万小时。</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全向数字麦克风</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1.内置≥7个拾音麦，全向拾音，拾音距离≥8米。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2.支持自动对准发言人，语音智能跟踪和语音增强。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3.内置多重音频算法，自动增益控制，智能抑制环境声学混响，降低环境噪声，消除回声和抑制啸叫。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4.灵敏度：≥-26dBFS。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5.信噪比：≥64dB（A）。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6.频率响应：≥20HZ-16kHZ。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7.采样率：≥32K采样，高清宽带音频。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8.内置≥2路3.5mm线性输出，≥1路3.5mm线性输入。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9.支持≥1路USB接口，即插即用。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智能督导系统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1.实时巡课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（1）支持1、4、9、16分屏的画面巡视，支持自动、手动巡视，支持自定义巡视间隔时间。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（2）支持实时巡视教室画面，支持自动轮巡，支持设置自动轮巡间隔时间。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快速浏览轮巡教室正在上课的课程信息、AI关键指标：教师迟到、早退、拖堂、中途离岗等，学生到课率、前排就座率、抬头率等、预警信息：根据后台设置的预警指标的标准，系统将自动对出现预警情况的指标进行标识，并根据预警级别以不同的方式通知到巡课教师，帮助巡课教师快速定位问题课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（4）支持查看教室的教室全景、学生全景、课件等多路视频画面，并且支持直播时移。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查看AI预警取证的内容及总预警数，支持查看每条预警的时间点、视频画面截图、预警内容。支持通过点击视频画面截图，跳转至对应视频时间点。支持用户添加备注说明违纪情况，支持用户编辑、删除自己添加的截图记录。支持用户对预警的内容添加备注，并查看其他用户的备注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（6）支持查看当前课程的AI数据，含学生的到课情况、前排就座率、课堂三率（抬头率、趴桌率、背坐率）随着课堂时间的变化趋势、教师巡视时长、巡视次数及巡视热力图。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（7）支持通过评价量表对当前课程进行评价，管理员可在后台自定义评价量表指标，并支持查看我的评价和其他巡课老师评价记录。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2.巡课看板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（1）支持查看当日汇总数据，如课程数、学生数、教师数、预警课程数、预警数、预警课程数占比、百节课预警课程数占比。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（2）支持查看实时课堂列表，快速浏览实时课堂数据。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（3）支持查看实时预警，及时了解当日不同级别（严重、一般、提示）的预警统计情况及预警内容，支持查看预警课程详情。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（4）支持查看当日不同预警指标出现的预警次数排行及预警等级分布情况。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（5）支持查看当日教师出现预警的情况分布。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（6）支持按学校、学科、年级查看当日不同预警等级的预警数量分布情况。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（7）支持查看所选时间周期下的汇总数据，如平均课堂问答次数、教师巡视时长、预警教师数、预警课程数等。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（8）支持查看预警类型分布情况。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（9）支持查看不同预警指标下百节课预警率分布情况。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（10）支持查看教师预警次数分布及老师预警课堂数分布列表。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（11）支持按时间维度查看预警数量的变化趋势。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（12）支持按学校、学科、年级查看不同预警级别的预警数分布情况。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3.录像回放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（1）支持按照教室树查看每个教室的课程录像回放，可通过筛选上课时间、模糊搜索等查找录像回放，并支持查看和下载。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（2）支持查看课程录像详情，含课程的多路视频画面、AI预警取证内容和用户备注、Ai数据、截图记录及巡课评价。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4.我的巡课记录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（1）支持查看当前用户的巡课记录列表，支持通过巡课时间、搜索课程名称、教室、教师等关键字查询巡课记录，支持单个、批量删除巡课记录。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（2）支持查看巡课记录详情，含当前用户对该课程进行的AI预警备注、巡课截图及巡课评价内容。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5.应用管理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（1）支持管理已创建的量表，支持新增、停用、启用量表、查看、导出量表，支持自定义量表指标和分值。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（2）支持查看平台所有用户的巡课记录。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（3）支持设置AI预警指标阈值、预警时间间隔和预警级别。</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录播资源管理系统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基础管理要求具备以下功能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1.录播管理：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（1）支持把录播设备接入平台，实现自动转码、无缝直播点播，并具备多画面直播和点播功能。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（2）支持平台对接入的录播设备进行授权、打补丁，版本自动升级等操作。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2.用户管理：支持用户的初始化导入、用户组管理、用户权限管理，为教师、学生提供注册、个人信息管理等服务，提供注册审核机制、班级管理，可查看相关班级的学生和查看课表等功能。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3.平台组织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（1）机构组织：定义当前站点的机构组织，支持多级结构，为数据分级提供支持。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（2）站点组织：支持建设区域统一门户，并为下属学校建立子网站:可以为学校分配用户、设立子站点，区校两级资源独立管理，校平台资源可向区平台提交，一个账号可登录多个平台。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4.数据存储：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（1）要求平台采用引用计数和垃圾回收技术，实现一个物理文件可多级平台共同使用，该文件被某处删除不影响其他用户使用。系统自动判断当每级平台都不需要此资源时再自动删除。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（2）支持自定义自动删除策略，根据文件的上传时间和引用数进行清理周期，清理范围，清理方式的设置。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（3）支持服务器磁盘提醒功能，磁盘剩余容量达到设定警戒值时进行预警提示。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5.运行支持：支持定义当前站点的服务器配置参数，维护使用手册，方便下载使用等。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6.基础数据：支持对学科、学段、年级、目录等相关的维护，用于门户面资源目录的筛选，减轻用户手动修改目录等工作。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7.教室管理：支持对当前平台的教室进行管理、以及相关设备的查看。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8.一键置灰：国家重大事件发生时，可一键将平台设置为灰色风格。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9.平台信息设置：中英文名称、平台logo等相关配置。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10.支持账号登录限制功能，运维管理员（superAdmin）的账号默认5人登录，非运维管理员的账号只允许1人登录，当有超过登录上限的人登录时，会挤掉第一个登录此账号的人，被挤掉者会收到提示。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11.支持登录超时功能，默认为30分钟，超过30分钟会断开登录。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12.支持内外网配置，当正确填写内外网配置后，方可添加课表。保存内外网配置时，凡是同一台服务器的站点都会同步保存该配置。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13.评分量表：量表总分等于各一级指标得分乘以各自权重，汇总求和。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个人空间要求具备以下功能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1.个人信息服务：支持用户对个人资料、登录密码进行编辑管理。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2.消息服务：支持消息的自动发送和接收，并要求系统自动区分消息的来源如系统消息、应用消息、好友消息，便于分类管理。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3.资源服务：支持用户在个人空间上传、管理及搜索自己的资源。支持用户对资源进行收藏，将课件、教案等资源与课堂录像进行关联。支持教师调课后视频资源自动、手段归档。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4.录播预约：支持教师通过课表对录播教室进行预约，并可设置是否直播。设置为直播后，首页会显示直播预告。预约成功后，课堂录像将自动上传至主讲人个人空间。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5.在线编辑：对原视频进行裁剪，自由拼接、生成新视频并发布。要求提供文字轨道、视频轨道、台标等编辑功能。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6.我的课表：支持我的课表查询、课表约课和自主约课等功能。。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7.我的教研：支持查看听课任务，以及记录听课进度等。我申请的优课评选，以及得奖的课程。创建/编辑磨课组，并添加课例等功能。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8.我的评审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（1）我的评审：汇总我的评审任务，包含优课评选评审、听课评审和磨课等。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（2）我的被评：汇总了我被评的课程，包含优课评选、听课评审和磨课等。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9.我的互动：可以查看我参与的互动课程和联校空间。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10.网络教研：查看我的教研课、我的教研组、教研申请审核、讲课反馈、评课笔记。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11.使用手册：查看平台的使用说明。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12.支持新建和维护个人量表，仅供个人使用，用户在个人中心及创建活动时新建的量表均为个人量表。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资源管理要求具备以下功能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1.资源目录：要求资源目录按照要求版本学科册章节分类预制，减轻管理员工作量，用户可根据实际需求手动修改目录。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2.资源统计：要求统计区域下属学校的资源数量及排行，以及按学科统计平台的资源情况及学科资源数排行。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3.文档预览：支持对教案、课件、习题等文档及图片作为附件进行在线预览，类似百度文库的展示效果。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4.资源应用：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（1）用户可对资源进行收藏、下载、分享等操作，支持用户对资源进行评论和在线交流。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（2）量表评分：支持用户在点播观看的视频可以通过系统提供的量表进行在线打分评价。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（3）扫码观看：支持通过使用移动端的设备进行扫码分享和手机观看。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5.标签管理：资源发布时，用户可以选择手动填写标签，为资源的搜索提供便利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6.资源搜索：支持多种搜索条件进行组合搜索，同时也支持用户可通过标题、主讲人、标签的文本快速搜索资源。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7.管理员可设置资源分类审核，使学科管理员只管理本学科资源。管理员可关闭审核开关，设置免审核模式，教师提交的资源可自动发布到优课中心。管理员可将教师推送的资源进行修正归档。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8.资源提交：支持在站群内子站向父站提交资源。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9.录像回收：录像资源删除回收站。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课表管理要求具备以下功能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1.教室课表：可根据日历、课表查看和添加相应的课表，也可批量导入相应课表。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2.教室课表：可根据不同教师查看课表，也可进行约课。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3.课表查询：对课程预约的课程查询以及管理。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4.节次方案：设置教室相应的时间节次方案。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5.预约设置：设置教师自主预约教室的权限及限制条件。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视频点播要求具备以下功能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1.视频资源特性：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（1）无缓冲播放：支持视频直接拖拽播放，不需缓冲。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（2）资源模式：支持多画面资源模式点播，如以三分屏的方式同步播放教师画面、学生画面、课件画面。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（3）台标：可以加台标，台标格式支持PNG图片格式文件。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（4）多码率支持：要求转码时支持标清、高清、超清等多种清晰度设置，播放时可在播放器窗口进行切换。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视频直播要求具备以下功能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1.课程视图：除支持直播协议、直播预约、检索等通用直播功能外，还要求平台具有教育行业特性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（1）S-T分析：搭配固定的带有AI的录播机后，平台可自动统计呈现，课堂行为，教师、学生、及互动行为占比。根据数据自动分析本节课的课堂类型，给教师提供参考。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（2）直播互动：支持直播过程中，同时在线的用户之间进行在线探讨，类似QQ群聊的互动效果，支持量表打分。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（3）直播反馈：直播结束后系统会将视频和评论记录自动上传到教师的个人空间，供教师进行课后反思。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（4）直播分享：直播过程中，用户可分享所观看的直播，系统会自动生成二维码和链接地址。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（5）匿名观看：支持匿名用户可以观看直播的权限，满足不同区域、学校的需求。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（6）上推下达：区域内各个学校预约的直播信息可以直接推送到区平台中显示，实现子站直播预告信息的父站推送显示。便于区领导随时进入直播进行观看。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（7）自定义预约时间：支持用户可以自选直播的开始时间和结束时间，不局限于只能按课表预约，方便用户灵活使用。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（8）量表评分：支持为直播设置评分量表，在看直播时对课程进行量表打分。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（9）直播时移：直播开始后，支持拖动播放器的时间轴，回放直播。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（10）预约直播时可设置观看密码，看直播时需要输入正确的密码才能看。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通知公告要求具备以下功能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1.公告编辑：支持管理员在后台进行公告的编辑和修改功能，支持设定不同的公告类型。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2.发布公告：支持公告的快速发布，发布的公告直接在首页面显示，也支持可以将父站公告推送到下级子站点，方便用户能够快速的了解。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支持用户可以按资源的自定义专辑分类，且可以对资源进行提交与发布。</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专辑要求具有以下功能：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1.自定义专辑分类：支持用户可以实现频道加专题的资源分类，便于用户实现资源的细分管理和展示。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2.资源提交与发布：支持用户可将资源提交通过审核后发布展示在对应的专辑模块供其它用户学习观看。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3.支持将发布的专题在首页展示，用户登陆平台后可直接进入自己喜爱的专辑进行浏览和点播观看。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支持用户可以按资源的自定义主题分类，且可以对资源进行提交与发布。</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主题资源要求具有以下功能：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1.自定义资源分类：支持用户可以实现频道加专题的两级资源分类，便于用户实现资源的细分管理和展示。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2.资源提交与发布：支持用户可将资源提交通过审核后发布展示在对应的专题模块供其它用户学习观看。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3.支持将发布的专题在首页展示，用户登陆平台后可直接进入自己喜爱的专题进行浏览和点播观看。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AI课堂要求具备以下功能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管理员</w:t>
            </w:r>
            <w:r>
              <w:rPr>
                <w:rFonts w:hint="eastAsia" w:ascii="宋体" w:hAnsi="宋体" w:eastAsia="宋体"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1.支持查看大数据页面，包含设备信息，教学质量等长期数据的汇总。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2.支持AI相关的管理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（1)平台支持管理员通过批量导入的方式，实现校园师生用户信息的导入。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（2)平台支持管理员依据平台提供教学行为分析类型进行筛选，平台即可依据选择的行为分析类型进行对应分析数据的统计与呈现。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（3)平台支持管理员构建课堂内学生的人脸识别模型，并可针对构建的模型进行增强训练提高学生人脸识别的精度。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（4)平台可通过导入课表实现课堂教学分析的自动开启与停止。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（5）支持自定义特例课规则，自动对符合规则的课程进行标识。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 xml:space="preserve">教师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1.课堂教学行为包括AI分析系统能自动识别的教师和学生行为，如：讲授、板书、听讲、师生互动等多种行为。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2.课程结束后，即可自动生成该教师的课堂观察分析报告，该报告支持在线预览和导出，为教研点评提供客观数据。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3.教师可查看每节课的课堂实录，可根据不同的教学行为时序进行智能打点切片，形成行为时序图，可自动定位到课堂实录的特定时刻，方便进行快速回顾教学环节。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4.平台提供视频检索功能，满足教师依据关键词查找所需的视频文件。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5.教师可查看每节课的教与学课堂行为的占比，以便教师能客观了解自己的教学过程的分布情况，方便进行即时化的教学反思。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6.基于结构化的课堂观察方法，自动进行S-T分析，分析每节课的教学模式。如：讲授型、练习型、对话型、混合型。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7.教师可以查看自己所在班级，所授课程中的学生课堂行为分布情况。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8.支持按照时间维度，教师可查看全班学生的课堂表现情况、参与度情况，以便调整自己的课堂节奏和教学进度。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9.教师可构建自己班级课堂内学生的人脸识别模型。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10.教师可查看班级参与度整体分布，也可查看单个学生的参与度曲线，以便调整自己的教学设计。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11.教师可预约相应课程，支持自主约课、课表约课两种模式。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12.支持推课功能，向专家推送自己的课程，得到专家评课进行有效的教学反思。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13.支持教师视频自动归档，对教师模型照片与实际抓拍照片进行对比，将课程自动推送到实际上课的教师名下，方便资源管理。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14.支持回溯分析功能，课程结束后启动回溯分析，会修正教学行为分布图、教学行为时序图和教学模式图。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 xml:space="preserve">领导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1.校教学管理者可查看各科教师的课堂观察分析报告，该报告支持在线预览和导出，为教研点评提供客观数据。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2.校教学管理者可查看各科教师的课堂实录、教学模式、S-T行为分析、课堂教学行为占比、课堂表现、课堂参与度等情况。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校教学管理者可以任选两位教师的授课情况进行同课异构对比，可以查看两位教师的授课过程中的教学行为，S-T、授课类型、学生参与度的对比分析，从而对教师教学方式提供有价值的改进建议，并且可以导出对比报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4.校教学管理者可以根据学科、时间等自定义查询导出相应的教师长期数据。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 xml:space="preserve">专家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1.教育专家可查看各科教师的课堂观察分析报告，该报告支持在线预览和导出，为教研点评提供客观数据。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2.教育专家可查看各科教师的课堂实录、教学模式、S-T行为分析、课堂教学行为占比、课堂参与度分布等情况。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教育专家可以任选两位教师的授课情况进行同课异构对比，可以查看两位教师的授课过程中的教学行为，S-T、授课类型、学生参与度的对比分析，从而对教师教学方式提供有价值的改进建议，并且可以导出对比报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4.支持教育专家对单节课或对比课程进行主观评价，以便教师通过主观评价和客观数据来调整自己的教学模式。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教学反思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1.教师可在AI课堂中对已结束的课进行教学反思，结合课堂实录和AI分析数据，记录反思内容。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2.教师可在个人中心中查看个人反思记录，包括已反思课程数、未反思课程数和课程列表。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专递课堂要求具备以下功能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1.支持多层级数据管理，完成在线课堂的数据统计、网络监管。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2.支持按行政区域划分自建互动组织结构，支持可视化行政区域数据统计，以区域地图为框架，向下可延展县、校的树形结构覆盖，向上实现与区、市、省等上级平台的数据共享。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3.支持多层级的账号管理，根据不同的管理方式，设置以区域、以角色设置的账号，不同的账号具备不同的管理权限。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4.数据可视化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（1）在可视化行政区域具体统计中，支持按照课程维度进行统计。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（2）课程统计要求按行政区域统计本学期的课程开设情况，支持行政区域内的联校显示。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（3）点击地图某区域显示其辖区的课程开设情况（最小支持到区、县层级）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（4）课程开设情况包括主讲课堂数量、听讲课堂数量，支持本学期内开课情况的统计，包括计划开课数量、覆盖学生数量、授课老师数量，本周内上课数及已授课数，支持网络数据导出。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5.支持以区域行政单位，如县等为单位数据排名，模块首页展示辖区内的资源活跃度及各单位的数据排名，以及各学校的资源数量排行。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6.支持以学校为单位的联校设置，支持1V1～1V8等多种模式绑定互动开课。支持以学校为单位的不同绑定形式。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区域内的统一课表管理，实现课前排课，课中自动组队授课、课后资源自动归集的课程管理。课前支持开课信息的显示，课中支持在线课堂的网络观摩，课后将上课资源自动上传到资源展示区，实现课后的点播、网络观摩，支持导入课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8.支持课表查询，支持以老师、学校、学科、授课学校为单位的课表查询。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9.支持区域开课公告，具备在线课堂公告及网络观摩功能，网络观摩支持实时在线观摩以及课堂录像的观摩。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10.支持在线课堂图形化开课公告，实现即将开课的网络公告，能够体现开课科目及学校。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11.支持在线课堂直播的信息展示，如课程名称、主讲学校、授课老师、听讲学校。同时能够以附件的形式上传授课教师的PPT、教案、课程习题等相关资源，支持PPT、word 等格式的在线预览。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12.支持在线课堂授课中的课程评论。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13.具备联校空间展示，支持在联校空间预约课程、展示联校平台的动态，展示联校资源及统计排名、管理维护空间信息。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14.以联校为单位的空间展示，支持联校空间数量统计，开课数量统计，近期排课数量。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15.支持显示联校的本周内课表，对即将开课的情况进行展示。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16.支持联校输出资源展示，以学段、学科形式的目录展示。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17.支持联校信息展示，主讲校和空间介绍。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18.在不创建联校空间的情况下可自定义约课。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19.管理员可强制停止互动课程。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20.支持设置互动组，互动组中的教室可通过终端一键开课。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21.通过终端创建的课程，支持在平台中查看直播和录像资源。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22.支持内网和外网两种网络环境下的互动。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23.支持通过口令密码加入互动课堂。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24.添加互动课表时，可设置课件投屏功能开关。可选择互动讨论模式的布局，例如等比例或1主多副画面。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25.互动统计：可查看区域内的互动开展情况。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（1）开课趋势：区域内各站点近一年和近一学期的开课数量变化趋势。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（2）同步课堂：各学校的同步课堂数量和区域分布情况。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（3）联校空间：可视化呈现校际间主讲校和听讲校已创建的联校空间。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（4）学科、教师统计：各个学科开展互动课堂的占比，各个教师开展互动课堂的数量。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（5）区域数据：该区域下各个学校的应开课数量、实开课数量、开课占比、计划课时数、实开课时数、实开课占比、平均开课数、资源总数。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（6）教师统计：分区域和学校查看各个教师的计划课时、学期已授课、授课比例、听讲校、受益学生，可导出数据查看。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支持将名师的优质资源以专辑的形式展示共享。</w:t>
            </w:r>
          </w:p>
          <w:p>
            <w:pPr>
              <w:keepNext w:val="0"/>
              <w:keepLines w:val="0"/>
              <w:widowControl/>
              <w:suppressLineNumbers w:val="0"/>
              <w:jc w:val="left"/>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名师课堂要求具备以下功能：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1.名师维护：编辑名师信息，上传名师图片。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2.专辑维护：按照学科目录，以教材结构建立不同专辑，支持自建专辑类型。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3.专辑列表：名师专辑列表显示。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4.视频关联：专辑下的课堂视频可关联相关课件、教案、习题等文档资料。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5.文档预览：文档、课件资源可以在线预览。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6.支持教师级别和教师类型，可数据字典自定义功能。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7.支持设置下级站点教师为名师的功能。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平台可组织在线大规模优质课评选活动，组织从评选公告发布到上报优课、专家评选、奖项公布、获奖视频归档等全部流程。</w:t>
            </w:r>
          </w:p>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优质课评选要求具备以下功能：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1.查看活动进程：要求用户在活动首页即可了解活动的报名数量统计及活动进程情况。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2.创建评选活动：由管理员或组织者创建评选活动、编辑活动信息，同时设置活动的进程截止日、添加评委。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3.分配任务：管理员可将待评选的课程分门别类分配给相关专家，分配完成后专家在个人空间将会受到消息提醒。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4.奖项设置：管理员对评选活动的奖项进行设置。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5.上报参赛作品：教师进入正在进行中的活动评选页面，可上报课堂录像，并关联教案课件。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6.专家评课：专家在活动页进行评课，可以查看已评的课和待评的课。支持三种评课方式：自定义量表评估、文字总评和打分评价。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7.票选模式：发起优课评选活动时，可以将活动设定为投票模式，对参加评选的课程可以投票，根据投票结果排名。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8.评课反馈：评选过程和评选结果通过消息系统反馈参赛人员、专家和活动组织者。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9.优质课程归档：支持集中展示历次评选出来的优质课程。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10.支持根据评审结果自动为参赛作品匹配预设奖项功能，也可在发布前手动干预调整作品获奖结果。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11.支持批量报名功能和以纯文档格式的报名方式，可在报名时间结束前前往报名记录中编辑报名信息或取消报名。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12.支持区分评委/非评委评比作品界面，评委界面凸显“我的评审”，并标注已评/未评状态和数量，未评作品优先展示，已评作品展示评分。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13.支持评审详情及未评提醒功能，评审播放页面按钮进行循环切换，循环顺序与外部作品列表顺序一致。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14.支持分组报名名额限制，报名时只显示有报名名额的分组，已满额分组不在展示。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网络教研要求具备以下功能：</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活动管理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1.创建课例评课、在线评课和现场观摩三种类型的网络听评课活动，课例评课针对已经结束的录播课，在线评课则是在线通过平台实时听评课，现场观摩适用于在讲课现场听评课。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2.选择基础信息、量表和权限，平台预置评价量表，同时也支持自定义量表，权限可以控制不同的用户加入和审核，满足不同应用场景的活动需求。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3.创建教研组，选择成员、组长、学段、年级、学科和权限等，可以针对某一个主题进行研讨，在组内创建教研课，针对教研组成员开展三种类型的活动。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4.审核创建教研课和教研组的申请。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5.活动归档，结束活动并保存活动过程数据。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6.听课记录：用户在听课过程中，支持打点记录听课过程，从课程亮点、待改进点及课程思考三个方面对课程进行综合评价与反思。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7.支持查看评分记录和听课记录。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扫码教研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支持手机扫码进入研修活动。通过手机端进行网络教研。扫码后须具备以下功能。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发现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1.支持切换站点，扫一扫加入教研组和教研课，搜索课程和教研组。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2.查看即将开始和正在进行的教研课，查看公开的教研组。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3.支持查看课堂教学视频实录与量化数据，可快速进行教学反思。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4.支持教研组，教研课活动的创建和参与。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教研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1.支持多路视角听评课，可以查看教师、学生、电影、VGA等多路视频，全方位听评课堂。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2.支持多种评课形式：主观评价、量表评价、教学环节评价。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3.可同时查看教研课视频和自动量化的行为分析数据，通过AI分析的数据结果辅助教师进行听评课。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4.支持查看师生课堂行为时序图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5.支持基于师生课堂行为时序图进行评价，评价内容与视频时间对应，自动记录评价时间点。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6.量表评价支持自定义量表，可根据教研实际情况定义量表评分项和分数，量表评价后自动生成教师教学能力矩阵图。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7.评课过程中同时支持评论、签到和查看相关资料。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8.可对不同的教学环节记录笔记，支持文本、图片、短视频、画板等多种形式记录。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9.支持同课异构对比，对两节教研课进行对比分析，从课堂类型、课堂行为、课堂表现、量表得分、能力矩阵等多个维度对比查看。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10.评课结束，支持导出包含师生课堂行为数据、课堂参与度曲线、S-T折线图、以及课堂类型、量表评分详情、教师教学能力矩阵、评课总结等数据报告。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具备反思和话题功能，可以在个人中心查看反思课程，讲课反馈、评课记录等内容</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教研评课要求具备以下功能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1.课例评课可以对已经结束的课程进行听评课，有AI分析数据的可以查看AI数据，打点评价。在线评课通过网络直播的方式，在线听课并实时评价。现场观摩可以在平台上共享资源、记录笔记和签到。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2.教研课程中可查看课例基础信息、教师、学生和板书等多路视频、素材，并可发布打点笔记和留言讨论。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3.对有AI分析的课程可以查看课堂行为时序、参与度分布、教学行为分布和课堂类型，并对行为时序中的点，参与度曲线的高低点进行主观评价。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4.可对教研课程进行量表评课和主观评课，并查看评课记录和教学能力矩阵，导出分析报告。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数据展示要求具备以下功能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1.教研组中可选择两节课进行对比，查看对比分析报告。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2.查看各教研组和教研课程的数量和列表。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3.可通过搜索教研组和教研课名称查找教研组/教研课。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4.教研组列表可查看已加入的教研组，可在发现中申请加入未加入的教研组。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5.教研组中可查看组内成员及其学校、评课次数信息。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6.教研课程中可按学段和学科筛选，按全部、即将开始、进行中、已结束进行筛选。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7.教研课程中按热度展示热门活动排行和教师评课排行前五名。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8.查看开展教研次数、在线评课数量、课例评课数量和评课总人数。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教研统计要求具备以下功能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1.开展教研次数、在线评课数量、课例数量和评课总人数展示。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2.各站点的教研数量和占比，不同学科优秀、良好、合格、不合格课程的占比。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3.在线评课、现场观摩和课例评课的数量和占比，按月的变化趋势。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4.查看全区所有教研员评课数排行和ABCD四类课程的数量。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5.分学段和学科查看每节课程的数据和分析报告。</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可视化集管平台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1.支持用户管理、角色权限管理、课表管理、教室管理、设备管理、资产管理、报修管理、服务器管理、录像管理、日志管理等多种基础管理模块。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2.支持全自动/半自动/手动三种录播控制方式，支持电影、资源（三分屏）及电影+资源三种模式进行录制、直播、点播。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3.支持设备增长趋势、设备监管、运行时长分布、运行时长统计、巡课统计等信息统计功能。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4.支持摄像机机位自动复位，支持一键复位所有摄像机位置。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5.支持远程导播功能，含录像控制（开始录制、暂停、停止）、云台控制（推拉摇移、设置预置位、控制预置位)、画中画模式、特效切换等。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6.支持查看每间录播教室内设备的状态信息，如在线状态、录像状态、当前是否有课等，包括录播系统中服务器的配置信息。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7.支持查看平台录像回传情况。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8.支持通过客户端实时巡视教室，查看教师授课、学生听讲及电脑屏幕等。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9.巡课界面能将有课教室做特殊标记，方便巡课督察，可自定义根据教室或教学系树形结构进行巡课，支持4、9、16等多种分屏。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10.支持手动或自动轮巡，支持巡视过程中截图、本地录制。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11.支持远程实时查看各教室的上课实况，并可以多角度的查看（包括老师画面、学生画面，PPT画面），可对精彩片段进行本地录制或画面抓取。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12.支持对教室内的网络摄像机、录播主机统一集中监控。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13.支持根据权限对资源进行删除、下载操作。提供资源回收站功能，可对误删除的资源进行再次恢复。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14.支持对服务器存储空间进行监控，达到设定警告值后进行警告。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15.支持基于pc发起全校广播，支持音频广播、直播广播、文件广播、字幕广播。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16.支持直播分享：将教室的部分画面生成网页进行分享，页面可设置访问时效及密码，支持对该时段内的课程进行评课，允许同时访问该页面的用户进行实时聊天。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17.支持信息统计：教室数量、各类设备数量、课表排课数、临时排课数、课堂录像数、课堂直播数、直播分享数、监考考场数等信息的统计。</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辅材及安装调试</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交换机、小机柜、电源线、网线、音频线、线槽、线管、水晶头、绝缘胶带、标签、线扎等满足。</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（九）智慧黑板（核心产品）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highlight w:val="none"/>
                <w:u w:val="none"/>
                <w:lang w:val="en-US" w:eastAsia="zh-CN" w:bidi="ar"/>
              </w:rPr>
              <w:t>智慧黑板（核心产品）</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 整机需采用一体化（ABA方式）拼接设计。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2.副板采用金属材质纳米镀膜，支持磁性材料吸附。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3.屏幕尺寸≥86英寸，屏幕显示分辨率最高可支持4K，屏幕刷新率可达60Hz画面无闪烁。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4.液晶屏幕对比度≥4000:1，亮度≥400cd/㎡；屏幕表面采用厚度≥4mm钢化玻璃，具有防眩光功能。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5.●采用电容触控技术，在Android、Windows双系统下均支持≥20点触控，触控笔接触面积直径≥6mm，触摸响应时间≤10ms，书写精度≤2mm。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6.整机外观尺寸宽度≥4200mm，高度≥1200mm。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7.设备支持一键还原功能。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8.OPS插拔式电脑：采用插拔式电脑模块架构，针脚数≥80pin，处理器配置Intel Core i5处理器，≥8G内存，≥256G-SSD固态硬盘。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9.Windows客户端投屏至少支持桌面同步、镜像投屏和拓展投屏功能。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（十）视频展台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视频展台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1.箱体环保材质，整机无锐角无利边设计。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2.文稿展示区域须采用折叠式开合托板。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3.机身须带有安全锁。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4.托板上须带有防滑书夹。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5.≥800万像素，影像区域A4面积，支持白平衡自动调节，传输速度30帧率/秒。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6.采用USB高速接口，单根USB线实现数据传输和供电。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7.分辨率支持4160×3120、3264x2448、2592×1944、2048×1536、1920×1080、640×480等。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8.整机自带LED补光灯支持放大、缩小、旋转、冻结功能。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（十一）集控平台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集控平台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配套控制软件，支持远程控制管理，支持远程开关机、在线查看设备状态等功能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（十二）教室护眼灯（核心产品）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highlight w:val="none"/>
                <w:u w:val="none"/>
                <w:lang w:val="en-US" w:eastAsia="zh-CN" w:bidi="ar"/>
              </w:rPr>
              <w:t>教室护眼灯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教室黑板灯（2盏）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1.一体式LED灯具，整灯长度：≥1200mm。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2.LED黑板灯色温5000±100K，色容差（色品容差）≤3。)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3.LED黑板灯显色指数Ra≥90，R9≥70。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4.LED黑板灯功率≥36W±10%，功率因数≥0.97，灯具效能≥900m/w。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5.LED黑板灯开关循环寿命≥50000次，且光通维持率≥98%。LED黑板灯50000小时或以上光通维持率≥98%。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6.LED 黑板灯满足 20kHz-10MHz 感应电流密度系数≤0.2。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7.LED黑板灯蓝光危害等级为RG0。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8.●LED黑板灯寿命≥50000小时。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9.模拟真实教室数据 LED 黑板灯平均照度≥ 500LX，照度均匀度≥0.7，统一眩光值≥17，照明功率密度≥8W/m2，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教室护眼灯（9盏）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1.一体式LED灯具，整灯长度：≥1200mm。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2.教室护眼灯色温5000±150K，色容差（色品容差）≤3。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3.教室护眼灯显色指数Ra≥95，R9≥95。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4.教室护眼灯功率≥36W±10%，功率因数≥0.97，灯具效能≥900m/w。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5.教室护眼灯开关循环寿命≥50000次，且光通维持率≥98%。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6.教室护眼灯50000小时或以上光通维持率≥98%。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7.教室护眼灯满足 20kHz-10MHz 感应电流密度系数≤0.2。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8.教室护眼灯蓝光危害等级为RG0。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9.教室护眼灯寿命≥50000小时。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10.LED教室护眼灯50000 次及以上开关通断后的光通量的维持率≥98%、Ra≥95、R9≥95、R11≥90 及色容差&lt;3SCDM。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11.模拟真实教室数据LED教室灯平均照度≥300LX，照度均匀度≥0.7，统一眩光值≥16，照明功率密度≥8W/㎡。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备注：含教室照明图纸设计，线缆、开关改造及灯具安装，满足国家标准照明要求。</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550间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（十三）高清显示终端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高清显示终端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1.尺寸：≥75寸。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2.分辨率：≥3840x2160。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3.可视角度：≥178°。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4.CUP：≥四核处理器。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5.内存：≥1.5G。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6.闪存：≥8G。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7.WiFi：双频 2.4GHz/5GHz。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8.HDMI：≥2个。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9.配套移动支架。</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（十四）物理数字实验室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教师演示台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6036290"/>
                  <wp:effectExtent l="0" t="0" r="0" b="0"/>
                  <wp:wrapNone/>
                  <wp:docPr id="64" name="Object_2_SpCnt_24"/>
                  <wp:cNvGraphicFramePr/>
                  <a:graphic xmlns:a="http://schemas.openxmlformats.org/drawingml/2006/main">
                    <a:graphicData uri="http://schemas.openxmlformats.org/drawingml/2006/picture">
                      <pic:pic xmlns:pic="http://schemas.openxmlformats.org/drawingml/2006/picture">
                        <pic:nvPicPr>
                          <pic:cNvPr id="64" name="Object_2_SpCnt_24"/>
                          <pic:cNvPicPr/>
                        </pic:nvPicPr>
                        <pic:blipFill>
                          <a:blip r:embed="rId13"/>
                          <a:stretch>
                            <a:fillRect/>
                          </a:stretch>
                        </pic:blipFill>
                        <pic:spPr>
                          <a:xfrm>
                            <a:off x="0" y="0"/>
                            <a:ext cx="1162050" cy="1603629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9043015"/>
                  <wp:effectExtent l="0" t="0" r="0" b="0"/>
                  <wp:wrapNone/>
                  <wp:docPr id="48" name="Object_2_SpCnt_25"/>
                  <wp:cNvGraphicFramePr/>
                  <a:graphic xmlns:a="http://schemas.openxmlformats.org/drawingml/2006/main">
                    <a:graphicData uri="http://schemas.openxmlformats.org/drawingml/2006/picture">
                      <pic:pic xmlns:pic="http://schemas.openxmlformats.org/drawingml/2006/picture">
                        <pic:nvPicPr>
                          <pic:cNvPr id="48" name="Object_2_SpCnt_25"/>
                          <pic:cNvPicPr/>
                        </pic:nvPicPr>
                        <pic:blipFill>
                          <a:blip r:embed="rId13"/>
                          <a:stretch>
                            <a:fillRect/>
                          </a:stretch>
                        </pic:blipFill>
                        <pic:spPr>
                          <a:xfrm>
                            <a:off x="0" y="0"/>
                            <a:ext cx="1162050" cy="1904301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7816830"/>
                  <wp:effectExtent l="0" t="0" r="0" b="0"/>
                  <wp:wrapNone/>
                  <wp:docPr id="62" name="Object_2_SpCnt_26"/>
                  <wp:cNvGraphicFramePr/>
                  <a:graphic xmlns:a="http://schemas.openxmlformats.org/drawingml/2006/main">
                    <a:graphicData uri="http://schemas.openxmlformats.org/drawingml/2006/picture">
                      <pic:pic xmlns:pic="http://schemas.openxmlformats.org/drawingml/2006/picture">
                        <pic:nvPicPr>
                          <pic:cNvPr id="62" name="Object_2_SpCnt_26"/>
                          <pic:cNvPicPr/>
                        </pic:nvPicPr>
                        <pic:blipFill>
                          <a:blip r:embed="rId13"/>
                          <a:stretch>
                            <a:fillRect/>
                          </a:stretch>
                        </pic:blipFill>
                        <pic:spPr>
                          <a:xfrm>
                            <a:off x="0" y="0"/>
                            <a:ext cx="1162050" cy="1781683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7816830"/>
                  <wp:effectExtent l="0" t="0" r="0" b="0"/>
                  <wp:wrapNone/>
                  <wp:docPr id="68" name="Object_2_SpCnt_27"/>
                  <wp:cNvGraphicFramePr/>
                  <a:graphic xmlns:a="http://schemas.openxmlformats.org/drawingml/2006/main">
                    <a:graphicData uri="http://schemas.openxmlformats.org/drawingml/2006/picture">
                      <pic:pic xmlns:pic="http://schemas.openxmlformats.org/drawingml/2006/picture">
                        <pic:nvPicPr>
                          <pic:cNvPr id="68" name="Object_2_SpCnt_27"/>
                          <pic:cNvPicPr/>
                        </pic:nvPicPr>
                        <pic:blipFill>
                          <a:blip r:embed="rId13"/>
                          <a:stretch>
                            <a:fillRect/>
                          </a:stretch>
                        </pic:blipFill>
                        <pic:spPr>
                          <a:xfrm>
                            <a:off x="0" y="0"/>
                            <a:ext cx="1162050" cy="1781683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6036290"/>
                  <wp:effectExtent l="0" t="0" r="0" b="0"/>
                  <wp:wrapNone/>
                  <wp:docPr id="67" name="Object_2_SpCnt_28"/>
                  <wp:cNvGraphicFramePr/>
                  <a:graphic xmlns:a="http://schemas.openxmlformats.org/drawingml/2006/main">
                    <a:graphicData uri="http://schemas.openxmlformats.org/drawingml/2006/picture">
                      <pic:pic xmlns:pic="http://schemas.openxmlformats.org/drawingml/2006/picture">
                        <pic:nvPicPr>
                          <pic:cNvPr id="67" name="Object_2_SpCnt_28"/>
                          <pic:cNvPicPr/>
                        </pic:nvPicPr>
                        <pic:blipFill>
                          <a:blip r:embed="rId13"/>
                          <a:stretch>
                            <a:fillRect/>
                          </a:stretch>
                        </pic:blipFill>
                        <pic:spPr>
                          <a:xfrm>
                            <a:off x="0" y="0"/>
                            <a:ext cx="1162050" cy="1603629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9043015"/>
                  <wp:effectExtent l="0" t="0" r="0" b="0"/>
                  <wp:wrapNone/>
                  <wp:docPr id="59" name="Object_2_SpCnt_29"/>
                  <wp:cNvGraphicFramePr/>
                  <a:graphic xmlns:a="http://schemas.openxmlformats.org/drawingml/2006/main">
                    <a:graphicData uri="http://schemas.openxmlformats.org/drawingml/2006/picture">
                      <pic:pic xmlns:pic="http://schemas.openxmlformats.org/drawingml/2006/picture">
                        <pic:nvPicPr>
                          <pic:cNvPr id="59" name="Object_2_SpCnt_29"/>
                          <pic:cNvPicPr/>
                        </pic:nvPicPr>
                        <pic:blipFill>
                          <a:blip r:embed="rId13"/>
                          <a:stretch>
                            <a:fillRect/>
                          </a:stretch>
                        </pic:blipFill>
                        <pic:spPr>
                          <a:xfrm>
                            <a:off x="0" y="0"/>
                            <a:ext cx="1162050" cy="1904301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6036290"/>
                  <wp:effectExtent l="0" t="0" r="0" b="0"/>
                  <wp:wrapNone/>
                  <wp:docPr id="60" name="Object_2_SpCnt_30"/>
                  <wp:cNvGraphicFramePr/>
                  <a:graphic xmlns:a="http://schemas.openxmlformats.org/drawingml/2006/main">
                    <a:graphicData uri="http://schemas.openxmlformats.org/drawingml/2006/picture">
                      <pic:pic xmlns:pic="http://schemas.openxmlformats.org/drawingml/2006/picture">
                        <pic:nvPicPr>
                          <pic:cNvPr id="60" name="Object_2_SpCnt_30"/>
                          <pic:cNvPicPr/>
                        </pic:nvPicPr>
                        <pic:blipFill>
                          <a:blip r:embed="rId13"/>
                          <a:stretch>
                            <a:fillRect/>
                          </a:stretch>
                        </pic:blipFill>
                        <pic:spPr>
                          <a:xfrm>
                            <a:off x="0" y="0"/>
                            <a:ext cx="1162050" cy="1603629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7816830"/>
                  <wp:effectExtent l="0" t="0" r="0" b="0"/>
                  <wp:wrapNone/>
                  <wp:docPr id="61" name="Object_2_SpCnt_31"/>
                  <wp:cNvGraphicFramePr/>
                  <a:graphic xmlns:a="http://schemas.openxmlformats.org/drawingml/2006/main">
                    <a:graphicData uri="http://schemas.openxmlformats.org/drawingml/2006/picture">
                      <pic:pic xmlns:pic="http://schemas.openxmlformats.org/drawingml/2006/picture">
                        <pic:nvPicPr>
                          <pic:cNvPr id="61" name="Object_2_SpCnt_31"/>
                          <pic:cNvPicPr/>
                        </pic:nvPicPr>
                        <pic:blipFill>
                          <a:blip r:embed="rId13"/>
                          <a:stretch>
                            <a:fillRect/>
                          </a:stretch>
                        </pic:blipFill>
                        <pic:spPr>
                          <a:xfrm>
                            <a:off x="0" y="0"/>
                            <a:ext cx="1162050" cy="1781683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1162050" cy="19043015"/>
                  <wp:effectExtent l="0" t="0" r="0" b="0"/>
                  <wp:wrapNone/>
                  <wp:docPr id="63" name="Object_2_SpCnt_32"/>
                  <wp:cNvGraphicFramePr/>
                  <a:graphic xmlns:a="http://schemas.openxmlformats.org/drawingml/2006/main">
                    <a:graphicData uri="http://schemas.openxmlformats.org/drawingml/2006/picture">
                      <pic:pic xmlns:pic="http://schemas.openxmlformats.org/drawingml/2006/picture">
                        <pic:nvPicPr>
                          <pic:cNvPr id="63" name="Object_2_SpCnt_32"/>
                          <pic:cNvPicPr/>
                        </pic:nvPicPr>
                        <pic:blipFill>
                          <a:blip r:embed="rId13"/>
                          <a:stretch>
                            <a:fillRect/>
                          </a:stretch>
                        </pic:blipFill>
                        <pic:spPr>
                          <a:xfrm>
                            <a:off x="0" y="0"/>
                            <a:ext cx="1162050" cy="1904301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lang w:val="en-US" w:eastAsia="zh-CN" w:bidi="ar"/>
              </w:rPr>
              <w:t xml:space="preserve">1.规格：≥2800 X 700 X 850mm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2.台面:采用新型、环保、基材，整体25mm厚（边缘加边处理）优质理化板。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桌身：整体采用1.0mm厚优质冷轧钢板，桌体整体通过CNC流水线数控处理焊接部分打磨、抛光，平滑过渡处理，焊点无毛刺和假焊。表面均经静电环氧树脂粉末喷涂处理，涂层平整光滑，无喷涂层脱落、鼓泡、凹陷、压痕以及表面划伤、麻点、裂痕、崩角和刃口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4.结构：演示台设有储物柜，中间为演示台，包含电源主控系统、多媒体设备（主机、显示器、中控、功放、交换机）的位置预留。含≥330 X 440mm PP水槽、下水管和溢流管。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5.滑道：抽屉开合十万次不变形，铰链：开合十万次不变形。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6.下水管和溢流管：排水管规格:直径≥35mm X 长度≥500mm水槽专配型排水管，不锈钢卡扣连接；溢流管规格:直径≥30mm X 长度≥500mm水槽专配型排水管，不锈钢卡扣连接。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1张</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教师控制模块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1.教师演示台配备总漏电保护和分组保护，可分组控制学生的高低压电源，确保学生实验安全方便。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2.教师电源总控采用≥7寸"电阻式"液晶屏，显示智能控制按键同时显示电源电压。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3.教师交流电源通过智能控制按键直接选取0～30V电压，最小调节单元可达1V，额定电流6A；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4.教师直流电源也是通过智能控制按键直接选取，调节范围为0～30V，分辨率可达0.1V，额定电流4A；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5.低压大电流值为40A，自动关断；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教学电源：220V交流输出为带安全门的新国标插座，带有电源指示，学生低压交流电源可通过智能控制按键直接选取0～30V电压，最小调节单元为1V，组输送至学生桌；低压直流电压教师能准确控制，最小调节单元为0.1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7.集中控制系统：升降控制：可以实现单个控制，可以集中控制，可以任意组合控制；补光控制：分组控制整室照明；学生220V电源控制：控制学生AC220V电源；低压控制：教室主控，分组控制。</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远程控制模块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1.支持远程虚拟串口、虚拟TCP通道连接PLC，实现远程监控。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 TCP/UDP/Telnet /Modbus TCP协议。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 RS232/RS422/RS485 转 Wi-Fi/以太网数据传输，串口速率最高 230400 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4.支持无线工作 STA/AP/AP+STA。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5.支持路由/桥接模式网络架构。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6.支持网页方式、PC 软件简易配置。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7.支持数据 TLS/AES/DES3 安全加密配置。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8.支持网页 OTA 无线升级。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9.宽电压 5～36VDC 供电。</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实验室主控制仪</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1.尺寸≥100 X 135 X 56mm。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2.额定输出电流10A-80A。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3.额定输出电压交流380V。</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教师坐席</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规格：500mm X 500mm X 800mm采用皮革制成，可升降，带滑轮</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2把</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控制终端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1.显示屏：≥10.1英寸， ≥1920×1200。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2.平台：≥8核， ≥2.0GHz。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3.运行内存：≥3GB。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4.闪存：≥32GB。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5.扬声器：≥2个扬声器。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6.前置摄像头：≥5MP。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7.后置摄像头：≥8MP。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8.无线网络：802.11 a/b/g/n/ac (2.4G&amp;5G)。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9.操作系统：安卓9.0及以上。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10.电池容量：≥7000 mAh。</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实验室智能控制系统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1.支持系统设置教室类型，物理、化学、生物三个类型，教室配置下设吊装、考试桌、通风等选项，考试桌和吊装支持48座和56座选项。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2.设置多媒体选项，可对教室内多媒体设备进行控制。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3.支持修改登录密码；支持设置连接网络信号；支持设置学校名称，学校名称显示在主界面；系统支持设置自动关机时间。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4.支持吊装电源控制、实验台控制系统两个大模块； 支持电源控制，可分总控和分组控制两种模式，分别给ABCD四组送电，可设置考试桌交流220v和直流总控和分控； 实验桌控制设置三种教学模式，分别为教学模式、电脑模式、考试模式。可设置一键网络开启和录像开启；支持一键开启对应的考试桌功能模块，可全选和独立选中；支持对物理实验室吊装的电源上升和下降，且支持整体控制和独立控制；支持吊装控制系统设置照明、电源220V、0-24V、电源摇臂总控和分开控制，电源可支持上升和下降功能；支持控制音响、窗帘、照明、温度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5.支持电源控制、实验桌控制系统、吊装控制系统三个模块； 支持电源控制，可分总控和分组控制，分别给ABCD四组送电，可设置考试桌交流220v和直流总控和分控； 实验台控制设置三种教学模式，分别为教学模式、电脑模式、考试模式。可设置一键网络开启和录像开启；支持一键开启对应的考试桌功能健，可全选和独立选中；支持吊装控制系统设置照明、电源220V、0-24V、风管、电源摇臂总控和分开控制，风管和电源可支持上升和下降功能，支持风机启动和停止功能键，风力大小可调。支持供水开启、停止功能键，支持清洁水槽和一键排水功能。水槽控制线接入后，电源摇臂不允许动作，发生误操作后有警告提示； 支持控制音响、窗帘、照明、温度等。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主界面显示电源控制、实验台控制系统两个模块；支持电源控制，可分总控和分组控制两种模式，分别给ABCD四组送电，可设置考试桌交流220v和直流总控和分控；实验桌控制设置三种教学模式，分别为教学模式、电脑模式、考试模式。可设置一键网络开启和录像开启；支持一键开启对应的考试桌功能模块，可全选和独立选中；支持吊装控制系统设置照明、电源摇臂总控和分开控制。支持供水开启、停止功能键，支持清洁水槽和一键排水功能。水槽控制线接入后，电源摇臂不允许动作，发生误操作后有警告提示。</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智慧黑板</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 整机需采用一体化（ABA方式）拼接设计。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2.副板采用金属材质纳米镀膜，支持磁性材料吸附。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3.屏幕尺寸≥86英寸，屏幕显示分辨率最高可支持4K，屏幕刷新率可达60Hz画面无闪烁。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4.液晶屏幕对比度≥4000:1，亮度≥400cd/㎡；屏幕表面采用厚度≥4mm钢化玻璃，具有防眩光功能。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5.采用电容触控技术，在Android、Windows双系统下均支持≥20点触控，触控笔接触面积直径≥6mm，触摸响应时间≤10ms，书写精度≤2mm。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6.整机外观尺寸宽度≥4200mm，高度≥1200mm。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7.设备支持一键还原功能。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8.OPS插拔式电脑：采用插拔式电脑模块架构，针脚数≥80pin，处理器配置Intel Core i5处理器，≥8G内存，≥256G-SSD固态硬盘。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9.Windows客户端投屏至少支持桌面同步、镜像投屏和拓展投屏功能。</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一体化测评试验台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1.规格：≥1300mm X 700mm X 800mm（长 X 宽 X 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2.台面：采用优质实芯理化板，可抵抗多种酸，碱，强氧化剂等腐蚀试剂。台面四周采用数控修边处理，光滑无毛刺，所有接缝处做处理，边缘双层加厚处理，双向弧形倒角。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桌体：内部整体结构框架采用优质铝型材组装连接，增强桌体承重性及整体稳定性。桌体内外两侧及背板部分采用ABS环保材料注塑成型，增强桌体机械强度及整体美观性，满足耐化学腐蚀、耐热，表面具备高硬度、高弹性、高韧性、电绝缘性、耐候性等各性能硬性指标。型材表面经高压静电喷涂环氧树脂防护层，耐酸碱、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4.挡板升降系统：升降挡板采用≥5mm PC一体加工成型，升降高度≥350mm，可预防桌面东西滑落和考试过程中受到外界干扰。升降结构采用铝合金型材制作并配有垂直导向，保持牢固与稳定，电机应采用静音型产品，不产生噪音。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显示器升降系统：升降显示器采用≥21.5吋高清显示屏，内嵌于桌体内部，集成俯视角度采集系统模块一体化升降。电机应采用静音型产品，不产生噪音，升降结构采用轮齿条升降，传动精确、运行平稳、不会变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6.急停模块：当发生故障或出现异常时，学生可按急停按钮以阻断一体化考试桌供电，且不影响其他学生正常实验操作。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7.电源模块：配备220V五孔插座2个，并配备防护罩以避免液体泼洒造成电源短路等故障；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8.网络模块：配备千兆RJ-45网络接口×1；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9.交直流模块：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①直流稳压输出：0-24VDC，额定电流2A；最小调节单元0.1V。交流电压输出：0-24VAC，额定电流2A；最小调节1V。交直流电源具有过载保护、短路保护、智能检测功能，显示保护提示。采用自动复位功能免除反复过载冲击负载，保护功能更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②电源配置2.4吋触控屏，实时显示电压和电流等信息；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③每个学生低压电源都可接收主控电源发送的锁定信号，在锁定标识显示后，学生端接收教师端输送的设定电源电压，教师锁定时，学生自己无法操作，这样可避免学生的误操作。学生低压电源可以分组或独立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10.储物空间：桌沿前部配有抽屉。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配备两路视频采集通道，一路用于实验操作视频的全景录制，用于学业考试时评价学生的实验操作技能水平或平时教学中用于帮助学生检查和纠正实验操作错误；一路用于不同角度录制实验操作细节，是对全景录制有效的补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频采集系统采用1/2.8英寸，200万像素CMOS传感器，最大帧率支持1080P@30fps，镜头采用3mm定焦镜头，F=2.2，水平视场角90°，垂直视场角56°；支持2D/3D数字降噪，信噪比≥45dB；兼容H.265/H.264视频压缩技术，超低码率、高清画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24张</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学生实验坐席</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规格：≥300 X 300 X 450，表面纹理压花ABS材质，整体螺杆采用环氧树脂处理，可升降凳脚稳定。</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48条</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智能吊装升降机构</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1.采用电动吊装升降式，接收智能控制系统信号实现远程遥控，吊装式。完全缩进高度(含电源)≥1200mm，完全伸出高度(含电源)≥1780mm，模块化设计，每组模块间采用活接式连接，方便安装、检修。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2.电源升降臂规格：外尺寸≥100 X 100 X 780mm、内尺寸≥90 X 90 X 780mm。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3.升降臂材质：采用≥3mm厚的优质铝镁合金大型模具制作而成，内外臂皆为一体型材，增加强度，不得为小件型材拼凑，表面经电泳、静电环氧树脂粉末喷涂。电源箱体整体尺寸为≥248 X 248 X 134mm，材质为：高强度ABS材料，由磨具一体成型，美观耐用。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4.学生电源采用耐磨、耐腐蚀、耐高温的PC亮光薄膜面板，控制采用功能按钮，数字键盘输入，可以随意设置电压，准确、快捷。贴片元件生产技术，微电脑控制。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直流稳压输出：0-16V，额定电流2A；16-30V，额定电流1A。最小调节单元0.1V；交流电压输出：0~18V，额定电流2A；18V-30V，额定电流2A。最小调节单元1V；交直流电源具有过载保护智能检测功能，闪“过载”提示。采用按钮复位功能免除反复过载冲击负载，保护功能更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6.电压，电流高亮度数码显示。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学生低压电源都可接收主控电源发送的锁定信号，在锁定指示灯点亮后，学生接收教师输送的设定电源电压，教师锁定时，学生自己无法操作，这样可避免学生的误操作。可以分组或独立控制；每组都有独立变压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8.每组3路国标五孔交流220V电压输出，保险过载保护。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9.高压，低压独立分开操作，互不关联。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10.电源系统具有垂直升降功能。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顶部多模块电源供应装置</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采用ABS材质，模具一体成型。模块内预留高压、低压位置。</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模块储藏装置</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采用ABS材质，模具一体成型，四周带LED氛围灯。</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低压电源模块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8"/>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2.学生电源采用耐磨、耐腐蚀、耐高温的PC亮光薄膜面板，学生电源的控制采用按钮式按键，可以随意设置电压，贴片元件生产技术，微电脑控制，采用大于4寸液晶显示电源学生交直流电压。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3.学生交流电源通过上下键0～30V电压，最小调节单元可达1V，额定电流2.5A；禁用直流变交流方波电流电路，冒充交流电。用数字万用表现场测试交流30V。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4.学生直流电源也是通过上下键选取，调节范围为0V～30V，分辨率可达0.1V，额定电流2A。          </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5.一个吊舱上的2组低压电源应能组成正负电源，测试方法，把一组电源的负极用导线连到另一组电源的正极，组成正负电源。用数字万用表现场测试电压正负24V电压，串联48V。                                                                           6.一个吊舱支持2个网络接口。</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高压电源模块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采用220V，多功能安全插座;</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灯光照明系统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接收智能化控制系统控制，配置LED灯线1组，灯罩采用PC材质，设计安装透明均光板。</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12组</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视频处理终端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1.支持嵌入式Linux系统，工业级嵌入式微控制器。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2.支持WEB、本地界面操作可接驳支持ONVIF、RTSP协议的第三方摄像机和主流品牌摄像机。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3.支持IPv4、IPv6、HTTP、UPnP、NTP、SADP、SNMP、PPPoE、DNS、FTP、ONVIF（支持2.4版本）网络协议。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4.支持最大64路网络视频接入，网络性能接入320Mbps，储存320Mbps，转发320Mbps。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5.支持12MP/8MP/6MP/5MP/4MP/3MP/1080P/1.3MP/720P IPC分辨率接入。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6.支持2×12M/4×8MP/6×5MP/8×4MP/11×3MP/16×1080P/32×720P解码，最大支持16路视频回放。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7.支持VGA1/HDMI1同源输出、VGA2/HDMI2同源输出、VGA1/HDMI1和VGA2/HDMI2两组之间支持异源输出。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8.标配10TB存储，最大可扩展至80TB，可配置成单盘，支持RAID0、RAID1、RAID5、RAID6、RAID10等各种数据保护模式。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9.支持1个外置eSATA接口，用于录像和备份。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10.支持IPC复合音频1路输入，支持语音对讲2路输出，支持PC通过NVR与网络摄像机进行语音对讲。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11.支持16路报警输入、6路报警输出，支持开关量输入输出模式。</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　</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交换机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1.10/100/1000M以太网端口≥48，固化1G SFP光接口≥4个，整机最大可用千兆口≥52；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2.交换容量≥3.36Tbps，包转发率≥166Mpps；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3.支持IPV4/IPV6静态路由，RIP、RIPng；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4.支持生成树协议STP(IEEE 802.1d)，RSTP(IEEE 802.1w)和MSTP(IEEE 802.1s)，完全保证快速收敛，提高容错能力，保证网络的稳定运行和链路的负载均衡，合理使用网络通道，提供冗余链路利用率；</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考试采集终端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1.主机内嵌考试桌内，支持四核处理器，支持HDMI输出；支持DDR4内存，支持M.2 2280mm固态存储，内置千兆网卡，内置M.2 Key A可扩展WIFI+Bluetooth，6 X USB3.0+2 X USB2.0内置涡轮静音双滚珠散热系统，双防尘网设计。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2.全铝架构CNC工艺，整机外观无螺丝。处理器：4核4线程2.0GHz-2.7GHz，支持无盘启动、网络唤醒、上电开机、定时开机、TPM2.0、Intel虚拟化、看门狗等功能。内存容量8GB，存储容量128GB SSD。Intel UHD Graphics 600 集成显卡，显示分辨率可达4096 X 2160@30Hz.</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24台　</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实验考试系统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1.登录验证：系统支持用户名+密码输入登录，用户名支持中文、英文、符号、数字等多种混合组合方式。准确快速验证考生身份，适配多地考务文件需求。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考前信息确认：系统支持考生考前查看实验注意事项确认个人信息、阅读考生须知。个人信息包含：考生姓名、准考证号、所属学校、考试开始时间、考试学科、考点、考场等信息，考生确认无误后，方可开始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 考试准备：实验考试前，根据考试科目、内容提示实验所需准备的器材，并提醒考生检查核准无误后开始考试。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4.考试倒计时：系统支持考试全过程倒计时，帮助学生把握考试作答时间。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5.考试答卷：支持查看实验步骤，并根据实验结果在答题区作答，支持通过键盘输入答题内容。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6.考试记录：考试过程中，学生实验操作画面分别被2个摄像头实时记录，并存储到视频采集终端，确保画面清晰，无明显延迟。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7.提前交卷：系统支持进行提前交卷配置，定义可提前交卷时间，达到指定时间，学生可主动提前交卷离场。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8.强制交卷：当考试时间结束后，系统将强制交卷。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9.支持实训模式：在实训模式下支持随机抽题。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10.实验操作视频同步录制本地保存，服务端崩溃不影响学生端的视频录制。支持视频回看。</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24套　</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实验监考系统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1、登录验证：账号密码登录，支持动态码验证。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2、客户端具有监控功能，支持实时监看每个考试桌的俯视和侧视两个画面；为了保证考试公平，要求视频画面角度合理，不得出现考生面貌特征。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实时监考：支持实时监考模式，主页面具有树状组织架构，可实时显示每路摄像机的状态，便于用户实时掌握设备运行情况。支持多画面布局，在监考界面，监考老师可自由选择四分屏、九分屏和十六分屏布局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画面轮询功能：监考时具有画面轮询功能，可选择默认是否开启，支持轮询间隔时间自由设置，支持轮询布局：四分屏、九分屏和十六分屏等布局方式；支持轮询画面为主码流或子码流。支持手动翻页显示学生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5、通道自由选择功能：支持将任意通道画面拖出画面外，选不监看；支持双击任意摄像头载入相应通道画面。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分组功能：支持手动分组或自动分组两种模式，其中手动分组可自由创建组名，并选择相应座位号，轮询时仅显示已选分组位置画面；自动分组可手动开启或关闭，根据登录情况进行分组，轮询时仅显示已登录位置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7、故障登记功能：当考场有设备出现故障影响考试过程的时候，监考老师可对故障设备进行登记，并对故障问题进行描述。提交登记信息后，相关数据实时同步到后端考试平台。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8、作弊登记功能：监考过程中有考生作弊，监考老师可作弊行为进行登记上报，登记信息包含：考试名称、考场、座位编号、考生个人信息及情况描述。提交登记信息后，相关数据实时同步到后端考试平台。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9、缓考登记：监考过程中，因设备问题导致考生无法继续考试的特殊情况下，监考老师可对该考生进行缓考登记。考生信息退回到备考端，考生可重新抽签后继续参加考试。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10、支持录入设备信息，至少包含：硬盘录像机、流媒体服务器、摄像机等设备信息，通讯协议支持市场上主流品牌的标准协议。支持设备信息同步备份至本地，支持将设备信息上传至后端管理平台。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11、支持同时录入至少8台硬盘录像机的设备信息，支持主备之间随时切换，保障考试安全。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12、支持通道画面与实验桌绑定，当添加摄像头时，无需手动分配，自动接入指定通道。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13、支持对接流媒体服务器，支持RTSP、RTMP等标准协议。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14、支持按考试桌号对应录入俯拍摄像机、侧拍摄像机的设备信息，支持标准协议，支持多路视频流接入。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15、考试视频可以在本地视频备份存储，并能对存储的视频进行批量统一管理。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15、支持显示当前系统版本号，支持在线更新系统，支持问题反馈功能，当系统有问题时可在联网的情况下，快速反馈。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16、支持对接AI考评系统，可实时展示AI考评的分析过程和考评结果。支持2路高清视频实时展示AI分析的画面；支持实时显示实验步骤和相应的得分情况，并自动统计得分结果。</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实验室环境改造</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1.教室总控端配备4平方毫米的三芯铜质电源线，学生端配备2.5平方毫米的三芯铜质电源线。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2.吊顶式安装系统采用模块化结构设计，采用吊装安装方式；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3.系统结构调试；系统控制调试；供电系统调试；考试系统维护和调试。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4.采用龙骨方刚交叉焊接，减少对楼板的承重，防止左右晃动，主要辅件有：三角构件、直角座、龙骨架连接件、吊装挂件、安装连接板等。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5.采用矿棉板或其他材质吊顶。</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1间</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实验桌（准备台）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1.规格：≥2400 X 1200 X 760mm四张框架对拼。桌腿：采用壁厚≥2mm镀锌方管外加≥2mm镀锌钢板经激光下料焊接，材料表面经高压静电喷涂环氧树脂防护层，耐酸碱，耐腐蚀处理，外部衔接ABS塑料装饰件。上腿规格：长≥580mm宽≥55mm高≥85mm。下腿规格：长≥540mm宽≥57mm高≥76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立柱：采用≥40×80mm管材，壁厚≥1.8mm。前横梁采用≥36×25mm，壁厚≥1.3mm。中横梁采用≥25×25mm，壁厚≥1.3mm。后横梁：采用≥43×26mm，壁厚≥1.3mm。加强横支撑件：采用≥30×60mm椭圆管，壁厚≥1.5mm。材料表面经高压静电喷涂环氧树脂防护层，耐酸碱，耐腐蚀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5.书包斗:尺寸为≥480 X 290 X 152mm，壁厚≥3.5mm；采用环保型ABS工程塑料。</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1张</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物理仪器柜A</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1.规格：≥1080×540×2100mm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2.材质：PP材质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3.柜体：侧板，顶板及底板采用增强型PP材质。表面做磨砂处理，耐腐蚀性强。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4.上柜门：采用增强型PP材质一次注塑成型，外嵌5mm钢化烤漆玻璃，中间玻璃做镂空处理，透明可视。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5.下柜门：采用增强型PP材质一次注塑成型，外嵌5mm钢化烤漆玻璃。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6.层板：配两块活动层板，层板为增强型PP材质一次注塑成型，承重不低于20公斤。美观耐用。层板可以抽取，自由组合各层空间。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7.门把手：采用增强型PP材质一次注塑成型，美观耐用。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8.门铰链：用增强型PP材质一次注塑成型，内嵌隐藏安装方便，耐腐蚀。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9.仪器柜内部无可视金属材料，确保了仪器柜的耐腐蚀性及耐候性。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10.柜体预留通风系统，可以与通风管路连接。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物理仪器柜B</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1.规格：≥450×900×1800mm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2.材质：PP材质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3.柜体：侧板，顶板及底板采用增强型PP材质，一次注塑成型。表面做磨砂处理，结构紧密，耐腐蚀性强。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4.上柜门：采用增强型PP材质一次注塑成型，外嵌5mm钢化烤漆玻璃，中间玻璃做镂空处理，透明可视。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5.下柜门：采用增强型PP材质一次注塑成型，外嵌5mm钢化烤漆玻璃，中间玻璃做镂空处理，透明可视。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6.层板：配三块活动层板，层板为增强型PP材质一次注塑成型，层板加强筋为整体抽芯工艺，抽芯处加入两根1.2mm厚方管，承重不低于20公斤。美观耐用。层板可以抽取，自由组合各层空间。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7.门把手：采用增强型PP材质一次注塑成型，美观耐用。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8.门铰链：用增强型PP材质一次注塑成型，内嵌隐藏安装方便，耐腐蚀。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9.仪器柜内部无可视金属材料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10.柜体预留通风系统，可以与通风管路连接。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实验桌（工作桌）</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1.整桌规格：≥1200mm（L）×600mm（W）×780mm（H）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2.台面：一体化台面，台面采用≥25mm厚防火板，配制PP专用自锁连接组装，具有易清洁、防水、耐磨、防火的特性。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3.桌体结构：塑铝结构。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4.桌体内部通过铝合金矩形管材立柱连接桌体顶部和底部承重框架，立柱规格≥725mm×65mm×30mm，桌体左右横梁及支撑脚采用优质铝材压铸成型， 镶嵌式安装方式及工字形结构框架使桌体具有强承重性及高稳定性。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5.主横梁采用优质铝型材拉伸成“8”字型，规格≥1110mm×80mm，表面经过防腐氧化处理，具有较强的耐蚀性及承重性。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前挡条采用优质铝型材拉伸成型，规格≥1080mm×60mm，表面经过防腐氧化处理高出台面≥35mm，可防止台面物品向后滑落并保护易碎物品不易被碰碎。桌体型材框架表面包覆有ABS环保材料外壳。耐化学腐蚀、防潮、防水，表面硬度、弹性、韧性、电绝缘性、耐候性等各性能满足硬性指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7.桌体底部脚垫高度可调、耐磨、防潮。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8.抽屉：内部规格≥330mm×160mm×105mm，位于两书包斗中间，可放置学生电源，隐蔽性及安全性能较高。</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1张</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准备室环境改造</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地面以上连接线外部配有防火耐高温套管。电源布管布线施工，埋地管为PVC穿线管，采用铜芯线。</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（十五）化学数字实验室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教师演示台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1.规格：≥2800 X 700 X 850mm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2.台面:采用新型、环保、基材，整体25mm厚（边缘加边处理）优质理化板。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桌身：整体采用1.0mm厚优质冷轧钢板，桌体整体通过CNC流水线数控处理焊接部分打磨、抛光，平滑过渡处理，焊点无毛刺和假焊。表面均经静电环氧树脂粉末喷涂处理，涂层平整光滑，无喷涂层脱落、鼓泡、凹陷、压痕以及表面划伤、麻点、裂痕、崩角和刃口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4.结构：演示台设有储物柜，中间为演示台，包含电源主控系统、多媒体设备（主机、显示器、中控、功放、交换机）的位置预留。含≥330 X 440mm PP水槽、下水管和溢流管。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5.滑道：抽屉开合十万次不变形，铰链：开合十万次不变形。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6.下水管和溢流管：排水管规格:直径≥35mm X 长度≥500mm水槽专配型排水管，不锈钢卡扣连接；溢流管规格:直径≥30mm X 长度≥500mm水槽专配型排水管，不锈钢卡扣连接。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1张</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教师控制模块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采用彩色触摸屏控制，控制系统采用优化的操作系统，当外界事件或数据产生时，能够接受并以足够快的速度予以处理，其处理的结果又能在规定的时间之内来做出快速响应，调度一切可利用的资源完成实时任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2.系统具备高压控制，漏电检测，数据控制等功能，保证安全可靠。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3.系统可控制每个控制点的升降，具备过流保护功能。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4.系统可控制每个控制点的电压、高压220V开关，摄像头电压，计算机电压，电压档位：低压交流0-30V/2A，1V每档，低压直流0-30V直流电源电压为0V-16.0V/2A、16.1V-30.0V/1A，调整档位为0.1V。具备自动过载保护功能。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5.学生低压电源采用触摸屏操作方式，快捷，简单；电压、电流支持数字显示。</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远程控制模块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1.支持远程虚拟串口、虚拟 TCP 通道连接 PLC，实现远程监控。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 TCP/UDP/Telnet /Modbus TCP 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 RS232/RS422/RS485 转 Wi-Fi/以太网数据传输，串口速率最高 230400 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4.支持无线工作 STA/AP/AP+STA。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5.支持路由/桥接模式网络架构。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6.支持网页方式、PC 软件简易配置。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7.支持数据 TLS/AES/DES3 安全加密配置。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8.支持网页 OTA 无线升级。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9.宽电压 5～36VDC 供电。</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实验室主控制仪</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1.尺寸≥100 X 135 X 56mm。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2.额定输出电流10A-80A。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3.额定输出电压交流380V。</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教师坐席</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规格：500mm X 500mm X 800mm采用皮革制成，可升降，带滑轮</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2把</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控制终端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1.显示屏：≥10.1英寸， ≥1920×1200。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2.平台：≥8核， ≥2.0GHz。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3.运行内存：≥3GB。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4.闪存：≥32GB。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5.扬声器：≥2个扬声器。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6.前置摄像头：≥5MP。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7.后置摄像头：≥8MP。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8.无线网络：802.11 a/b/g/n/ac (2.4G&amp;5G)。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9.操作系统：安卓9.0及以上。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10.电池容量：≥7000 mAh。</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实验室智能控制系统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1.支持系统设置教室类型，物理、化学、生物三个类型，教室配置下设吊装、考试桌、通风等选项，考试桌和吊装支持48座和56座选项。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2.设置多媒体选项，可对教室内多媒体设备进行控制。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3.支持修改登录密码；支持设置连接网络信号；支持设置学校名称，学校名称显示在主界面；系统支持设置自动关机时间。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4.支持吊装电源控制、实验台控制系统两个大模块； 支持电源控制，可分总控和分组控制两种模式，分别给ABCD四组送电，可设置考试桌交流220v和直流总控和分控； 实验桌控制设置三种教学模式，分别为教学模式、电脑模式、考试模式。可设置一键网络开启和录像开启；支持一键开启对应的考试桌功能模块，可全选和独立选中； 支持对物理实验室吊装的电源上升和下降，且支持整体控制和独立控制； 支持吊装控制系统设置照明、电源220V、0-24V、电源摇臂总控和分开控制，电源可支持上升和下降功能； 支持控制音响、窗帘、照明、温度等。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5.支持电源控制、实验桌控制系统、吊装控制系统三个模块； 支持电源控制，可分总控和分组控制，分别给ABCD四组送电，可设置考试桌交流220v和直流总控和分控； 实验台控制设置三种教学模式，分别为教学模式、电脑模式、考试模式。可设置一键网络开启和录像开启；支持一键开启对应的考试桌功能健，可全选和独立选中； 支持吊装控制系统设置照明、电源220V、0-24V、风管、电源摇臂总控和分开控制，风管和电源可支持上升和下降功能，支持风机启动和停止功能键，风力大小可调。支持供水开启、停止功能键，支持清洁水槽和一键排水功能。水槽控制线接入后，电源摇臂不允许动作，发生误操作后有警告提示； 支持控制音响、窗帘、照明、温度等。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6.支持主界面显示电源控制、实验台控制系统两个模块； 支持电源控制，可分总控和分组控制两种模式，分别给ABCD四组送电，可设置考试桌交流220v和直流总控和分控； 实验桌控制设置三种教学模式，分别为教学模式、电脑模式、考试模式。可设置一键网络开启和录像开启；支持一键开启对应的考试桌功能模块，可全选和独立选中；支持吊装控制系统设置照明、电源摇臂总控和分开控制。支持供水开启、停止功能键，支持清洁水槽和一键排水功能。水槽控制线接入后，电源摇臂不允许动作，发生误操作后有警告提示。</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化学水槽柜</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规格：定制水槽采用环保型ABS材料一次性注塑成型，具有防酸碱耐腐蚀的功能，壁厚≥4mm，具有防溢出功能。水槽后端高出水槽两侧配置挡沿和进出水功能。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三联水龙头</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一高二低，水流量可以调节，要求防酸碱、防锈、防虹吸、防阻塞，表面采用环氧树脂喷涂。</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万向吸风罩</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1.关节：可360度旋转调节方向，易拆卸、重组及清洗。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2.关节密封圈：不易老化之高密度橡胶。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3.关节弹簧装置：防下垂、下滑、松动。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4.关节松紧旋钮：高密度PP材质，内嵌不锈钢轴承，与关节连接杆锁合。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5.气流调节阀：手动调节外部阀门旋钮，控制进入之气流量。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6.拱型/杯型集气罩：高密度PP/PC材质。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7.底座：金属底座 与顶面安装平整稳定。</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洗眼器</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1.材质：主体采用高密度PP材质制造。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2.工作压力：0.2-0.4MPa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3.洗眼器喷头流量：≥12升/分钟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4.性能：阀门可自动关闭，密封可靠。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5.洗眼喷头：喷头出水经缓压处理呈泡沫状水柱，防止冲伤眼睛；喷头设有防尘盖，使用时可自动被水冲开。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6.功能：设有流量调节控制阀，可根据供水压力调整到眼睛最适宜的流量（使用压力：0.2MPa-0.6MPa）。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7.开关：水流开启，水流锁定功能一次完成，方便使用。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8.软管：供水软管采用长度≥1.5米PP软管，最大耐水压7MPa。超强抗酸、碱、盐、油类等化学物质腐蚀。</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1个</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智慧黑板</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1.整机需采用一体化（ABA方式）拼接设计。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2.副板采用金属材质纳米镀膜，支持磁性材料吸附。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3.屏幕尺寸≥86英寸，屏幕显示分辨率最高可支持4K，屏幕刷新率可达60Hz画面无闪烁。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4.液晶屏幕对比度≥4000:1，亮度≥400cd/㎡；屏幕表面采用厚度≥4mm钢化玻璃，具有防眩光功能。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5.采用电容触控技术，在Android、Windows双系统下均支持≥20点触控，触控笔接触面积直径≥6mm，触摸响应时间≤10ms，书写精度≤2mm。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6.整机外观尺寸宽度≥4200mm，高度≥1200mm。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7.设备支持一键还原功能。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8.OPS插拔式电脑：采用插拔式电脑模块架构，针脚数≥80pin，处理器配置Intel Core i5处理器，≥8G内存，≥256G-SSD固态硬盘。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9.Windows客户端投屏至少支持桌面同步、镜像投屏和拓展投屏功能。</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一体化测评试验台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1.规格：≥1300mm X 700mm X 800mm（长 X 宽 X 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2.台面：采用优质实芯理化板，可抵抗多种酸，碱，强氧化剂等腐蚀试剂。台面四周采用数控修边处理，光滑无毛刺，所有接缝处做处理，边缘双层加厚处理，双向弧形倒角。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桌体：内部整体结构框架采用优质铝型材组装连接，增强桌体承重性及整体稳定性。桌体内外两侧及背板部分采用ABS环保材料注塑成型，增强桌体机械强度及整体美观性，满足耐化学腐蚀、耐热，表面具备高硬度、高弹性、高韧性、电绝缘性、耐候性等各性能硬性指标。型材表面经高压静电喷涂环氧树脂防护层，耐酸碱、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4.挡板升降系统：升降挡板采用≥5mm PC一体加工成型，升降高度≥350mm，可预防桌面东西滑落和考试过程中受到外界干扰。升降结构采用铝合金型材制作并配有垂直导向，保持牢固与稳定，电机采用静音型产品，不产生噪音。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显示器升降系统：升降显示器采用≥21.5吋高清显示屏，内嵌于桌体内部，集成俯视角度采集系统模块一体化升降。电机采用静音型产品，不产生噪音，升降结构采用高精度轮齿条升降，传动精确、运行平稳、不会变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6.急停模块：当发生故障或出现异常时，学生可按急停按钮以阻断一体化考试桌供电，且不影响其他学生正常实验操作。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7.电源模块：配备220V五孔插座2个，并配备防护罩以避免液体泼洒造成电源短路等故障；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8.网络模块：配备千兆RJ-45网络接口×1；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9.交直流模块：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①直流稳压输出：0-24VDC，额定电流2A；最小调节单元0.1V。交流电压输出：0-24VAC，额定电流2A；最小调节1V。交直流电源具有过载保护、短路保护、智能检测功能，显示保护提示。采用自动复位功能免除反复过载冲击负载，保护功能更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②电源配置2.4吋触控屏，实时显示电压和电流等信息；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③每个学生低压电源都可接收主控电源发送的锁定信号，在锁定标识显示后，学生端接收教师端输送的设定电源电压，教师锁定时，学生自己无法操作，这样可避免学生的误操作。学生低压电源可以分组或独立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10.储物空间：桌沿前部配有抽屉。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配备两路视频采集通道，一路用于实验操作视频的全景录制，用于学业考试时评价学生的实验操作技能水平或平时教学中用于帮助学生检查和纠正实验操作错误；一路用于不同角度录制实验操作细节，是对全景录制有效的补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频采集系统采用1/2.8英寸，200万像素CMOS传感器，最大帧率支持1080P@30fps，镜头采用3mm定焦镜头，F=2.2，水平视场角90°，垂直视场角56°；支持2D/3D数字降噪，信噪比≥45dB；兼容H.265/H.264视频压缩技术，超低码率、高清画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24张</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学生实验坐席</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规格：≥300 X 300 X 450，表面纹理压花ABS材质，整体螺杆采用环氧树脂处理，可升降凳脚稳定。</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48条</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化学水槽柜</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规格：定制水槽采用环保型ABS材料一次性注塑成型，具有防酸碱耐腐蚀的功能，壁厚≥4mm，具有防溢出功能。水槽后端高出水槽两侧配置挡沿和进出水功能。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三联水龙头</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一高二低，水流量可以调节，要求防酸碱、防锈、防虹吸、防阻塞，表面采用环氧树脂喷涂。</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一体化吊装控制箱体</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1.规格：箱体外观尺寸≥1550mm×960mm×250mm（长×宽×高），整体框架采用优质铝型材组装连接，增强箱体承重性及整体稳定性。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2.箱体外侧采用ABS环保材料注塑成型，增强箱体强度及整体美观性，满足耐化学腐蚀、耐热，具备表面高硬度、高弹性、高韧性、电绝缘性、耐候性等各性能指标。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3.型材表面经高压静电喷涂环氧树脂防护层，耐酸碱、耐腐蚀处理。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4.箱体可选配通风系统、给水排水系统、电源操作控制系统、照明系统。</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智能摇臂控制系统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1.长≥800mm，模块化设计，由电源操作模块和摇臂构成。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2.摇臂采用直流24V减速低压推杆电机升降，电机与箱体主结构连接固定件采用优质铝合金原料压铸成型，T字型结构设计更具高精度，强稳定性，两侧装配优质轴承。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臂身为优质铝合金型材，表面经电泳、静电环氧树脂粉末喷涂固化处理，耐化学腐蚀、耐高温，采用优质五金配件与电源连接，外表面和内表面可触及的隐蔽处，均无锐利的棱角和五金配件露出。根据实验需要，可0°到90°智能调节摇臂角度，摇臂内置给水排水管和电缆安装空间。</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摇臂终端盒</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1.220V电源插座×4。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2.千兆网络接口×4。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3.低压电源输出装置×1，直流交流输出最大额定电流 2A，输出电压范围 0-30V，均配备过载自动保护及报警装置。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4.装置内设保险丝，具有过载、短路保护功能。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通风系统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1.由吸风管道、伸缩式吸风管道、通风控制系统构成。吸风管道：由优质铝合金材质制作，表面经电泳、静电环氧树脂粉末喷涂固化处理，耐化学腐蚀、耐高温。吸风管道置于箱体左右两侧，调节角度为0°-90°。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2.吸风管道内置伸缩式吸风管道，采用优质PVC管道，管内壁光滑，可有效降低噪声向室内传播。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3.伸缩式吸风管道可伸缩范围为≥800mm-1200mm，360°旋转，覆盖任意实验操作区域。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4.实验完毕，可将伸缩式吸风管道推至吸风管道内部，解放区域空间。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5.系统可根据室内环境调节风量大小。</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智能给水排水系统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由给水排水系统、废水处理系统构成。给水排水进（出）口置于电源操作系统底部，由智能化控制系统集中控制，采用PVC-U国标硅胶软管（具有防酸、防碱、耐腐蚀功能）连接多功能平台架，接口均采用带防溢水功能快速水管接口，插拔式自动锁紧连接方式，插拔即用，插拔后自动止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与污水桶水位传感器采用7芯信号线连接，达到一定水位值时传感器感应启动自动排水、污水经过连接管排至顶部排水管总管后流出。实验废水统一由废水处理系统自动处理，由智能化控制系统集中控制，传感器实时监测废水状态，支持实时手动排水和当达到一定条件时废水处理系统自动开启排水两种方式，当污水全部排净后系统自动关闭，保障实验室的安全卫生环保。</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照明系统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1.吊装箱体底部内嵌照明系统，配置2套优质LED护眼灯，采用直线排列。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2.灯光模组：≥13000×10mm，每个模组功率≥15W；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3.灯罩：采用≥2.0mm厚ABS光扩散板。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4.智能控制：所有灯光模组由独立控制软件系统控制，可以根据实际照明需求进行分组控制。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5.模块化设计，每组模块间采用活接式连接，方便安装、检修，采用通用优质铜芯电线进行系统布线。</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吸风罩</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材质：高密度PP/PC材质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室内通风系统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1.采用PVC风管，具有耐酸碱性能。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2.规格：主风管直径260mm，200mm，支风管直径≥110mm。管卡采用碳钢制作，表面经镀铬处理，具有耐腐蚀、防火、防潮等功能。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室外通风系统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1.采用PVC风管，或PP焊接管具有耐酸碱性能。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2.规格：主风管直径400mm。管卡采用碳钢制作，表面经镀铬处理，具有耐腐蚀、防火、防潮等功能。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通风风机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5A离心风机 5.5KW，转速 960r/min，流量 5667-10000m³/h，全压861-767Pa，噪声符合国家标准，风机外壳和叶轮均采用模具一次成型，配橡胶减震器用于消除专用通风机引起的震动，配防雨帽，PP材质，主要用于对专用通风机的防护。</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消音器</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φ400×1000mm，PP材质，内置隔音棉等隔音装置，确保通风室外噪音小于50分贝。</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风机软连接</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φ600-φ400mm，pp材质。进出口接头采用柔性材质，消除因震动引起的微量错位对风机的影响。</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视频处理终端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1.支持嵌入式Linux系统，工业级嵌入式微控制器。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2.支持WEB、本地界面操作可接驳支持ONVIF、RTSP协议的第三方摄像机和主流品牌摄像机。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3.支持IPv4、IPv6、HTTP、UPnP、NTP、SADP、SNMP、PPPoE、DNS、FTP、ONVIF（支持2.4版本）网络协议。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4.支持最大64路网络视频接入，网络性能接入320Mbps，储存320Mbps，转发320Mbps。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5.支持12MP/8MP/6MP/5MP/4MP/3MP/1080P/1.3MP/720P IPC分辨率接入。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6.支持2×12M/4×8MP/6×5MP/8×4MP/11×3MP/16×1080P/32×720P解码，最大支持16路视频回放。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7.支持VGA1/HDMI1同源输出、VGA2/HDMI2同源输出、VGA1/HDMI1和VGA2/HDMI2两组之间支持异源输出。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8.标配10TB存储，最大可扩展至80TB，可配置成单盘，支持RAID0、RAID1、RAID5、RAID6、RAID10等各种数据保护模式。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9.支持1个外置eSATA接口，用于录像和备份。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10.支持IPC复合音频1路输入，支持语音对讲2路输出，支持PC通过NVR与网络摄像机进行语音对讲。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11.支持16路报警输入、6路报警输出，支持开关量输入输出模式。</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　</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交换机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1.10/100/1000M以太网端口≥48，固化1G SFP光接口≥4个，整机最大可用千兆口≥52；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2.交换容量≥3.36Tbps，包转发率≥166Mpps；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3.支持IPV4/IPV6静态路由，RIP、RIPng；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4.支持生成树协议STP(IEEE 802.1d)，RSTP(IEEE 802.1w)和MSTP(IEEE 802.1s)，完全保证快速收敛，提高容错能力，保证网络的稳定运行和链路的负载均衡，合理使用网络通道，提供冗余链路利用率；</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考试采集终端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1.主机内嵌考试桌内，支持四核处理器，支持HDMI输出；支持DDR4内存，支持M.2 2280mm固态存储，内置千兆网卡，内置M.2 Key A可扩展WIFI+Bluetooth，6 X USB3.0+2 X USB2.0内置涡轮静音双滚珠散热系统，双防尘网设计。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2.全铝架构CNC工艺，整机外观无螺丝。处理器：4核4线程2.0GHz-2.7GHz，支持无盘启动、网络唤醒、上电开机、定时开机、TPM2.0、Intel虚拟化、看门狗等功能。内存容量8GB，存储容量128GB SSD。Intel UHD Graphics 600 集成显卡，显示分辨率可达4096 X 2160@30Hz.</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实验考试系统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1.登录验证：系统支持用户名+密码输入登录，用户名支持中文、英文、符号、数字等多种混合组合方式。准确快速验证考生身份，适配多地考务文件需求。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考前信息确认：系统支持考生考前查看实验注意事项确认个人信息、阅读考生须知。个人信息包含：考生姓名、准考证号、所属学校、考试开始时间、考试学科、考点、考场等信息，考生确认无误后，方可开始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 考试准备：实验考试前，根据考试科目、内容提示实验所需准备的器材，并提醒考生检查核准无误后开始考试。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4.考试倒计时：系统支持考试全过程倒计时，帮助学生把握考试作答时间。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5.考试答卷：支持查看实验步骤，并根据实验结果在答题区作答，支持通过键盘输入答题内容。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6.考试记录：考试过程中，学生实验操作画面分别被2个摄像头实时记录，并存储到视频采集终端，确保画面清晰，无明显延迟。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7.提前交卷：系统支持进行提前交卷配置，定义可提前交卷时间，达到指定时间，学生可主动提前交卷离场。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8.强制交卷：当考试时间结束后，系统将强制交卷。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9.支持实训模式：在实训模式下支持随机抽题。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10.实验操作视频同步录制本地保存，服务端崩溃不影响学生端的视频录制。支持视频回看。</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24套　</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实验监考系统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1.登录验证：账号密码登录，支持动态码验证。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2.客户端具有监控功能，支持实时监看每个考试桌的俯视和侧视两个画面；为了保证考试公平，要求视频画面角度合理，不得出现考生面貌特征。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实时监考：支持实时监考模式，主页面具有树状组织架构，可实时显示每路摄像机的状态，便于用户实时掌握设备运行情况。支持多画面布局，在监考界面，监考老师可自由选择四分屏、九分屏和十六分屏布局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画面轮询功能：监考时具有画面轮询功能，可选择默认是否开启，支持轮询间隔时间自由设置，支持轮询布局：四分屏、九分屏和十六分屏等布局方式；支持轮询画面为主码流或子码流。支持手动翻页显示学生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5.通道自由选择功能：支持将任意通道画面拖出画面外，选不监看；支持双击任意摄像头载入相应通道画面。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分组功能：支持手动分组或自动分组两种模式，其中手动分组可自由创建组名，并选择相应座位号，轮询时仅显示已选分组位置画面；自动分组可手动开启或关闭，根据登录情况进行分组，轮询时仅显示已登录位置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7.故障登记功能：当考场有设备出现故障影响考试过程的时候，监考老师可对故障设备进行登记，并对故障问题进行描述。提交登记信息后，相关数据实时同步到后端考试平台。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8.作弊登记功能：监考过程中有考生作弊，监考老师可作弊行为进行登记上报，登记信息包含：考试名称、考场、座位编号、考生个人信息及情况描述。提交登记信息后，相关数据实时同步到后端考试平台。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9.缓考登记：监考过程中，因设备问题导致考生无法继续考试的特殊情况下，监考老师可对该考生进行缓考登记。考生信息退回到备考端，考生可重新抽签后继续参加考试。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10.支持录入设备信息，至少包含：硬盘录像机、流媒体服务器、摄像机等设备信息，通讯协议支持市场上主流品牌的标准协议。支持设备信息同步备份至本地，支持将设备信息上传至后端管理平台。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11.支持同时录入至少8台硬盘录像机的设备信息，支持主备之间随时切换，保障考试安全。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12.支持通道画面与实验桌绑定，当添加摄像头时，无需手动分配，自动接入指定通道。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13.支持对接流媒体服务器，支持RTSP、RTMP等标准协议。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14.支持按考试桌号对应录入俯拍摄像机、侧拍摄像机的设备信息，支持标准协议，支持多路视频流接入。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15.考试视频可以在本地视频备份存储，并能对存储的视频进行批量统一管理。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16.支持显示当前系统版本号，支持在线更新系统，支持问题反馈功能，当系统有问题时可在联网的情况下，快速反馈。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17.支持对接AI考评系统，可实时展示AI考评的分析过程和考评结果。支持2路高清视频实时展示AI分析的画面；支持实时显示实验步骤和相应的得分情况，并自动统计得分结果。</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实验室环境改造</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采用聚乙烯绝缘﹑铝塑带绕包屏蔽﹑低烟无卤聚烯烃内衬层﹑钢丝铠装﹑低烟无卤聚烯烃护套耐火计算机对绞控制电缆。电缆的额定电压300/500V，电缆长期工作温度-30～90℃，电缆敷设温度不低于0℃，WDZCN-DJYJP3YP3VR-33电缆弯曲半径不小于电缆直径的12倍，低烟无卤成束阻燃型电缆燃烧时析出气体中HCL含量≤100mg/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2.教室总控端配备4平方毫米的三芯铜质电源线，学生端配备2.5平方毫米的三芯铜质电源线。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3.排水管规格:上水管直径Ø20mm，下水Ø50mm，优质环保，防爆管壁。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4.吊顶式安装系统采用模块化结构设计，采用吊装安装方式；系统结构调试；系统控制调试；室内通风系统调试；给水排水调试；供电系统调试；照明系统调试；考试系统维护和调试。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5.采用龙骨方刚交叉焊接，减少对楼板的承重，防止左右晃动，主要辅件有：三角构件、直角座、龙骨架连接件、吊装挂件、安装连接板等。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6.采用矿棉板或其他材质吊顶</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实验桌（准备台）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1.规格：≥3000 X 1200 X 760四张框架对拼。桌腿：采用壁厚≥2mm镀锌方管外加≥2mm镀锌钢板经激光下料焊接而成，材料表面经高压静电喷涂环氧树脂防护层，耐酸碱，耐腐蚀处理，外部衔接ABS塑料装饰件。上腿规格：长≥580mm宽≥55mm高≥85mm。下腿规格：长≥540mm宽≥57mm高≥≥76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立柱：采用≥40×80mm管材，壁厚≥1.8mm。前横梁采用≥36×25mm，壁厚≥1.3mm。中横梁采用≥25×25mm，壁厚≥1.3mm。后横梁：采用≥43×26mm，壁厚≥1.3mm。加强横支撑件：采用3≥0×60mm椭圆管，壁厚≥1.5mm。材料表面经高压静电喷涂环氧树脂防护层，耐酸碱，耐腐蚀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5.书包斗:尺寸为≥480 X 290 X 152mm，壁厚≥3.5mm；采用环保型ABS工程塑料一次性注塑成型。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6.整体结构：台面理化板一体成型，桌身由桌腿、立柱、前横梁、中横梁、后横梁及加强横支撑件组成。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7.可调脚：高强度可调脚，采用10mm螺纹钢，下部采用环保型PP加耐磨纤维质塑料。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配有水槽柜一套，水槽采用环保型PP材料一次性注塑成型，耐强酸碱&lt;80度有机溶剂并耐≥150度以下高温，壁厚≥4mm，具有防溢出功能。水槽柜规格：≥450×600×850mm；水槽采用环保型PP材料一次性注塑成型，耐强酸碱&lt;80度有机溶剂并耐≥150度以下高温，壁厚≥4mm，具有防溢出功能。水槽后端高出水槽两侧50mm防止后排学生使用时水溅到前排学生身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水槽柜带独立储物抽屉，抽屉隐藏于水槽柜检修门内，使用时打开，不用时不影响整体外观造型。同时水槽柜自带抽屉封板防止抽屉内物品外漏于水槽柜内，抽屉封板与水槽柜前端模具一体成型非二次组装。储物抽屉采用环保型ABS材料一次性注塑成型与水槽柜整体连接，尺寸≥85×120×345mm，储物抽屉分为三格，每格尺寸≥110×115×65mm；便于学生使用时存放不同洗涤辅助用品。</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1张</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中央台试剂架</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1.规格：≥2200L×300W×750H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2.双层，分两段，采用铝合金专用型材，立柱采用≥80×42×1.0mm，护栏采用≥30×12×1.0mm铝合金型材，玻璃托盘厚≥8mm，表面喷涂环氧树脂防护层。</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滴水架</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1.材质:高密度PP。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2.尺寸：≥550×400×120mm，≥27支滴水棒。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3.底部托盘中间设有排水孔。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4.可拆卸式滴水棒。</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1组</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三联水龙头</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三联龙头主体为铜质，阀门为陶瓷片密封，高头，可拆卸清洗阻塞。</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化学仪器柜A</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1.规格：≥1080×540×2100mm。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2.材质：PP材质。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3.柜体：侧板，顶板及底板采用增强型PP材质，一次注塑成型。表面做磨砂处理，耐腐蚀性强。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4.上柜门：采用增强型PP材质一次注塑成型，外嵌5mm钢化烤漆玻璃，中间玻璃做镂空处理，透明可视。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5.下柜门：采用增强型PP材质一次注塑成型，外嵌5mm钢化烤漆玻璃。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6.层板：配两块活动层板，层板为增强型PP材质一次注塑成型，承重不低于20公斤。美观耐用。层板可以抽取，自由组合各层空间。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7.门把手：采用增强型PP材质一次注塑成型，美观耐用。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8.门铰链：用增强型PP材质一次注塑成型，内嵌隐藏安装方便，耐腐蚀。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9.仪器柜内部无可视金属材料，确保了仪器柜的耐腐蚀性及耐候性。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10.柜体预留通风系统，可以与通风管路连接。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化学仪器柜B</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1.规格：≥450×900×1800mm。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2.材质：PP材质。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3.柜体：侧板，顶板及底板采用增强型PP材质，一次注塑成型。表面做磨砂处理，结构紧密，耐腐蚀性强。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4.上柜门：采用增强型PP材质一次注塑成型，外嵌5mm钢化烤漆玻璃，中间玻璃做镂空处理，透明可视。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5.下柜门：采用增强型PP材质一次注塑成型，外嵌5mm钢化烤漆玻璃，中间玻璃做镂空处理，透明可视。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6.层板：配三块活动层板，层板为增强型PP材质一次注塑成型，层板加强筋为整体抽芯工艺，抽芯处加入两根1.2mm厚方管，承重不低于20公斤。美观耐用。层板可以抽取，自由组合各层空间。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7.门把手：采用增强型PP材质一次注塑成型，美观耐用。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8.门铰链：用增强型PP材质一次注塑成型，内嵌隐藏安装方便，耐腐蚀。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9.仪器柜内部无可视金属材料。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10.柜体预留通风系统，可以与通风管路连接。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通风柜</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1.规格：≥1500×850×2350；外壳采用≥1.0mm 优质冷轧钢板在数控加工中心、剪裁、定位打孔、折弯焊接后成型，酸洗磷化处理后喷涂环氧树脂粉末高温烘烤固化。附着力高、表面硬度耐腐蚀性极强，外形美观。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2.内壳说明：采用≥5mm灰色，耐酸碱有机溶剂之实验室专用抗蚀材质。设有可拆卸维修孔，便于维修电路、水路、气路。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3.日光灯说明：防爆灯隐藏于面板上，不与通风柜内气流接触，易更换。采用防爆灯≥1支，并设有≥5mm钢化玻璃。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4.导流板说明：采≥5mm灰色，耐酸碱有机溶剂之实验室专用抗蚀材质。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5.电源说明：采用实验室专用防爆电源插座。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6.窗口说明：铝型材配合塑料型材边框，视窗口采用单块≥5mm安全玻璃，窗口也可采用配≥3块≥5mm安全玻璃，可左右移动，单块并采用无段平衡装置，可上下移动，自由调节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7.调整脚说明：采用直径φ10mm注塑调整脚，防震、防潮、耐腐蚀，可根据室内地坪适当调整柜体高度，最大调节为0-30mm。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8.集气罩说明：采用PP材质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9.配电箱说明：符合220V及380V供电要求，有漏电及电机保护装置。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10.控制开关说明：防爆开关，集中控制整个电路系统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11三块导流板使处于不同高度空间的有害气体分别从不同的段区排出。通风柜以操作表面风速≥0.5m/s的速度将通风柜中的空气排出，确保无任何残留气体存在。通风效率高，排风量为≥1800m³/h左右，且噪声小。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12下部柜体（一般型底柜），门板：采用≥1.0mm优质冷轧钢板（双层），无焊连接可拆卸带减震垫。在数控加工中心、剪裁、定位打孔、折弯焊接后成型，酸洗磷化处理后喷涂环氧树脂粉末高温烘烤固化。</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化学药品柜A</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1.规格：≥1080×540×2100mm。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2.材质：PP材质。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3.柜体：侧板，顶板及底板采用增强型PP材质，一体注塑成型。表面做磨砂处理，结构紧密，耐腐蚀性强。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4.上柜门：采用增强型PP材质一体注塑成型，外嵌≥5mm钢化烤漆玻璃，中间玻璃做镂空处理，透明可视。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5.下柜门：采用增强型PP材质一体注塑成型，外嵌≥5mm钢化烤漆玻璃。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6.层板：配两块活动层板，层板为增强型PP材质一体注塑成型。美观耐用。层板可以抽取，自由组合各层空间。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7.门把手：采用增强型PP材质一体注塑成型，美观耐用。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8.门铰链：用增强型PP材质一体注塑成型，内嵌隐藏安装方便，耐腐蚀。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9.药品柜内部无可视金属材料，确保了药品柜的耐腐蚀性。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10.柜体预留通风系统，可以与通风管路连接。</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化学药品柜B</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1.规格：≥450×900×1800mm。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2.材质：PP材质。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3.柜体：侧板，顶板及底板采用增强型PP材质，一体注塑成型。表面做磨砂处理，结构紧密，耐腐蚀性强。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4.上柜门：采用增强型PP材质一体注塑成型，外嵌≥5mm钢化烤漆玻璃，中间玻璃做镂空处理，透明可视。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5.下柜门：采用增强型PP材质一体注塑成型，外嵌≥5mm钢化烤漆玻璃，中间玻璃做镂空处理，透明可视。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6.层板：配两块活动层板，层板为增强型PP材质一体注层板加强筋为整体抽芯工艺，抽芯处加入两根≥1.2mm厚方管。层板可以抽取，自由组合各层空间。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7.门把手：采用增强型PP材质一体注塑成型，美观耐用。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8.门铰链：用增强型PP材质一体注塑成型，内嵌隐藏安装方便，耐腐蚀。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9.药品柜内部无可视金属材料，确保了药品柜的耐腐蚀性。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10.柜体预留通风系统，可以与通风管路连接。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11.阶梯：配一块阶梯；规格≥245×120×800mm，整体PP材料一体注塑成型（非二次焊接或者拼接），牢固耐用，一共两层，每层高度≥60mm，宽度≥112mm，同层板组成三层阶梯。</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通风风机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110W 轴流风机。</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通风系统（室内）</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1.主通风管规格：φ160mm/200mm，优质PVC成品管道。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2.支管道规格：φ110mm/160mm，优质PVC成品管道。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3.管道配件：管道三通、弯头、变径、直接。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（实际管径视现场情况可适当调整）</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1室</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实验桌（工作桌）</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1.整桌规格：≥1200mm（L）×600mm（W）×780mm（H）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2.台面：一体化台面，台面采用≥25mm厚防火板，配制PP专用自锁连接组装，具有易清洁、防水、耐磨、防火的特性。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3.桌体结构：塑铝结构。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4.桌体内部通过铝合金矩形管材立柱连接桌体顶部和底部承重框架，立柱规格≥725mm×65mm×30mm，桌体左右横梁及支撑脚采用优质铝材压铸成型， 镶嵌式安装方式及工字形结构框架使桌体具有强承重性及高稳定性。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5.主横梁采用优质铝型材拉伸成“8”字型，规格≥1110mm×80mm，表面经过防腐氧化处理，具有较强的耐蚀性及承重性。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前挡条采用优质铝型材拉伸成型，规格≥1080mm×60mm，表面经过防腐氧化处理高出台面≥35mm，可防止台面物品向后滑落并保护易碎物品不易被碰碎。桌体型材框架表面包覆有ABS环保材料外壳。耐化学腐蚀、防潮、防水，表面硬度、弹性、韧性、电绝缘性、耐候性等各性能满足硬性指标。外表为流线形工业设计，支撑受力点合理布局，承重性及稳定性能优越，所有接触人体的边棱均无锐利的棱角、毛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7.桌体底部脚垫高度可调、耐磨、防潮。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8.抽屉：内部规格≥330mm×160mm×105mm，位于两书包斗中间，可放置学生电源，隐蔽性及安全性能较高。</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1张</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准备室环境改造</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面以上连接线外部配有防火耐高温套管。电源布管布线施工，埋地管为优质PVC穿线管，采用优质铜芯线。PPR材质水管，上水管和进水管为Ф25；UPVC材质排水管为Ф50，含开关阀门，外丝连接件、PVC胶水等。含固定支架、连接管、耗材等。</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（十六）生物数字实验室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教师演示台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1.规格：≥2800 X 700 X 850mm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2.台面:采用新型、环保、基材，整体25mm厚（边缘加边处理）优质理化板。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桌身：整体采用1.0mm厚优质冷轧钢板，桌体整体通过CNC流水线数控处理焊接部分打磨、抛光，平滑过渡处理，焊点无毛刺和假焊。表面均经静电环氧树脂粉末喷涂处理，涂层平整光滑，无喷涂层脱落、鼓泡、凹陷、压痕以及表面划伤、麻点、裂痕、崩角和刃口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4.结构：演示台设有储物柜，中间为演示台，包含电源主控系统、多媒体设备（主机、显示器、中控、功放、交换机）的位置预留。含≥330 X 440mm PP水槽、下水管和溢流管。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5.滑道：抽屉开合十万次不变形，铰链：开合十万次不变形。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6.下水管和溢流管：排水管规格:直径≥35mm X 长度≥500mm水槽专配型排水管，不锈钢卡扣连接；溢流管规格:直径≥30mm X 长度≥500mm水槽专配型排水管，不锈钢卡扣连接。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1张</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教师控制模块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采用彩色触摸屏控制，控制系统采用优化的操作系统，当外界事件或数据产生时，能够接受并以足够快的速度予以处理，其处理的结果又能在规定的时间之内来做出快速响应，调度一切可利用的资源完成实时任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2.系统具备高压控制，漏电检测，数据控制等功能，保证安全可靠。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3.系统可控制每个控制点的升降，具备过流保护功能。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4.系统可控制每个控制点的电压、高压220V开关，摄像头电压，计算机电压，电压档位：低压交流0-30V/2A，1V每档，低压直流0-30V直流电源电压为0V-16.0V/2A、16.1V-30.0V/1A，调整档位为0.1V。具备自动过载保护功能。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5.学生低压电源采用触摸屏操作方式，快捷，简单；电压、电流支持数字显示。</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远程控制模块</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1.支持远程虚拟串口、虚拟 TCP 通道连接 PLC，实现远程监控。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 TCP/UDP/Telnet /Modbus TCP 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 RS232/RS422/RS485 转 Wi-Fi/以太网数据传输，串口速率最高 230400 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4.支持无线工作 STA/AP/AP+STA。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5.支持路由/桥接模式网络架构。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6.支持网页方式、PC 软件简易配置。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7.支持数据 TLS/AES/DES3 安全加密配置。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8.支持网页 OTA 无线升级。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9.宽电压 5～36VDC 供电。</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实验室主控制仪</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1.尺寸≥100 X 135 X 56mm。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2.额定输出电流10A-80A。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3.额定输出电压交流380V。</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教师坐席</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规格：500mm X 500mm X 800mm采用皮革制成，可升降，带滑轮</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2把</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控制终端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1.显示屏：≥10.1英寸， ≥1920×1200。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2.平台：≥8核， ≥2.0GHz。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3.运行内存：≥3GB。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4.闪存：≥32GB。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5.扬声器：≥2个扬声器。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6.前置摄像头：≥5MP。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7.后置摄像头：≥8MP。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8.无线网络：802.11 a/b/g/n/ac (2.4G&amp;5G)。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9.操作系统：安卓9.0及以上。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10.电池容量：≥7000 mAh。</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实验室智能控制系统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1.支持系统设置教室类型，物理、化学、生物三个类型，教室配置下设吊装、考试桌、通风等选项，考试桌和吊装支持48座和56座选项。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2.设置多媒体选项，可对教室内多媒体设备进行控制。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3.支持修改登录密码；支持设置连接网络信号；支持设置学校名称，学校名称显示在主界面；系统支持设置自动关机时间。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4.支持吊装电源控制、实验台控制系统两个大模块； 支持电源控制，可分总控和分组控制两种模式，分别给ABCD四组送电，可设置考试桌交流220v和直流总控和分控； 实验桌控制设置三种教学模式，分别为教学模式、电脑模式、考试模式。可设置一键网络开启和录像开启；支持一键开启对应的考试桌功能模块，可全选和独立选中； 支持对物理实验室吊装的电源上升和下降，且支持整体控制和独立控制； 支持吊装控制系统设置照明、电源220V、0-24V、电源摇臂总控和分开控制，电源可支持上升和下降功能； 支持控制音响、窗帘、照明、温度等。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5.支持电源控制、实验桌控制系统、吊装控制系统三个模块； 支持电源控制，可分总控和分组控制，分别给ABCD四组送电，可设置考试桌交流220v和直流总控和分控； 实验台控制设置三种教学模式，分别为教学模式、电脑模式、考试模式。可设置一键网络开启和录像开启；支持一键开启对应的考试桌功能健，可全选和独立选中； 支持吊装控制系统设置照明、电源220V、0-24V、风管、电源摇臂总控和分开控制，风管和电源可支持上升和下降功能，支持风机启动和停止功能键，风力大小可调。支持供水开启、停止功能键，支持清洁水槽和一键排水功能。水槽控制线接入后，电源摇臂不允许动作，发生误操作后有警告提示； 支持控制音响、窗帘、照明、温度等。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6.支持主界面显示电源控制、实验台控制系统两个模块； 支持电源控制，可分总控和分组控制两种模式，分别给ABCD四组送电，可设置考试桌交流220v和直流总控和分控； 实验桌控制设置三种教学模式，分别为教学模式、电脑模式、考试模式。可设置一键网络开启和录像开启；支持一键开启对应的考试桌功能模块，可全选和独立选中；支持吊装控制系统设置照明、电源摇臂总控和分开控制。支持供水开启、停止功能键，支持清洁水槽和一键排水功能。水槽控制线接入后，电源摇臂不允许动作，发生误操作后有警告提示。</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生物水槽柜</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规格：定制水槽采用环保型ABS材料一次性注塑成型，具有防酸碱耐腐蚀的功能，壁厚≥4mm，具有防溢出功能。水槽后端高出水槽两侧配置挡沿和进出水功能。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三联水龙头</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一高二低，水流量可以调节，要求防酸碱、防锈、防虹吸、防阻塞，表面采用环氧树脂喷涂。</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洗眼器</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1.材质：主体采用高密度PP材质制造。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2.工作压力：0.2-0.4MPa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3.洗眼器喷头流量：≥12升/分钟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4.性能：阀门可自动关闭，密封可靠。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5.洗眼喷头：喷头出水经缓压处理呈泡沫状水柱，防止冲伤眼睛；喷头设有防尘盖，使用时可自动被水冲开。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6.功能：设有流量调节控制阀，可根据供水压力调整到眼睛最适宜的流量（使用压力：0.2MPa-0.6MPa）。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7.开关：水流开启，水流锁定功能一次完成，方便使用。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8.软管：供水软管采用长度≥1.5米PP软管，最大耐水压7MPa。超强抗酸、碱、盐、油类等化学物质腐蚀。</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1个</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智慧黑板</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 整机需采用一体化（ABA方式）拼接设计。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2.副板采用金属材质纳米镀膜，支持磁性材料吸附。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3.屏幕尺寸≥86英寸，屏幕显示分辨率最高可支持4K，屏幕刷新率可达60Hz画面无闪烁。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4.液晶屏幕对比度≥4000:1，亮度≥400cd/㎡；屏幕表面采用厚度≥4mm钢化玻璃，具有防眩光功能。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5.采用电容触控技术，在Android、Windows双系统下均支持≥20点触控，触控笔接触面积直径≥6mm，触摸响应时间≤10ms，书写精度≤2mm。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6.整机外观尺寸宽度≥4200mm，高度≥1200mm。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7.设备支持一键还原功能。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8.OPS插拔式电脑：采用插拔式电脑模块架构，针脚数≥80pin，处理器配置Intel Core i5处理器，≥8G内存，≥256G-SSD固态硬盘。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9.Windows客户端投屏至少支持桌面同步、镜像投屏和拓展投屏功能。</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一体化测评试验台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1.规格：≥1300mm X 700mm X 800mm（长 X 宽 X 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2.台面：采用优质实芯理化板，可抵抗多种酸，碱，强氧化剂等腐蚀试剂。台面四周采用数控修边处理，光滑无毛刺，所有接缝处做处理，边缘双层加厚处理，双向弧形倒角。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桌体：内部整体结构框架采用优质铝型材组装连接，增强桌体承重性及整体稳定性。桌体内外两侧及背板部分采用ABS环保材料注塑成型，增强桌体机械强度及整体美观性，满足耐化学腐蚀、耐热，表面具备高硬度、高弹性、高韧性、电绝缘性、耐候性等各性能硬性指标。型材表面经高压静电喷涂环氧树脂防护层，耐酸碱、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4.挡板升降系统：升降挡板采用≥5mm PC一体加工成型，升降高度≥350mm，可预防桌面东西滑落和考试过程中受到外界干扰。升降结构采用铝合金型材制作并配有垂直导向，保持牢固与稳定，电机采用静音型产品，不产生噪音。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显示器升降系统：升降显示器采用≥21.5吋高清显示屏，内嵌于桌体内部，集成俯视角度采集系统模块一体化升降。电机采用静音型产品，不产生噪音，升降结构采用高精度轮齿条升降，传动精确、运行平稳、不会变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6.急停模块：当发生故障或出现异常时，学生可按急停按钮以阻断一体化考试桌供电，且不影响其他学生正常实验操作。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7.电源模块：配备220V五孔插座2个，并配备防护罩以避免液体泼洒造成电源短路等故障；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8.网络模块：配备千兆RJ-45网络接口×1；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9.交直流模块：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①直流稳压输出：0-24VDC，额定电流2A；最小调节单元0.1V。交流电压输出：0-24VAC，额定电流2A；最小调节1V。交直流电源具有过载保护、短路保护、智能检测功能，显示保护提示。采用自动复位功能免除反复过载冲击负载，保护功能更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②电源配置2.4吋触控屏，实时显示电压和电流等信息；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③每个学生低压电源都可接收主控电源发送的锁定信号，在锁定标识显示后，学生端接收教师端输送的设定电源电压，教师锁定时，学生自己无法操作，这样可避免学生的误操作。学生低压电源可以分组或独立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10.储物空间：桌沿前部配有抽屉。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配备两路视频采集通道，一路用于实验操作视频的全景录制，用于学业考试时评价学生的实验操作技能水平或平时教学中用于帮助学生检查和纠正实验操作错误；一路用于不同角度录制实验操作细节，是对全景录制有效的补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频采集系统采用1/2.8英寸，200万像素CMOS传感器，最大帧率支持1080P@30fps，镜头采用3mm定焦镜头，F=2.2，水平视场角90°，垂直视场角56°；支持2D/3D数字降噪，信噪比≥45dB；兼容H.265/H.264视频压缩技术，超低码率、高清画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24张</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学生实验坐席</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规格：≥300 X 300 X 450，表面纹理压花ABS材质，整体螺杆采用环氧树脂处理，可升降凳脚稳定。</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48条</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一体化吊装控制箱体</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1.规格：箱体外观尺寸≥1550mm×960mm×250mm（长×宽×高），整体框架采用优质铝型材组装连接，增强箱体承重性及整体稳定性。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2.箱体外侧采用ABS环保材料注塑成型，增强箱体强度及整体美观性，满足耐化学腐蚀、耐热，具备表面高硬度、高弹性、高韧性、电绝缘性、耐候性等各性能指标。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3.型材表面经高压静电喷涂环氧树脂防护层，耐酸碱、耐腐蚀处理。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4.箱体可选配通风系统、给水排水系统、电源操作控制系统、照明系统。</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智能摇臂控制系统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1.长≥800mm，模块化设计，由电源操作模块和摇臂构成。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2.摇臂采用直流24V减速低压推杆电机升降，电机与箱体主结构连接固定件采用优质铝合金原料压铸成型，T字型结构设计更具高精度，强稳定性，两侧装配优质轴承。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臂身为优质铝合金型材，表面经电泳、静电环氧树脂粉末喷涂固化处理，耐化学腐蚀、耐高温，采用优质五金配件与电源连接，外表面和内表面可触及的隐蔽处，均无锐利的棱角和五金配件露出。根据实验需要，可0°到90°智能调节摇臂角度，遵循人体工程学设计原理，摇臂内置给水排水管和电缆安装空间。</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摇臂终端盒</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1.220V电源插座×4。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2.千兆网络接口×4。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3.低压电源输出装置×1，直流交流输出最大额定电流 2A，输出电压范围 0-30V，均配备过载自动保护及报警装置。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4.装置内设保险丝，具有过载、短路保护功能。</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智能给水排水系统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由给水排水系统、废水处理系统构成。给水排水进（出）口置于电源操作系统底部，由智能化控制系统集中控制，采用PVC-U国标硅胶软管（具有防酸、防碱、耐腐蚀功能）连接多功能平台架，接口均采用带防溢水功能快速水管接口，插拔式自动锁紧连接方式，插拔即用，插拔后自动止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与污水桶水位传感器采用7芯信号线连接，达到一定水位值时传感器感应启动自动排水、污水经过连接管排至顶部排水管总管后流出。实验废水统一由废水处理系统自动处理，由智能化控制系统集中控制，传感器实时监测废水状态，支持实时手动排水和当达到一定条件时废水处理系统自动开启排水两种方式，当污水全部排净后系统自动关闭，保障实验室的安全卫生环保。</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照明系统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1.吊装箱体底部内嵌照明系统，配置 2套优质LED护眼灯，采用直线排列，散热良好，光线柔和不刺眼。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2.灯光模组：≥13000×10mm，每个模组功率≥15W；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灯罩：采用≥2.0mm厚ABS光扩散板，扩大了发光面，使光线变的柔和，达到匀光而又透光，同时起到安全防护作用。在保证高透光率，降低光衰的情况下，有着良好的光源遮蔽性效果，符合视觉工效学原则及室内工作场所照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4.智能控制：所有灯光模组由独立控制软件系统控制，可以根据实际照明需求进行分组控制。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5.模块化设计，每组模块间采用活接式连接，方便安装、检修，采用通用优质铜芯电线进行系统布线。</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视频处理终端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1.支持嵌入式Linux系统，工业级嵌入式微控制器。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2.支持WEB、本地界面操作可接驳支持ONVIF、RTSP协议的第三方摄像机和主流品牌摄像机。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3.支持IPv4、IPv6、HTTP、UPnP、NTP、SADP、SNMP、PPPoE、DNS、FTP、ONVIF（支持2.4版本）网络协议。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4.支持最大64路网络视频接入，网络性能接入320Mbps，储存320Mbps，转发320Mbps。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5.支持12MP/8MP/6MP/5MP/4MP/3MP/1080P/1.3MP/720P IPC分辨率接入。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6.支持2×12M/4×8MP/6×5MP/8×4MP/11×3MP/16×1080P/32×720P解码，最大支持16路视频回放。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7.支持VGA1/HDMI1同源输出、VGA2/HDMI2同源输出、VGA1/HDMI1和VGA2/HDMI2两组之间支持异源输出。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8.标配10TB存储，最大可扩展至80TB，可配置成单盘，支持RAID0、RAID1、RAID5、RAID6、RAID10等各种数据保护模式。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9.支持1个外置eSATA接口，用于录像和备份。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10.支持IPC复合音频1路输入，支持语音对讲2路输出，支持PC通过NVR与网络摄像机进行语音对讲。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11.支持16路报警输入、6路报警输出，支持开关量输入输出模式。</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　</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交换机</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1.10/100/1000M以太网端口≥48，固化1G SFP光接口≥4个，整机最大可用千兆口≥52；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2.交换容量≥3.36Tbps，包转发率≥166Mpps；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3.支持IPV4/IPV6静态路由，RIP、RIPng；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4.支持生成树协议STP(IEEE 802.1d)，RSTP(IEEE 802.1w)和MSTP(IEEE 802.1s)，完全保证快速收敛，提高容错能力，保证网络的稳定运行和链路的负载均衡，合理使用网络通道，提供冗余链路利用率；</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考试采集终端</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1.主机内嵌考试桌内，支持四核处理器，支持HDMI输出；支持DDR4内存，支持M.2 2280mm固态存储，内置千兆网卡，内置M.2 Key A可扩展WIFI+Bluetooth，6 X USB3.0+2 X USB2.0内置涡轮静音双滚珠散热系统，双防尘网设计。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2.全铝架构CNC工艺，整机外观无螺丝。处理器：4核4线程2.0GHz-2.7GHz，支持无盘启动、网络唤醒、上电开机、定时开机、TPM2.0、Intel虚拟化、看门狗等功能。内存容量8GB，存储容量128GB SSD。Intel UHD Graphics 600 集成显卡，显示分辨率可达4096 X 2160@30Hz.</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24台　</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72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实验考试系统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1.登录验证：系统支持用户名+密码输入登录，用户名支持中文、英文、符号、数字等多种混合组合方式。准确快速验证考生身份，适配多地考务文件需求。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考前信息确认：系统支持考生考前查看实验注意事项确认个人信息、阅读考生须知。个人信息包含：考生姓名、准考证号、所属学校、考试开始时间、考试学科、考点、考场等信息，考生确认无误后，方可开始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 考试准备：实验考试前，根据考试科目、内容提示实验所需准备的器材，并提醒考生检查核准无误后开始考试。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4.考试倒计时：系统支持考试全过程倒计时，帮助学生把握考试作答时间。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5.考试答卷：支持查看实验步骤，并根据实验结果在答题区作答，支持通过键盘输入答题内容。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6.考试记录：考试过程中，学生实验操作画面分别被2个摄像头实时记录，并存储到视频采集终端，确保画面清晰，无明显延迟。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7.提前交卷：系统支持进行提前交卷配置，定义可提前交卷时间，达到指定时间，学生可主动提前交卷离场。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8.强制交卷：当考试时间结束后，系统将强制交卷。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9.支持实训模式：在实训模式下支持随机抽题。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10.实验操作视频同步录制本地保存，服务端崩溃不影响学生端的视频录制。支持视频回看。</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24套　</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实验监考系统</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1.登录验证：账号密码登录，支持动态码验证。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2.客户端具有监控功能，支持实时监看每个考试桌的俯视和侧视两个画面；为了保证考试公平，要求视频画面角度合理，不得出现考生面貌特征。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实时监考：支持实时监考模式，主页面具有树状组织架构，可实时显示每路摄像机的状态，便于用户实时掌握设备运行情况。支持多画面布局，在监考界面，监考老师可自由选择四分屏、九分屏和十六分屏布局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画面轮询功能：监考时具有画面轮询功能，可选择默认是否开启，支持轮询间隔时间自由设置，支持轮询布局：四分屏、九分屏和十六分屏等布局方式；支持轮询画面为主码流或子码流。支持手动翻页显示学生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5.通道自由选择功能：支持将任意通道画面拖出画面外，选不监看；支持双击任意摄像头载入相应通道画面。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分组功能：支持手动分组或自动分组两种模式，其中手动分组可自由创建组名，并选择相应座位号，轮询时仅显示已选分组位置画面；自动分组可手动开启或关闭，根据登录情况进行分组，轮询时仅显示已登录位置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7.故障登记功能：当考场有设备出现故障影响考试过程的时候，监考老师可对故障设备进行登记，并对故障问题进行描述。提交登记信息后，相关数据实时同步到后端考试平台。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8.作弊登记功能：监考过程中有考生作弊，监考老师可作弊行为进行登记上报，登记信息包含：考试名称、考场、座位编号、考生个人信息及情况描述。提交登记信息后，相关数据实时同步到后端考试平台。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9.缓考登记：监考过程中，因设备问题导致考生无法继续考试的特殊情况下，监考老师可对该考生进行缓考登记。考生信息退回到备考端，考生可重新抽签后继续参加考试。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10.支持录入设备信息，至少包含：硬盘录像机、流媒体服务器、摄像机等设备信息，通讯协议支持市场上主流品牌的标准协议。支持设备信息同步备份至本地，支持将设备信息上传至后端管理平台。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11.支持同时录入至少8台硬盘录像机的设备信息，支持主备之间随时切换，保障考试安全。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12.支持通道画面与实验桌绑定，当添加摄像头时，无需手动分配，自动接入指定通道。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13.支持对接流媒体服务器，支持RTSP、RTMP等标准协议。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14、支持按考试桌号对应录入俯拍摄像机、侧拍摄像机的设备信息，支持标准协议，支持多路视频流接入。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15.考试视频可以在本地视频备份存储，并能对存储的视频进行批量统一管理。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16.支持显示当前系统版本号，支持在线更新系统，支持问题反馈功能，当系统有问题时可在联网的情况下，快速反馈。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17.支持对接AI考评系统，可实时展示AI考评的分析过程和考评结果。支持2路高清视频实时展示AI分析的画面；支持实时显示实验步骤和相应的得分情况，并自动统计得分结果。</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实验室环境改造</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1.教室总控端配备4平方毫米的三芯铜质电源线，学生端配备2.5平方毫米的三芯铜质电源线。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2.排水管规格:上水管直径Ø20mm，下水Ø50mm，优质环保，防爆管壁。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3.吊顶式安装系统采用模块化结构设计，采用吊装安装方式；系统结构调试；系统控制调试；给水排水调试；供电系统调试；照明系统调试；考试系统维护和调试。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4.采用龙骨方刚交叉焊接，减少对楼板的承重，防止左右晃动，主要辅件有：三角构件、直角座、龙骨架连接件、吊装挂件、安装连接板等。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5.采用矿棉板或其他材质吊顶。</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实验桌（准备台）</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1.规格：≥3000 X 1200 X 760四张框架对拼。桌腿：采用壁厚≥2mm镀锌方管外加≥2mm镀锌钢板经激光下料焊接而成，材料表面经高压静电喷涂环氧树脂防护层，耐酸碱，耐腐蚀处理，外部衔接ABS塑料装饰件。上腿规格：长≥580mm宽≥55mm高≥85mm。下腿规格：长≥540mm宽≥57mm高≥≥76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立柱：采用≥40×80mm管材，壁厚≥1.8mm。前横梁采用≥36×25mm，壁厚≥1.3mm。中横梁采用≥25×25mm，壁厚≥1.3mm。后横梁：采用≥43×26mm，壁厚≥1.3mm。加强横支撑件：采用3≥0×60mm椭圆管，壁厚≥1.5mm。材料表面经高压静电喷涂环氧树脂防护层，耐酸碱，耐腐蚀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5.书包斗:尺寸为≥480 X 290 X 152mm，壁厚≥3.5mm；采用环保型ABS工程塑料一次性注塑成型。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6.整体结构：台面理化板一体成型，桌身由桌腿、立柱、前横梁、中横梁、后横梁及加强横支撑件组成。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7.可调脚：高强度可调脚，采用10mm螺纹钢，下部采用环保型PP加耐磨纤维质塑料。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配有水槽柜一套，水槽采用环保型PP材料一次性注塑成型，耐强酸碱&lt;80度有机溶剂并耐≥150度以下高温，壁厚≥4mm，具有防溢出功能。水槽柜规格：≥450×600×850mm；水槽采用环保型PP材料一次性注塑成型，耐强酸碱&lt;80度有机溶剂并耐≥150度以下高温，壁厚≥4mm，具有防溢出功能。水槽后端高出水槽两侧50mm防止后排学生使用时水溅到前排学生身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水槽柜带独立储物抽屉，抽屉隐藏于水槽柜检修门内，使用时打开，不用时不影响整体外观造型。同时水槽柜自带抽屉封板防止抽屉内物品外漏于水槽柜内，抽屉封板与水槽柜前端模具一体成型非二次组装。储物抽屉采用环保型ABS材料一次性注塑成型与水槽柜整体连接，尺寸≥85×120×345mm，储物抽屉分为三格，每格尺寸≥110×115×65mm；便于学生使用时存放不同洗涤辅助用品。</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1张</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中央台试剂架</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1.规格：≥2200L×300W×750H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2.双层，分两段，采用铝合金专用型材，立柱采用≥80×42×1.0mm，护栏采用≥30×12×1.0mm铝合金型材，玻璃托盘厚≥8mm，表面喷涂环氧树脂防护层，长期使用不掉漆不褪色。</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滴水架</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1.材质:高密度PP。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2.尺寸：≥550×400×120mm，≥27支滴水棒。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3.底部托盘中间设有排水孔。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4.可拆卸式滴水棒，方便使用。</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1组</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三联水龙头</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三联龙头主体为铜质，阀门为陶瓷片密封，高头，便于多用途使用，可拆卸清洗阻塞。</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生物仪器柜A</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1.规格：≥1080×540×2100mm。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2.材质：PP材质。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3.柜体：侧板，顶板及底板采用增强型PP材质，一次注塑成型。表面做磨砂处理，结构紧密，耐腐蚀性强。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4.上柜门：采用增强型PP材质一次注塑成型，外嵌5mm钢化烤漆玻璃，中间玻璃做镂空处理，透明可视。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5.下柜门：采用增强型PP材质一次注塑成型，外嵌5mm钢化烤漆玻璃。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6.层板：配两块活动层板，层板为增强型PP材质一次注塑成型，承重不低于20公斤。美观耐用。层板可以抽取，自由组合各层空间。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7.门把手：采用增强型PP材质一次注塑成型，美观耐用。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8.门铰链：用增强型PP材质一次注塑成型，内嵌隐藏安装方便，耐腐蚀。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9.仪器柜内部无可视金属材料，确保了仪器柜的耐腐蚀性及耐候性。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10.柜体预留通风系统，可以与通风管路连接。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生物仪器柜B</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1.规格：≥450×900×1800mm。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2.材质：PP材质。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3.柜体：侧板，顶板及底板采用增强型PP材质，一次注塑成型。表面做磨砂处理，结构紧密，耐腐蚀性强。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4.上柜门：采用增强型PP材质一次注塑成型，外嵌5mm钢化烤漆玻璃，中间玻璃做镂空处理，透明可视。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5.下柜门：采用增强型PP材质一次注塑成型，外嵌5mm钢化烤漆玻璃，中间玻璃做镂空处理，透明可视。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6.层板：配三块活动层板，层板为增强型PP材质一次注塑成型，层板加强筋为整体抽芯工艺，抽芯处加入两根1.2mm厚方管，承重不低于20公斤。美观耐用。层板可以抽取，自由组合各层空间。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7.门把手：采用增强型PP材质一次注塑成型，美观耐用。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8.门铰链：用增强型PP材质一次注塑成型，内嵌隐藏安装方便，耐腐蚀。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9.仪器柜内部无可视金属材料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10.柜体预留通风系统，可以与通风管路连接。</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生物药品柜A</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1.规格：≥1080×540×2100mm。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2.材质：PP材质。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3.柜体：侧板，顶板及底板采用增强型PP材质，一体注塑成型。表面做磨砂处理，结构紧密，耐腐蚀性强。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4.上柜门：采用增强型PP材质一体注塑成型，外嵌≥5mm钢化烤漆玻璃，中间玻璃做镂空处理，透明可视。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5.下柜门：采用增强型PP材质一体注塑成型，外嵌≥5mm钢化烤漆玻璃。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6.层板：配两块活动层板，层板为增强型PP材质一体注塑成型。美观耐用。层板可以抽取，自由组合各层空间。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7.门把手：采用增强型PP材质一体注塑成型，美观耐用。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8.门铰链：用增强型PP材质一体注塑成型，内嵌隐藏安装方便，耐腐蚀。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9.药品柜内部无可视金属材料，确保了药品柜的耐腐蚀性。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10.柜体预留通风系统，可以与通风管路连接。</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生物药品柜B</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1.规格：≥450×900×1800mm。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2.材质：PP材质。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3.柜体：侧板，顶板及底板采用增强型PP材质，一体注塑成型。表面做磨砂处理，结构紧密，耐腐蚀性强。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4.上柜门：采用增强型PP材质一体注塑成型，外嵌≥5mm钢化烤漆玻璃，中间玻璃做镂空处理，透明可视。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5.下柜门：采用增强型PP材质一体注塑成型，外嵌≥5mm钢化烤漆玻璃，中间玻璃做镂空处理，透明可视。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6.层板：配两块活动层板，层板为增强型PP材质一体注层板加强筋为整体抽芯工艺，抽芯处加入两根≥1.2mm厚方管。层板可以抽取，自由组合各层空间。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7.门把手：采用增强型PP材质一体注塑成型，美观耐用。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8.门铰链：用增强型PP材质一体注塑成型，内嵌隐藏安装方便，耐腐蚀。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9.药品柜内部无可视金属材料，确保了药品柜的耐腐蚀性。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10.柜体预留通风系统，可以与通风管路连接。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11.阶梯：配一块阶梯；规格≥245×120×800mm，整体PP材料一体注塑成型（非二次焊接或者拼接），牢固耐用，一共两层，每层高度≥60mm，宽度≥112mm，同层板组成三层阶梯。</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10台</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单面标本柜</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1.铝木结构≥1000×500×2000mm。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下柜采用全木结构，橱体基材采用≥16㎜厚E1级三聚氰胺板，其截面用≥2㎜厚PVC封边条机械高温热熔胶封边板，长边采用≥30.5×24MM，壁厚≥1.2MM专用铝型材加固，防止层板弯曲变形铝型材可以插入标签贴，方便药品及仪器放置分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3.上部高≥1200mm，四面为≥5mm厚透明白玻镶嵌，双面为金属包边白玻推拉门设计，内部两层≥5mm厚玻璃活动隔层；下部橱柜高为≥800mm，板式对开门。不锈钢弓型拉手。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4.连接件：ABS专用连接组装件。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5.脚垫：采用特制模具优质注塑脚垫，高度为≥2.5cm，高度可调。</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标本柜双面</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1.铝木结构≥1000×1000×2000mm。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下柜采用全木结构，橱体基材采用≥16㎜厚E1级三聚氰胺板，其截面用≥2㎜厚PVC封边条机械高温热熔胶封边，长边采用≥30.5×24MM，壁厚≥1.2MM专用铝型材加固，防止层板弯曲变形铝型材可以插入标签贴，方便药品及仪器放置分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3.上部高≥1200mm，四面为≥5mm厚透明白玻镶嵌，双面为金属包边白玻推拉门设计，内部两层5mm厚玻璃活动隔层；下部橱柜高为≥800mm，板式对开门。不锈钢弓型拉手。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4.连接件：ABS专用连接组装件。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5.脚垫：采用特制模具优质注塑脚垫，高度为2.5cm，高度可调。</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2个</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实验桌（工作桌）</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1.整桌规格：≥1200mm（L）×600mm（W）×780mm（H）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2.台面：一体化台面，台面采用≥25mm厚防火板，配制PP专用自锁连接组装，具有易清洁、防水、耐磨、防火的特性。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3.桌体结构：塑铝结构。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4.桌体内部通过铝合金矩形管材立柱连接桌体顶部和底部承重框架，立柱规格≥725mm×65mm×30mm，桌体左右横梁及支撑脚采用优质铝材压铸成型， 镶嵌式安装方式及工字形结构框架使桌体具有强承重性及高稳定性。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5.主横梁采用优质铝型材拉伸成“8”字型，规格≥1110mm×80mm，表面经过防腐氧化处理，具有较强的耐蚀性及承重性。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前挡条采用优质铝型材拉伸成型，规格≥1080mm×60mm，表面经过防腐氧化处理高出台面≥35mm，可防止台面物品向后滑落并保护易碎物品不易被碰碎。桌体型材框架表面包覆有ABS环保材料外壳。耐化学腐蚀、防潮、防水，表面硬度、弹性、韧性、电绝缘性、耐候性等各性能满足硬性指标。外表为流线形工业设计，支撑受力点合理布局，承重性及稳定性能优越，所有接触人体的边棱均无锐利的棱角、毛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7.桌体底部脚垫高度可调、耐磨、防潮。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8.抽屉：内部规格≥330mm×160mm×105mm，位于两书包斗中间，可放置学生电源，隐蔽性及安全性能较高。</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1张</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准备室环境改造</w:t>
            </w:r>
          </w:p>
        </w:tc>
        <w:tc>
          <w:tcPr>
            <w:tcW w:w="329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地面以上连接线外部配有防火耐高温套管。电源布管布线施工，埋地管为优质PVC穿线管，采用优质铜芯线。PPR材质水管，上水管和进水管为Ф25；UPVC材质排水管为Ф50，含开关阀门，外丝连接件、PVC胶水等。</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1项</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bl>
    <w:p>
      <w:pPr>
        <w:spacing w:line="440" w:lineRule="exact"/>
        <w:ind w:firstLine="420" w:firstLineChars="200"/>
        <w:rPr>
          <w:rFonts w:ascii="宋体" w:hAnsi="宋体"/>
          <w:color w:val="FF0000"/>
          <w:szCs w:val="21"/>
          <w:highlight w:val="none"/>
        </w:rPr>
      </w:pPr>
    </w:p>
    <w:p>
      <w:pPr>
        <w:autoSpaceDE w:val="0"/>
        <w:autoSpaceDN w:val="0"/>
        <w:adjustRightInd w:val="0"/>
        <w:jc w:val="left"/>
        <w:rPr>
          <w:rFonts w:ascii="宋体" w:hAnsi="宋体" w:cs="宋体"/>
          <w:kern w:val="0"/>
          <w:szCs w:val="21"/>
          <w:highlight w:val="none"/>
        </w:rPr>
      </w:pPr>
    </w:p>
    <w:p>
      <w:pPr>
        <w:autoSpaceDE w:val="0"/>
        <w:autoSpaceDN w:val="0"/>
        <w:adjustRightInd w:val="0"/>
        <w:ind w:firstLine="420" w:firstLineChars="200"/>
        <w:jc w:val="left"/>
        <w:rPr>
          <w:rFonts w:ascii="宋体" w:hAnsi="宋体" w:cs="宋体"/>
          <w:kern w:val="0"/>
          <w:szCs w:val="21"/>
          <w:highlight w:val="none"/>
        </w:rPr>
      </w:pPr>
      <w:r>
        <w:rPr>
          <w:rFonts w:ascii="宋体" w:hAnsi="宋体" w:cs="宋体"/>
          <w:kern w:val="0"/>
          <w:szCs w:val="21"/>
          <w:highlight w:val="none"/>
        </w:rPr>
        <w:br w:type="page"/>
      </w:r>
    </w:p>
    <w:p>
      <w:pPr>
        <w:spacing w:line="440" w:lineRule="exact"/>
        <w:jc w:val="center"/>
        <w:outlineLvl w:val="0"/>
        <w:rPr>
          <w:rFonts w:hint="eastAsia" w:ascii="宋体" w:hAnsi="宋体"/>
          <w:b/>
          <w:sz w:val="44"/>
          <w:szCs w:val="44"/>
          <w:highlight w:val="none"/>
        </w:rPr>
        <w:sectPr>
          <w:pgSz w:w="16838" w:h="11905" w:orient="landscape"/>
          <w:pgMar w:top="1417" w:right="1417" w:bottom="1417" w:left="1417" w:header="850" w:footer="992" w:gutter="0"/>
          <w:cols w:space="0" w:num="1"/>
          <w:titlePg/>
          <w:rtlGutter w:val="0"/>
          <w:docGrid w:type="lines" w:linePitch="312" w:charSpace="0"/>
        </w:sectPr>
      </w:pPr>
      <w:bookmarkStart w:id="694" w:name="_Toc23606"/>
      <w:bookmarkStart w:id="695" w:name="_Toc494526418"/>
      <w:bookmarkStart w:id="696" w:name="_Toc17490"/>
      <w:bookmarkStart w:id="697" w:name="_Toc32761"/>
      <w:bookmarkStart w:id="698" w:name="_Toc338840461"/>
      <w:bookmarkStart w:id="699" w:name="_Toc338840500"/>
      <w:bookmarkStart w:id="700" w:name="_Toc494093446"/>
      <w:bookmarkStart w:id="701" w:name="_Toc346523484"/>
      <w:bookmarkStart w:id="702" w:name="_Toc338840252"/>
      <w:bookmarkStart w:id="703" w:name="_Toc5704"/>
      <w:bookmarkStart w:id="704" w:name="_Toc346523421"/>
    </w:p>
    <w:p>
      <w:pPr>
        <w:spacing w:line="440" w:lineRule="exact"/>
        <w:jc w:val="center"/>
        <w:outlineLvl w:val="0"/>
        <w:rPr>
          <w:rFonts w:ascii="宋体" w:hAnsi="宋体"/>
          <w:b/>
          <w:sz w:val="44"/>
          <w:szCs w:val="44"/>
          <w:highlight w:val="none"/>
        </w:rPr>
      </w:pPr>
      <w:r>
        <w:rPr>
          <w:rFonts w:hint="eastAsia" w:ascii="宋体" w:hAnsi="宋体"/>
          <w:b/>
          <w:sz w:val="44"/>
          <w:szCs w:val="44"/>
          <w:highlight w:val="none"/>
        </w:rPr>
        <w:t xml:space="preserve">第六章  </w:t>
      </w:r>
      <w:bookmarkEnd w:id="686"/>
      <w:bookmarkEnd w:id="687"/>
      <w:bookmarkEnd w:id="688"/>
      <w:bookmarkEnd w:id="689"/>
      <w:bookmarkEnd w:id="690"/>
      <w:bookmarkEnd w:id="691"/>
      <w:bookmarkEnd w:id="692"/>
      <w:bookmarkEnd w:id="693"/>
      <w:r>
        <w:rPr>
          <w:rFonts w:hint="eastAsia" w:ascii="宋体" w:hAnsi="宋体"/>
          <w:b/>
          <w:sz w:val="44"/>
          <w:szCs w:val="44"/>
          <w:highlight w:val="none"/>
        </w:rPr>
        <w:t>投标文件格式</w:t>
      </w:r>
      <w:bookmarkEnd w:id="694"/>
      <w:bookmarkEnd w:id="695"/>
      <w:bookmarkEnd w:id="696"/>
      <w:bookmarkEnd w:id="697"/>
      <w:bookmarkEnd w:id="698"/>
      <w:bookmarkEnd w:id="699"/>
      <w:bookmarkEnd w:id="700"/>
      <w:bookmarkEnd w:id="701"/>
      <w:bookmarkEnd w:id="702"/>
      <w:bookmarkEnd w:id="703"/>
      <w:bookmarkEnd w:id="704"/>
    </w:p>
    <w:p>
      <w:pPr>
        <w:spacing w:line="600" w:lineRule="exact"/>
        <w:rPr>
          <w:rFonts w:ascii="宋体" w:hAnsi="宋体"/>
          <w:b/>
          <w:bCs/>
          <w:sz w:val="32"/>
          <w:szCs w:val="32"/>
          <w:highlight w:val="none"/>
        </w:rPr>
      </w:pPr>
      <w:r>
        <w:rPr>
          <w:rFonts w:hint="eastAsia" w:ascii="宋体" w:hAnsi="宋体"/>
          <w:highlight w:val="none"/>
        </w:rPr>
        <w:br w:type="page"/>
      </w:r>
    </w:p>
    <w:p>
      <w:pPr>
        <w:spacing w:line="600" w:lineRule="exact"/>
        <w:ind w:firstLine="1430" w:firstLineChars="445"/>
        <w:rPr>
          <w:rFonts w:ascii="宋体" w:hAnsi="宋体"/>
          <w:b/>
          <w:bCs/>
          <w:sz w:val="32"/>
          <w:szCs w:val="32"/>
          <w:highlight w:val="none"/>
        </w:rPr>
      </w:pPr>
      <w:r>
        <w:rPr>
          <w:rFonts w:hint="eastAsia" w:ascii="宋体" w:hAnsi="宋体"/>
          <w:b/>
          <w:bCs/>
          <w:sz w:val="32"/>
          <w:szCs w:val="32"/>
          <w:highlight w:val="none"/>
          <w:u w:val="single"/>
        </w:rPr>
        <w:t xml:space="preserve">           　         </w:t>
      </w:r>
      <w:r>
        <w:rPr>
          <w:rFonts w:hint="eastAsia" w:ascii="宋体" w:hAnsi="宋体"/>
          <w:b/>
          <w:bCs/>
          <w:sz w:val="32"/>
          <w:szCs w:val="32"/>
          <w:highlight w:val="none"/>
        </w:rPr>
        <w:t>项目</w:t>
      </w:r>
      <w:r>
        <w:rPr>
          <w:rFonts w:hint="eastAsia" w:ascii="宋体" w:hAnsi="宋体"/>
          <w:b/>
          <w:bCs/>
          <w:sz w:val="32"/>
          <w:szCs w:val="32"/>
          <w:highlight w:val="none"/>
          <w:u w:val="single"/>
        </w:rPr>
        <w:t>　　</w:t>
      </w:r>
      <w:r>
        <w:rPr>
          <w:rFonts w:hint="eastAsia" w:ascii="宋体" w:hAnsi="宋体"/>
          <w:b/>
          <w:bCs/>
          <w:sz w:val="32"/>
          <w:szCs w:val="32"/>
          <w:highlight w:val="none"/>
        </w:rPr>
        <w:t>标段</w:t>
      </w:r>
    </w:p>
    <w:p>
      <w:pPr>
        <w:spacing w:line="800" w:lineRule="exact"/>
        <w:ind w:firstLine="2570" w:firstLineChars="800"/>
        <w:rPr>
          <w:rFonts w:ascii="宋体" w:hAnsi="宋体"/>
          <w:b/>
          <w:bCs/>
          <w:sz w:val="72"/>
          <w:szCs w:val="72"/>
          <w:highlight w:val="none"/>
        </w:rPr>
      </w:pPr>
      <w:r>
        <w:rPr>
          <w:rFonts w:hint="eastAsia" w:ascii="宋体" w:hAnsi="宋体"/>
          <w:b/>
          <w:bCs/>
          <w:sz w:val="32"/>
          <w:szCs w:val="32"/>
          <w:highlight w:val="none"/>
        </w:rPr>
        <w:t>项目编号：</w:t>
      </w:r>
      <w:r>
        <w:rPr>
          <w:rFonts w:hint="eastAsia" w:ascii="宋体" w:hAnsi="宋体"/>
          <w:b/>
          <w:bCs/>
          <w:sz w:val="32"/>
          <w:szCs w:val="32"/>
          <w:highlight w:val="none"/>
          <w:u w:val="single"/>
        </w:rPr>
        <w:t>　　　　</w:t>
      </w:r>
    </w:p>
    <w:p>
      <w:pPr>
        <w:spacing w:line="800" w:lineRule="exact"/>
        <w:rPr>
          <w:rFonts w:ascii="宋体" w:hAnsi="宋体"/>
          <w:b/>
          <w:bCs/>
          <w:sz w:val="72"/>
          <w:szCs w:val="72"/>
          <w:highlight w:val="none"/>
        </w:rPr>
      </w:pPr>
    </w:p>
    <w:p>
      <w:pPr>
        <w:spacing w:line="800" w:lineRule="exact"/>
        <w:rPr>
          <w:rFonts w:ascii="宋体" w:hAnsi="宋体"/>
          <w:b/>
          <w:bCs/>
          <w:sz w:val="72"/>
          <w:szCs w:val="72"/>
          <w:highlight w:val="none"/>
        </w:rPr>
      </w:pPr>
    </w:p>
    <w:p>
      <w:pPr>
        <w:spacing w:line="800" w:lineRule="exact"/>
        <w:rPr>
          <w:rFonts w:ascii="宋体" w:hAnsi="宋体"/>
          <w:b/>
          <w:bCs/>
          <w:sz w:val="72"/>
          <w:szCs w:val="72"/>
          <w:highlight w:val="none"/>
        </w:rPr>
      </w:pPr>
    </w:p>
    <w:p>
      <w:pPr>
        <w:spacing w:line="800" w:lineRule="exact"/>
        <w:rPr>
          <w:rFonts w:ascii="宋体" w:hAnsi="宋体"/>
          <w:b/>
          <w:bCs/>
          <w:sz w:val="72"/>
          <w:szCs w:val="72"/>
          <w:highlight w:val="none"/>
        </w:rPr>
      </w:pPr>
    </w:p>
    <w:p>
      <w:pPr>
        <w:jc w:val="center"/>
        <w:rPr>
          <w:rFonts w:ascii="宋体" w:hAnsi="宋体"/>
          <w:b/>
          <w:bCs/>
          <w:sz w:val="84"/>
          <w:szCs w:val="84"/>
          <w:highlight w:val="none"/>
        </w:rPr>
      </w:pPr>
      <w:r>
        <w:rPr>
          <w:rFonts w:hint="eastAsia" w:ascii="宋体" w:hAnsi="宋体"/>
          <w:b/>
          <w:bCs/>
          <w:sz w:val="84"/>
          <w:szCs w:val="84"/>
          <w:highlight w:val="none"/>
        </w:rPr>
        <w:t>投 标 文 件</w:t>
      </w:r>
    </w:p>
    <w:p>
      <w:pPr>
        <w:spacing w:line="800" w:lineRule="exact"/>
        <w:ind w:firstLine="2249" w:firstLineChars="700"/>
        <w:rPr>
          <w:rFonts w:ascii="宋体" w:hAnsi="宋体"/>
          <w:b/>
          <w:bCs/>
          <w:sz w:val="32"/>
          <w:szCs w:val="32"/>
          <w:highlight w:val="none"/>
          <w:u w:val="single"/>
        </w:rPr>
      </w:pPr>
    </w:p>
    <w:p>
      <w:pPr>
        <w:spacing w:line="800" w:lineRule="exact"/>
        <w:rPr>
          <w:rFonts w:ascii="宋体" w:hAnsi="宋体"/>
          <w:b/>
          <w:bCs/>
          <w:sz w:val="72"/>
          <w:szCs w:val="72"/>
          <w:highlight w:val="none"/>
        </w:rPr>
      </w:pPr>
    </w:p>
    <w:p>
      <w:pPr>
        <w:spacing w:line="600" w:lineRule="exact"/>
        <w:jc w:val="left"/>
        <w:rPr>
          <w:rFonts w:ascii="宋体" w:hAnsi="宋体"/>
          <w:b/>
          <w:bCs/>
          <w:sz w:val="72"/>
          <w:szCs w:val="72"/>
          <w:highlight w:val="none"/>
        </w:rPr>
      </w:pPr>
    </w:p>
    <w:p>
      <w:pPr>
        <w:spacing w:line="600" w:lineRule="exact"/>
        <w:jc w:val="left"/>
        <w:rPr>
          <w:rFonts w:ascii="宋体" w:hAnsi="宋体"/>
          <w:b/>
          <w:bCs/>
          <w:sz w:val="72"/>
          <w:szCs w:val="72"/>
          <w:highlight w:val="none"/>
        </w:rPr>
      </w:pPr>
    </w:p>
    <w:p>
      <w:pPr>
        <w:spacing w:line="600" w:lineRule="exact"/>
        <w:jc w:val="left"/>
        <w:rPr>
          <w:rFonts w:ascii="宋体" w:hAnsi="宋体"/>
          <w:b/>
          <w:bCs/>
          <w:sz w:val="72"/>
          <w:szCs w:val="72"/>
          <w:highlight w:val="none"/>
        </w:rPr>
      </w:pPr>
    </w:p>
    <w:p>
      <w:pPr>
        <w:spacing w:line="600" w:lineRule="exact"/>
        <w:jc w:val="left"/>
        <w:rPr>
          <w:rFonts w:ascii="宋体" w:hAnsi="宋体"/>
          <w:b/>
          <w:bCs/>
          <w:sz w:val="72"/>
          <w:szCs w:val="72"/>
          <w:highlight w:val="none"/>
        </w:rPr>
      </w:pPr>
    </w:p>
    <w:p>
      <w:pPr>
        <w:spacing w:line="600" w:lineRule="exact"/>
        <w:jc w:val="left"/>
        <w:rPr>
          <w:rFonts w:ascii="宋体" w:hAnsi="宋体"/>
          <w:b/>
          <w:bCs/>
          <w:sz w:val="72"/>
          <w:szCs w:val="72"/>
          <w:highlight w:val="none"/>
        </w:rPr>
      </w:pPr>
    </w:p>
    <w:p>
      <w:pPr>
        <w:spacing w:line="600" w:lineRule="exact"/>
        <w:ind w:firstLine="643" w:firstLineChars="200"/>
        <w:rPr>
          <w:rFonts w:ascii="宋体" w:hAnsi="宋体"/>
          <w:b/>
          <w:sz w:val="32"/>
          <w:szCs w:val="32"/>
          <w:highlight w:val="none"/>
        </w:rPr>
      </w:pPr>
      <w:r>
        <w:rPr>
          <w:rFonts w:hint="eastAsia" w:ascii="宋体" w:hAnsi="宋体"/>
          <w:b/>
          <w:sz w:val="32"/>
          <w:szCs w:val="32"/>
          <w:highlight w:val="none"/>
        </w:rPr>
        <w:t>收件人：</w:t>
      </w:r>
      <w:r>
        <w:rPr>
          <w:rFonts w:hint="eastAsia" w:ascii="宋体" w:hAnsi="宋体" w:cs="宋体"/>
          <w:b/>
          <w:sz w:val="32"/>
          <w:szCs w:val="32"/>
          <w:highlight w:val="none"/>
        </w:rPr>
        <w:t>开封市政府采购中心</w:t>
      </w:r>
    </w:p>
    <w:p>
      <w:pPr>
        <w:spacing w:line="600" w:lineRule="exact"/>
        <w:ind w:firstLine="643" w:firstLineChars="200"/>
        <w:rPr>
          <w:rFonts w:ascii="宋体" w:hAnsi="宋体"/>
          <w:b/>
          <w:sz w:val="32"/>
          <w:szCs w:val="32"/>
          <w:highlight w:val="none"/>
          <w:u w:val="single"/>
        </w:rPr>
      </w:pPr>
      <w:r>
        <w:rPr>
          <w:rFonts w:hint="eastAsia" w:ascii="宋体" w:hAnsi="宋体"/>
          <w:b/>
          <w:sz w:val="32"/>
          <w:szCs w:val="32"/>
          <w:highlight w:val="none"/>
        </w:rPr>
        <w:t>供应商：</w:t>
      </w:r>
      <w:r>
        <w:rPr>
          <w:rFonts w:hint="eastAsia" w:ascii="宋体" w:hAnsi="宋体"/>
          <w:b/>
          <w:sz w:val="32"/>
          <w:szCs w:val="32"/>
          <w:highlight w:val="none"/>
          <w:u w:val="single"/>
        </w:rPr>
        <w:t>　　　　　　　　　　　　　　　　　</w:t>
      </w:r>
    </w:p>
    <w:p>
      <w:pPr>
        <w:ind w:firstLine="643" w:firstLineChars="200"/>
        <w:rPr>
          <w:rFonts w:ascii="宋体" w:hAnsi="宋体"/>
          <w:b/>
          <w:sz w:val="32"/>
          <w:szCs w:val="32"/>
          <w:highlight w:val="none"/>
          <w:u w:val="single"/>
        </w:rPr>
      </w:pPr>
      <w:r>
        <w:rPr>
          <w:rFonts w:hint="eastAsia" w:ascii="宋体" w:hAnsi="宋体"/>
          <w:b/>
          <w:sz w:val="32"/>
          <w:szCs w:val="32"/>
          <w:highlight w:val="none"/>
        </w:rPr>
        <w:t>供应商地址：</w:t>
      </w:r>
      <w:r>
        <w:rPr>
          <w:rFonts w:hint="eastAsia" w:ascii="宋体" w:hAnsi="宋体"/>
          <w:b/>
          <w:sz w:val="32"/>
          <w:szCs w:val="32"/>
          <w:highlight w:val="none"/>
          <w:u w:val="single"/>
        </w:rPr>
        <w:t>　　　　　　　　　　　　　　　</w:t>
      </w:r>
    </w:p>
    <w:p>
      <w:pPr>
        <w:ind w:firstLine="3518" w:firstLineChars="1095"/>
        <w:rPr>
          <w:rFonts w:ascii="宋体" w:hAnsi="宋体"/>
          <w:b/>
          <w:sz w:val="32"/>
          <w:szCs w:val="32"/>
          <w:highlight w:val="none"/>
        </w:rPr>
      </w:pPr>
      <w:r>
        <w:rPr>
          <w:rFonts w:hint="eastAsia" w:ascii="宋体" w:hAnsi="宋体"/>
          <w:b/>
          <w:sz w:val="32"/>
          <w:szCs w:val="32"/>
          <w:highlight w:val="none"/>
        </w:rPr>
        <w:t>编制时间</w:t>
      </w:r>
      <w:r>
        <w:rPr>
          <w:rFonts w:hint="eastAsia" w:ascii="宋体" w:hAnsi="宋体"/>
          <w:b/>
          <w:sz w:val="32"/>
          <w:szCs w:val="32"/>
          <w:highlight w:val="none"/>
          <w:u w:val="single"/>
        </w:rPr>
        <w:t xml:space="preserve">    </w:t>
      </w:r>
      <w:r>
        <w:rPr>
          <w:rFonts w:hint="eastAsia" w:ascii="宋体" w:hAnsi="宋体"/>
          <w:b/>
          <w:sz w:val="32"/>
          <w:szCs w:val="32"/>
          <w:highlight w:val="none"/>
        </w:rPr>
        <w:t>年</w:t>
      </w:r>
      <w:r>
        <w:rPr>
          <w:rFonts w:hint="eastAsia" w:ascii="宋体" w:hAnsi="宋体"/>
          <w:b/>
          <w:sz w:val="32"/>
          <w:szCs w:val="32"/>
          <w:highlight w:val="none"/>
          <w:u w:val="single"/>
        </w:rPr>
        <w:t xml:space="preserve">   </w:t>
      </w:r>
      <w:r>
        <w:rPr>
          <w:rFonts w:hint="eastAsia" w:ascii="宋体" w:hAnsi="宋体"/>
          <w:b/>
          <w:sz w:val="32"/>
          <w:szCs w:val="32"/>
          <w:highlight w:val="none"/>
        </w:rPr>
        <w:t>月</w:t>
      </w:r>
      <w:r>
        <w:rPr>
          <w:rFonts w:hint="eastAsia" w:ascii="宋体" w:hAnsi="宋体"/>
          <w:b/>
          <w:sz w:val="32"/>
          <w:szCs w:val="32"/>
          <w:highlight w:val="none"/>
          <w:u w:val="single"/>
        </w:rPr>
        <w:t xml:space="preserve">   </w:t>
      </w:r>
      <w:r>
        <w:rPr>
          <w:rFonts w:hint="eastAsia" w:ascii="宋体" w:hAnsi="宋体"/>
          <w:b/>
          <w:sz w:val="32"/>
          <w:szCs w:val="32"/>
          <w:highlight w:val="none"/>
        </w:rPr>
        <w:t>日</w:t>
      </w:r>
    </w:p>
    <w:p>
      <w:pPr>
        <w:rPr>
          <w:rFonts w:ascii="宋体" w:hAnsi="宋体"/>
          <w:highlight w:val="none"/>
        </w:rPr>
      </w:pPr>
    </w:p>
    <w:p>
      <w:pPr>
        <w:jc w:val="center"/>
        <w:rPr>
          <w:rFonts w:ascii="宋体" w:hAnsi="宋体"/>
          <w:sz w:val="44"/>
          <w:szCs w:val="44"/>
          <w:highlight w:val="none"/>
        </w:rPr>
      </w:pPr>
      <w:bookmarkStart w:id="705" w:name="_Toc346523422"/>
      <w:bookmarkStart w:id="706" w:name="_Toc338840501"/>
      <w:bookmarkStart w:id="707" w:name="_Toc338840253"/>
      <w:bookmarkStart w:id="708" w:name="_Toc338840462"/>
      <w:r>
        <w:rPr>
          <w:rFonts w:hint="eastAsia" w:ascii="宋体" w:hAnsi="宋体"/>
          <w:sz w:val="44"/>
          <w:szCs w:val="44"/>
          <w:highlight w:val="none"/>
        </w:rPr>
        <w:br w:type="page"/>
      </w:r>
      <w:r>
        <w:rPr>
          <w:rFonts w:hint="eastAsia" w:ascii="宋体" w:hAnsi="宋体"/>
          <w:sz w:val="44"/>
          <w:szCs w:val="44"/>
          <w:highlight w:val="none"/>
        </w:rPr>
        <w:t>目　　录</w:t>
      </w:r>
      <w:bookmarkEnd w:id="705"/>
      <w:bookmarkEnd w:id="706"/>
      <w:bookmarkEnd w:id="707"/>
      <w:bookmarkEnd w:id="708"/>
    </w:p>
    <w:p>
      <w:pPr>
        <w:rPr>
          <w:rFonts w:ascii="宋体" w:hAnsi="宋体"/>
          <w:highlight w:val="none"/>
        </w:rPr>
      </w:pPr>
    </w:p>
    <w:p>
      <w:pPr>
        <w:numPr>
          <w:ilvl w:val="0"/>
          <w:numId w:val="9"/>
        </w:numPr>
        <w:ind w:left="0" w:leftChars="0" w:firstLine="420" w:firstLineChars="0"/>
        <w:rPr>
          <w:rFonts w:ascii="宋体" w:hAnsi="宋体" w:cs="宋体"/>
          <w:sz w:val="32"/>
          <w:szCs w:val="32"/>
          <w:highlight w:val="none"/>
        </w:rPr>
      </w:pPr>
      <w:r>
        <w:rPr>
          <w:rFonts w:hint="eastAsia" w:ascii="宋体" w:hAnsi="宋体" w:cs="宋体"/>
          <w:sz w:val="32"/>
          <w:szCs w:val="32"/>
          <w:highlight w:val="none"/>
        </w:rPr>
        <w:t>投标函</w:t>
      </w:r>
    </w:p>
    <w:p>
      <w:pPr>
        <w:numPr>
          <w:ilvl w:val="0"/>
          <w:numId w:val="9"/>
        </w:numPr>
        <w:ind w:left="0" w:leftChars="0" w:firstLine="420" w:firstLineChars="0"/>
        <w:rPr>
          <w:rFonts w:ascii="宋体" w:hAnsi="宋体" w:cs="宋体"/>
          <w:sz w:val="32"/>
          <w:szCs w:val="32"/>
          <w:highlight w:val="none"/>
        </w:rPr>
      </w:pPr>
      <w:r>
        <w:rPr>
          <w:rFonts w:hint="eastAsia" w:ascii="宋体" w:hAnsi="宋体" w:cs="宋体"/>
          <w:sz w:val="32"/>
          <w:szCs w:val="32"/>
          <w:highlight w:val="none"/>
        </w:rPr>
        <w:t>法定代表人资格证明或授权委托书</w:t>
      </w:r>
    </w:p>
    <w:p>
      <w:pPr>
        <w:numPr>
          <w:ilvl w:val="0"/>
          <w:numId w:val="9"/>
        </w:numPr>
        <w:ind w:left="0" w:leftChars="0" w:firstLine="420" w:firstLineChars="0"/>
        <w:rPr>
          <w:rFonts w:ascii="宋体" w:hAnsi="宋体" w:cs="宋体"/>
          <w:sz w:val="32"/>
          <w:szCs w:val="32"/>
          <w:highlight w:val="none"/>
        </w:rPr>
      </w:pPr>
      <w:r>
        <w:rPr>
          <w:rFonts w:hint="eastAsia" w:ascii="宋体" w:hAnsi="宋体" w:cs="宋体"/>
          <w:sz w:val="32"/>
          <w:szCs w:val="32"/>
          <w:highlight w:val="none"/>
        </w:rPr>
        <w:t>供应商基本情况和资格证明材料</w:t>
      </w:r>
    </w:p>
    <w:p>
      <w:pPr>
        <w:numPr>
          <w:ilvl w:val="0"/>
          <w:numId w:val="9"/>
        </w:numPr>
        <w:ind w:left="0" w:leftChars="0" w:firstLine="420" w:firstLineChars="0"/>
        <w:rPr>
          <w:rFonts w:ascii="宋体" w:hAnsi="宋体" w:cs="宋体"/>
          <w:sz w:val="32"/>
          <w:szCs w:val="32"/>
          <w:highlight w:val="none"/>
        </w:rPr>
      </w:pPr>
      <w:r>
        <w:rPr>
          <w:rFonts w:hint="eastAsia" w:ascii="宋体" w:hAnsi="宋体" w:cs="宋体"/>
          <w:sz w:val="32"/>
          <w:szCs w:val="32"/>
          <w:highlight w:val="none"/>
        </w:rPr>
        <w:t>投标内容及报价明细表</w:t>
      </w:r>
    </w:p>
    <w:p>
      <w:pPr>
        <w:numPr>
          <w:ilvl w:val="0"/>
          <w:numId w:val="9"/>
        </w:numPr>
        <w:ind w:left="0" w:leftChars="0" w:firstLine="420" w:firstLineChars="0"/>
        <w:rPr>
          <w:rFonts w:ascii="宋体" w:hAnsi="宋体" w:cs="宋体"/>
          <w:sz w:val="32"/>
          <w:szCs w:val="32"/>
          <w:highlight w:val="none"/>
        </w:rPr>
      </w:pPr>
      <w:r>
        <w:rPr>
          <w:rFonts w:hint="eastAsia" w:ascii="宋体" w:hAnsi="宋体" w:cs="宋体"/>
          <w:sz w:val="32"/>
          <w:szCs w:val="32"/>
          <w:highlight w:val="none"/>
        </w:rPr>
        <w:t>技术及商务偏差表</w:t>
      </w:r>
    </w:p>
    <w:p>
      <w:pPr>
        <w:numPr>
          <w:ilvl w:val="0"/>
          <w:numId w:val="9"/>
        </w:numPr>
        <w:ind w:left="0" w:leftChars="0" w:firstLine="420" w:firstLineChars="0"/>
        <w:rPr>
          <w:rFonts w:ascii="宋体" w:hAnsi="宋体" w:cs="宋体"/>
          <w:sz w:val="32"/>
          <w:szCs w:val="32"/>
          <w:highlight w:val="none"/>
        </w:rPr>
      </w:pPr>
      <w:r>
        <w:rPr>
          <w:rFonts w:hint="eastAsia" w:ascii="宋体" w:hAnsi="宋体" w:cs="宋体"/>
          <w:sz w:val="32"/>
          <w:szCs w:val="32"/>
          <w:highlight w:val="none"/>
        </w:rPr>
        <w:t>备品备件及附送工具清单</w:t>
      </w:r>
    </w:p>
    <w:p>
      <w:pPr>
        <w:numPr>
          <w:ilvl w:val="0"/>
          <w:numId w:val="9"/>
        </w:numPr>
        <w:ind w:left="0" w:leftChars="0" w:firstLine="420" w:firstLineChars="0"/>
        <w:rPr>
          <w:rFonts w:hint="eastAsia" w:ascii="宋体" w:hAnsi="宋体" w:cs="宋体"/>
          <w:sz w:val="32"/>
          <w:szCs w:val="32"/>
          <w:highlight w:val="none"/>
        </w:rPr>
      </w:pPr>
      <w:r>
        <w:rPr>
          <w:rFonts w:hint="eastAsia" w:ascii="宋体" w:hAnsi="宋体" w:cs="宋体"/>
          <w:sz w:val="32"/>
          <w:szCs w:val="32"/>
          <w:highlight w:val="none"/>
        </w:rPr>
        <w:t>业绩合同</w:t>
      </w:r>
    </w:p>
    <w:p>
      <w:pPr>
        <w:numPr>
          <w:ilvl w:val="0"/>
          <w:numId w:val="9"/>
        </w:numPr>
        <w:ind w:left="0" w:leftChars="0" w:firstLine="420" w:firstLineChars="0"/>
        <w:rPr>
          <w:rFonts w:hint="eastAsia" w:ascii="宋体" w:hAnsi="宋体" w:cs="宋体"/>
          <w:sz w:val="32"/>
          <w:szCs w:val="32"/>
          <w:highlight w:val="none"/>
        </w:rPr>
      </w:pPr>
      <w:r>
        <w:rPr>
          <w:rFonts w:hint="eastAsia" w:ascii="宋体" w:hAnsi="宋体" w:cs="宋体"/>
          <w:sz w:val="32"/>
          <w:szCs w:val="32"/>
          <w:highlight w:val="none"/>
        </w:rPr>
        <w:t>企业荣誉、信誉</w:t>
      </w:r>
    </w:p>
    <w:p>
      <w:pPr>
        <w:numPr>
          <w:ilvl w:val="0"/>
          <w:numId w:val="9"/>
        </w:numPr>
        <w:ind w:left="0" w:leftChars="0" w:firstLine="420" w:firstLineChars="0"/>
        <w:rPr>
          <w:rFonts w:hint="eastAsia" w:ascii="宋体" w:hAnsi="宋体" w:cs="宋体"/>
          <w:sz w:val="32"/>
          <w:szCs w:val="32"/>
          <w:highlight w:val="none"/>
        </w:rPr>
      </w:pPr>
      <w:r>
        <w:rPr>
          <w:rFonts w:hint="eastAsia" w:ascii="宋体" w:hAnsi="宋体" w:cs="宋体"/>
          <w:sz w:val="32"/>
          <w:szCs w:val="32"/>
          <w:highlight w:val="none"/>
        </w:rPr>
        <w:t>售后服务方案</w:t>
      </w:r>
    </w:p>
    <w:p>
      <w:pPr>
        <w:numPr>
          <w:ilvl w:val="0"/>
          <w:numId w:val="9"/>
        </w:numPr>
        <w:ind w:left="0" w:leftChars="0" w:firstLine="420" w:firstLineChars="0"/>
        <w:rPr>
          <w:rFonts w:hint="eastAsia" w:ascii="宋体" w:hAnsi="宋体" w:cs="宋体"/>
          <w:sz w:val="32"/>
          <w:szCs w:val="32"/>
          <w:highlight w:val="none"/>
        </w:rPr>
      </w:pPr>
      <w:r>
        <w:rPr>
          <w:rFonts w:hint="eastAsia" w:ascii="宋体" w:hAnsi="宋体" w:cs="宋体"/>
          <w:sz w:val="32"/>
          <w:szCs w:val="32"/>
          <w:highlight w:val="none"/>
        </w:rPr>
        <w:t>进度计划</w:t>
      </w:r>
    </w:p>
    <w:p>
      <w:pPr>
        <w:numPr>
          <w:ilvl w:val="0"/>
          <w:numId w:val="9"/>
        </w:numPr>
        <w:ind w:left="0" w:leftChars="0" w:firstLine="420" w:firstLineChars="0"/>
        <w:rPr>
          <w:rFonts w:ascii="宋体" w:hAnsi="宋体" w:cs="宋体"/>
          <w:sz w:val="32"/>
          <w:szCs w:val="32"/>
          <w:highlight w:val="none"/>
        </w:rPr>
      </w:pPr>
      <w:r>
        <w:rPr>
          <w:rFonts w:hint="eastAsia" w:ascii="宋体" w:hAnsi="宋体" w:cs="宋体"/>
          <w:sz w:val="32"/>
          <w:szCs w:val="32"/>
          <w:highlight w:val="none"/>
          <w:lang w:val="en-US" w:eastAsia="zh-CN"/>
        </w:rPr>
        <w:t>投入</w:t>
      </w:r>
      <w:r>
        <w:rPr>
          <w:rFonts w:hint="eastAsia" w:ascii="宋体" w:hAnsi="宋体" w:cs="宋体"/>
          <w:sz w:val="32"/>
          <w:szCs w:val="32"/>
          <w:highlight w:val="none"/>
        </w:rPr>
        <w:t>技术力量</w:t>
      </w:r>
    </w:p>
    <w:p>
      <w:pPr>
        <w:numPr>
          <w:ilvl w:val="0"/>
          <w:numId w:val="9"/>
        </w:numPr>
        <w:ind w:left="0" w:leftChars="0" w:firstLine="420" w:firstLineChars="0"/>
        <w:rPr>
          <w:rFonts w:hint="eastAsia" w:ascii="宋体" w:hAnsi="宋体" w:cs="宋体"/>
          <w:sz w:val="32"/>
          <w:szCs w:val="32"/>
          <w:highlight w:val="none"/>
        </w:rPr>
      </w:pPr>
      <w:r>
        <w:rPr>
          <w:rFonts w:hint="eastAsia" w:ascii="宋体" w:hAnsi="宋体" w:cs="宋体"/>
          <w:sz w:val="32"/>
          <w:szCs w:val="32"/>
          <w:highlight w:val="none"/>
          <w:lang w:val="en-US" w:eastAsia="zh-CN"/>
        </w:rPr>
        <w:t>整体技术实施方案</w:t>
      </w:r>
    </w:p>
    <w:p>
      <w:pPr>
        <w:numPr>
          <w:ilvl w:val="0"/>
          <w:numId w:val="9"/>
        </w:numPr>
        <w:ind w:left="0" w:leftChars="0" w:firstLine="420" w:firstLineChars="0"/>
        <w:rPr>
          <w:rFonts w:hint="eastAsia" w:ascii="宋体" w:hAnsi="宋体" w:cs="宋体"/>
          <w:sz w:val="32"/>
          <w:szCs w:val="32"/>
          <w:highlight w:val="none"/>
        </w:rPr>
      </w:pPr>
      <w:r>
        <w:rPr>
          <w:rFonts w:hint="eastAsia" w:ascii="宋体" w:hAnsi="宋体" w:cs="宋体"/>
          <w:sz w:val="32"/>
          <w:szCs w:val="32"/>
          <w:highlight w:val="none"/>
        </w:rPr>
        <w:t>供货安装方案</w:t>
      </w:r>
    </w:p>
    <w:p>
      <w:pPr>
        <w:numPr>
          <w:ilvl w:val="0"/>
          <w:numId w:val="9"/>
        </w:numPr>
        <w:ind w:left="0" w:leftChars="0" w:firstLine="420" w:firstLineChars="0"/>
        <w:rPr>
          <w:rFonts w:hint="eastAsia" w:ascii="宋体" w:hAnsi="宋体" w:cs="宋体"/>
          <w:sz w:val="32"/>
          <w:szCs w:val="32"/>
          <w:highlight w:val="none"/>
        </w:rPr>
      </w:pPr>
      <w:r>
        <w:rPr>
          <w:rFonts w:hint="eastAsia" w:ascii="宋体" w:hAnsi="宋体" w:cs="宋体"/>
          <w:sz w:val="32"/>
          <w:szCs w:val="32"/>
          <w:highlight w:val="none"/>
          <w:lang w:val="en-US" w:eastAsia="zh-CN"/>
        </w:rPr>
        <w:t>人员培训方案</w:t>
      </w:r>
    </w:p>
    <w:p>
      <w:pPr>
        <w:numPr>
          <w:ilvl w:val="0"/>
          <w:numId w:val="9"/>
        </w:numPr>
        <w:ind w:left="0" w:leftChars="0" w:firstLine="420" w:firstLineChars="0"/>
        <w:rPr>
          <w:rFonts w:hint="eastAsia" w:ascii="宋体" w:hAnsi="宋体" w:cs="宋体"/>
          <w:sz w:val="32"/>
          <w:szCs w:val="32"/>
          <w:highlight w:val="none"/>
        </w:rPr>
      </w:pPr>
      <w:r>
        <w:rPr>
          <w:rFonts w:hint="eastAsia" w:ascii="宋体" w:hAnsi="宋体" w:cs="宋体"/>
          <w:sz w:val="32"/>
          <w:szCs w:val="32"/>
          <w:highlight w:val="none"/>
          <w:lang w:val="en-US" w:eastAsia="zh-CN"/>
        </w:rPr>
        <w:t>验收交接方案</w:t>
      </w:r>
    </w:p>
    <w:p>
      <w:pPr>
        <w:numPr>
          <w:ilvl w:val="0"/>
          <w:numId w:val="9"/>
        </w:numPr>
        <w:ind w:left="0" w:leftChars="0" w:firstLine="420" w:firstLineChars="0"/>
        <w:rPr>
          <w:rFonts w:ascii="宋体" w:hAnsi="宋体" w:cs="宋体"/>
          <w:sz w:val="32"/>
          <w:szCs w:val="32"/>
          <w:highlight w:val="none"/>
        </w:rPr>
      </w:pPr>
      <w:r>
        <w:rPr>
          <w:rFonts w:hint="eastAsia" w:ascii="宋体" w:hAnsi="宋体" w:cs="宋体"/>
          <w:sz w:val="32"/>
          <w:szCs w:val="32"/>
          <w:highlight w:val="none"/>
        </w:rPr>
        <w:t>相关证明材料</w:t>
      </w:r>
    </w:p>
    <w:p>
      <w:pPr>
        <w:rPr>
          <w:rFonts w:ascii="宋体" w:hAnsi="宋体"/>
          <w:sz w:val="32"/>
          <w:szCs w:val="32"/>
          <w:highlight w:val="none"/>
        </w:rPr>
      </w:pPr>
    </w:p>
    <w:p>
      <w:pPr>
        <w:topLinePunct/>
        <w:spacing w:line="440" w:lineRule="exact"/>
        <w:jc w:val="center"/>
        <w:rPr>
          <w:rFonts w:ascii="宋体" w:hAnsi="宋体" w:cs="仿宋_GB2312"/>
          <w:b/>
          <w:bCs/>
          <w:sz w:val="44"/>
          <w:szCs w:val="44"/>
          <w:highlight w:val="none"/>
        </w:rPr>
      </w:pPr>
      <w:r>
        <w:rPr>
          <w:rFonts w:ascii="宋体" w:hAnsi="宋体"/>
          <w:kern w:val="44"/>
          <w:sz w:val="44"/>
          <w:szCs w:val="44"/>
          <w:highlight w:val="none"/>
        </w:rPr>
        <w:br w:type="page"/>
      </w:r>
      <w:bookmarkStart w:id="709" w:name="_Toc338840502"/>
      <w:bookmarkStart w:id="710" w:name="_Toc338840254"/>
      <w:bookmarkStart w:id="711" w:name="_Toc338840463"/>
      <w:r>
        <w:rPr>
          <w:rFonts w:hint="eastAsia" w:ascii="宋体" w:hAnsi="宋体" w:cs="仿宋_GB2312"/>
          <w:b/>
          <w:bCs/>
          <w:sz w:val="44"/>
          <w:szCs w:val="44"/>
          <w:highlight w:val="none"/>
        </w:rPr>
        <w:t>一　　投 标 函</w:t>
      </w:r>
      <w:bookmarkEnd w:id="709"/>
      <w:bookmarkEnd w:id="710"/>
      <w:bookmarkEnd w:id="711"/>
    </w:p>
    <w:p>
      <w:pPr>
        <w:topLinePunct/>
        <w:spacing w:line="440" w:lineRule="exact"/>
        <w:rPr>
          <w:rFonts w:ascii="宋体" w:hAnsi="宋体" w:cs="仿宋_GB2312"/>
          <w:sz w:val="32"/>
          <w:szCs w:val="32"/>
          <w:highlight w:val="none"/>
        </w:rPr>
      </w:pPr>
    </w:p>
    <w:p>
      <w:pPr>
        <w:topLinePunct/>
        <w:rPr>
          <w:rFonts w:ascii="宋体" w:hAnsi="宋体" w:cs="宋体"/>
          <w:sz w:val="32"/>
          <w:szCs w:val="32"/>
          <w:highlight w:val="none"/>
        </w:rPr>
      </w:pPr>
      <w:bookmarkStart w:id="712" w:name="_Toc288115087"/>
      <w:bookmarkStart w:id="713" w:name="_Toc288115062"/>
      <w:r>
        <w:rPr>
          <w:rFonts w:hint="eastAsia" w:ascii="宋体" w:hAnsi="宋体" w:cs="宋体"/>
          <w:sz w:val="32"/>
          <w:szCs w:val="32"/>
          <w:highlight w:val="none"/>
        </w:rPr>
        <w:t>致：开封市政府采购中心</w:t>
      </w:r>
    </w:p>
    <w:p>
      <w:pPr>
        <w:topLinePunct/>
        <w:ind w:firstLine="640" w:firstLineChars="200"/>
        <w:rPr>
          <w:rFonts w:ascii="宋体" w:hAnsi="宋体" w:cs="仿宋_GB2312"/>
          <w:sz w:val="32"/>
          <w:szCs w:val="32"/>
          <w:highlight w:val="none"/>
        </w:rPr>
      </w:pPr>
      <w:r>
        <w:rPr>
          <w:rFonts w:hint="eastAsia" w:ascii="宋体" w:hAnsi="宋体" w:cs="仿宋_GB2312"/>
          <w:sz w:val="32"/>
          <w:szCs w:val="32"/>
          <w:highlight w:val="none"/>
        </w:rPr>
        <w:t>我方已仔细研究了</w:t>
      </w:r>
      <w:r>
        <w:rPr>
          <w:rFonts w:hint="eastAsia" w:ascii="宋体" w:hAnsi="宋体" w:cs="仿宋_GB2312"/>
          <w:sz w:val="32"/>
          <w:szCs w:val="32"/>
          <w:highlight w:val="none"/>
          <w:u w:val="single"/>
        </w:rPr>
        <w:t xml:space="preserve">                 </w:t>
      </w:r>
      <w:r>
        <w:rPr>
          <w:rFonts w:hint="eastAsia" w:ascii="宋体" w:hAnsi="宋体" w:cs="仿宋_GB2312"/>
          <w:sz w:val="32"/>
          <w:szCs w:val="32"/>
          <w:highlight w:val="none"/>
        </w:rPr>
        <w:t>项目（项目编号：</w:t>
      </w:r>
      <w:r>
        <w:rPr>
          <w:rFonts w:hint="eastAsia" w:ascii="宋体" w:hAnsi="宋体" w:cs="仿宋_GB2312"/>
          <w:sz w:val="32"/>
          <w:szCs w:val="32"/>
          <w:highlight w:val="none"/>
          <w:u w:val="single"/>
        </w:rPr>
        <w:t xml:space="preserve">        </w:t>
      </w:r>
      <w:r>
        <w:rPr>
          <w:rFonts w:hint="eastAsia" w:ascii="宋体" w:hAnsi="宋体" w:cs="仿宋_GB2312"/>
          <w:sz w:val="32"/>
          <w:szCs w:val="32"/>
          <w:highlight w:val="none"/>
        </w:rPr>
        <w:t>）招标文件的全部内容，愿按照招标文件中的条款和要求提供招标产品和服务，并承诺以下内容：</w:t>
      </w:r>
    </w:p>
    <w:p>
      <w:pPr>
        <w:numPr>
          <w:ilvl w:val="0"/>
          <w:numId w:val="10"/>
        </w:numPr>
        <w:topLinePunct/>
        <w:ind w:firstLine="419" w:firstLineChars="131"/>
        <w:rPr>
          <w:rFonts w:ascii="宋体" w:hAnsi="宋体" w:cs="宋体"/>
          <w:sz w:val="32"/>
          <w:szCs w:val="32"/>
          <w:highlight w:val="none"/>
        </w:rPr>
      </w:pPr>
      <w:r>
        <w:rPr>
          <w:rFonts w:hint="eastAsia" w:ascii="宋体" w:hAnsi="宋体" w:cs="宋体"/>
          <w:sz w:val="32"/>
          <w:szCs w:val="32"/>
          <w:highlight w:val="none"/>
        </w:rPr>
        <w:t>投标报价（人民币大写）：</w:t>
      </w:r>
      <w:r>
        <w:rPr>
          <w:rFonts w:hint="eastAsia" w:ascii="宋体" w:hAnsi="宋体" w:cs="宋体"/>
          <w:sz w:val="32"/>
          <w:szCs w:val="32"/>
          <w:highlight w:val="none"/>
          <w:u w:val="single"/>
        </w:rPr>
        <w:t xml:space="preserve">           </w:t>
      </w:r>
      <w:r>
        <w:rPr>
          <w:rFonts w:hint="eastAsia" w:ascii="宋体" w:hAnsi="宋体" w:cs="宋体"/>
          <w:sz w:val="32"/>
          <w:szCs w:val="32"/>
          <w:highlight w:val="none"/>
        </w:rPr>
        <w:t>（小写：</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val="en-US" w:eastAsia="zh-CN"/>
        </w:rPr>
        <w:t>元</w:t>
      </w:r>
      <w:r>
        <w:rPr>
          <w:rFonts w:hint="eastAsia" w:ascii="宋体" w:hAnsi="宋体" w:cs="宋体"/>
          <w:sz w:val="32"/>
          <w:szCs w:val="32"/>
          <w:highlight w:val="none"/>
        </w:rPr>
        <w:t>）。</w:t>
      </w:r>
    </w:p>
    <w:p>
      <w:pPr>
        <w:numPr>
          <w:ilvl w:val="0"/>
          <w:numId w:val="10"/>
        </w:numPr>
        <w:topLinePunct/>
        <w:ind w:firstLine="419" w:firstLineChars="131"/>
        <w:rPr>
          <w:rFonts w:ascii="宋体" w:hAnsi="宋体" w:cs="宋体"/>
          <w:color w:val="auto"/>
          <w:sz w:val="32"/>
          <w:szCs w:val="32"/>
          <w:highlight w:val="none"/>
        </w:rPr>
      </w:pPr>
      <w:r>
        <w:rPr>
          <w:rFonts w:hint="eastAsia" w:ascii="宋体" w:hAnsi="宋体" w:cs="宋体"/>
          <w:sz w:val="32"/>
          <w:szCs w:val="32"/>
          <w:highlight w:val="none"/>
        </w:rPr>
        <w:t>合同履行期限：合同签订生效后</w:t>
      </w:r>
      <w:r>
        <w:rPr>
          <w:rFonts w:hint="eastAsia" w:ascii="宋体" w:hAnsi="宋体" w:cs="宋体"/>
          <w:sz w:val="32"/>
          <w:szCs w:val="32"/>
          <w:highlight w:val="none"/>
          <w:u w:val="single"/>
        </w:rPr>
        <w:t xml:space="preserve">     </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single"/>
          <w:lang w:val="en-US" w:eastAsia="zh-CN"/>
        </w:rPr>
        <w:t>个月</w:t>
      </w:r>
      <w:r>
        <w:rPr>
          <w:rFonts w:hint="eastAsia" w:ascii="宋体" w:hAnsi="宋体" w:cs="宋体"/>
          <w:color w:val="auto"/>
          <w:sz w:val="32"/>
          <w:szCs w:val="32"/>
          <w:highlight w:val="none"/>
        </w:rPr>
        <w:t>内完成项目全部工作。</w:t>
      </w:r>
    </w:p>
    <w:p>
      <w:pPr>
        <w:numPr>
          <w:ilvl w:val="0"/>
          <w:numId w:val="10"/>
        </w:numPr>
        <w:topLinePunct/>
        <w:ind w:firstLine="419" w:firstLineChars="131"/>
        <w:rPr>
          <w:rFonts w:hint="eastAsia" w:ascii="宋体" w:hAnsi="宋体" w:cs="宋体"/>
          <w:color w:val="auto"/>
          <w:sz w:val="32"/>
          <w:szCs w:val="32"/>
          <w:highlight w:val="none"/>
        </w:rPr>
      </w:pPr>
      <w:r>
        <w:rPr>
          <w:rFonts w:hint="eastAsia" w:ascii="宋体" w:hAnsi="宋体" w:cs="宋体"/>
          <w:color w:val="auto"/>
          <w:sz w:val="32"/>
          <w:szCs w:val="32"/>
          <w:highlight w:val="none"/>
        </w:rPr>
        <w:t>投标有效期：自投标截止之日起</w:t>
      </w:r>
      <w:r>
        <w:rPr>
          <w:rFonts w:hint="eastAsia" w:ascii="宋体" w:hAnsi="宋体" w:cs="宋体"/>
          <w:color w:val="auto"/>
          <w:sz w:val="32"/>
          <w:szCs w:val="32"/>
          <w:highlight w:val="none"/>
          <w:u w:val="single"/>
        </w:rPr>
        <w:t xml:space="preserve"> 60 </w:t>
      </w:r>
      <w:r>
        <w:rPr>
          <w:rFonts w:hint="eastAsia" w:ascii="宋体" w:hAnsi="宋体" w:cs="宋体"/>
          <w:color w:val="auto"/>
          <w:sz w:val="32"/>
          <w:szCs w:val="32"/>
          <w:highlight w:val="none"/>
        </w:rPr>
        <w:t>日历天（不少于要求的时间）。</w:t>
      </w:r>
    </w:p>
    <w:p>
      <w:pPr>
        <w:numPr>
          <w:ilvl w:val="0"/>
          <w:numId w:val="10"/>
        </w:numPr>
        <w:topLinePunct/>
        <w:ind w:firstLine="419" w:firstLineChars="131"/>
        <w:rPr>
          <w:rFonts w:hint="eastAsia" w:ascii="宋体" w:hAnsi="宋体" w:cs="宋体"/>
          <w:color w:val="auto"/>
          <w:sz w:val="32"/>
          <w:szCs w:val="32"/>
          <w:highlight w:val="none"/>
        </w:rPr>
      </w:pPr>
      <w:r>
        <w:rPr>
          <w:rFonts w:hint="eastAsia" w:ascii="宋体" w:hAnsi="宋体" w:cs="宋体"/>
          <w:color w:val="auto"/>
          <w:sz w:val="32"/>
          <w:szCs w:val="32"/>
          <w:highlight w:val="none"/>
        </w:rPr>
        <w:t>付款方式：</w:t>
      </w:r>
      <w:r>
        <w:rPr>
          <w:rFonts w:hint="eastAsia" w:ascii="宋体" w:hAnsi="宋体" w:cs="宋体"/>
          <w:color w:val="auto"/>
          <w:sz w:val="32"/>
          <w:szCs w:val="32"/>
          <w:highlight w:val="none"/>
          <w:u w:val="single"/>
        </w:rPr>
        <w:t xml:space="preserve"> 响应 </w:t>
      </w:r>
      <w:r>
        <w:rPr>
          <w:rFonts w:hint="eastAsia" w:ascii="宋体" w:hAnsi="宋体" w:cs="宋体"/>
          <w:color w:val="auto"/>
          <w:sz w:val="32"/>
          <w:szCs w:val="32"/>
          <w:highlight w:val="none"/>
        </w:rPr>
        <w:t>招标文件要求。</w:t>
      </w:r>
    </w:p>
    <w:p>
      <w:pPr>
        <w:numPr>
          <w:ilvl w:val="0"/>
          <w:numId w:val="10"/>
        </w:numPr>
        <w:topLinePunct/>
        <w:ind w:firstLine="419" w:firstLineChars="131"/>
        <w:rPr>
          <w:rFonts w:hint="eastAsia" w:ascii="宋体" w:hAnsi="宋体" w:cs="宋体"/>
          <w:color w:val="auto"/>
          <w:sz w:val="32"/>
          <w:szCs w:val="32"/>
          <w:highlight w:val="none"/>
        </w:rPr>
      </w:pPr>
      <w:r>
        <w:rPr>
          <w:rFonts w:hint="eastAsia" w:ascii="宋体" w:hAnsi="宋体" w:cs="宋体"/>
          <w:color w:val="auto"/>
          <w:sz w:val="32"/>
          <w:szCs w:val="32"/>
          <w:highlight w:val="none"/>
        </w:rPr>
        <w:t>质量要求：质量符合</w:t>
      </w:r>
      <w:r>
        <w:rPr>
          <w:rFonts w:hint="eastAsia" w:ascii="宋体" w:hAnsi="宋体" w:cs="宋体"/>
          <w:color w:val="auto"/>
          <w:sz w:val="32"/>
          <w:szCs w:val="32"/>
          <w:highlight w:val="none"/>
          <w:u w:val="single"/>
        </w:rPr>
        <w:t>　国家标准　</w:t>
      </w:r>
      <w:r>
        <w:rPr>
          <w:rFonts w:hint="eastAsia" w:ascii="宋体" w:hAnsi="宋体" w:cs="宋体"/>
          <w:color w:val="auto"/>
          <w:sz w:val="32"/>
          <w:szCs w:val="32"/>
          <w:highlight w:val="none"/>
        </w:rPr>
        <w:t>。</w:t>
      </w:r>
    </w:p>
    <w:p>
      <w:pPr>
        <w:numPr>
          <w:ilvl w:val="0"/>
          <w:numId w:val="10"/>
        </w:numPr>
        <w:topLinePunct/>
        <w:ind w:firstLine="419" w:firstLineChars="131"/>
        <w:rPr>
          <w:rFonts w:hint="eastAsia" w:ascii="宋体" w:hAnsi="宋体" w:cs="宋体"/>
          <w:color w:val="auto"/>
          <w:sz w:val="32"/>
          <w:szCs w:val="32"/>
          <w:highlight w:val="none"/>
        </w:rPr>
      </w:pPr>
      <w:r>
        <w:rPr>
          <w:rFonts w:hint="eastAsia" w:ascii="宋体" w:hAnsi="宋体"/>
          <w:color w:val="auto"/>
          <w:sz w:val="32"/>
          <w:szCs w:val="32"/>
          <w:highlight w:val="none"/>
        </w:rPr>
        <w:t>质量</w:t>
      </w:r>
      <w:r>
        <w:rPr>
          <w:rFonts w:hint="eastAsia" w:ascii="宋体" w:hAnsi="宋体"/>
          <w:color w:val="auto"/>
          <w:sz w:val="32"/>
          <w:szCs w:val="32"/>
          <w:highlight w:val="none"/>
          <w:lang w:val="en-US" w:eastAsia="zh-CN"/>
        </w:rPr>
        <w:t>保证期：</w:t>
      </w:r>
      <w:r>
        <w:rPr>
          <w:rFonts w:hint="eastAsia" w:ascii="宋体" w:hAnsi="宋体"/>
          <w:color w:val="auto"/>
          <w:sz w:val="32"/>
          <w:szCs w:val="32"/>
          <w:highlight w:val="none"/>
          <w:u w:val="single"/>
          <w:lang w:val="en-US" w:eastAsia="zh-CN"/>
        </w:rPr>
        <w:t xml:space="preserve">     个月</w:t>
      </w:r>
      <w:r>
        <w:rPr>
          <w:rFonts w:hint="eastAsia" w:ascii="宋体" w:hAnsi="宋体"/>
          <w:color w:val="auto"/>
          <w:sz w:val="32"/>
          <w:szCs w:val="32"/>
          <w:highlight w:val="none"/>
          <w:u w:val="none"/>
          <w:lang w:val="en-US" w:eastAsia="zh-CN"/>
        </w:rPr>
        <w:t>（</w:t>
      </w:r>
      <w:r>
        <w:rPr>
          <w:rFonts w:hint="eastAsia" w:ascii="宋体" w:hAnsi="宋体"/>
          <w:color w:val="auto"/>
          <w:sz w:val="32"/>
          <w:szCs w:val="32"/>
          <w:highlight w:val="none"/>
          <w:u w:val="single"/>
          <w:lang w:val="en-US" w:eastAsia="zh-CN"/>
        </w:rPr>
        <w:t>项目分步实施，以分步验收合格之日开始计算质量保证期。</w:t>
      </w:r>
      <w:r>
        <w:rPr>
          <w:rFonts w:hint="eastAsia" w:ascii="宋体" w:hAnsi="宋体"/>
          <w:color w:val="auto"/>
          <w:sz w:val="32"/>
          <w:szCs w:val="32"/>
          <w:highlight w:val="none"/>
          <w:u w:val="none"/>
          <w:lang w:val="en-US" w:eastAsia="zh-CN"/>
        </w:rPr>
        <w:t>）。</w:t>
      </w:r>
    </w:p>
    <w:p>
      <w:pPr>
        <w:numPr>
          <w:ilvl w:val="0"/>
          <w:numId w:val="10"/>
        </w:numPr>
        <w:topLinePunct/>
        <w:ind w:firstLine="419" w:firstLineChars="131"/>
        <w:rPr>
          <w:rFonts w:ascii="宋体" w:hAnsi="宋体" w:cs="宋体"/>
          <w:sz w:val="32"/>
          <w:szCs w:val="32"/>
          <w:highlight w:val="none"/>
        </w:rPr>
      </w:pPr>
      <w:r>
        <w:rPr>
          <w:rFonts w:hint="eastAsia" w:ascii="宋体" w:hAnsi="宋体" w:cs="宋体"/>
          <w:sz w:val="32"/>
          <w:szCs w:val="32"/>
          <w:highlight w:val="none"/>
        </w:rPr>
        <w:t>我方的澄清、说明、补充或</w:t>
      </w:r>
      <w:r>
        <w:rPr>
          <w:rFonts w:hint="eastAsia" w:ascii="宋体" w:hAnsi="宋体" w:cs="仿宋_GB2312"/>
          <w:sz w:val="32"/>
          <w:szCs w:val="32"/>
          <w:highlight w:val="none"/>
        </w:rPr>
        <w:t>变更内容为投标文件有效组成部分。投标文件正文内容与本函不一致的，以本函为准。</w:t>
      </w:r>
    </w:p>
    <w:p>
      <w:pPr>
        <w:numPr>
          <w:ilvl w:val="0"/>
          <w:numId w:val="10"/>
        </w:numPr>
        <w:topLinePunct/>
        <w:ind w:firstLine="419" w:firstLineChars="131"/>
        <w:rPr>
          <w:rFonts w:ascii="宋体" w:hAnsi="宋体" w:cs="仿宋_GB2312"/>
          <w:sz w:val="32"/>
          <w:szCs w:val="32"/>
          <w:highlight w:val="none"/>
        </w:rPr>
      </w:pPr>
      <w:r>
        <w:rPr>
          <w:rFonts w:hint="eastAsia" w:ascii="宋体" w:hAnsi="宋体" w:cs="仿宋_GB2312"/>
          <w:sz w:val="32"/>
          <w:szCs w:val="32"/>
          <w:highlight w:val="none"/>
        </w:rPr>
        <w:t>如对招标文件有不明确及误解，且没有在规定时间前按要求向贵方提出，在开标时间以后我方不再有对招标文件提出质疑的权利，并自行承担由此造成的全部责任及后果。</w:t>
      </w:r>
    </w:p>
    <w:p>
      <w:pPr>
        <w:numPr>
          <w:ilvl w:val="0"/>
          <w:numId w:val="10"/>
        </w:numPr>
        <w:topLinePunct/>
        <w:ind w:firstLine="419" w:firstLineChars="131"/>
        <w:rPr>
          <w:rFonts w:ascii="宋体" w:hAnsi="宋体" w:cs="仿宋_GB2312"/>
          <w:sz w:val="32"/>
          <w:szCs w:val="32"/>
          <w:highlight w:val="none"/>
        </w:rPr>
      </w:pPr>
      <w:r>
        <w:rPr>
          <w:rFonts w:hint="eastAsia" w:ascii="宋体" w:hAnsi="宋体" w:cs="仿宋_GB2312"/>
          <w:sz w:val="32"/>
          <w:szCs w:val="32"/>
          <w:highlight w:val="none"/>
        </w:rPr>
        <w:t>我方在此声明，所递交的投标文件及有关资料真实准确，如发现提供虚假材料、串通投标、恶意质疑投诉和其他违法违规行为，在一年内不得在开封公共资源交易平台参加投标，若为中标人时中标无效，并承担相关责任和损失。</w:t>
      </w:r>
    </w:p>
    <w:p>
      <w:pPr>
        <w:numPr>
          <w:ilvl w:val="0"/>
          <w:numId w:val="10"/>
        </w:numPr>
        <w:topLinePunct/>
        <w:ind w:firstLine="419" w:firstLineChars="131"/>
        <w:rPr>
          <w:rFonts w:ascii="宋体" w:hAnsi="宋体" w:cs="宋体"/>
          <w:sz w:val="32"/>
          <w:szCs w:val="32"/>
          <w:highlight w:val="none"/>
        </w:rPr>
      </w:pPr>
      <w:r>
        <w:rPr>
          <w:rFonts w:ascii="宋体" w:hAnsi="宋体" w:cs="宋体"/>
          <w:sz w:val="32"/>
          <w:szCs w:val="32"/>
          <w:highlight w:val="none"/>
        </w:rPr>
        <w:t>……</w:t>
      </w:r>
    </w:p>
    <w:p>
      <w:pPr>
        <w:topLinePunct/>
        <w:ind w:firstLine="640" w:firstLineChars="200"/>
        <w:rPr>
          <w:rFonts w:ascii="宋体" w:hAnsi="宋体" w:cs="宋体"/>
          <w:sz w:val="32"/>
          <w:szCs w:val="32"/>
          <w:highlight w:val="none"/>
        </w:rPr>
      </w:pPr>
    </w:p>
    <w:p>
      <w:pPr>
        <w:topLinePunct/>
        <w:rPr>
          <w:rFonts w:ascii="宋体" w:hAnsi="宋体" w:cs="宋体"/>
          <w:sz w:val="32"/>
          <w:szCs w:val="32"/>
          <w:highlight w:val="none"/>
        </w:rPr>
      </w:pPr>
    </w:p>
    <w:p>
      <w:pPr>
        <w:topLinePunct/>
        <w:ind w:firstLine="640" w:firstLineChars="200"/>
        <w:rPr>
          <w:rFonts w:ascii="宋体" w:hAnsi="宋体" w:cs="宋体"/>
          <w:sz w:val="32"/>
          <w:szCs w:val="32"/>
          <w:highlight w:val="none"/>
        </w:rPr>
      </w:pPr>
      <w:r>
        <w:rPr>
          <w:rFonts w:hint="eastAsia" w:ascii="宋体" w:hAnsi="宋体" w:cs="宋体"/>
          <w:sz w:val="32"/>
          <w:szCs w:val="32"/>
          <w:highlight w:val="none"/>
        </w:rPr>
        <w:t>投标单位（盖单位章）：</w:t>
      </w:r>
      <w:r>
        <w:rPr>
          <w:rFonts w:hint="eastAsia" w:ascii="宋体" w:hAnsi="宋体" w:cs="宋体"/>
          <w:sz w:val="32"/>
          <w:szCs w:val="32"/>
          <w:highlight w:val="none"/>
          <w:u w:val="single"/>
        </w:rPr>
        <w:t xml:space="preserve">                          </w:t>
      </w:r>
    </w:p>
    <w:p>
      <w:pPr>
        <w:topLinePunct/>
        <w:ind w:firstLine="560" w:firstLineChars="200"/>
        <w:rPr>
          <w:rFonts w:ascii="宋体" w:hAnsi="宋体" w:cs="宋体"/>
          <w:sz w:val="32"/>
          <w:szCs w:val="32"/>
          <w:highlight w:val="none"/>
          <w:u w:val="single"/>
        </w:rPr>
      </w:pPr>
      <w:r>
        <w:rPr>
          <w:rFonts w:hint="eastAsia" w:ascii="宋体" w:hAnsi="宋体" w:cs="宋体"/>
          <w:sz w:val="28"/>
          <w:szCs w:val="28"/>
          <w:highlight w:val="none"/>
        </w:rPr>
        <w:t>法定代表人（负责人）或委托代理人（签名或盖章）：</w:t>
      </w:r>
      <w:r>
        <w:rPr>
          <w:rFonts w:hint="eastAsia" w:ascii="宋体" w:hAnsi="宋体" w:cs="宋体"/>
          <w:sz w:val="28"/>
          <w:szCs w:val="28"/>
          <w:highlight w:val="none"/>
          <w:u w:val="single"/>
        </w:rPr>
        <w:t xml:space="preserve">       </w:t>
      </w:r>
      <w:r>
        <w:rPr>
          <w:rFonts w:hint="eastAsia" w:ascii="宋体" w:hAnsi="宋体" w:cs="宋体"/>
          <w:sz w:val="32"/>
          <w:szCs w:val="32"/>
          <w:highlight w:val="none"/>
          <w:u w:val="single"/>
        </w:rPr>
        <w:t xml:space="preserve"> </w:t>
      </w:r>
    </w:p>
    <w:p>
      <w:pPr>
        <w:topLinePunct/>
        <w:ind w:firstLine="640" w:firstLineChars="200"/>
        <w:rPr>
          <w:rFonts w:ascii="宋体" w:hAnsi="宋体" w:cs="宋体"/>
          <w:sz w:val="32"/>
          <w:szCs w:val="32"/>
          <w:highlight w:val="none"/>
          <w:u w:val="single"/>
        </w:rPr>
      </w:pPr>
      <w:r>
        <w:rPr>
          <w:rFonts w:hint="eastAsia" w:ascii="宋体" w:hAnsi="宋体" w:cs="宋体"/>
          <w:sz w:val="32"/>
          <w:szCs w:val="32"/>
          <w:highlight w:val="none"/>
        </w:rPr>
        <w:t>电话：</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电子邮箱：</w:t>
      </w:r>
      <w:r>
        <w:rPr>
          <w:rFonts w:hint="eastAsia" w:ascii="宋体" w:hAnsi="宋体" w:cs="宋体"/>
          <w:sz w:val="32"/>
          <w:szCs w:val="32"/>
          <w:highlight w:val="none"/>
          <w:u w:val="single"/>
        </w:rPr>
        <w:t xml:space="preserve">                  </w:t>
      </w:r>
    </w:p>
    <w:p>
      <w:pPr>
        <w:topLinePunct/>
        <w:ind w:firstLine="640" w:firstLineChars="200"/>
        <w:rPr>
          <w:rFonts w:ascii="宋体" w:hAnsi="宋体" w:cs="宋体"/>
          <w:sz w:val="32"/>
          <w:szCs w:val="32"/>
          <w:highlight w:val="none"/>
          <w:u w:val="single"/>
        </w:rPr>
      </w:pPr>
      <w:r>
        <w:rPr>
          <w:rFonts w:hint="eastAsia" w:ascii="宋体" w:hAnsi="宋体" w:cs="宋体"/>
          <w:sz w:val="32"/>
          <w:szCs w:val="32"/>
          <w:highlight w:val="none"/>
        </w:rPr>
        <w:t>地址：</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邮编： </w:t>
      </w:r>
      <w:r>
        <w:rPr>
          <w:rFonts w:hint="eastAsia" w:ascii="宋体" w:hAnsi="宋体" w:cs="宋体"/>
          <w:sz w:val="32"/>
          <w:szCs w:val="32"/>
          <w:highlight w:val="none"/>
          <w:u w:val="single"/>
        </w:rPr>
        <w:t xml:space="preserve">                     </w:t>
      </w:r>
    </w:p>
    <w:p>
      <w:pPr>
        <w:rPr>
          <w:rFonts w:ascii="宋体" w:hAnsi="宋体"/>
          <w:sz w:val="32"/>
          <w:szCs w:val="32"/>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u w:val="single"/>
        </w:rPr>
        <w:t xml:space="preserve">       </w:t>
      </w:r>
      <w:r>
        <w:rPr>
          <w:rFonts w:hint="eastAsia" w:ascii="宋体" w:hAnsi="宋体" w:cs="宋体"/>
          <w:sz w:val="32"/>
          <w:szCs w:val="32"/>
          <w:highlight w:val="none"/>
        </w:rPr>
        <w:t>年</w:t>
      </w:r>
      <w:r>
        <w:rPr>
          <w:rFonts w:hint="eastAsia" w:ascii="宋体" w:hAnsi="宋体" w:cs="宋体"/>
          <w:sz w:val="32"/>
          <w:szCs w:val="32"/>
          <w:highlight w:val="none"/>
          <w:u w:val="single"/>
        </w:rPr>
        <w:t xml:space="preserve">  </w:t>
      </w:r>
      <w:r>
        <w:rPr>
          <w:rFonts w:hint="eastAsia" w:ascii="宋体" w:hAnsi="宋体" w:cs="宋体"/>
          <w:sz w:val="32"/>
          <w:szCs w:val="32"/>
          <w:highlight w:val="none"/>
        </w:rPr>
        <w:t>月</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日 </w:t>
      </w:r>
      <w:r>
        <w:rPr>
          <w:rFonts w:hint="eastAsia" w:ascii="宋体" w:hAnsi="宋体" w:cs="仿宋_GB2312"/>
          <w:sz w:val="32"/>
          <w:szCs w:val="32"/>
          <w:highlight w:val="none"/>
        </w:rPr>
        <w:t xml:space="preserve">    </w:t>
      </w:r>
      <w:r>
        <w:rPr>
          <w:rFonts w:ascii="宋体" w:hAnsi="宋体"/>
          <w:sz w:val="44"/>
          <w:szCs w:val="44"/>
          <w:highlight w:val="none"/>
        </w:rPr>
        <w:br w:type="page"/>
      </w:r>
      <w:bookmarkStart w:id="714" w:name="_Toc338840465"/>
      <w:bookmarkStart w:id="715" w:name="_Toc338840504"/>
      <w:bookmarkStart w:id="716" w:name="_Toc338840256"/>
      <w:r>
        <w:rPr>
          <w:rFonts w:hint="eastAsia" w:ascii="宋体" w:hAnsi="宋体"/>
          <w:sz w:val="44"/>
          <w:szCs w:val="44"/>
          <w:highlight w:val="none"/>
        </w:rPr>
        <w:t xml:space="preserve">  </w:t>
      </w:r>
      <w:r>
        <w:rPr>
          <w:rFonts w:hint="eastAsia" w:ascii="宋体" w:hAnsi="宋体"/>
          <w:b/>
          <w:kern w:val="44"/>
          <w:sz w:val="44"/>
          <w:szCs w:val="44"/>
          <w:highlight w:val="none"/>
        </w:rPr>
        <w:t>二　法定代表人（负责人）资格证明</w:t>
      </w:r>
      <w:bookmarkEnd w:id="714"/>
      <w:bookmarkEnd w:id="715"/>
      <w:bookmarkEnd w:id="716"/>
    </w:p>
    <w:p>
      <w:pPr>
        <w:jc w:val="center"/>
        <w:rPr>
          <w:rFonts w:ascii="宋体" w:hAnsi="宋体"/>
          <w:kern w:val="0"/>
          <w:szCs w:val="21"/>
          <w:highlight w:val="none"/>
        </w:rPr>
      </w:pPr>
      <w:r>
        <w:rPr>
          <w:rFonts w:ascii="宋体" w:hAnsi="宋体"/>
          <w:kern w:val="0"/>
          <w:szCs w:val="21"/>
          <w:highlight w:val="none"/>
        </w:rPr>
        <w:t>（</w:t>
      </w:r>
      <w:r>
        <w:rPr>
          <w:rFonts w:hint="eastAsia" w:ascii="宋体" w:hAnsi="宋体"/>
          <w:kern w:val="0"/>
          <w:szCs w:val="21"/>
          <w:highlight w:val="none"/>
        </w:rPr>
        <w:t>法定代表人投标时提供</w:t>
      </w:r>
      <w:r>
        <w:rPr>
          <w:rFonts w:ascii="宋体" w:hAnsi="宋体"/>
          <w:kern w:val="0"/>
          <w:szCs w:val="21"/>
          <w:highlight w:val="none"/>
        </w:rPr>
        <w:t>）</w:t>
      </w:r>
    </w:p>
    <w:p>
      <w:pPr>
        <w:jc w:val="center"/>
        <w:rPr>
          <w:rFonts w:ascii="宋体" w:hAnsi="宋体"/>
          <w:bCs/>
          <w:sz w:val="32"/>
          <w:szCs w:val="32"/>
          <w:highlight w:val="none"/>
        </w:rPr>
      </w:pPr>
    </w:p>
    <w:p>
      <w:pPr>
        <w:ind w:firstLine="640" w:firstLineChars="200"/>
        <w:rPr>
          <w:rFonts w:ascii="宋体" w:hAnsi="宋体"/>
          <w:sz w:val="32"/>
          <w:szCs w:val="32"/>
          <w:highlight w:val="none"/>
          <w:u w:val="single"/>
        </w:rPr>
      </w:pPr>
      <w:bookmarkStart w:id="717" w:name="_Toc288114460"/>
      <w:r>
        <w:rPr>
          <w:rFonts w:hint="eastAsia" w:ascii="宋体" w:hAnsi="宋体"/>
          <w:sz w:val="32"/>
          <w:szCs w:val="32"/>
          <w:highlight w:val="none"/>
        </w:rPr>
        <w:t>供应商名称：</w:t>
      </w:r>
      <w:bookmarkEnd w:id="717"/>
      <w:r>
        <w:rPr>
          <w:rFonts w:hint="eastAsia" w:ascii="宋体" w:hAnsi="宋体"/>
          <w:sz w:val="32"/>
          <w:szCs w:val="32"/>
          <w:highlight w:val="none"/>
          <w:u w:val="single"/>
        </w:rPr>
        <w:t xml:space="preserve">                            </w:t>
      </w:r>
    </w:p>
    <w:p>
      <w:pPr>
        <w:ind w:firstLine="640" w:firstLineChars="200"/>
        <w:rPr>
          <w:rFonts w:ascii="宋体" w:hAnsi="宋体"/>
          <w:sz w:val="32"/>
          <w:szCs w:val="32"/>
          <w:highlight w:val="none"/>
        </w:rPr>
      </w:pPr>
      <w:r>
        <w:rPr>
          <w:rFonts w:ascii="宋体" w:hAnsi="宋体"/>
          <w:sz w:val="32"/>
          <w:szCs w:val="32"/>
          <w:highlight w:val="none"/>
        </w:rPr>
        <w:t>单位性质：</w:t>
      </w:r>
      <w:r>
        <w:rPr>
          <w:rFonts w:ascii="宋体" w:hAnsi="宋体"/>
          <w:sz w:val="32"/>
          <w:szCs w:val="32"/>
          <w:highlight w:val="none"/>
          <w:u w:val="single"/>
        </w:rPr>
        <w:t xml:space="preserve">                               </w:t>
      </w:r>
      <w:r>
        <w:rPr>
          <w:rFonts w:ascii="宋体" w:hAnsi="宋体"/>
          <w:sz w:val="32"/>
          <w:szCs w:val="32"/>
          <w:highlight w:val="none"/>
        </w:rPr>
        <w:t xml:space="preserve"> </w:t>
      </w:r>
    </w:p>
    <w:p>
      <w:pPr>
        <w:ind w:firstLine="640" w:firstLineChars="200"/>
        <w:rPr>
          <w:rFonts w:ascii="宋体" w:hAnsi="宋体"/>
          <w:sz w:val="32"/>
          <w:szCs w:val="32"/>
          <w:highlight w:val="none"/>
        </w:rPr>
      </w:pPr>
      <w:r>
        <w:rPr>
          <w:rFonts w:ascii="宋体" w:hAnsi="宋体"/>
          <w:sz w:val="32"/>
          <w:szCs w:val="32"/>
          <w:highlight w:val="none"/>
        </w:rPr>
        <w:t>地址：</w:t>
      </w:r>
      <w:r>
        <w:rPr>
          <w:rFonts w:ascii="宋体" w:hAnsi="宋体"/>
          <w:sz w:val="32"/>
          <w:szCs w:val="32"/>
          <w:highlight w:val="none"/>
          <w:u w:val="single"/>
        </w:rPr>
        <w:t xml:space="preserve">                                   </w:t>
      </w:r>
    </w:p>
    <w:p>
      <w:pPr>
        <w:ind w:firstLine="640" w:firstLineChars="200"/>
        <w:rPr>
          <w:rFonts w:ascii="宋体" w:hAnsi="宋体"/>
          <w:sz w:val="32"/>
          <w:szCs w:val="32"/>
          <w:highlight w:val="none"/>
        </w:rPr>
      </w:pPr>
      <w:r>
        <w:rPr>
          <w:rFonts w:ascii="宋体" w:hAnsi="宋体"/>
          <w:sz w:val="32"/>
          <w:szCs w:val="32"/>
          <w:highlight w:val="none"/>
        </w:rPr>
        <w:t>成立时间：</w:t>
      </w:r>
      <w:r>
        <w:rPr>
          <w:rFonts w:ascii="宋体" w:hAnsi="宋体"/>
          <w:sz w:val="32"/>
          <w:szCs w:val="32"/>
          <w:highlight w:val="none"/>
          <w:u w:val="single"/>
        </w:rPr>
        <w:t xml:space="preserve">         </w:t>
      </w:r>
      <w:r>
        <w:rPr>
          <w:rFonts w:ascii="宋体" w:hAnsi="宋体"/>
          <w:sz w:val="32"/>
          <w:szCs w:val="32"/>
          <w:highlight w:val="none"/>
        </w:rPr>
        <w:t xml:space="preserve"> 年</w:t>
      </w:r>
      <w:r>
        <w:rPr>
          <w:rFonts w:ascii="宋体" w:hAnsi="宋体"/>
          <w:sz w:val="32"/>
          <w:szCs w:val="32"/>
          <w:highlight w:val="none"/>
          <w:u w:val="single"/>
        </w:rPr>
        <w:t xml:space="preserve">       </w:t>
      </w:r>
      <w:r>
        <w:rPr>
          <w:rFonts w:ascii="宋体" w:hAnsi="宋体"/>
          <w:sz w:val="32"/>
          <w:szCs w:val="32"/>
          <w:highlight w:val="none"/>
        </w:rPr>
        <w:t xml:space="preserve"> 月</w:t>
      </w:r>
      <w:r>
        <w:rPr>
          <w:rFonts w:ascii="宋体" w:hAnsi="宋体"/>
          <w:sz w:val="32"/>
          <w:szCs w:val="32"/>
          <w:highlight w:val="none"/>
          <w:u w:val="single"/>
        </w:rPr>
        <w:t xml:space="preserve">       </w:t>
      </w:r>
      <w:r>
        <w:rPr>
          <w:rFonts w:ascii="宋体" w:hAnsi="宋体"/>
          <w:sz w:val="32"/>
          <w:szCs w:val="32"/>
          <w:highlight w:val="none"/>
        </w:rPr>
        <w:t xml:space="preserve"> 日</w:t>
      </w:r>
    </w:p>
    <w:p>
      <w:pPr>
        <w:ind w:firstLine="640" w:firstLineChars="200"/>
        <w:rPr>
          <w:rFonts w:ascii="宋体" w:hAnsi="宋体"/>
          <w:sz w:val="32"/>
          <w:szCs w:val="32"/>
          <w:highlight w:val="none"/>
        </w:rPr>
      </w:pPr>
      <w:r>
        <w:rPr>
          <w:rFonts w:ascii="宋体" w:hAnsi="宋体"/>
          <w:sz w:val="32"/>
          <w:szCs w:val="32"/>
          <w:highlight w:val="none"/>
        </w:rPr>
        <w:t>经营期限：</w:t>
      </w:r>
      <w:r>
        <w:rPr>
          <w:rFonts w:ascii="宋体" w:hAnsi="宋体"/>
          <w:sz w:val="32"/>
          <w:szCs w:val="32"/>
          <w:highlight w:val="none"/>
          <w:u w:val="single"/>
        </w:rPr>
        <w:t xml:space="preserve">                               </w:t>
      </w:r>
    </w:p>
    <w:p>
      <w:pPr>
        <w:ind w:firstLine="640" w:firstLineChars="200"/>
        <w:rPr>
          <w:rFonts w:ascii="宋体" w:hAnsi="宋体"/>
          <w:sz w:val="32"/>
          <w:szCs w:val="32"/>
          <w:highlight w:val="none"/>
        </w:rPr>
      </w:pPr>
      <w:bookmarkStart w:id="718" w:name="_Toc288114465"/>
      <w:r>
        <w:rPr>
          <w:rFonts w:hint="eastAsia" w:ascii="宋体" w:hAnsi="宋体"/>
          <w:sz w:val="32"/>
          <w:szCs w:val="32"/>
          <w:highlight w:val="none"/>
        </w:rPr>
        <w:t>姓名：</w:t>
      </w:r>
      <w:r>
        <w:rPr>
          <w:rFonts w:hint="eastAsia" w:ascii="宋体" w:hAnsi="宋体"/>
          <w:sz w:val="32"/>
          <w:szCs w:val="32"/>
          <w:highlight w:val="none"/>
          <w:u w:val="single"/>
        </w:rPr>
        <w:t xml:space="preserve">      </w:t>
      </w:r>
      <w:r>
        <w:rPr>
          <w:rFonts w:hint="eastAsia" w:ascii="宋体" w:hAnsi="宋体"/>
          <w:sz w:val="32"/>
          <w:szCs w:val="32"/>
          <w:highlight w:val="none"/>
        </w:rPr>
        <w:t>性别：</w:t>
      </w:r>
      <w:r>
        <w:rPr>
          <w:rFonts w:hint="eastAsia" w:ascii="宋体" w:hAnsi="宋体"/>
          <w:sz w:val="32"/>
          <w:szCs w:val="32"/>
          <w:highlight w:val="none"/>
          <w:u w:val="single"/>
        </w:rPr>
        <w:t xml:space="preserve">     </w:t>
      </w:r>
      <w:r>
        <w:rPr>
          <w:rFonts w:hint="eastAsia" w:ascii="宋体" w:hAnsi="宋体"/>
          <w:sz w:val="32"/>
          <w:szCs w:val="32"/>
          <w:highlight w:val="none"/>
        </w:rPr>
        <w:t>年龄：</w:t>
      </w:r>
      <w:r>
        <w:rPr>
          <w:rFonts w:hint="eastAsia" w:ascii="宋体" w:hAnsi="宋体"/>
          <w:sz w:val="32"/>
          <w:szCs w:val="32"/>
          <w:highlight w:val="none"/>
          <w:u w:val="single"/>
        </w:rPr>
        <w:t xml:space="preserve">   　  </w:t>
      </w:r>
      <w:r>
        <w:rPr>
          <w:rFonts w:hint="eastAsia" w:ascii="宋体" w:hAnsi="宋体"/>
          <w:sz w:val="32"/>
          <w:szCs w:val="32"/>
          <w:highlight w:val="none"/>
        </w:rPr>
        <w:t>职务：</w:t>
      </w:r>
      <w:bookmarkEnd w:id="718"/>
      <w:r>
        <w:rPr>
          <w:rFonts w:hint="eastAsia" w:ascii="宋体" w:hAnsi="宋体"/>
          <w:sz w:val="32"/>
          <w:szCs w:val="32"/>
          <w:highlight w:val="none"/>
          <w:u w:val="single"/>
        </w:rPr>
        <w:t xml:space="preserve">      </w:t>
      </w:r>
      <w:bookmarkStart w:id="719" w:name="_Toc288114466"/>
      <w:r>
        <w:rPr>
          <w:rFonts w:hint="eastAsia" w:ascii="宋体" w:hAnsi="宋体"/>
          <w:sz w:val="32"/>
          <w:szCs w:val="32"/>
          <w:highlight w:val="none"/>
        </w:rPr>
        <w:t>（身份证号：</w:t>
      </w:r>
      <w:r>
        <w:rPr>
          <w:rFonts w:hint="eastAsia" w:ascii="宋体" w:hAnsi="宋体"/>
          <w:sz w:val="32"/>
          <w:szCs w:val="32"/>
          <w:highlight w:val="none"/>
          <w:u w:val="single"/>
        </w:rPr>
        <w:t xml:space="preserve">　　　　　　　　　 </w:t>
      </w:r>
      <w:r>
        <w:rPr>
          <w:rFonts w:hint="eastAsia" w:ascii="宋体" w:hAnsi="宋体"/>
          <w:sz w:val="32"/>
          <w:szCs w:val="32"/>
          <w:highlight w:val="none"/>
        </w:rPr>
        <w:t>）系</w:t>
      </w:r>
      <w:r>
        <w:rPr>
          <w:rFonts w:hint="eastAsia" w:ascii="宋体" w:hAnsi="宋体"/>
          <w:sz w:val="32"/>
          <w:szCs w:val="32"/>
          <w:highlight w:val="none"/>
          <w:u w:val="single"/>
        </w:rPr>
        <w:t xml:space="preserve">           </w:t>
      </w:r>
      <w:r>
        <w:rPr>
          <w:rFonts w:hint="eastAsia" w:ascii="宋体" w:hAnsi="宋体"/>
          <w:sz w:val="32"/>
          <w:szCs w:val="32"/>
          <w:highlight w:val="none"/>
        </w:rPr>
        <w:t>（投标单位名称）的法定代表人（单位负责人）。</w:t>
      </w:r>
      <w:bookmarkEnd w:id="719"/>
    </w:p>
    <w:p>
      <w:pPr>
        <w:ind w:firstLine="640" w:firstLineChars="200"/>
        <w:rPr>
          <w:rFonts w:ascii="宋体" w:hAnsi="宋体"/>
          <w:sz w:val="32"/>
          <w:szCs w:val="32"/>
          <w:highlight w:val="none"/>
        </w:rPr>
      </w:pPr>
      <w:r>
        <w:rPr>
          <w:rFonts w:hint="eastAsia" w:ascii="宋体" w:hAnsi="宋体"/>
          <w:sz w:val="32"/>
          <w:szCs w:val="32"/>
          <w:highlight w:val="none"/>
        </w:rPr>
        <w:t xml:space="preserve">    </w:t>
      </w:r>
      <w:bookmarkStart w:id="720" w:name="_Toc288114467"/>
      <w:r>
        <w:rPr>
          <w:rFonts w:hint="eastAsia" w:ascii="宋体" w:hAnsi="宋体"/>
          <w:sz w:val="32"/>
          <w:szCs w:val="32"/>
          <w:highlight w:val="none"/>
        </w:rPr>
        <w:t>特此证明。</w:t>
      </w:r>
      <w:bookmarkEnd w:id="720"/>
    </w:p>
    <w:p>
      <w:pPr>
        <w:rPr>
          <w:rFonts w:ascii="宋体" w:hAnsi="宋体"/>
          <w:sz w:val="32"/>
          <w:szCs w:val="32"/>
          <w:highlight w:val="none"/>
        </w:rPr>
      </w:pPr>
      <w:r>
        <w:rPr>
          <w:rFonts w:ascii="宋体" w:hAnsi="宋体"/>
          <w:b/>
          <w:color w:val="000000"/>
          <w:kern w:val="0"/>
          <w:sz w:val="32"/>
          <w:szCs w:val="32"/>
          <w:highlight w:val="none"/>
        </w:rPr>
        <w:t>此处附：法定代表人</w:t>
      </w:r>
      <w:r>
        <w:rPr>
          <w:rFonts w:hint="eastAsia" w:ascii="宋体" w:hAnsi="宋体"/>
          <w:b/>
          <w:color w:val="000000"/>
          <w:kern w:val="0"/>
          <w:sz w:val="32"/>
          <w:szCs w:val="32"/>
          <w:highlight w:val="none"/>
        </w:rPr>
        <w:t>（负责人）</w:t>
      </w:r>
      <w:r>
        <w:rPr>
          <w:rFonts w:ascii="宋体" w:hAnsi="宋体"/>
          <w:b/>
          <w:color w:val="000000"/>
          <w:kern w:val="0"/>
          <w:sz w:val="32"/>
          <w:szCs w:val="32"/>
          <w:highlight w:val="none"/>
        </w:rPr>
        <w:t>身份证</w:t>
      </w:r>
      <w:r>
        <w:rPr>
          <w:rFonts w:hint="eastAsia" w:ascii="宋体" w:hAnsi="宋体"/>
          <w:b/>
          <w:sz w:val="32"/>
          <w:szCs w:val="32"/>
          <w:highlight w:val="none"/>
        </w:rPr>
        <w:t>复印件</w:t>
      </w:r>
    </w:p>
    <w:p>
      <w:pPr>
        <w:rPr>
          <w:rFonts w:ascii="宋体" w:hAnsi="宋体"/>
          <w:sz w:val="32"/>
          <w:szCs w:val="32"/>
          <w:highlight w:val="none"/>
        </w:rPr>
      </w:pPr>
    </w:p>
    <w:p>
      <w:pPr>
        <w:rPr>
          <w:rFonts w:ascii="宋体" w:hAnsi="宋体"/>
          <w:sz w:val="32"/>
          <w:szCs w:val="32"/>
          <w:highlight w:val="none"/>
        </w:rPr>
      </w:pPr>
    </w:p>
    <w:p>
      <w:pPr>
        <w:rPr>
          <w:rFonts w:ascii="宋体" w:hAnsi="宋体"/>
          <w:sz w:val="32"/>
          <w:szCs w:val="32"/>
          <w:highlight w:val="none"/>
        </w:rPr>
      </w:pPr>
    </w:p>
    <w:p>
      <w:pPr>
        <w:rPr>
          <w:rFonts w:ascii="宋体" w:hAnsi="宋体"/>
          <w:sz w:val="32"/>
          <w:szCs w:val="32"/>
          <w:highlight w:val="none"/>
        </w:rPr>
      </w:pPr>
    </w:p>
    <w:p>
      <w:pPr>
        <w:autoSpaceDE w:val="0"/>
        <w:autoSpaceDN w:val="0"/>
        <w:adjustRightInd w:val="0"/>
        <w:jc w:val="left"/>
        <w:rPr>
          <w:rFonts w:ascii="宋体" w:hAnsi="宋体" w:cs="宋体"/>
          <w:color w:val="000000"/>
          <w:kern w:val="0"/>
          <w:sz w:val="24"/>
          <w:highlight w:val="none"/>
        </w:rPr>
      </w:pPr>
    </w:p>
    <w:p>
      <w:pPr>
        <w:rPr>
          <w:rFonts w:ascii="宋体" w:hAnsi="宋体"/>
          <w:sz w:val="32"/>
          <w:szCs w:val="32"/>
          <w:highlight w:val="none"/>
        </w:rPr>
      </w:pPr>
      <w:r>
        <w:rPr>
          <w:rFonts w:hint="eastAsia" w:ascii="宋体" w:hAnsi="宋体"/>
          <w:sz w:val="32"/>
          <w:szCs w:val="32"/>
          <w:highlight w:val="none"/>
        </w:rPr>
        <w:t xml:space="preserve">    </w:t>
      </w:r>
      <w:bookmarkStart w:id="721" w:name="_Toc288114468"/>
      <w:r>
        <w:rPr>
          <w:rFonts w:hint="eastAsia" w:ascii="宋体" w:hAnsi="宋体"/>
          <w:sz w:val="32"/>
          <w:szCs w:val="32"/>
          <w:highlight w:val="none"/>
        </w:rPr>
        <w:t xml:space="preserve">          投标单位（盖单位章）：</w:t>
      </w:r>
      <w:r>
        <w:rPr>
          <w:rFonts w:hint="eastAsia" w:ascii="宋体" w:hAnsi="宋体"/>
          <w:sz w:val="32"/>
          <w:szCs w:val="32"/>
          <w:highlight w:val="none"/>
          <w:u w:val="single"/>
        </w:rPr>
        <w:t xml:space="preserve">           </w:t>
      </w:r>
      <w:bookmarkEnd w:id="721"/>
      <w:r>
        <w:rPr>
          <w:rFonts w:hint="eastAsia" w:ascii="宋体" w:hAnsi="宋体"/>
          <w:sz w:val="32"/>
          <w:szCs w:val="32"/>
          <w:highlight w:val="none"/>
        </w:rPr>
        <w:t xml:space="preserve">    </w:t>
      </w:r>
    </w:p>
    <w:p>
      <w:pPr>
        <w:rPr>
          <w:rFonts w:ascii="宋体" w:hAnsi="宋体"/>
          <w:sz w:val="32"/>
          <w:szCs w:val="32"/>
          <w:highlight w:val="none"/>
        </w:rPr>
      </w:pPr>
      <w:r>
        <w:rPr>
          <w:rFonts w:hint="eastAsia" w:ascii="宋体" w:hAnsi="宋体"/>
          <w:sz w:val="32"/>
          <w:szCs w:val="32"/>
          <w:highlight w:val="none"/>
        </w:rPr>
        <w:t xml:space="preserve">                          　 </w:t>
      </w:r>
      <w:r>
        <w:rPr>
          <w:rFonts w:hint="eastAsia" w:ascii="宋体" w:hAnsi="宋体"/>
          <w:sz w:val="32"/>
          <w:szCs w:val="32"/>
          <w:highlight w:val="none"/>
          <w:u w:val="single"/>
        </w:rPr>
        <w:t xml:space="preserve">     </w:t>
      </w:r>
      <w:bookmarkStart w:id="722" w:name="_Toc288114469"/>
      <w:r>
        <w:rPr>
          <w:rFonts w:hint="eastAsia" w:ascii="宋体" w:hAnsi="宋体"/>
          <w:sz w:val="32"/>
          <w:szCs w:val="32"/>
          <w:highlight w:val="none"/>
        </w:rPr>
        <w:t>年</w:t>
      </w:r>
      <w:r>
        <w:rPr>
          <w:rFonts w:hint="eastAsia" w:ascii="宋体" w:hAnsi="宋体"/>
          <w:sz w:val="32"/>
          <w:szCs w:val="32"/>
          <w:highlight w:val="none"/>
          <w:u w:val="single"/>
        </w:rPr>
        <w:t xml:space="preserve">    </w:t>
      </w:r>
      <w:r>
        <w:rPr>
          <w:rFonts w:hint="eastAsia" w:ascii="宋体" w:hAnsi="宋体"/>
          <w:sz w:val="32"/>
          <w:szCs w:val="32"/>
          <w:highlight w:val="none"/>
        </w:rPr>
        <w:t>月</w:t>
      </w:r>
      <w:r>
        <w:rPr>
          <w:rFonts w:hint="eastAsia" w:ascii="宋体" w:hAnsi="宋体"/>
          <w:sz w:val="32"/>
          <w:szCs w:val="32"/>
          <w:highlight w:val="none"/>
          <w:u w:val="single"/>
        </w:rPr>
        <w:t xml:space="preserve">   </w:t>
      </w:r>
      <w:r>
        <w:rPr>
          <w:rFonts w:hint="eastAsia" w:ascii="宋体" w:hAnsi="宋体"/>
          <w:sz w:val="32"/>
          <w:szCs w:val="32"/>
          <w:highlight w:val="none"/>
        </w:rPr>
        <w:t>日</w:t>
      </w:r>
      <w:bookmarkEnd w:id="722"/>
      <w:bookmarkStart w:id="723" w:name="_Toc289182444"/>
      <w:bookmarkStart w:id="724" w:name="_Toc338840466"/>
      <w:bookmarkStart w:id="725" w:name="_Toc289241364"/>
      <w:bookmarkStart w:id="726" w:name="_Toc289182822"/>
      <w:bookmarkStart w:id="727" w:name="_Toc338840505"/>
      <w:bookmarkStart w:id="728" w:name="_Toc288748133"/>
      <w:bookmarkStart w:id="729" w:name="_Toc289241541"/>
      <w:bookmarkStart w:id="730" w:name="_Toc289096748"/>
      <w:bookmarkStart w:id="731" w:name="_Toc289238793"/>
      <w:bookmarkStart w:id="732" w:name="_Toc338840257"/>
    </w:p>
    <w:p>
      <w:pPr>
        <w:jc w:val="center"/>
        <w:rPr>
          <w:rFonts w:ascii="宋体" w:hAnsi="宋体"/>
          <w:sz w:val="32"/>
          <w:szCs w:val="32"/>
          <w:highlight w:val="none"/>
        </w:rPr>
      </w:pPr>
      <w:r>
        <w:rPr>
          <w:rFonts w:ascii="宋体" w:hAnsi="宋体"/>
          <w:sz w:val="32"/>
          <w:szCs w:val="32"/>
          <w:highlight w:val="none"/>
        </w:rPr>
        <w:br w:type="page"/>
      </w:r>
      <w:r>
        <w:rPr>
          <w:rFonts w:hint="eastAsia" w:ascii="宋体" w:hAnsi="宋体"/>
          <w:b/>
          <w:bCs/>
          <w:kern w:val="44"/>
          <w:sz w:val="44"/>
          <w:szCs w:val="44"/>
          <w:highlight w:val="none"/>
        </w:rPr>
        <w:t>二　授权委托书</w:t>
      </w:r>
      <w:bookmarkEnd w:id="723"/>
      <w:bookmarkEnd w:id="724"/>
      <w:bookmarkEnd w:id="725"/>
      <w:bookmarkEnd w:id="726"/>
      <w:bookmarkEnd w:id="727"/>
      <w:bookmarkEnd w:id="728"/>
      <w:bookmarkEnd w:id="729"/>
      <w:bookmarkEnd w:id="730"/>
      <w:bookmarkEnd w:id="731"/>
      <w:bookmarkEnd w:id="732"/>
    </w:p>
    <w:p>
      <w:pPr>
        <w:topLinePunct/>
        <w:spacing w:line="440" w:lineRule="exact"/>
        <w:jc w:val="center"/>
        <w:rPr>
          <w:rFonts w:ascii="宋体" w:hAnsi="宋体"/>
          <w:sz w:val="32"/>
          <w:szCs w:val="32"/>
          <w:highlight w:val="none"/>
        </w:rPr>
      </w:pPr>
      <w:r>
        <w:rPr>
          <w:rFonts w:ascii="宋体" w:hAnsi="宋体"/>
          <w:kern w:val="0"/>
          <w:szCs w:val="21"/>
          <w:highlight w:val="none"/>
        </w:rPr>
        <w:t>（</w:t>
      </w:r>
      <w:r>
        <w:rPr>
          <w:rFonts w:hint="eastAsia" w:ascii="宋体" w:hAnsi="宋体"/>
          <w:kern w:val="0"/>
          <w:szCs w:val="21"/>
          <w:highlight w:val="none"/>
        </w:rPr>
        <w:t>法定代表人委托其他人员投标时提供</w:t>
      </w:r>
      <w:r>
        <w:rPr>
          <w:rFonts w:ascii="宋体" w:hAnsi="宋体"/>
          <w:kern w:val="0"/>
          <w:szCs w:val="21"/>
          <w:highlight w:val="none"/>
        </w:rPr>
        <w:t>）</w:t>
      </w:r>
    </w:p>
    <w:p>
      <w:pPr>
        <w:topLinePunct/>
        <w:spacing w:line="440" w:lineRule="exact"/>
        <w:rPr>
          <w:rFonts w:ascii="宋体" w:hAnsi="宋体"/>
          <w:sz w:val="32"/>
          <w:szCs w:val="32"/>
          <w:highlight w:val="none"/>
        </w:rPr>
      </w:pPr>
    </w:p>
    <w:p>
      <w:pPr>
        <w:spacing w:line="600" w:lineRule="exact"/>
        <w:ind w:firstLine="525"/>
        <w:jc w:val="left"/>
        <w:rPr>
          <w:rFonts w:ascii="宋体" w:hAnsi="宋体"/>
          <w:sz w:val="32"/>
          <w:szCs w:val="32"/>
          <w:highlight w:val="none"/>
        </w:rPr>
      </w:pPr>
      <w:bookmarkStart w:id="733" w:name="_Toc338840467"/>
      <w:bookmarkStart w:id="734" w:name="_Toc338840506"/>
      <w:bookmarkStart w:id="735" w:name="_Toc338840258"/>
      <w:r>
        <w:rPr>
          <w:rFonts w:hint="eastAsia" w:ascii="宋体" w:hAnsi="宋体"/>
          <w:sz w:val="32"/>
          <w:szCs w:val="32"/>
          <w:highlight w:val="none"/>
        </w:rPr>
        <w:t>本人</w:t>
      </w:r>
      <w:r>
        <w:rPr>
          <w:rFonts w:hint="eastAsia" w:ascii="宋体" w:hAnsi="宋体"/>
          <w:sz w:val="32"/>
          <w:szCs w:val="32"/>
          <w:highlight w:val="none"/>
          <w:u w:val="single"/>
        </w:rPr>
        <w:t xml:space="preserve">    　　</w:t>
      </w:r>
      <w:r>
        <w:rPr>
          <w:rFonts w:hint="eastAsia" w:ascii="宋体" w:hAnsi="宋体"/>
          <w:sz w:val="32"/>
          <w:szCs w:val="32"/>
          <w:highlight w:val="none"/>
        </w:rPr>
        <w:t>（姓名） 系</w:t>
      </w:r>
      <w:r>
        <w:rPr>
          <w:rFonts w:hint="eastAsia" w:ascii="宋体" w:hAnsi="宋体"/>
          <w:sz w:val="32"/>
          <w:szCs w:val="32"/>
          <w:highlight w:val="none"/>
          <w:u w:val="single"/>
        </w:rPr>
        <w:t xml:space="preserve">                     </w:t>
      </w:r>
      <w:r>
        <w:rPr>
          <w:rFonts w:hint="eastAsia" w:ascii="宋体" w:hAnsi="宋体"/>
          <w:sz w:val="32"/>
          <w:szCs w:val="32"/>
          <w:highlight w:val="none"/>
        </w:rPr>
        <w:t>（投标单位名称）的法定代表人（负责人）。现委托</w:t>
      </w:r>
      <w:r>
        <w:rPr>
          <w:rFonts w:hint="eastAsia" w:ascii="宋体" w:hAnsi="宋体"/>
          <w:sz w:val="32"/>
          <w:szCs w:val="32"/>
          <w:highlight w:val="none"/>
          <w:u w:val="single"/>
        </w:rPr>
        <w:t xml:space="preserve">   　　　　</w:t>
      </w:r>
      <w:r>
        <w:rPr>
          <w:rFonts w:hint="eastAsia" w:ascii="宋体" w:hAnsi="宋体"/>
          <w:sz w:val="32"/>
          <w:szCs w:val="32"/>
          <w:highlight w:val="none"/>
        </w:rPr>
        <w:t>（姓名）作为我方代理人。代理人根据授权，以我方名义签署、澄清、说明、补正、递交、撤回、修改</w:t>
      </w:r>
      <w:r>
        <w:rPr>
          <w:rFonts w:hint="eastAsia" w:ascii="宋体" w:hAnsi="宋体"/>
          <w:sz w:val="32"/>
          <w:szCs w:val="32"/>
          <w:highlight w:val="none"/>
          <w:u w:val="single"/>
        </w:rPr>
        <w:t xml:space="preserve">           　　　</w:t>
      </w:r>
      <w:r>
        <w:rPr>
          <w:rFonts w:hint="eastAsia" w:ascii="宋体" w:hAnsi="宋体"/>
          <w:sz w:val="32"/>
          <w:szCs w:val="32"/>
          <w:highlight w:val="none"/>
        </w:rPr>
        <w:t>项目（</w:t>
      </w:r>
      <w:r>
        <w:rPr>
          <w:rFonts w:hint="eastAsia" w:ascii="宋体" w:hAnsi="宋体" w:cs="宋体"/>
          <w:sz w:val="32"/>
          <w:szCs w:val="32"/>
          <w:highlight w:val="none"/>
        </w:rPr>
        <w:t>项目编号：</w:t>
      </w:r>
      <w:r>
        <w:rPr>
          <w:rFonts w:hint="eastAsia" w:ascii="宋体" w:hAnsi="宋体" w:cs="宋体"/>
          <w:sz w:val="32"/>
          <w:szCs w:val="32"/>
          <w:highlight w:val="none"/>
          <w:u w:val="single"/>
        </w:rPr>
        <w:t xml:space="preserve">      </w:t>
      </w:r>
      <w:r>
        <w:rPr>
          <w:rFonts w:hint="eastAsia" w:ascii="宋体" w:hAnsi="宋体"/>
          <w:sz w:val="32"/>
          <w:szCs w:val="32"/>
          <w:highlight w:val="none"/>
        </w:rPr>
        <w:t>）</w:t>
      </w:r>
      <w:r>
        <w:rPr>
          <w:rFonts w:hint="eastAsia" w:ascii="宋体" w:hAnsi="宋体"/>
          <w:sz w:val="32"/>
          <w:szCs w:val="32"/>
          <w:highlight w:val="none"/>
          <w:u w:val="single"/>
        </w:rPr>
        <w:t xml:space="preserve">　  </w:t>
      </w:r>
      <w:r>
        <w:rPr>
          <w:rFonts w:hint="eastAsia" w:ascii="宋体" w:hAnsi="宋体"/>
          <w:sz w:val="32"/>
          <w:szCs w:val="32"/>
          <w:highlight w:val="none"/>
        </w:rPr>
        <w:t>标段投标文件、签订合同和处理有关事宜，其法律后果由我方承担。</w:t>
      </w:r>
    </w:p>
    <w:p>
      <w:pPr>
        <w:spacing w:line="600" w:lineRule="exact"/>
        <w:ind w:firstLine="525"/>
        <w:jc w:val="left"/>
        <w:rPr>
          <w:rFonts w:ascii="宋体" w:hAnsi="宋体"/>
          <w:sz w:val="32"/>
          <w:szCs w:val="32"/>
          <w:highlight w:val="none"/>
        </w:rPr>
      </w:pPr>
      <w:r>
        <w:rPr>
          <w:rFonts w:hint="eastAsia" w:ascii="宋体" w:hAnsi="宋体"/>
          <w:sz w:val="32"/>
          <w:szCs w:val="32"/>
          <w:highlight w:val="none"/>
        </w:rPr>
        <w:t>委托期限：</w:t>
      </w:r>
      <w:r>
        <w:rPr>
          <w:rFonts w:hint="eastAsia" w:ascii="宋体" w:hAnsi="宋体"/>
          <w:sz w:val="32"/>
          <w:szCs w:val="32"/>
          <w:highlight w:val="none"/>
          <w:u w:val="single"/>
        </w:rPr>
        <w:t>　　　　　　　</w:t>
      </w:r>
      <w:r>
        <w:rPr>
          <w:rFonts w:hint="eastAsia" w:ascii="宋体" w:hAnsi="宋体"/>
          <w:sz w:val="32"/>
          <w:szCs w:val="32"/>
          <w:highlight w:val="none"/>
        </w:rPr>
        <w:t>。</w:t>
      </w:r>
    </w:p>
    <w:p>
      <w:pPr>
        <w:spacing w:line="600" w:lineRule="exact"/>
        <w:ind w:firstLine="525"/>
        <w:jc w:val="left"/>
        <w:rPr>
          <w:rFonts w:ascii="宋体" w:hAnsi="宋体"/>
          <w:sz w:val="32"/>
          <w:szCs w:val="32"/>
          <w:highlight w:val="none"/>
        </w:rPr>
      </w:pPr>
      <w:r>
        <w:rPr>
          <w:rFonts w:hint="eastAsia" w:ascii="宋体" w:hAnsi="宋体"/>
          <w:sz w:val="32"/>
          <w:szCs w:val="32"/>
          <w:highlight w:val="none"/>
        </w:rPr>
        <w:t>代理人无转委托权。</w:t>
      </w:r>
    </w:p>
    <w:p>
      <w:pPr>
        <w:spacing w:line="600" w:lineRule="exact"/>
        <w:ind w:firstLine="525"/>
        <w:jc w:val="left"/>
        <w:rPr>
          <w:rFonts w:ascii="宋体" w:hAnsi="宋体"/>
          <w:b/>
          <w:sz w:val="32"/>
          <w:szCs w:val="32"/>
          <w:highlight w:val="none"/>
        </w:rPr>
      </w:pPr>
      <w:r>
        <w:rPr>
          <w:rFonts w:hint="eastAsia" w:ascii="宋体" w:hAnsi="宋体"/>
          <w:b/>
          <w:sz w:val="32"/>
          <w:szCs w:val="32"/>
          <w:highlight w:val="none"/>
        </w:rPr>
        <w:t>此处附：法定代表人（负责人）身份证复印件及委托代理人身份证复印件</w:t>
      </w:r>
    </w:p>
    <w:p>
      <w:pPr>
        <w:spacing w:line="600" w:lineRule="exact"/>
        <w:ind w:firstLine="525"/>
        <w:jc w:val="left"/>
        <w:rPr>
          <w:rFonts w:ascii="宋体" w:hAnsi="宋体"/>
          <w:sz w:val="32"/>
          <w:szCs w:val="32"/>
          <w:highlight w:val="none"/>
        </w:rPr>
      </w:pPr>
    </w:p>
    <w:p>
      <w:pPr>
        <w:spacing w:line="600" w:lineRule="exact"/>
        <w:jc w:val="left"/>
        <w:rPr>
          <w:rFonts w:ascii="宋体" w:hAnsi="宋体"/>
          <w:sz w:val="32"/>
          <w:szCs w:val="32"/>
          <w:highlight w:val="none"/>
        </w:rPr>
      </w:pPr>
    </w:p>
    <w:p>
      <w:pPr>
        <w:spacing w:line="600" w:lineRule="exact"/>
        <w:ind w:firstLine="525"/>
        <w:jc w:val="left"/>
        <w:rPr>
          <w:rFonts w:ascii="宋体" w:hAnsi="宋体"/>
          <w:sz w:val="32"/>
          <w:szCs w:val="32"/>
          <w:highlight w:val="none"/>
        </w:rPr>
      </w:pPr>
    </w:p>
    <w:p>
      <w:pPr>
        <w:spacing w:line="600" w:lineRule="exact"/>
        <w:ind w:firstLine="1324" w:firstLineChars="414"/>
        <w:jc w:val="left"/>
        <w:rPr>
          <w:rFonts w:ascii="宋体" w:hAnsi="宋体"/>
          <w:sz w:val="32"/>
          <w:szCs w:val="32"/>
          <w:highlight w:val="none"/>
          <w:u w:val="single"/>
        </w:rPr>
      </w:pPr>
      <w:r>
        <w:rPr>
          <w:rFonts w:hint="eastAsia" w:ascii="宋体" w:hAnsi="宋体"/>
          <w:sz w:val="32"/>
          <w:szCs w:val="32"/>
          <w:highlight w:val="none"/>
        </w:rPr>
        <w:t>供应商（盖单位章）：</w:t>
      </w:r>
      <w:r>
        <w:rPr>
          <w:rFonts w:hint="eastAsia" w:ascii="宋体" w:hAnsi="宋体"/>
          <w:sz w:val="32"/>
          <w:szCs w:val="32"/>
          <w:highlight w:val="none"/>
          <w:u w:val="single"/>
        </w:rPr>
        <w:t>　　    　　　   　　　</w:t>
      </w:r>
    </w:p>
    <w:p>
      <w:pPr>
        <w:spacing w:line="600" w:lineRule="exact"/>
        <w:ind w:firstLine="1324" w:firstLineChars="414"/>
        <w:jc w:val="left"/>
        <w:rPr>
          <w:rFonts w:ascii="宋体" w:hAnsi="宋体"/>
          <w:sz w:val="32"/>
          <w:szCs w:val="32"/>
          <w:highlight w:val="none"/>
        </w:rPr>
      </w:pPr>
      <w:r>
        <w:rPr>
          <w:rFonts w:hint="eastAsia" w:ascii="宋体" w:hAnsi="宋体"/>
          <w:sz w:val="32"/>
          <w:szCs w:val="32"/>
          <w:highlight w:val="none"/>
        </w:rPr>
        <w:t>法定代表人或负责人（签名或盖章）：</w:t>
      </w:r>
      <w:r>
        <w:rPr>
          <w:rFonts w:hint="eastAsia" w:ascii="宋体" w:hAnsi="宋体"/>
          <w:sz w:val="32"/>
          <w:szCs w:val="32"/>
          <w:highlight w:val="none"/>
          <w:u w:val="single"/>
        </w:rPr>
        <w:t xml:space="preserve"> 　　　　</w:t>
      </w:r>
    </w:p>
    <w:p>
      <w:pPr>
        <w:spacing w:line="600" w:lineRule="exact"/>
        <w:ind w:firstLine="525"/>
        <w:jc w:val="left"/>
        <w:rPr>
          <w:rFonts w:ascii="宋体" w:hAnsi="宋体"/>
          <w:sz w:val="32"/>
          <w:szCs w:val="32"/>
          <w:highlight w:val="none"/>
          <w:u w:val="single"/>
        </w:rPr>
      </w:pPr>
      <w:r>
        <w:rPr>
          <w:rFonts w:hint="eastAsia" w:ascii="宋体" w:hAnsi="宋体"/>
          <w:sz w:val="32"/>
          <w:szCs w:val="32"/>
          <w:highlight w:val="none"/>
        </w:rPr>
        <w:t>　　 代理人（签名或盖章）：</w:t>
      </w:r>
      <w:r>
        <w:rPr>
          <w:rFonts w:hint="eastAsia" w:ascii="宋体" w:hAnsi="宋体"/>
          <w:sz w:val="32"/>
          <w:szCs w:val="32"/>
          <w:highlight w:val="none"/>
          <w:u w:val="single"/>
        </w:rPr>
        <w:t>　　　　　　    　　</w:t>
      </w:r>
      <w:r>
        <w:rPr>
          <w:rFonts w:hint="eastAsia" w:ascii="宋体" w:hAnsi="宋体"/>
          <w:sz w:val="32"/>
          <w:szCs w:val="32"/>
          <w:highlight w:val="none"/>
        </w:rPr>
        <w:t xml:space="preserve">                              </w:t>
      </w:r>
      <w:r>
        <w:rPr>
          <w:rFonts w:hint="eastAsia" w:ascii="宋体" w:hAnsi="宋体"/>
          <w:sz w:val="32"/>
          <w:szCs w:val="32"/>
          <w:highlight w:val="none"/>
          <w:u w:val="single"/>
        </w:rPr>
        <w:t xml:space="preserve"> 　　  </w:t>
      </w:r>
    </w:p>
    <w:p>
      <w:pPr>
        <w:spacing w:line="600" w:lineRule="exact"/>
        <w:ind w:firstLine="5324" w:firstLineChars="1664"/>
        <w:jc w:val="left"/>
        <w:rPr>
          <w:rFonts w:ascii="宋体" w:hAnsi="宋体"/>
          <w:sz w:val="32"/>
          <w:szCs w:val="32"/>
          <w:highlight w:val="none"/>
        </w:rPr>
      </w:pPr>
      <w:r>
        <w:rPr>
          <w:rFonts w:hint="eastAsia" w:ascii="宋体" w:hAnsi="宋体"/>
          <w:sz w:val="32"/>
          <w:szCs w:val="32"/>
          <w:highlight w:val="none"/>
          <w:u w:val="single"/>
        </w:rPr>
        <w:t xml:space="preserve">     </w:t>
      </w:r>
      <w:r>
        <w:rPr>
          <w:rFonts w:hint="eastAsia" w:ascii="宋体" w:hAnsi="宋体"/>
          <w:sz w:val="32"/>
          <w:szCs w:val="32"/>
          <w:highlight w:val="none"/>
        </w:rPr>
        <w:t>年</w:t>
      </w:r>
      <w:r>
        <w:rPr>
          <w:rFonts w:hint="eastAsia" w:ascii="宋体" w:hAnsi="宋体"/>
          <w:sz w:val="32"/>
          <w:szCs w:val="32"/>
          <w:highlight w:val="none"/>
          <w:u w:val="single"/>
        </w:rPr>
        <w:t xml:space="preserve">   </w:t>
      </w:r>
      <w:r>
        <w:rPr>
          <w:rFonts w:hint="eastAsia" w:ascii="宋体" w:hAnsi="宋体"/>
          <w:sz w:val="32"/>
          <w:szCs w:val="32"/>
          <w:highlight w:val="none"/>
        </w:rPr>
        <w:t>月</w:t>
      </w:r>
      <w:r>
        <w:rPr>
          <w:rFonts w:hint="eastAsia" w:ascii="宋体" w:hAnsi="宋体"/>
          <w:sz w:val="32"/>
          <w:szCs w:val="32"/>
          <w:highlight w:val="none"/>
          <w:u w:val="single"/>
        </w:rPr>
        <w:t xml:space="preserve">  </w:t>
      </w:r>
      <w:r>
        <w:rPr>
          <w:rFonts w:hint="eastAsia" w:ascii="宋体" w:hAnsi="宋体"/>
          <w:sz w:val="32"/>
          <w:szCs w:val="32"/>
          <w:highlight w:val="none"/>
        </w:rPr>
        <w:t>日</w:t>
      </w:r>
    </w:p>
    <w:p>
      <w:pPr>
        <w:ind w:firstLine="640" w:firstLineChars="200"/>
        <w:rPr>
          <w:rFonts w:ascii="宋体" w:hAnsi="宋体"/>
          <w:highlight w:val="none"/>
        </w:rPr>
      </w:pPr>
      <w:r>
        <w:rPr>
          <w:rFonts w:ascii="宋体" w:hAnsi="宋体"/>
          <w:sz w:val="32"/>
          <w:szCs w:val="32"/>
          <w:highlight w:val="none"/>
        </w:rPr>
        <w:br w:type="page"/>
      </w:r>
      <w:r>
        <w:rPr>
          <w:rFonts w:hint="eastAsia" w:ascii="宋体" w:hAnsi="宋体"/>
          <w:b/>
          <w:sz w:val="44"/>
          <w:szCs w:val="44"/>
          <w:highlight w:val="none"/>
        </w:rPr>
        <w:t>三　</w:t>
      </w:r>
      <w:bookmarkEnd w:id="712"/>
      <w:bookmarkEnd w:id="713"/>
      <w:bookmarkEnd w:id="733"/>
      <w:bookmarkEnd w:id="734"/>
      <w:bookmarkEnd w:id="735"/>
      <w:bookmarkStart w:id="736" w:name="_Toc289182438"/>
      <w:bookmarkStart w:id="737" w:name="_Toc289241535"/>
      <w:bookmarkStart w:id="738" w:name="_Toc338840470"/>
      <w:bookmarkStart w:id="739" w:name="_Toc338840509"/>
      <w:bookmarkStart w:id="740" w:name="_Toc289241358"/>
      <w:bookmarkStart w:id="741" w:name="_Toc289238787"/>
      <w:bookmarkStart w:id="742" w:name="_Toc289182816"/>
      <w:bookmarkStart w:id="743" w:name="_Toc338840261"/>
      <w:bookmarkStart w:id="744" w:name="_Toc288748127"/>
      <w:bookmarkStart w:id="745" w:name="_Toc289096742"/>
      <w:r>
        <w:rPr>
          <w:rFonts w:hint="eastAsia" w:ascii="宋体" w:hAnsi="宋体" w:cs="宋体"/>
          <w:b/>
          <w:kern w:val="44"/>
          <w:sz w:val="44"/>
          <w:szCs w:val="44"/>
          <w:highlight w:val="none"/>
        </w:rPr>
        <w:t>供应商基本情况和资格证明材料</w:t>
      </w:r>
    </w:p>
    <w:p>
      <w:pPr>
        <w:widowControl/>
        <w:spacing w:line="480" w:lineRule="atLeast"/>
        <w:jc w:val="left"/>
        <w:rPr>
          <w:rFonts w:ascii="宋体" w:hAnsi="宋体" w:cs="宋体"/>
          <w:color w:val="555555"/>
          <w:kern w:val="0"/>
          <w:sz w:val="32"/>
          <w:szCs w:val="32"/>
          <w:highlight w:val="none"/>
        </w:rPr>
      </w:pPr>
    </w:p>
    <w:p>
      <w:pPr>
        <w:topLinePunct/>
        <w:spacing w:line="440" w:lineRule="exact"/>
        <w:jc w:val="center"/>
        <w:rPr>
          <w:rFonts w:ascii="宋体" w:hAnsi="宋体" w:cs="宋体"/>
          <w:b/>
          <w:bCs/>
          <w:sz w:val="32"/>
          <w:szCs w:val="32"/>
          <w:highlight w:val="none"/>
        </w:rPr>
      </w:pPr>
      <w:r>
        <w:rPr>
          <w:rFonts w:hint="eastAsia" w:ascii="宋体" w:hAnsi="宋体" w:cs="宋体"/>
          <w:b/>
          <w:bCs/>
          <w:sz w:val="32"/>
          <w:szCs w:val="32"/>
          <w:highlight w:val="none"/>
        </w:rPr>
        <w:t>（一）、供应商基本情况表</w:t>
      </w:r>
    </w:p>
    <w:tbl>
      <w:tblPr>
        <w:tblStyle w:val="3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邮编</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电话</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电 话</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网 址</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rPr>
                <w:rFonts w:ascii="宋体" w:hAnsi="宋体" w:cs="宋体"/>
                <w:sz w:val="32"/>
                <w:szCs w:val="32"/>
                <w:highlight w:val="none"/>
              </w:rPr>
            </w:pPr>
            <w:r>
              <w:rPr>
                <w:rFonts w:hint="eastAsia" w:ascii="宋体" w:hAnsi="宋体" w:cs="宋体"/>
                <w:sz w:val="32"/>
                <w:szCs w:val="32"/>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rPr>
                <w:rFonts w:ascii="宋体" w:hAnsi="宋体" w:cs="宋体"/>
                <w:sz w:val="32"/>
                <w:szCs w:val="32"/>
                <w:highlight w:val="none"/>
              </w:rPr>
            </w:pPr>
            <w:r>
              <w:rPr>
                <w:rFonts w:hint="eastAsia" w:ascii="宋体" w:hAnsi="宋体" w:cs="宋体"/>
                <w:sz w:val="32"/>
                <w:szCs w:val="32"/>
                <w:highlight w:val="none"/>
              </w:rPr>
              <w:t>注册资金：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rPr>
                <w:rFonts w:ascii="宋体" w:hAnsi="宋体" w:cs="宋体"/>
                <w:sz w:val="32"/>
                <w:szCs w:val="32"/>
                <w:highlight w:val="none"/>
              </w:rPr>
            </w:pPr>
            <w:r>
              <w:rPr>
                <w:rFonts w:hint="eastAsia" w:ascii="宋体" w:hAnsi="宋体" w:cs="宋体"/>
                <w:sz w:val="32"/>
                <w:szCs w:val="32"/>
                <w:highlight w:val="none"/>
              </w:rPr>
              <w:t>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pPr>
              <w:topLinePunct/>
              <w:spacing w:line="440" w:lineRule="exact"/>
              <w:ind w:firstLine="320" w:firstLineChars="100"/>
              <w:jc w:val="center"/>
              <w:rPr>
                <w:rFonts w:ascii="宋体" w:hAnsi="宋体" w:cs="宋体"/>
                <w:sz w:val="32"/>
                <w:szCs w:val="32"/>
                <w:highlight w:val="none"/>
              </w:rPr>
            </w:pPr>
            <w:r>
              <w:rPr>
                <w:rFonts w:hint="eastAsia" w:ascii="宋体" w:hAnsi="宋体" w:cs="宋体"/>
                <w:sz w:val="32"/>
                <w:szCs w:val="32"/>
                <w:highlight w:val="none"/>
              </w:rPr>
              <w:t>核定的经营范围</w:t>
            </w:r>
          </w:p>
        </w:tc>
        <w:tc>
          <w:tcPr>
            <w:tcW w:w="6663" w:type="dxa"/>
            <w:gridSpan w:val="5"/>
            <w:tcBorders>
              <w:top w:val="single" w:color="auto" w:sz="4" w:space="0"/>
              <w:left w:val="single" w:color="auto" w:sz="4" w:space="0"/>
              <w:right w:val="single" w:color="auto" w:sz="4" w:space="0"/>
            </w:tcBorders>
            <w:vAlign w:val="center"/>
          </w:tcPr>
          <w:p>
            <w:pPr>
              <w:topLinePunct/>
              <w:spacing w:line="440" w:lineRule="exact"/>
              <w:rPr>
                <w:rFonts w:ascii="宋体" w:hAnsi="宋体" w:cs="宋体"/>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32"/>
                <w:szCs w:val="32"/>
                <w:highlight w:val="none"/>
              </w:rPr>
            </w:pPr>
          </w:p>
        </w:tc>
      </w:tr>
    </w:tbl>
    <w:p>
      <w:pPr>
        <w:tabs>
          <w:tab w:val="left" w:pos="8280"/>
        </w:tabs>
        <w:spacing w:line="480" w:lineRule="exact"/>
        <w:ind w:right="6"/>
        <w:rPr>
          <w:rFonts w:ascii="宋体" w:hAnsi="宋体" w:cs="宋体"/>
          <w:b/>
          <w:sz w:val="32"/>
          <w:szCs w:val="32"/>
          <w:highlight w:val="none"/>
        </w:rPr>
      </w:pPr>
    </w:p>
    <w:p>
      <w:pPr>
        <w:numPr>
          <w:ilvl w:val="0"/>
          <w:numId w:val="11"/>
        </w:numPr>
        <w:jc w:val="center"/>
        <w:rPr>
          <w:rFonts w:ascii="宋体" w:hAnsi="宋体" w:cs="宋体"/>
          <w:b/>
          <w:sz w:val="32"/>
          <w:szCs w:val="32"/>
          <w:highlight w:val="none"/>
        </w:rPr>
      </w:pPr>
      <w:r>
        <w:rPr>
          <w:rFonts w:hint="eastAsia" w:ascii="宋体" w:hAnsi="宋体" w:cs="宋体"/>
          <w:b/>
          <w:sz w:val="32"/>
          <w:szCs w:val="32"/>
          <w:highlight w:val="none"/>
        </w:rPr>
        <w:br w:type="page"/>
      </w:r>
      <w:r>
        <w:rPr>
          <w:rFonts w:hint="eastAsia" w:ascii="宋体" w:hAnsi="宋体" w:cs="宋体"/>
          <w:b/>
          <w:sz w:val="32"/>
          <w:szCs w:val="32"/>
          <w:highlight w:val="none"/>
        </w:rPr>
        <w:t>资格证明材料</w:t>
      </w:r>
    </w:p>
    <w:p>
      <w:pPr>
        <w:ind w:left="479" w:leftChars="228" w:firstLine="160" w:firstLineChars="50"/>
        <w:rPr>
          <w:rFonts w:ascii="宋体" w:hAnsi="宋体"/>
          <w:sz w:val="32"/>
          <w:szCs w:val="32"/>
          <w:highlight w:val="none"/>
        </w:rPr>
      </w:pPr>
    </w:p>
    <w:p>
      <w:pPr>
        <w:pStyle w:val="30"/>
        <w:ind w:left="0" w:leftChars="0" w:firstLine="640" w:firstLineChars="200"/>
        <w:rPr>
          <w:highlight w:val="none"/>
        </w:rPr>
      </w:pPr>
      <w:r>
        <w:rPr>
          <w:rFonts w:hint="eastAsia" w:ascii="宋体" w:hAnsi="宋体"/>
          <w:sz w:val="32"/>
          <w:szCs w:val="32"/>
          <w:highlight w:val="none"/>
        </w:rPr>
        <w:t>说明：</w:t>
      </w:r>
    </w:p>
    <w:p>
      <w:pPr>
        <w:rPr>
          <w:rFonts w:ascii="宋体" w:hAnsi="宋体"/>
          <w:sz w:val="32"/>
          <w:szCs w:val="32"/>
          <w:highlight w:val="none"/>
        </w:rPr>
      </w:pPr>
      <w:r>
        <w:rPr>
          <w:rFonts w:hint="eastAsia" w:ascii="宋体" w:hAnsi="宋体"/>
          <w:sz w:val="32"/>
          <w:szCs w:val="32"/>
          <w:highlight w:val="none"/>
        </w:rPr>
        <w:t>　　1、供应商在此处完整提供“供应商资格要求”的全部资格证明材料，否则，自行承担资格审查不通过的风险责任。</w:t>
      </w:r>
    </w:p>
    <w:p>
      <w:pPr>
        <w:ind w:firstLine="640" w:firstLineChars="200"/>
        <w:rPr>
          <w:rFonts w:ascii="宋体" w:hAnsi="宋体"/>
          <w:sz w:val="32"/>
          <w:szCs w:val="32"/>
          <w:highlight w:val="none"/>
        </w:rPr>
      </w:pPr>
      <w:r>
        <w:rPr>
          <w:rFonts w:hint="eastAsia" w:ascii="宋体" w:hAnsi="宋体"/>
          <w:sz w:val="32"/>
          <w:szCs w:val="32"/>
          <w:highlight w:val="none"/>
        </w:rPr>
        <w:t>2、《供应商开标前三年内在经营活动中无重大违法记录的书面声明》和《供应商具备履行合同所必需的设备和专业技术能力的承诺书》格式见后附参考格式。</w:t>
      </w:r>
    </w:p>
    <w:p>
      <w:pPr>
        <w:pStyle w:val="28"/>
        <w:spacing w:line="300" w:lineRule="atLeast"/>
        <w:jc w:val="center"/>
        <w:rPr>
          <w:sz w:val="32"/>
          <w:szCs w:val="32"/>
          <w:highlight w:val="none"/>
        </w:rPr>
      </w:pPr>
      <w:r>
        <w:rPr>
          <w:rFonts w:hint="eastAsia"/>
          <w:sz w:val="32"/>
          <w:szCs w:val="32"/>
          <w:highlight w:val="none"/>
        </w:rPr>
        <w:br w:type="page"/>
      </w:r>
    </w:p>
    <w:p>
      <w:pPr>
        <w:pStyle w:val="28"/>
        <w:spacing w:line="300" w:lineRule="atLeast"/>
        <w:jc w:val="center"/>
        <w:rPr>
          <w:b/>
          <w:sz w:val="36"/>
          <w:szCs w:val="36"/>
          <w:highlight w:val="none"/>
        </w:rPr>
      </w:pPr>
      <w:r>
        <w:rPr>
          <w:rFonts w:hint="eastAsia"/>
          <w:b/>
          <w:sz w:val="36"/>
          <w:szCs w:val="36"/>
          <w:highlight w:val="none"/>
        </w:rPr>
        <w:t>供应商参与采购活动前三年内在经营活动中没有重大违法记录的书面声明函（</w:t>
      </w:r>
      <w:r>
        <w:rPr>
          <w:rFonts w:hint="eastAsia"/>
          <w:b/>
          <w:kern w:val="44"/>
          <w:sz w:val="32"/>
          <w:szCs w:val="32"/>
          <w:highlight w:val="none"/>
        </w:rPr>
        <w:t>参考格式</w:t>
      </w:r>
      <w:r>
        <w:rPr>
          <w:rFonts w:hint="eastAsia"/>
          <w:b/>
          <w:sz w:val="36"/>
          <w:szCs w:val="36"/>
          <w:highlight w:val="none"/>
        </w:rPr>
        <w:t>）</w:t>
      </w:r>
    </w:p>
    <w:p>
      <w:pPr>
        <w:spacing w:before="156" w:beforeLines="50" w:after="156" w:afterLines="50" w:line="480" w:lineRule="auto"/>
        <w:rPr>
          <w:rFonts w:ascii="宋体" w:hAnsi="宋体"/>
          <w:sz w:val="32"/>
          <w:szCs w:val="32"/>
          <w:highlight w:val="none"/>
        </w:rPr>
      </w:pPr>
    </w:p>
    <w:p>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特此声明。</w:t>
      </w:r>
    </w:p>
    <w:p>
      <w:pPr>
        <w:spacing w:before="156" w:beforeLines="50" w:after="156" w:afterLines="50" w:line="480" w:lineRule="auto"/>
        <w:rPr>
          <w:rFonts w:ascii="宋体" w:hAnsi="宋体"/>
          <w:sz w:val="32"/>
          <w:szCs w:val="32"/>
          <w:highlight w:val="none"/>
        </w:rPr>
      </w:pPr>
    </w:p>
    <w:p>
      <w:pPr>
        <w:spacing w:before="156" w:beforeLines="50" w:after="156" w:afterLines="50" w:line="480" w:lineRule="auto"/>
        <w:rPr>
          <w:rFonts w:ascii="宋体" w:hAnsi="宋体"/>
          <w:sz w:val="32"/>
          <w:szCs w:val="32"/>
          <w:highlight w:val="none"/>
        </w:rPr>
      </w:pPr>
    </w:p>
    <w:p>
      <w:pPr>
        <w:spacing w:before="156" w:beforeLines="50" w:after="156" w:afterLines="50" w:line="480" w:lineRule="auto"/>
        <w:rPr>
          <w:rFonts w:ascii="宋体" w:hAnsi="宋体"/>
          <w:sz w:val="32"/>
          <w:szCs w:val="32"/>
          <w:highlight w:val="none"/>
        </w:rPr>
      </w:pPr>
      <w:r>
        <w:rPr>
          <w:rFonts w:hint="eastAsia" w:ascii="宋体" w:hAnsi="宋体"/>
          <w:sz w:val="32"/>
          <w:szCs w:val="32"/>
          <w:highlight w:val="none"/>
        </w:rPr>
        <w:t xml:space="preserve">                  投标单位：</w:t>
      </w:r>
    </w:p>
    <w:p>
      <w:pPr>
        <w:spacing w:before="156" w:beforeLines="50" w:after="156" w:afterLines="50" w:line="480" w:lineRule="auto"/>
        <w:rPr>
          <w:rFonts w:ascii="宋体" w:hAnsi="宋体"/>
          <w:sz w:val="32"/>
          <w:szCs w:val="32"/>
          <w:highlight w:val="none"/>
        </w:rPr>
      </w:pPr>
      <w:r>
        <w:rPr>
          <w:rFonts w:hint="eastAsia" w:ascii="宋体" w:hAnsi="宋体"/>
          <w:sz w:val="32"/>
          <w:szCs w:val="32"/>
          <w:highlight w:val="none"/>
        </w:rPr>
        <w:t xml:space="preserve">                   时间：     年   月   日 </w:t>
      </w:r>
    </w:p>
    <w:p>
      <w:pPr>
        <w:spacing w:before="156" w:beforeLines="50" w:after="156" w:afterLines="50" w:line="480" w:lineRule="auto"/>
        <w:rPr>
          <w:rFonts w:ascii="宋体" w:hAnsi="宋体"/>
          <w:sz w:val="32"/>
          <w:szCs w:val="32"/>
          <w:highlight w:val="none"/>
        </w:rPr>
      </w:pPr>
    </w:p>
    <w:p>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注：供应商在参加政府采购活动前三年内因违法经营被禁止在一定期限内参加政府采购活动，期限届满的，可以参加政府采购活动，但应在此处详细注明。</w:t>
      </w:r>
    </w:p>
    <w:p>
      <w:pPr>
        <w:spacing w:before="156" w:beforeLines="50" w:after="156" w:afterLines="50" w:line="480" w:lineRule="auto"/>
        <w:rPr>
          <w:b/>
          <w:kern w:val="44"/>
          <w:sz w:val="32"/>
          <w:szCs w:val="32"/>
          <w:highlight w:val="none"/>
        </w:rPr>
      </w:pPr>
      <w:r>
        <w:rPr>
          <w:b/>
          <w:kern w:val="44"/>
          <w:sz w:val="32"/>
          <w:szCs w:val="32"/>
          <w:highlight w:val="none"/>
        </w:rPr>
        <w:br w:type="page"/>
      </w:r>
    </w:p>
    <w:p>
      <w:pPr>
        <w:spacing w:before="156" w:beforeLines="50" w:after="156" w:afterLines="50" w:line="480" w:lineRule="auto"/>
        <w:jc w:val="center"/>
        <w:rPr>
          <w:b/>
          <w:sz w:val="36"/>
          <w:szCs w:val="36"/>
          <w:highlight w:val="none"/>
        </w:rPr>
      </w:pPr>
      <w:r>
        <w:rPr>
          <w:rFonts w:hint="eastAsia"/>
          <w:b/>
          <w:sz w:val="36"/>
          <w:szCs w:val="36"/>
          <w:highlight w:val="none"/>
        </w:rPr>
        <w:t>供应商具备履行合同所必需的设备和专业技术能力的承诺书</w:t>
      </w:r>
      <w:r>
        <w:rPr>
          <w:rFonts w:hint="eastAsia" w:ascii="宋体" w:hAnsi="宋体"/>
          <w:b/>
          <w:sz w:val="36"/>
          <w:szCs w:val="36"/>
          <w:highlight w:val="none"/>
        </w:rPr>
        <w:t>（</w:t>
      </w:r>
      <w:r>
        <w:rPr>
          <w:rFonts w:hint="eastAsia" w:ascii="宋体" w:hAnsi="宋体"/>
          <w:b/>
          <w:kern w:val="44"/>
          <w:sz w:val="32"/>
          <w:szCs w:val="32"/>
          <w:highlight w:val="none"/>
        </w:rPr>
        <w:t>参考格式</w:t>
      </w:r>
      <w:r>
        <w:rPr>
          <w:rFonts w:hint="eastAsia" w:ascii="宋体" w:hAnsi="宋体"/>
          <w:b/>
          <w:sz w:val="36"/>
          <w:szCs w:val="36"/>
          <w:highlight w:val="none"/>
        </w:rPr>
        <w:t>）</w:t>
      </w:r>
    </w:p>
    <w:p>
      <w:pPr>
        <w:spacing w:before="156" w:beforeLines="50" w:after="156" w:afterLines="50" w:line="480" w:lineRule="auto"/>
        <w:rPr>
          <w:rFonts w:ascii="宋体" w:hAnsi="宋体"/>
          <w:sz w:val="32"/>
          <w:szCs w:val="32"/>
          <w:highlight w:val="none"/>
        </w:rPr>
      </w:pPr>
      <w:r>
        <w:rPr>
          <w:rFonts w:hint="eastAsia" w:ascii="宋体" w:hAnsi="宋体"/>
          <w:sz w:val="32"/>
          <w:szCs w:val="32"/>
          <w:highlight w:val="none"/>
        </w:rPr>
        <w:t>我单位承诺：</w:t>
      </w:r>
    </w:p>
    <w:p>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特此承诺。</w:t>
      </w:r>
    </w:p>
    <w:p>
      <w:pPr>
        <w:pStyle w:val="28"/>
        <w:spacing w:line="300" w:lineRule="atLeast"/>
        <w:ind w:firstLine="642"/>
        <w:rPr>
          <w:rFonts w:cs="Times New Roman"/>
          <w:kern w:val="44"/>
          <w:sz w:val="32"/>
          <w:szCs w:val="32"/>
          <w:highlight w:val="none"/>
        </w:rPr>
      </w:pPr>
    </w:p>
    <w:p>
      <w:pPr>
        <w:pStyle w:val="28"/>
        <w:wordWrap w:val="0"/>
        <w:spacing w:line="300" w:lineRule="atLeast"/>
        <w:ind w:right="1365" w:rightChars="650" w:firstLine="642"/>
        <w:jc w:val="right"/>
        <w:rPr>
          <w:rFonts w:cs="Times New Roman"/>
          <w:kern w:val="44"/>
          <w:sz w:val="32"/>
          <w:szCs w:val="32"/>
          <w:highlight w:val="none"/>
          <w:u w:val="single"/>
        </w:rPr>
      </w:pPr>
      <w:r>
        <w:rPr>
          <w:rFonts w:hint="eastAsia" w:cs="Times New Roman"/>
          <w:kern w:val="44"/>
          <w:sz w:val="32"/>
          <w:szCs w:val="32"/>
          <w:highlight w:val="none"/>
        </w:rPr>
        <w:t>承诺供应商：</w:t>
      </w:r>
      <w:r>
        <w:rPr>
          <w:rFonts w:hint="eastAsia" w:cs="Times New Roman"/>
          <w:kern w:val="44"/>
          <w:sz w:val="32"/>
          <w:szCs w:val="32"/>
          <w:highlight w:val="none"/>
          <w:u w:val="single"/>
        </w:rPr>
        <w:t xml:space="preserve">            </w:t>
      </w:r>
    </w:p>
    <w:p>
      <w:pPr>
        <w:pStyle w:val="28"/>
        <w:spacing w:line="300" w:lineRule="atLeast"/>
        <w:ind w:right="1365" w:rightChars="650" w:firstLine="642"/>
        <w:jc w:val="right"/>
        <w:rPr>
          <w:sz w:val="32"/>
          <w:szCs w:val="32"/>
          <w:highlight w:val="none"/>
        </w:rPr>
        <w:sectPr>
          <w:pgSz w:w="11905" w:h="16838"/>
          <w:pgMar w:top="1417" w:right="1417" w:bottom="1417" w:left="1417" w:header="850" w:footer="992" w:gutter="0"/>
          <w:cols w:space="0" w:num="1"/>
          <w:titlePg/>
          <w:rtlGutter w:val="0"/>
          <w:docGrid w:type="lines" w:linePitch="312" w:charSpace="0"/>
        </w:sectPr>
      </w:pPr>
      <w:r>
        <w:rPr>
          <w:rFonts w:hint="eastAsia" w:cs="Times New Roman"/>
          <w:kern w:val="44"/>
          <w:sz w:val="32"/>
          <w:szCs w:val="32"/>
          <w:highlight w:val="none"/>
        </w:rPr>
        <w:t>年  月  日</w:t>
      </w:r>
    </w:p>
    <w:p>
      <w:pPr>
        <w:jc w:val="center"/>
        <w:rPr>
          <w:rFonts w:ascii="宋体" w:hAnsi="宋体"/>
          <w:b/>
          <w:bCs/>
          <w:kern w:val="44"/>
          <w:sz w:val="44"/>
          <w:szCs w:val="44"/>
          <w:highlight w:val="none"/>
        </w:rPr>
      </w:pPr>
      <w:r>
        <w:rPr>
          <w:rFonts w:hint="eastAsia" w:ascii="宋体" w:hAnsi="宋体"/>
          <w:b/>
          <w:bCs/>
          <w:kern w:val="44"/>
          <w:sz w:val="44"/>
          <w:szCs w:val="44"/>
          <w:highlight w:val="none"/>
        </w:rPr>
        <w:t>四　投标内容及报价明细表</w:t>
      </w:r>
      <w:bookmarkEnd w:id="736"/>
      <w:bookmarkEnd w:id="737"/>
      <w:bookmarkEnd w:id="738"/>
      <w:bookmarkEnd w:id="739"/>
      <w:bookmarkEnd w:id="740"/>
      <w:bookmarkEnd w:id="741"/>
      <w:bookmarkEnd w:id="742"/>
      <w:bookmarkEnd w:id="743"/>
      <w:bookmarkEnd w:id="744"/>
      <w:bookmarkEnd w:id="745"/>
    </w:p>
    <w:tbl>
      <w:tblPr>
        <w:tblStyle w:val="32"/>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721"/>
        <w:gridCol w:w="2520"/>
        <w:gridCol w:w="901"/>
        <w:gridCol w:w="720"/>
        <w:gridCol w:w="645"/>
        <w:gridCol w:w="1260"/>
        <w:gridCol w:w="2955"/>
        <w:gridCol w:w="900"/>
        <w:gridCol w:w="720"/>
        <w:gridCol w:w="1185"/>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pPr>
              <w:jc w:val="center"/>
              <w:rPr>
                <w:rFonts w:ascii="宋体" w:hAnsi="宋体"/>
                <w:highlight w:val="none"/>
              </w:rPr>
            </w:pPr>
          </w:p>
        </w:tc>
        <w:tc>
          <w:tcPr>
            <w:tcW w:w="4142" w:type="dxa"/>
            <w:gridSpan w:val="3"/>
            <w:vAlign w:val="center"/>
          </w:tcPr>
          <w:p>
            <w:pPr>
              <w:spacing w:line="320" w:lineRule="exact"/>
              <w:jc w:val="center"/>
              <w:rPr>
                <w:rFonts w:ascii="宋体" w:hAnsi="宋体"/>
                <w:highlight w:val="none"/>
              </w:rPr>
            </w:pPr>
            <w:r>
              <w:rPr>
                <w:rFonts w:hint="eastAsia" w:ascii="宋体" w:hAnsi="宋体"/>
                <w:highlight w:val="none"/>
              </w:rPr>
              <w:t>招标内容</w:t>
            </w:r>
          </w:p>
          <w:p>
            <w:pPr>
              <w:spacing w:line="320" w:lineRule="exact"/>
              <w:jc w:val="center"/>
              <w:rPr>
                <w:rFonts w:ascii="宋体" w:hAnsi="宋体"/>
                <w:highlight w:val="none"/>
              </w:rPr>
            </w:pPr>
            <w:r>
              <w:rPr>
                <w:rFonts w:hint="eastAsia" w:ascii="宋体" w:hAnsi="宋体"/>
                <w:highlight w:val="none"/>
              </w:rPr>
              <w:t>（本采购项目的核心产品为：</w:t>
            </w:r>
            <w:r>
              <w:rPr>
                <w:rFonts w:hint="eastAsia" w:ascii="宋体" w:hAnsi="宋体"/>
                <w:szCs w:val="21"/>
                <w:highlight w:val="none"/>
                <w:u w:val="single"/>
              </w:rPr>
              <w:t xml:space="preserve">   　　    </w:t>
            </w:r>
            <w:r>
              <w:rPr>
                <w:rFonts w:hint="eastAsia" w:ascii="宋体" w:hAnsi="宋体"/>
                <w:highlight w:val="none"/>
              </w:rPr>
              <w:t>）</w:t>
            </w:r>
          </w:p>
        </w:tc>
        <w:tc>
          <w:tcPr>
            <w:tcW w:w="9105" w:type="dxa"/>
            <w:gridSpan w:val="8"/>
            <w:vAlign w:val="center"/>
          </w:tcPr>
          <w:p>
            <w:pPr>
              <w:spacing w:line="320" w:lineRule="exact"/>
              <w:jc w:val="center"/>
              <w:rPr>
                <w:rFonts w:ascii="宋体" w:hAnsi="宋体"/>
                <w:highlight w:val="none"/>
              </w:rPr>
            </w:pPr>
            <w:r>
              <w:rPr>
                <w:rFonts w:hint="eastAsia" w:ascii="宋体" w:hAnsi="宋体"/>
                <w:highlight w:val="none"/>
              </w:rPr>
              <w:t>投标内容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pPr>
              <w:spacing w:line="400" w:lineRule="exact"/>
              <w:jc w:val="center"/>
              <w:rPr>
                <w:rFonts w:ascii="宋体" w:hAnsi="宋体"/>
                <w:highlight w:val="none"/>
              </w:rPr>
            </w:pPr>
            <w:r>
              <w:rPr>
                <w:rFonts w:hint="eastAsia" w:ascii="宋体" w:hAnsi="宋体"/>
                <w:highlight w:val="none"/>
              </w:rPr>
              <w:t>序号</w:t>
            </w:r>
          </w:p>
        </w:tc>
        <w:tc>
          <w:tcPr>
            <w:tcW w:w="721" w:type="dxa"/>
            <w:vAlign w:val="center"/>
          </w:tcPr>
          <w:p>
            <w:pPr>
              <w:spacing w:line="400" w:lineRule="exact"/>
              <w:jc w:val="center"/>
              <w:rPr>
                <w:rFonts w:ascii="宋体" w:hAnsi="宋体"/>
                <w:highlight w:val="none"/>
              </w:rPr>
            </w:pPr>
            <w:r>
              <w:rPr>
                <w:rFonts w:hint="eastAsia" w:ascii="宋体" w:hAnsi="宋体"/>
                <w:highlight w:val="none"/>
              </w:rPr>
              <w:t>产品名称</w:t>
            </w:r>
          </w:p>
        </w:tc>
        <w:tc>
          <w:tcPr>
            <w:tcW w:w="2520" w:type="dxa"/>
            <w:vAlign w:val="center"/>
          </w:tcPr>
          <w:p>
            <w:pPr>
              <w:spacing w:line="400" w:lineRule="exact"/>
              <w:jc w:val="center"/>
              <w:rPr>
                <w:rFonts w:ascii="宋体" w:hAnsi="宋体"/>
                <w:highlight w:val="none"/>
              </w:rPr>
            </w:pPr>
            <w:r>
              <w:rPr>
                <w:rFonts w:hint="eastAsia" w:ascii="宋体" w:hAnsi="宋体"/>
                <w:highlight w:val="none"/>
              </w:rPr>
              <w:t>主要技术参数、性能、配置等要求</w:t>
            </w:r>
          </w:p>
        </w:tc>
        <w:tc>
          <w:tcPr>
            <w:tcW w:w="901" w:type="dxa"/>
            <w:vAlign w:val="center"/>
          </w:tcPr>
          <w:p>
            <w:pPr>
              <w:spacing w:line="400" w:lineRule="exact"/>
              <w:jc w:val="center"/>
              <w:rPr>
                <w:rFonts w:ascii="宋体" w:hAnsi="宋体"/>
                <w:highlight w:val="none"/>
              </w:rPr>
            </w:pPr>
            <w:r>
              <w:rPr>
                <w:rFonts w:hint="eastAsia" w:ascii="宋体" w:hAnsi="宋体"/>
                <w:highlight w:val="none"/>
              </w:rPr>
              <w:t>数量及单位</w:t>
            </w:r>
          </w:p>
        </w:tc>
        <w:tc>
          <w:tcPr>
            <w:tcW w:w="720" w:type="dxa"/>
            <w:vAlign w:val="center"/>
          </w:tcPr>
          <w:p>
            <w:pPr>
              <w:spacing w:line="400" w:lineRule="exact"/>
              <w:jc w:val="center"/>
              <w:rPr>
                <w:rFonts w:ascii="宋体" w:hAnsi="宋体" w:cs="chs_boot"/>
                <w:highlight w:val="none"/>
              </w:rPr>
            </w:pPr>
            <w:r>
              <w:rPr>
                <w:rFonts w:hint="eastAsia" w:ascii="宋体" w:hAnsi="宋体" w:cs="chs_boot"/>
                <w:highlight w:val="none"/>
              </w:rPr>
              <w:t>产品名称</w:t>
            </w:r>
          </w:p>
        </w:tc>
        <w:tc>
          <w:tcPr>
            <w:tcW w:w="645" w:type="dxa"/>
            <w:vAlign w:val="center"/>
          </w:tcPr>
          <w:p>
            <w:pPr>
              <w:spacing w:line="400" w:lineRule="exact"/>
              <w:jc w:val="center"/>
              <w:rPr>
                <w:rFonts w:ascii="宋体" w:hAnsi="宋体" w:cs="chs_boot"/>
                <w:highlight w:val="none"/>
              </w:rPr>
            </w:pPr>
            <w:r>
              <w:rPr>
                <w:rFonts w:hint="eastAsia" w:ascii="宋体" w:hAnsi="宋体"/>
                <w:highlight w:val="none"/>
              </w:rPr>
              <w:t>品牌</w:t>
            </w:r>
          </w:p>
        </w:tc>
        <w:tc>
          <w:tcPr>
            <w:tcW w:w="1260" w:type="dxa"/>
            <w:vAlign w:val="center"/>
          </w:tcPr>
          <w:p>
            <w:pPr>
              <w:spacing w:line="400" w:lineRule="exact"/>
              <w:jc w:val="center"/>
              <w:rPr>
                <w:rFonts w:ascii="宋体" w:hAnsi="宋体" w:cs="chs_boot"/>
                <w:highlight w:val="none"/>
              </w:rPr>
            </w:pPr>
            <w:r>
              <w:rPr>
                <w:rFonts w:hint="eastAsia" w:ascii="宋体" w:hAnsi="宋体"/>
                <w:highlight w:val="none"/>
              </w:rPr>
              <w:t>生产企业</w:t>
            </w:r>
          </w:p>
        </w:tc>
        <w:tc>
          <w:tcPr>
            <w:tcW w:w="2955" w:type="dxa"/>
            <w:vAlign w:val="center"/>
          </w:tcPr>
          <w:p>
            <w:pPr>
              <w:spacing w:line="400" w:lineRule="exact"/>
              <w:ind w:left="223" w:hanging="223"/>
              <w:jc w:val="center"/>
              <w:rPr>
                <w:rFonts w:ascii="宋体" w:hAnsi="宋体"/>
                <w:highlight w:val="none"/>
              </w:rPr>
            </w:pPr>
            <w:r>
              <w:rPr>
                <w:rFonts w:hint="eastAsia" w:ascii="宋体" w:hAnsi="宋体"/>
                <w:highlight w:val="none"/>
              </w:rPr>
              <w:t>规格型号、主要技术参数、</w:t>
            </w:r>
            <w:r>
              <w:rPr>
                <w:rFonts w:hint="eastAsia" w:ascii="宋体" w:hAnsi="宋体"/>
                <w:szCs w:val="21"/>
                <w:highlight w:val="none"/>
              </w:rPr>
              <w:t>性能、</w:t>
            </w:r>
            <w:r>
              <w:rPr>
                <w:rFonts w:hint="eastAsia" w:ascii="宋体" w:hAnsi="宋体"/>
                <w:highlight w:val="none"/>
              </w:rPr>
              <w:t>配置等的详细描述</w:t>
            </w:r>
          </w:p>
        </w:tc>
        <w:tc>
          <w:tcPr>
            <w:tcW w:w="900" w:type="dxa"/>
            <w:vAlign w:val="center"/>
          </w:tcPr>
          <w:p>
            <w:pPr>
              <w:spacing w:line="400" w:lineRule="exact"/>
              <w:ind w:left="223" w:hanging="223"/>
              <w:jc w:val="center"/>
              <w:rPr>
                <w:rFonts w:ascii="宋体" w:hAnsi="宋体"/>
                <w:highlight w:val="none"/>
              </w:rPr>
            </w:pPr>
            <w:r>
              <w:rPr>
                <w:rFonts w:hint="eastAsia" w:ascii="宋体" w:hAnsi="宋体"/>
                <w:highlight w:val="none"/>
              </w:rPr>
              <w:t>数量及</w:t>
            </w:r>
          </w:p>
          <w:p>
            <w:pPr>
              <w:spacing w:line="400" w:lineRule="exact"/>
              <w:ind w:left="223" w:hanging="223"/>
              <w:jc w:val="center"/>
              <w:rPr>
                <w:rFonts w:ascii="宋体" w:hAnsi="宋体"/>
                <w:highlight w:val="none"/>
              </w:rPr>
            </w:pPr>
            <w:r>
              <w:rPr>
                <w:rFonts w:hint="eastAsia" w:ascii="宋体" w:hAnsi="宋体"/>
                <w:highlight w:val="none"/>
              </w:rPr>
              <w:t>单位</w:t>
            </w:r>
          </w:p>
        </w:tc>
        <w:tc>
          <w:tcPr>
            <w:tcW w:w="720" w:type="dxa"/>
            <w:vAlign w:val="center"/>
          </w:tcPr>
          <w:p>
            <w:pPr>
              <w:spacing w:line="400" w:lineRule="exact"/>
              <w:jc w:val="center"/>
              <w:rPr>
                <w:rFonts w:ascii="宋体" w:hAnsi="宋体"/>
                <w:highlight w:val="none"/>
              </w:rPr>
            </w:pPr>
            <w:r>
              <w:rPr>
                <w:rFonts w:hint="eastAsia" w:ascii="宋体" w:hAnsi="宋体"/>
                <w:highlight w:val="none"/>
              </w:rPr>
              <w:t>单价</w:t>
            </w:r>
          </w:p>
        </w:tc>
        <w:tc>
          <w:tcPr>
            <w:tcW w:w="1185" w:type="dxa"/>
            <w:vAlign w:val="center"/>
          </w:tcPr>
          <w:p>
            <w:pPr>
              <w:spacing w:line="400" w:lineRule="exact"/>
              <w:jc w:val="center"/>
              <w:rPr>
                <w:rFonts w:ascii="宋体" w:hAnsi="宋体"/>
                <w:highlight w:val="none"/>
              </w:rPr>
            </w:pPr>
            <w:r>
              <w:rPr>
                <w:rFonts w:hint="eastAsia" w:ascii="宋体" w:hAnsi="宋体"/>
                <w:highlight w:val="none"/>
              </w:rPr>
              <w:t>价格合计</w:t>
            </w:r>
          </w:p>
        </w:tc>
        <w:tc>
          <w:tcPr>
            <w:tcW w:w="720" w:type="dxa"/>
            <w:vAlign w:val="center"/>
          </w:tcPr>
          <w:p>
            <w:pPr>
              <w:spacing w:line="400" w:lineRule="exact"/>
              <w:jc w:val="center"/>
              <w:rPr>
                <w:rFonts w:ascii="宋体" w:hAnsi="宋体"/>
                <w:highlight w:val="none"/>
              </w:rPr>
            </w:pPr>
            <w:r>
              <w:rPr>
                <w:rFonts w:hint="eastAsia" w:ascii="宋体" w:hAnsi="宋体"/>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26" w:type="dxa"/>
          </w:tcPr>
          <w:p>
            <w:pPr>
              <w:spacing w:line="400" w:lineRule="exact"/>
              <w:jc w:val="center"/>
              <w:rPr>
                <w:rFonts w:ascii="宋体" w:hAnsi="宋体"/>
                <w:sz w:val="28"/>
                <w:highlight w:val="none"/>
              </w:rPr>
            </w:pPr>
            <w:r>
              <w:rPr>
                <w:rFonts w:hint="eastAsia" w:ascii="宋体" w:hAnsi="宋体"/>
                <w:sz w:val="28"/>
                <w:highlight w:val="none"/>
              </w:rPr>
              <w:t>1</w:t>
            </w:r>
          </w:p>
        </w:tc>
        <w:tc>
          <w:tcPr>
            <w:tcW w:w="721" w:type="dxa"/>
          </w:tcPr>
          <w:p>
            <w:pPr>
              <w:spacing w:line="400" w:lineRule="exact"/>
              <w:jc w:val="center"/>
              <w:rPr>
                <w:rFonts w:ascii="宋体" w:hAnsi="宋体"/>
                <w:sz w:val="28"/>
                <w:highlight w:val="none"/>
              </w:rPr>
            </w:pPr>
          </w:p>
        </w:tc>
        <w:tc>
          <w:tcPr>
            <w:tcW w:w="2520" w:type="dxa"/>
          </w:tcPr>
          <w:p>
            <w:pPr>
              <w:spacing w:line="400" w:lineRule="exact"/>
              <w:jc w:val="center"/>
              <w:rPr>
                <w:rFonts w:ascii="宋体" w:hAnsi="宋体"/>
                <w:sz w:val="28"/>
                <w:highlight w:val="none"/>
              </w:rPr>
            </w:pPr>
          </w:p>
        </w:tc>
        <w:tc>
          <w:tcPr>
            <w:tcW w:w="901" w:type="dxa"/>
          </w:tcPr>
          <w:p>
            <w:pPr>
              <w:spacing w:line="400" w:lineRule="exact"/>
              <w:jc w:val="center"/>
              <w:rPr>
                <w:rFonts w:ascii="宋体" w:hAnsi="宋体"/>
                <w:sz w:val="28"/>
                <w:highlight w:val="none"/>
              </w:rPr>
            </w:pPr>
          </w:p>
        </w:tc>
        <w:tc>
          <w:tcPr>
            <w:tcW w:w="720" w:type="dxa"/>
          </w:tcPr>
          <w:p>
            <w:pPr>
              <w:spacing w:line="400" w:lineRule="exact"/>
              <w:jc w:val="center"/>
              <w:rPr>
                <w:rFonts w:ascii="宋体" w:hAnsi="宋体"/>
                <w:sz w:val="28"/>
                <w:highlight w:val="none"/>
              </w:rPr>
            </w:pPr>
          </w:p>
        </w:tc>
        <w:tc>
          <w:tcPr>
            <w:tcW w:w="645" w:type="dxa"/>
          </w:tcPr>
          <w:p>
            <w:pPr>
              <w:spacing w:line="400" w:lineRule="exact"/>
              <w:jc w:val="center"/>
              <w:rPr>
                <w:rFonts w:ascii="宋体" w:hAnsi="宋体"/>
                <w:sz w:val="28"/>
                <w:highlight w:val="none"/>
              </w:rPr>
            </w:pPr>
          </w:p>
        </w:tc>
        <w:tc>
          <w:tcPr>
            <w:tcW w:w="1260" w:type="dxa"/>
          </w:tcPr>
          <w:p>
            <w:pPr>
              <w:spacing w:line="400" w:lineRule="exact"/>
              <w:jc w:val="center"/>
              <w:rPr>
                <w:rFonts w:ascii="宋体" w:hAnsi="宋体"/>
                <w:sz w:val="28"/>
                <w:highlight w:val="none"/>
              </w:rPr>
            </w:pPr>
          </w:p>
        </w:tc>
        <w:tc>
          <w:tcPr>
            <w:tcW w:w="2955" w:type="dxa"/>
          </w:tcPr>
          <w:p>
            <w:pPr>
              <w:spacing w:line="400" w:lineRule="exact"/>
              <w:jc w:val="center"/>
              <w:rPr>
                <w:rFonts w:ascii="宋体" w:hAnsi="宋体"/>
                <w:sz w:val="28"/>
                <w:highlight w:val="none"/>
              </w:rPr>
            </w:pPr>
          </w:p>
        </w:tc>
        <w:tc>
          <w:tcPr>
            <w:tcW w:w="900" w:type="dxa"/>
          </w:tcPr>
          <w:p>
            <w:pPr>
              <w:spacing w:line="400" w:lineRule="exact"/>
              <w:jc w:val="center"/>
              <w:rPr>
                <w:rFonts w:ascii="宋体" w:hAnsi="宋体"/>
                <w:sz w:val="28"/>
                <w:highlight w:val="none"/>
              </w:rPr>
            </w:pPr>
          </w:p>
        </w:tc>
        <w:tc>
          <w:tcPr>
            <w:tcW w:w="720" w:type="dxa"/>
          </w:tcPr>
          <w:p>
            <w:pPr>
              <w:spacing w:line="400" w:lineRule="exact"/>
              <w:jc w:val="center"/>
              <w:rPr>
                <w:rFonts w:ascii="宋体" w:hAnsi="宋体"/>
                <w:sz w:val="28"/>
                <w:highlight w:val="none"/>
              </w:rPr>
            </w:pPr>
          </w:p>
        </w:tc>
        <w:tc>
          <w:tcPr>
            <w:tcW w:w="1185" w:type="dxa"/>
          </w:tcPr>
          <w:p>
            <w:pPr>
              <w:spacing w:line="400" w:lineRule="exact"/>
              <w:jc w:val="center"/>
              <w:rPr>
                <w:rFonts w:ascii="宋体" w:hAnsi="宋体"/>
                <w:sz w:val="28"/>
                <w:highlight w:val="none"/>
              </w:rPr>
            </w:pPr>
          </w:p>
        </w:tc>
        <w:tc>
          <w:tcPr>
            <w:tcW w:w="720" w:type="dxa"/>
          </w:tcPr>
          <w:p>
            <w:pPr>
              <w:spacing w:line="400" w:lineRule="exact"/>
              <w:jc w:val="center"/>
              <w:rPr>
                <w:rFonts w:ascii="宋体" w:hAnsi="宋体"/>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26" w:type="dxa"/>
          </w:tcPr>
          <w:p>
            <w:pPr>
              <w:spacing w:line="400" w:lineRule="exact"/>
              <w:jc w:val="center"/>
              <w:rPr>
                <w:rFonts w:ascii="宋体" w:hAnsi="宋体"/>
                <w:sz w:val="28"/>
                <w:highlight w:val="none"/>
              </w:rPr>
            </w:pPr>
            <w:r>
              <w:rPr>
                <w:rFonts w:hint="eastAsia" w:ascii="宋体" w:hAnsi="宋体"/>
                <w:sz w:val="28"/>
                <w:highlight w:val="none"/>
              </w:rPr>
              <w:t>2</w:t>
            </w:r>
          </w:p>
        </w:tc>
        <w:tc>
          <w:tcPr>
            <w:tcW w:w="721" w:type="dxa"/>
          </w:tcPr>
          <w:p>
            <w:pPr>
              <w:spacing w:line="400" w:lineRule="exact"/>
              <w:jc w:val="center"/>
              <w:rPr>
                <w:rFonts w:ascii="宋体" w:hAnsi="宋体"/>
                <w:sz w:val="28"/>
                <w:highlight w:val="none"/>
              </w:rPr>
            </w:pPr>
          </w:p>
        </w:tc>
        <w:tc>
          <w:tcPr>
            <w:tcW w:w="2520" w:type="dxa"/>
          </w:tcPr>
          <w:p>
            <w:pPr>
              <w:spacing w:line="400" w:lineRule="exact"/>
              <w:jc w:val="center"/>
              <w:rPr>
                <w:rFonts w:ascii="宋体" w:hAnsi="宋体"/>
                <w:sz w:val="28"/>
                <w:highlight w:val="none"/>
              </w:rPr>
            </w:pPr>
          </w:p>
        </w:tc>
        <w:tc>
          <w:tcPr>
            <w:tcW w:w="901" w:type="dxa"/>
          </w:tcPr>
          <w:p>
            <w:pPr>
              <w:spacing w:line="400" w:lineRule="exact"/>
              <w:jc w:val="center"/>
              <w:rPr>
                <w:rFonts w:ascii="宋体" w:hAnsi="宋体"/>
                <w:sz w:val="28"/>
                <w:highlight w:val="none"/>
              </w:rPr>
            </w:pPr>
          </w:p>
        </w:tc>
        <w:tc>
          <w:tcPr>
            <w:tcW w:w="720" w:type="dxa"/>
          </w:tcPr>
          <w:p>
            <w:pPr>
              <w:spacing w:line="400" w:lineRule="exact"/>
              <w:jc w:val="center"/>
              <w:rPr>
                <w:rFonts w:ascii="宋体" w:hAnsi="宋体"/>
                <w:sz w:val="28"/>
                <w:highlight w:val="none"/>
              </w:rPr>
            </w:pPr>
          </w:p>
        </w:tc>
        <w:tc>
          <w:tcPr>
            <w:tcW w:w="645" w:type="dxa"/>
          </w:tcPr>
          <w:p>
            <w:pPr>
              <w:spacing w:line="400" w:lineRule="exact"/>
              <w:jc w:val="center"/>
              <w:rPr>
                <w:rFonts w:ascii="宋体" w:hAnsi="宋体"/>
                <w:sz w:val="28"/>
                <w:highlight w:val="none"/>
              </w:rPr>
            </w:pPr>
          </w:p>
        </w:tc>
        <w:tc>
          <w:tcPr>
            <w:tcW w:w="1260" w:type="dxa"/>
          </w:tcPr>
          <w:p>
            <w:pPr>
              <w:spacing w:line="400" w:lineRule="exact"/>
              <w:jc w:val="center"/>
              <w:rPr>
                <w:rFonts w:ascii="宋体" w:hAnsi="宋体"/>
                <w:sz w:val="28"/>
                <w:highlight w:val="none"/>
              </w:rPr>
            </w:pPr>
          </w:p>
        </w:tc>
        <w:tc>
          <w:tcPr>
            <w:tcW w:w="2955" w:type="dxa"/>
          </w:tcPr>
          <w:p>
            <w:pPr>
              <w:spacing w:line="400" w:lineRule="exact"/>
              <w:jc w:val="center"/>
              <w:rPr>
                <w:rFonts w:ascii="宋体" w:hAnsi="宋体"/>
                <w:sz w:val="28"/>
                <w:highlight w:val="none"/>
              </w:rPr>
            </w:pPr>
          </w:p>
        </w:tc>
        <w:tc>
          <w:tcPr>
            <w:tcW w:w="900" w:type="dxa"/>
          </w:tcPr>
          <w:p>
            <w:pPr>
              <w:spacing w:line="400" w:lineRule="exact"/>
              <w:jc w:val="center"/>
              <w:rPr>
                <w:rFonts w:ascii="宋体" w:hAnsi="宋体"/>
                <w:sz w:val="28"/>
                <w:highlight w:val="none"/>
              </w:rPr>
            </w:pPr>
          </w:p>
        </w:tc>
        <w:tc>
          <w:tcPr>
            <w:tcW w:w="720" w:type="dxa"/>
          </w:tcPr>
          <w:p>
            <w:pPr>
              <w:spacing w:line="400" w:lineRule="exact"/>
              <w:jc w:val="center"/>
              <w:rPr>
                <w:rFonts w:ascii="宋体" w:hAnsi="宋体"/>
                <w:sz w:val="28"/>
                <w:highlight w:val="none"/>
              </w:rPr>
            </w:pPr>
          </w:p>
        </w:tc>
        <w:tc>
          <w:tcPr>
            <w:tcW w:w="1185" w:type="dxa"/>
          </w:tcPr>
          <w:p>
            <w:pPr>
              <w:spacing w:line="400" w:lineRule="exact"/>
              <w:jc w:val="center"/>
              <w:rPr>
                <w:rFonts w:ascii="宋体" w:hAnsi="宋体"/>
                <w:sz w:val="28"/>
                <w:highlight w:val="none"/>
              </w:rPr>
            </w:pPr>
          </w:p>
        </w:tc>
        <w:tc>
          <w:tcPr>
            <w:tcW w:w="720" w:type="dxa"/>
          </w:tcPr>
          <w:p>
            <w:pPr>
              <w:spacing w:line="400" w:lineRule="exact"/>
              <w:jc w:val="center"/>
              <w:rPr>
                <w:rFonts w:ascii="宋体" w:hAnsi="宋体"/>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6" w:type="dxa"/>
          </w:tcPr>
          <w:p>
            <w:pPr>
              <w:spacing w:line="400" w:lineRule="exact"/>
              <w:jc w:val="center"/>
              <w:rPr>
                <w:rFonts w:ascii="宋体" w:hAnsi="宋体"/>
                <w:sz w:val="28"/>
                <w:highlight w:val="none"/>
              </w:rPr>
            </w:pPr>
            <w:r>
              <w:rPr>
                <w:rFonts w:ascii="宋体" w:hAnsi="宋体"/>
                <w:sz w:val="28"/>
                <w:highlight w:val="none"/>
              </w:rPr>
              <w:t>…</w:t>
            </w:r>
          </w:p>
        </w:tc>
        <w:tc>
          <w:tcPr>
            <w:tcW w:w="721" w:type="dxa"/>
          </w:tcPr>
          <w:p>
            <w:pPr>
              <w:spacing w:line="400" w:lineRule="exact"/>
              <w:jc w:val="center"/>
              <w:rPr>
                <w:rFonts w:ascii="宋体" w:hAnsi="宋体"/>
                <w:sz w:val="28"/>
                <w:highlight w:val="none"/>
              </w:rPr>
            </w:pPr>
          </w:p>
        </w:tc>
        <w:tc>
          <w:tcPr>
            <w:tcW w:w="2520" w:type="dxa"/>
          </w:tcPr>
          <w:p>
            <w:pPr>
              <w:spacing w:line="400" w:lineRule="exact"/>
              <w:jc w:val="center"/>
              <w:rPr>
                <w:rFonts w:ascii="宋体" w:hAnsi="宋体"/>
                <w:sz w:val="28"/>
                <w:highlight w:val="none"/>
              </w:rPr>
            </w:pPr>
          </w:p>
        </w:tc>
        <w:tc>
          <w:tcPr>
            <w:tcW w:w="901" w:type="dxa"/>
          </w:tcPr>
          <w:p>
            <w:pPr>
              <w:spacing w:line="400" w:lineRule="exact"/>
              <w:jc w:val="center"/>
              <w:rPr>
                <w:rFonts w:ascii="宋体" w:hAnsi="宋体"/>
                <w:sz w:val="28"/>
                <w:highlight w:val="none"/>
              </w:rPr>
            </w:pPr>
          </w:p>
        </w:tc>
        <w:tc>
          <w:tcPr>
            <w:tcW w:w="720" w:type="dxa"/>
          </w:tcPr>
          <w:p>
            <w:pPr>
              <w:spacing w:line="400" w:lineRule="exact"/>
              <w:jc w:val="center"/>
              <w:rPr>
                <w:rFonts w:ascii="宋体" w:hAnsi="宋体"/>
                <w:sz w:val="28"/>
                <w:highlight w:val="none"/>
              </w:rPr>
            </w:pPr>
          </w:p>
        </w:tc>
        <w:tc>
          <w:tcPr>
            <w:tcW w:w="645" w:type="dxa"/>
          </w:tcPr>
          <w:p>
            <w:pPr>
              <w:spacing w:line="400" w:lineRule="exact"/>
              <w:jc w:val="center"/>
              <w:rPr>
                <w:rFonts w:ascii="宋体" w:hAnsi="宋体"/>
                <w:sz w:val="28"/>
                <w:highlight w:val="none"/>
              </w:rPr>
            </w:pPr>
          </w:p>
        </w:tc>
        <w:tc>
          <w:tcPr>
            <w:tcW w:w="1260" w:type="dxa"/>
          </w:tcPr>
          <w:p>
            <w:pPr>
              <w:spacing w:line="400" w:lineRule="exact"/>
              <w:jc w:val="center"/>
              <w:rPr>
                <w:rFonts w:ascii="宋体" w:hAnsi="宋体"/>
                <w:sz w:val="28"/>
                <w:highlight w:val="none"/>
              </w:rPr>
            </w:pPr>
          </w:p>
        </w:tc>
        <w:tc>
          <w:tcPr>
            <w:tcW w:w="2955" w:type="dxa"/>
          </w:tcPr>
          <w:p>
            <w:pPr>
              <w:spacing w:line="400" w:lineRule="exact"/>
              <w:jc w:val="center"/>
              <w:rPr>
                <w:rFonts w:ascii="宋体" w:hAnsi="宋体"/>
                <w:sz w:val="28"/>
                <w:highlight w:val="none"/>
              </w:rPr>
            </w:pPr>
          </w:p>
        </w:tc>
        <w:tc>
          <w:tcPr>
            <w:tcW w:w="900" w:type="dxa"/>
          </w:tcPr>
          <w:p>
            <w:pPr>
              <w:spacing w:line="400" w:lineRule="exact"/>
              <w:jc w:val="center"/>
              <w:rPr>
                <w:rFonts w:ascii="宋体" w:hAnsi="宋体"/>
                <w:sz w:val="28"/>
                <w:highlight w:val="none"/>
              </w:rPr>
            </w:pPr>
          </w:p>
        </w:tc>
        <w:tc>
          <w:tcPr>
            <w:tcW w:w="720" w:type="dxa"/>
          </w:tcPr>
          <w:p>
            <w:pPr>
              <w:spacing w:line="400" w:lineRule="exact"/>
              <w:jc w:val="center"/>
              <w:rPr>
                <w:rFonts w:ascii="宋体" w:hAnsi="宋体"/>
                <w:sz w:val="28"/>
                <w:highlight w:val="none"/>
              </w:rPr>
            </w:pPr>
          </w:p>
        </w:tc>
        <w:tc>
          <w:tcPr>
            <w:tcW w:w="1185" w:type="dxa"/>
          </w:tcPr>
          <w:p>
            <w:pPr>
              <w:spacing w:line="400" w:lineRule="exact"/>
              <w:jc w:val="center"/>
              <w:rPr>
                <w:rFonts w:ascii="宋体" w:hAnsi="宋体"/>
                <w:sz w:val="28"/>
                <w:highlight w:val="none"/>
              </w:rPr>
            </w:pPr>
          </w:p>
        </w:tc>
        <w:tc>
          <w:tcPr>
            <w:tcW w:w="720" w:type="dxa"/>
          </w:tcPr>
          <w:p>
            <w:pPr>
              <w:spacing w:line="400" w:lineRule="exact"/>
              <w:jc w:val="center"/>
              <w:rPr>
                <w:rFonts w:ascii="宋体" w:hAnsi="宋体"/>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968" w:type="dxa"/>
            <w:gridSpan w:val="4"/>
            <w:vAlign w:val="center"/>
          </w:tcPr>
          <w:p>
            <w:pPr>
              <w:spacing w:line="400" w:lineRule="exact"/>
              <w:jc w:val="center"/>
              <w:rPr>
                <w:rFonts w:ascii="宋体" w:hAnsi="宋体"/>
                <w:b/>
                <w:bCs/>
                <w:sz w:val="24"/>
                <w:szCs w:val="22"/>
                <w:highlight w:val="none"/>
              </w:rPr>
            </w:pPr>
            <w:r>
              <w:rPr>
                <w:rFonts w:hint="eastAsia" w:ascii="宋体" w:hAnsi="宋体"/>
                <w:b/>
                <w:bCs/>
                <w:sz w:val="24"/>
                <w:szCs w:val="22"/>
                <w:highlight w:val="none"/>
              </w:rPr>
              <w:t>价格总合计</w:t>
            </w:r>
          </w:p>
          <w:p>
            <w:pPr>
              <w:spacing w:line="360" w:lineRule="exact"/>
              <w:ind w:firstLine="470" w:firstLineChars="196"/>
              <w:rPr>
                <w:rFonts w:ascii="宋体" w:hAnsi="宋体"/>
                <w:sz w:val="24"/>
                <w:szCs w:val="22"/>
                <w:highlight w:val="none"/>
              </w:rPr>
            </w:pPr>
            <w:r>
              <w:rPr>
                <w:rFonts w:hint="eastAsia" w:ascii="宋体" w:hAnsi="宋体"/>
                <w:sz w:val="24"/>
                <w:szCs w:val="22"/>
                <w:highlight w:val="none"/>
              </w:rPr>
              <w:t>（应与投标函中的“投标报价”相同）</w:t>
            </w:r>
          </w:p>
        </w:tc>
        <w:tc>
          <w:tcPr>
            <w:tcW w:w="9105" w:type="dxa"/>
            <w:gridSpan w:val="8"/>
            <w:vAlign w:val="center"/>
          </w:tcPr>
          <w:p>
            <w:pPr>
              <w:spacing w:line="360" w:lineRule="exact"/>
              <w:ind w:firstLine="548" w:firstLineChars="196"/>
              <w:rPr>
                <w:rFonts w:ascii="宋体" w:hAnsi="宋体"/>
                <w:kern w:val="0"/>
                <w:sz w:val="28"/>
                <w:szCs w:val="28"/>
                <w:highlight w:val="none"/>
              </w:rPr>
            </w:pPr>
            <w:r>
              <w:rPr>
                <w:rFonts w:hint="eastAsia" w:ascii="宋体" w:hAnsi="宋体"/>
                <w:kern w:val="0"/>
                <w:sz w:val="28"/>
                <w:szCs w:val="28"/>
                <w:highlight w:val="none"/>
              </w:rPr>
              <w:t>¥</w:t>
            </w:r>
            <w:r>
              <w:rPr>
                <w:rFonts w:hint="eastAsia" w:ascii="宋体" w:hAnsi="宋体"/>
                <w:sz w:val="24"/>
                <w:szCs w:val="22"/>
                <w:highlight w:val="none"/>
              </w:rPr>
              <w:t>：</w:t>
            </w:r>
            <w:r>
              <w:rPr>
                <w:rFonts w:hint="eastAsia" w:ascii="宋体" w:hAnsi="宋体"/>
                <w:sz w:val="24"/>
                <w:szCs w:val="22"/>
                <w:highlight w:val="none"/>
                <w:u w:val="single"/>
              </w:rPr>
              <w:t xml:space="preserve"> 　　    </w:t>
            </w:r>
            <w:r>
              <w:rPr>
                <w:rFonts w:hint="eastAsia" w:ascii="宋体" w:hAnsi="宋体"/>
                <w:sz w:val="24"/>
                <w:szCs w:val="22"/>
                <w:highlight w:val="none"/>
              </w:rPr>
              <w:t>元</w:t>
            </w:r>
          </w:p>
        </w:tc>
      </w:tr>
    </w:tbl>
    <w:p>
      <w:pPr>
        <w:spacing w:line="340" w:lineRule="exact"/>
        <w:ind w:left="-315" w:leftChars="-150" w:right="-525" w:rightChars="-250" w:firstLine="422" w:firstLineChars="200"/>
        <w:rPr>
          <w:rFonts w:ascii="宋体" w:hAnsi="宋体" w:cs="宋体"/>
          <w:b/>
          <w:szCs w:val="21"/>
          <w:highlight w:val="none"/>
        </w:rPr>
      </w:pPr>
      <w:bookmarkStart w:id="746" w:name="_Toc288115064"/>
      <w:bookmarkStart w:id="747" w:name="_Toc288115089"/>
      <w:bookmarkStart w:id="748" w:name="_Toc289241359"/>
      <w:bookmarkStart w:id="749" w:name="_Toc289182817"/>
      <w:bookmarkStart w:id="750" w:name="_Toc289096743"/>
      <w:bookmarkStart w:id="751" w:name="_Toc288748128"/>
      <w:bookmarkStart w:id="752" w:name="_Toc289182439"/>
      <w:bookmarkStart w:id="753" w:name="_Toc289238788"/>
      <w:bookmarkStart w:id="754" w:name="_Toc289241536"/>
    </w:p>
    <w:p>
      <w:pPr>
        <w:spacing w:line="340" w:lineRule="exact"/>
        <w:ind w:right="-525" w:rightChars="-250"/>
        <w:rPr>
          <w:rFonts w:hint="eastAsia" w:ascii="宋体" w:hAnsi="宋体" w:cs="宋体"/>
          <w:b/>
          <w:szCs w:val="21"/>
          <w:highlight w:val="none"/>
        </w:rPr>
      </w:pPr>
      <w:r>
        <w:rPr>
          <w:rFonts w:hint="eastAsia" w:ascii="宋体" w:hAnsi="宋体" w:cs="宋体"/>
          <w:b/>
          <w:szCs w:val="21"/>
          <w:highlight w:val="none"/>
        </w:rPr>
        <w:t>注：1、投标内容应满足采购需求或更有利于采购人。对品牌、生产企业、型号、技术参数、性能、配置等应详细列明。</w:t>
      </w:r>
    </w:p>
    <w:p>
      <w:pPr>
        <w:spacing w:line="340" w:lineRule="exact"/>
        <w:ind w:right="-525" w:rightChars="-250" w:firstLine="422" w:firstLineChars="200"/>
        <w:rPr>
          <w:rFonts w:hint="eastAsia" w:ascii="宋体" w:hAnsi="宋体" w:cs="宋体"/>
          <w:b/>
          <w:szCs w:val="21"/>
          <w:highlight w:val="none"/>
        </w:rPr>
      </w:pPr>
      <w:r>
        <w:rPr>
          <w:rFonts w:hint="eastAsia" w:ascii="宋体" w:hAnsi="宋体" w:cs="宋体"/>
          <w:b/>
          <w:szCs w:val="21"/>
          <w:highlight w:val="none"/>
        </w:rPr>
        <w:t>2、技术支持资料：对应每一投标产品，在本表后提供生产商关于投标产品的官网公布资料、说明书、彩页、检验报告等资料。（供应商承担技术支持资料缺少、错误或虚假等可能造成的不得分、无效投标等风险。）</w:t>
      </w:r>
    </w:p>
    <w:p>
      <w:pPr>
        <w:spacing w:line="340" w:lineRule="exact"/>
        <w:ind w:right="-525" w:rightChars="-250" w:firstLine="422" w:firstLineChars="200"/>
        <w:rPr>
          <w:highlight w:val="none"/>
        </w:rPr>
      </w:pPr>
      <w:r>
        <w:rPr>
          <w:rFonts w:hint="eastAsia" w:ascii="宋体" w:hAnsi="宋体" w:cs="宋体"/>
          <w:b/>
          <w:szCs w:val="21"/>
          <w:highlight w:val="none"/>
        </w:rPr>
        <w:t xml:space="preserve">3、所有投标产品均为小微企业（或监狱企业、残疾人福利性单位）生产，并在每一投标产品的“备注”栏内注明小微企业情况，有符合要求的《中小企业声明函》，评标时给予价格扣除。 </w:t>
      </w:r>
    </w:p>
    <w:p>
      <w:pPr>
        <w:numPr>
          <w:ilvl w:val="0"/>
          <w:numId w:val="6"/>
        </w:numPr>
        <w:spacing w:line="340" w:lineRule="exact"/>
        <w:ind w:right="-525" w:rightChars="-250" w:firstLine="420" w:firstLineChars="200"/>
        <w:rPr>
          <w:highlight w:val="none"/>
        </w:rPr>
        <w:sectPr>
          <w:pgSz w:w="16838" w:h="11905" w:orient="landscape"/>
          <w:pgMar w:top="1417" w:right="1417" w:bottom="1417" w:left="1417" w:header="850" w:footer="992" w:gutter="0"/>
          <w:cols w:space="0" w:num="1"/>
          <w:titlePg/>
          <w:rtlGutter w:val="0"/>
          <w:docGrid w:type="lines" w:linePitch="312" w:charSpace="0"/>
        </w:sectPr>
      </w:pPr>
    </w:p>
    <w:bookmarkEnd w:id="746"/>
    <w:bookmarkEnd w:id="747"/>
    <w:p>
      <w:pPr>
        <w:jc w:val="center"/>
        <w:rPr>
          <w:rFonts w:ascii="宋体" w:hAnsi="宋体"/>
          <w:bCs/>
          <w:kern w:val="44"/>
          <w:sz w:val="44"/>
          <w:szCs w:val="44"/>
          <w:highlight w:val="none"/>
        </w:rPr>
      </w:pPr>
      <w:bookmarkStart w:id="755" w:name="_Toc338840262"/>
      <w:bookmarkStart w:id="756" w:name="_Toc338840471"/>
      <w:bookmarkStart w:id="757" w:name="_Toc338840510"/>
      <w:r>
        <w:rPr>
          <w:rFonts w:hint="eastAsia" w:ascii="宋体" w:hAnsi="宋体"/>
          <w:b/>
          <w:bCs/>
          <w:kern w:val="44"/>
          <w:sz w:val="44"/>
          <w:szCs w:val="44"/>
          <w:highlight w:val="none"/>
        </w:rPr>
        <w:t>五　技术及商务偏差表</w:t>
      </w:r>
      <w:bookmarkEnd w:id="748"/>
      <w:bookmarkEnd w:id="749"/>
      <w:bookmarkEnd w:id="750"/>
      <w:bookmarkEnd w:id="751"/>
      <w:bookmarkEnd w:id="752"/>
      <w:bookmarkEnd w:id="753"/>
      <w:bookmarkEnd w:id="754"/>
      <w:bookmarkEnd w:id="755"/>
      <w:bookmarkEnd w:id="756"/>
      <w:bookmarkEnd w:id="757"/>
    </w:p>
    <w:p>
      <w:pPr>
        <w:rPr>
          <w:rFonts w:ascii="宋体" w:hAnsi="宋体"/>
          <w:sz w:val="28"/>
          <w:highlight w:val="none"/>
          <w:u w:val="single"/>
        </w:rPr>
      </w:pPr>
      <w:r>
        <w:rPr>
          <w:rFonts w:hint="eastAsia" w:ascii="宋体" w:hAnsi="宋体"/>
          <w:sz w:val="32"/>
          <w:szCs w:val="32"/>
          <w:highlight w:val="none"/>
        </w:rPr>
        <w:t xml:space="preserve"> </w:t>
      </w:r>
      <w:r>
        <w:rPr>
          <w:rFonts w:hint="eastAsia" w:ascii="宋体" w:hAnsi="宋体"/>
          <w:sz w:val="28"/>
          <w:highlight w:val="none"/>
        </w:rPr>
        <w:t xml:space="preserve">           </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089"/>
        <w:gridCol w:w="2700"/>
        <w:gridCol w:w="2520"/>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pPr>
              <w:spacing w:line="440" w:lineRule="exact"/>
              <w:jc w:val="center"/>
              <w:rPr>
                <w:rFonts w:ascii="宋体" w:hAnsi="宋体"/>
                <w:sz w:val="24"/>
                <w:highlight w:val="none"/>
              </w:rPr>
            </w:pPr>
            <w:r>
              <w:rPr>
                <w:rFonts w:hint="eastAsia" w:ascii="宋体" w:hAnsi="宋体"/>
                <w:sz w:val="24"/>
                <w:highlight w:val="none"/>
              </w:rPr>
              <w:t>序号</w:t>
            </w:r>
          </w:p>
        </w:tc>
        <w:tc>
          <w:tcPr>
            <w:tcW w:w="1089" w:type="dxa"/>
            <w:vAlign w:val="center"/>
          </w:tcPr>
          <w:p>
            <w:pPr>
              <w:jc w:val="center"/>
              <w:rPr>
                <w:rFonts w:ascii="宋体" w:hAnsi="宋体"/>
                <w:sz w:val="24"/>
                <w:highlight w:val="none"/>
              </w:rPr>
            </w:pPr>
            <w:r>
              <w:rPr>
                <w:rFonts w:hint="eastAsia" w:ascii="宋体" w:hAnsi="宋体"/>
                <w:sz w:val="24"/>
                <w:highlight w:val="none"/>
              </w:rPr>
              <w:t>名称</w:t>
            </w:r>
          </w:p>
        </w:tc>
        <w:tc>
          <w:tcPr>
            <w:tcW w:w="2700" w:type="dxa"/>
            <w:vAlign w:val="center"/>
          </w:tcPr>
          <w:p>
            <w:pPr>
              <w:jc w:val="center"/>
              <w:rPr>
                <w:rFonts w:ascii="宋体" w:hAnsi="宋体"/>
                <w:sz w:val="24"/>
                <w:highlight w:val="none"/>
              </w:rPr>
            </w:pPr>
            <w:r>
              <w:rPr>
                <w:rFonts w:hint="eastAsia" w:ascii="宋体" w:hAnsi="宋体"/>
                <w:sz w:val="24"/>
                <w:highlight w:val="none"/>
              </w:rPr>
              <w:t>招标文件要求</w:t>
            </w:r>
          </w:p>
        </w:tc>
        <w:tc>
          <w:tcPr>
            <w:tcW w:w="2520" w:type="dxa"/>
            <w:vAlign w:val="center"/>
          </w:tcPr>
          <w:p>
            <w:pPr>
              <w:jc w:val="center"/>
              <w:rPr>
                <w:rFonts w:ascii="宋体" w:hAnsi="宋体"/>
                <w:sz w:val="24"/>
                <w:highlight w:val="none"/>
              </w:rPr>
            </w:pPr>
            <w:r>
              <w:rPr>
                <w:rFonts w:hint="eastAsia" w:ascii="宋体" w:hAnsi="宋体"/>
                <w:sz w:val="24"/>
                <w:highlight w:val="none"/>
              </w:rPr>
              <w:t>投标文件内容</w:t>
            </w:r>
          </w:p>
        </w:tc>
        <w:tc>
          <w:tcPr>
            <w:tcW w:w="1980" w:type="dxa"/>
            <w:vAlign w:val="center"/>
          </w:tcPr>
          <w:p>
            <w:pPr>
              <w:jc w:val="center"/>
              <w:rPr>
                <w:rFonts w:ascii="宋体" w:hAnsi="宋体"/>
                <w:sz w:val="24"/>
                <w:highlight w:val="none"/>
              </w:rPr>
            </w:pPr>
            <w:r>
              <w:rPr>
                <w:rFonts w:hint="eastAsia" w:ascii="宋体" w:hAnsi="宋体"/>
                <w:sz w:val="24"/>
                <w:highlight w:val="none"/>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pPr>
              <w:rPr>
                <w:rFonts w:ascii="宋体" w:hAnsi="宋体"/>
                <w:highlight w:val="none"/>
              </w:rPr>
            </w:pPr>
          </w:p>
        </w:tc>
        <w:tc>
          <w:tcPr>
            <w:tcW w:w="1089" w:type="dxa"/>
          </w:tcPr>
          <w:p>
            <w:pPr>
              <w:rPr>
                <w:rFonts w:ascii="宋体" w:hAnsi="宋体"/>
                <w:highlight w:val="none"/>
              </w:rPr>
            </w:pPr>
          </w:p>
        </w:tc>
        <w:tc>
          <w:tcPr>
            <w:tcW w:w="2700" w:type="dxa"/>
          </w:tcPr>
          <w:p>
            <w:pPr>
              <w:rPr>
                <w:rFonts w:ascii="宋体" w:hAnsi="宋体"/>
                <w:highlight w:val="none"/>
              </w:rPr>
            </w:pPr>
          </w:p>
        </w:tc>
        <w:tc>
          <w:tcPr>
            <w:tcW w:w="2520" w:type="dxa"/>
          </w:tcPr>
          <w:p>
            <w:pPr>
              <w:rPr>
                <w:rFonts w:ascii="宋体" w:hAnsi="宋体"/>
                <w:highlight w:val="none"/>
              </w:rPr>
            </w:pPr>
          </w:p>
        </w:tc>
        <w:tc>
          <w:tcPr>
            <w:tcW w:w="1980" w:type="dxa"/>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pPr>
              <w:rPr>
                <w:rFonts w:ascii="宋体" w:hAnsi="宋体"/>
                <w:highlight w:val="none"/>
              </w:rPr>
            </w:pPr>
          </w:p>
        </w:tc>
        <w:tc>
          <w:tcPr>
            <w:tcW w:w="1089" w:type="dxa"/>
          </w:tcPr>
          <w:p>
            <w:pPr>
              <w:rPr>
                <w:rFonts w:ascii="宋体" w:hAnsi="宋体"/>
                <w:highlight w:val="none"/>
              </w:rPr>
            </w:pPr>
          </w:p>
        </w:tc>
        <w:tc>
          <w:tcPr>
            <w:tcW w:w="2700" w:type="dxa"/>
          </w:tcPr>
          <w:p>
            <w:pPr>
              <w:rPr>
                <w:rFonts w:ascii="宋体" w:hAnsi="宋体"/>
                <w:highlight w:val="none"/>
              </w:rPr>
            </w:pPr>
          </w:p>
        </w:tc>
        <w:tc>
          <w:tcPr>
            <w:tcW w:w="2520" w:type="dxa"/>
          </w:tcPr>
          <w:p>
            <w:pPr>
              <w:rPr>
                <w:rFonts w:ascii="宋体" w:hAnsi="宋体"/>
                <w:highlight w:val="none"/>
              </w:rPr>
            </w:pPr>
          </w:p>
        </w:tc>
        <w:tc>
          <w:tcPr>
            <w:tcW w:w="1980" w:type="dxa"/>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pPr>
              <w:rPr>
                <w:rFonts w:ascii="宋体" w:hAnsi="宋体"/>
                <w:highlight w:val="none"/>
              </w:rPr>
            </w:pPr>
          </w:p>
        </w:tc>
        <w:tc>
          <w:tcPr>
            <w:tcW w:w="1089" w:type="dxa"/>
          </w:tcPr>
          <w:p>
            <w:pPr>
              <w:rPr>
                <w:rFonts w:ascii="宋体" w:hAnsi="宋体"/>
                <w:highlight w:val="none"/>
              </w:rPr>
            </w:pPr>
          </w:p>
        </w:tc>
        <w:tc>
          <w:tcPr>
            <w:tcW w:w="2700" w:type="dxa"/>
          </w:tcPr>
          <w:p>
            <w:pPr>
              <w:rPr>
                <w:rFonts w:ascii="宋体" w:hAnsi="宋体"/>
                <w:highlight w:val="none"/>
              </w:rPr>
            </w:pPr>
          </w:p>
        </w:tc>
        <w:tc>
          <w:tcPr>
            <w:tcW w:w="2520" w:type="dxa"/>
          </w:tcPr>
          <w:p>
            <w:pPr>
              <w:rPr>
                <w:rFonts w:ascii="宋体" w:hAnsi="宋体"/>
                <w:highlight w:val="none"/>
              </w:rPr>
            </w:pPr>
          </w:p>
        </w:tc>
        <w:tc>
          <w:tcPr>
            <w:tcW w:w="1980" w:type="dxa"/>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pPr>
              <w:rPr>
                <w:rFonts w:ascii="宋体" w:hAnsi="宋体"/>
                <w:highlight w:val="none"/>
              </w:rPr>
            </w:pPr>
          </w:p>
        </w:tc>
        <w:tc>
          <w:tcPr>
            <w:tcW w:w="1089" w:type="dxa"/>
          </w:tcPr>
          <w:p>
            <w:pPr>
              <w:rPr>
                <w:rFonts w:ascii="宋体" w:hAnsi="宋体"/>
                <w:highlight w:val="none"/>
              </w:rPr>
            </w:pPr>
          </w:p>
        </w:tc>
        <w:tc>
          <w:tcPr>
            <w:tcW w:w="2700" w:type="dxa"/>
          </w:tcPr>
          <w:p>
            <w:pPr>
              <w:rPr>
                <w:rFonts w:ascii="宋体" w:hAnsi="宋体"/>
                <w:highlight w:val="none"/>
              </w:rPr>
            </w:pPr>
          </w:p>
        </w:tc>
        <w:tc>
          <w:tcPr>
            <w:tcW w:w="2520" w:type="dxa"/>
          </w:tcPr>
          <w:p>
            <w:pPr>
              <w:rPr>
                <w:rFonts w:ascii="宋体" w:hAnsi="宋体"/>
                <w:highlight w:val="none"/>
              </w:rPr>
            </w:pPr>
          </w:p>
        </w:tc>
        <w:tc>
          <w:tcPr>
            <w:tcW w:w="1980" w:type="dxa"/>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pPr>
              <w:rPr>
                <w:rFonts w:ascii="宋体" w:hAnsi="宋体"/>
                <w:highlight w:val="none"/>
              </w:rPr>
            </w:pPr>
          </w:p>
        </w:tc>
        <w:tc>
          <w:tcPr>
            <w:tcW w:w="1089" w:type="dxa"/>
          </w:tcPr>
          <w:p>
            <w:pPr>
              <w:rPr>
                <w:rFonts w:ascii="宋体" w:hAnsi="宋体"/>
                <w:highlight w:val="none"/>
              </w:rPr>
            </w:pPr>
          </w:p>
        </w:tc>
        <w:tc>
          <w:tcPr>
            <w:tcW w:w="2700" w:type="dxa"/>
          </w:tcPr>
          <w:p>
            <w:pPr>
              <w:rPr>
                <w:rFonts w:ascii="宋体" w:hAnsi="宋体"/>
                <w:highlight w:val="none"/>
              </w:rPr>
            </w:pPr>
          </w:p>
        </w:tc>
        <w:tc>
          <w:tcPr>
            <w:tcW w:w="2520" w:type="dxa"/>
          </w:tcPr>
          <w:p>
            <w:pPr>
              <w:rPr>
                <w:rFonts w:ascii="宋体" w:hAnsi="宋体"/>
                <w:highlight w:val="none"/>
              </w:rPr>
            </w:pPr>
          </w:p>
        </w:tc>
        <w:tc>
          <w:tcPr>
            <w:tcW w:w="1980" w:type="dxa"/>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pPr>
              <w:rPr>
                <w:rFonts w:ascii="宋体" w:hAnsi="宋体"/>
                <w:highlight w:val="none"/>
              </w:rPr>
            </w:pPr>
          </w:p>
        </w:tc>
        <w:tc>
          <w:tcPr>
            <w:tcW w:w="1089" w:type="dxa"/>
          </w:tcPr>
          <w:p>
            <w:pPr>
              <w:rPr>
                <w:rFonts w:ascii="宋体" w:hAnsi="宋体"/>
                <w:highlight w:val="none"/>
              </w:rPr>
            </w:pPr>
          </w:p>
        </w:tc>
        <w:tc>
          <w:tcPr>
            <w:tcW w:w="2700" w:type="dxa"/>
          </w:tcPr>
          <w:p>
            <w:pPr>
              <w:rPr>
                <w:rFonts w:ascii="宋体" w:hAnsi="宋体"/>
                <w:highlight w:val="none"/>
              </w:rPr>
            </w:pPr>
          </w:p>
        </w:tc>
        <w:tc>
          <w:tcPr>
            <w:tcW w:w="2520" w:type="dxa"/>
          </w:tcPr>
          <w:p>
            <w:pPr>
              <w:rPr>
                <w:rFonts w:ascii="宋体" w:hAnsi="宋体"/>
                <w:highlight w:val="none"/>
              </w:rPr>
            </w:pPr>
          </w:p>
        </w:tc>
        <w:tc>
          <w:tcPr>
            <w:tcW w:w="1980" w:type="dxa"/>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pPr>
              <w:rPr>
                <w:rFonts w:ascii="宋体" w:hAnsi="宋体"/>
                <w:highlight w:val="none"/>
              </w:rPr>
            </w:pPr>
          </w:p>
        </w:tc>
        <w:tc>
          <w:tcPr>
            <w:tcW w:w="1089" w:type="dxa"/>
          </w:tcPr>
          <w:p>
            <w:pPr>
              <w:rPr>
                <w:rFonts w:ascii="宋体" w:hAnsi="宋体"/>
                <w:highlight w:val="none"/>
              </w:rPr>
            </w:pPr>
          </w:p>
        </w:tc>
        <w:tc>
          <w:tcPr>
            <w:tcW w:w="2700" w:type="dxa"/>
          </w:tcPr>
          <w:p>
            <w:pPr>
              <w:rPr>
                <w:rFonts w:ascii="宋体" w:hAnsi="宋体"/>
                <w:highlight w:val="none"/>
              </w:rPr>
            </w:pPr>
          </w:p>
        </w:tc>
        <w:tc>
          <w:tcPr>
            <w:tcW w:w="2520" w:type="dxa"/>
          </w:tcPr>
          <w:p>
            <w:pPr>
              <w:rPr>
                <w:rFonts w:ascii="宋体" w:hAnsi="宋体"/>
                <w:highlight w:val="none"/>
              </w:rPr>
            </w:pPr>
          </w:p>
        </w:tc>
        <w:tc>
          <w:tcPr>
            <w:tcW w:w="1980" w:type="dxa"/>
          </w:tcPr>
          <w:p>
            <w:pPr>
              <w:rPr>
                <w:rFonts w:ascii="宋体" w:hAnsi="宋体"/>
                <w:highlight w:val="none"/>
              </w:rPr>
            </w:pPr>
          </w:p>
        </w:tc>
      </w:tr>
    </w:tbl>
    <w:p>
      <w:pPr>
        <w:rPr>
          <w:rFonts w:ascii="宋体" w:hAnsi="宋体"/>
          <w:sz w:val="28"/>
          <w:highlight w:val="none"/>
        </w:rPr>
      </w:pPr>
    </w:p>
    <w:p>
      <w:pPr>
        <w:pStyle w:val="50"/>
        <w:rPr>
          <w:rFonts w:ascii="宋体" w:hAnsi="宋体"/>
          <w:sz w:val="32"/>
          <w:szCs w:val="32"/>
          <w:highlight w:val="none"/>
        </w:rPr>
      </w:pPr>
      <w:bookmarkStart w:id="758" w:name="_Toc289238790"/>
      <w:bookmarkStart w:id="759" w:name="_Toc338840264"/>
      <w:bookmarkStart w:id="760" w:name="_Toc289182819"/>
      <w:bookmarkStart w:id="761" w:name="_Toc338840512"/>
      <w:bookmarkStart w:id="762" w:name="_Toc338840473"/>
      <w:bookmarkStart w:id="763" w:name="_Toc288748130"/>
      <w:bookmarkStart w:id="764" w:name="_Toc289241361"/>
      <w:bookmarkStart w:id="765" w:name="_Toc289241538"/>
      <w:bookmarkStart w:id="766" w:name="_Toc289096745"/>
      <w:bookmarkStart w:id="767" w:name="_Toc289182441"/>
      <w:r>
        <w:rPr>
          <w:rFonts w:hint="eastAsia" w:ascii="宋体" w:hAnsi="宋体" w:cs="宋体"/>
          <w:sz w:val="32"/>
          <w:szCs w:val="32"/>
          <w:highlight w:val="none"/>
        </w:rPr>
        <w:t>注：1、投标文件内容与招标文件技术、商务要求有偏差时，</w:t>
      </w:r>
      <w:r>
        <w:rPr>
          <w:rFonts w:hint="eastAsia" w:ascii="宋体" w:hAnsi="宋体"/>
          <w:sz w:val="32"/>
          <w:szCs w:val="32"/>
          <w:highlight w:val="none"/>
        </w:rPr>
        <w:t>应在上表中分别列明，填写偏差说明（注明正偏差或负偏差情况），</w:t>
      </w:r>
      <w:r>
        <w:rPr>
          <w:rFonts w:ascii="宋体" w:hAnsi="宋体"/>
          <w:sz w:val="32"/>
          <w:szCs w:val="32"/>
          <w:highlight w:val="none"/>
        </w:rPr>
        <w:t>保证除列出的偏差外</w:t>
      </w:r>
      <w:r>
        <w:rPr>
          <w:rFonts w:hint="eastAsia" w:ascii="宋体" w:hAnsi="宋体"/>
          <w:sz w:val="32"/>
          <w:szCs w:val="32"/>
          <w:highlight w:val="none"/>
        </w:rPr>
        <w:t>无其他偏差</w:t>
      </w:r>
      <w:r>
        <w:rPr>
          <w:rFonts w:ascii="宋体" w:hAnsi="宋体"/>
          <w:sz w:val="32"/>
          <w:szCs w:val="32"/>
          <w:highlight w:val="none"/>
        </w:rPr>
        <w:t>。</w:t>
      </w:r>
    </w:p>
    <w:p>
      <w:pPr>
        <w:ind w:firstLine="640" w:firstLineChars="200"/>
        <w:rPr>
          <w:rFonts w:ascii="宋体" w:hAnsi="宋体"/>
          <w:sz w:val="32"/>
          <w:szCs w:val="32"/>
          <w:highlight w:val="none"/>
        </w:rPr>
      </w:pPr>
      <w:r>
        <w:rPr>
          <w:rFonts w:hint="eastAsia" w:ascii="宋体" w:hAnsi="宋体"/>
          <w:sz w:val="32"/>
          <w:szCs w:val="32"/>
          <w:highlight w:val="none"/>
        </w:rPr>
        <w:t>2、无偏差时可不填列具体内容，只在“偏差说明”栏内注明“无偏差”。</w:t>
      </w:r>
    </w:p>
    <w:p>
      <w:pPr>
        <w:jc w:val="center"/>
        <w:rPr>
          <w:rFonts w:ascii="宋体" w:hAnsi="宋体"/>
          <w:b/>
          <w:sz w:val="32"/>
          <w:szCs w:val="32"/>
          <w:highlight w:val="none"/>
        </w:rPr>
      </w:pPr>
      <w:r>
        <w:rPr>
          <w:rFonts w:ascii="宋体" w:hAnsi="宋体"/>
          <w:sz w:val="32"/>
          <w:szCs w:val="32"/>
          <w:highlight w:val="none"/>
        </w:rPr>
        <w:br w:type="page"/>
      </w:r>
      <w:r>
        <w:rPr>
          <w:rFonts w:hint="eastAsia" w:ascii="宋体" w:hAnsi="宋体" w:cs="宋体"/>
          <w:b/>
          <w:kern w:val="44"/>
          <w:sz w:val="44"/>
          <w:szCs w:val="44"/>
          <w:highlight w:val="none"/>
        </w:rPr>
        <w:t>六　备品备件及附送工具清单</w:t>
      </w:r>
      <w:bookmarkEnd w:id="758"/>
      <w:bookmarkEnd w:id="759"/>
      <w:bookmarkEnd w:id="760"/>
      <w:bookmarkEnd w:id="761"/>
      <w:bookmarkEnd w:id="762"/>
      <w:bookmarkEnd w:id="763"/>
      <w:bookmarkEnd w:id="764"/>
      <w:bookmarkEnd w:id="765"/>
      <w:bookmarkEnd w:id="766"/>
      <w:bookmarkEnd w:id="767"/>
    </w:p>
    <w:p>
      <w:pPr>
        <w:rPr>
          <w:rFonts w:ascii="宋体" w:hAnsi="宋体"/>
          <w:highlight w:val="none"/>
        </w:rPr>
      </w:pPr>
      <w:r>
        <w:rPr>
          <w:rFonts w:hint="eastAsia" w:ascii="宋体" w:hAnsi="宋体"/>
          <w:highlight w:val="none"/>
        </w:rPr>
        <w:t>　　　　　　　　　　　　　</w:t>
      </w:r>
    </w:p>
    <w:p>
      <w:pPr>
        <w:widowControl/>
        <w:spacing w:line="240" w:lineRule="atLeast"/>
        <w:jc w:val="left"/>
        <w:rPr>
          <w:rFonts w:ascii="宋体" w:hAnsi="宋体" w:cs="宋体"/>
          <w:kern w:val="0"/>
          <w:sz w:val="32"/>
          <w:szCs w:val="32"/>
          <w:highlight w:val="none"/>
        </w:rPr>
      </w:pPr>
    </w:p>
    <w:p>
      <w:pPr>
        <w:widowControl/>
        <w:rPr>
          <w:rFonts w:ascii="宋体" w:hAnsi="宋体"/>
          <w:sz w:val="32"/>
          <w:szCs w:val="32"/>
          <w:highlight w:val="none"/>
        </w:rPr>
      </w:pPr>
      <w:r>
        <w:rPr>
          <w:rFonts w:hint="eastAsia" w:ascii="宋体" w:hAnsi="宋体"/>
          <w:kern w:val="0"/>
          <w:sz w:val="32"/>
          <w:szCs w:val="32"/>
          <w:highlight w:val="none"/>
        </w:rPr>
        <w:t>说明：如有附送专用工具和附送备品备件，此处应列明名称、数量、单价、生产商等情况。</w:t>
      </w:r>
    </w:p>
    <w:p>
      <w:pPr>
        <w:widowControl/>
        <w:ind w:firstLine="640" w:firstLineChars="200"/>
        <w:rPr>
          <w:rFonts w:ascii="宋体" w:hAnsi="宋体"/>
          <w:kern w:val="0"/>
          <w:sz w:val="32"/>
          <w:szCs w:val="32"/>
          <w:highlight w:val="none"/>
        </w:rPr>
      </w:pPr>
    </w:p>
    <w:p>
      <w:pPr>
        <w:ind w:firstLine="640" w:firstLineChars="200"/>
        <w:rPr>
          <w:rFonts w:ascii="宋体" w:hAnsi="宋体"/>
          <w:sz w:val="32"/>
          <w:szCs w:val="32"/>
          <w:highlight w:val="none"/>
        </w:rPr>
      </w:pPr>
    </w:p>
    <w:p>
      <w:pPr>
        <w:ind w:firstLine="640" w:firstLineChars="200"/>
        <w:rPr>
          <w:rFonts w:ascii="宋体" w:hAnsi="宋体"/>
          <w:sz w:val="32"/>
          <w:szCs w:val="32"/>
          <w:highlight w:val="none"/>
        </w:rPr>
      </w:pPr>
    </w:p>
    <w:p>
      <w:pPr>
        <w:rPr>
          <w:rFonts w:ascii="宋体" w:hAnsi="宋体"/>
          <w:bCs/>
          <w:sz w:val="32"/>
          <w:szCs w:val="32"/>
          <w:highlight w:val="none"/>
        </w:rPr>
      </w:pPr>
    </w:p>
    <w:p>
      <w:pPr>
        <w:rPr>
          <w:rFonts w:ascii="宋体" w:hAnsi="宋体"/>
          <w:bCs/>
          <w:sz w:val="32"/>
          <w:szCs w:val="32"/>
          <w:highlight w:val="none"/>
        </w:rPr>
      </w:pPr>
    </w:p>
    <w:p>
      <w:pPr>
        <w:rPr>
          <w:rFonts w:ascii="宋体" w:hAnsi="宋体"/>
          <w:bCs/>
          <w:sz w:val="32"/>
          <w:szCs w:val="32"/>
          <w:highlight w:val="none"/>
        </w:rPr>
      </w:pPr>
    </w:p>
    <w:p>
      <w:pPr>
        <w:rPr>
          <w:rFonts w:ascii="宋体" w:hAnsi="宋体"/>
          <w:bCs/>
          <w:sz w:val="32"/>
          <w:szCs w:val="32"/>
          <w:highlight w:val="none"/>
        </w:rPr>
      </w:pPr>
      <w:bookmarkStart w:id="768" w:name="_Toc288115095"/>
      <w:bookmarkStart w:id="769" w:name="_Toc288115070"/>
    </w:p>
    <w:bookmarkEnd w:id="768"/>
    <w:bookmarkEnd w:id="769"/>
    <w:p>
      <w:pPr>
        <w:jc w:val="center"/>
        <w:rPr>
          <w:rFonts w:hint="eastAsia" w:ascii="宋体" w:hAnsi="宋体"/>
          <w:b/>
          <w:kern w:val="44"/>
          <w:sz w:val="44"/>
          <w:szCs w:val="44"/>
          <w:highlight w:val="none"/>
        </w:rPr>
      </w:pPr>
      <w:bookmarkStart w:id="770" w:name="_Toc338840265"/>
      <w:bookmarkStart w:id="771" w:name="_Toc338840513"/>
      <w:bookmarkStart w:id="772" w:name="_Toc289182823"/>
      <w:bookmarkStart w:id="773" w:name="_Toc289241542"/>
      <w:bookmarkStart w:id="774" w:name="_Toc338840474"/>
      <w:bookmarkStart w:id="775" w:name="_Toc288748134"/>
      <w:bookmarkStart w:id="776" w:name="_Toc289096749"/>
      <w:bookmarkStart w:id="777" w:name="_Toc289241365"/>
      <w:bookmarkStart w:id="778" w:name="_Toc289238794"/>
      <w:bookmarkStart w:id="779" w:name="_Toc289182445"/>
      <w:r>
        <w:rPr>
          <w:rFonts w:hint="eastAsia" w:ascii="宋体" w:hAnsi="宋体"/>
          <w:b/>
          <w:kern w:val="44"/>
          <w:sz w:val="44"/>
          <w:szCs w:val="44"/>
          <w:highlight w:val="none"/>
        </w:rPr>
        <w:br w:type="page"/>
      </w:r>
      <w:r>
        <w:rPr>
          <w:rFonts w:hint="eastAsia" w:ascii="宋体" w:hAnsi="宋体"/>
          <w:b/>
          <w:kern w:val="44"/>
          <w:sz w:val="44"/>
          <w:szCs w:val="44"/>
          <w:highlight w:val="none"/>
        </w:rPr>
        <w:t xml:space="preserve">七  </w:t>
      </w:r>
      <w:bookmarkEnd w:id="770"/>
      <w:bookmarkEnd w:id="771"/>
      <w:bookmarkEnd w:id="772"/>
      <w:bookmarkEnd w:id="773"/>
      <w:bookmarkEnd w:id="774"/>
      <w:bookmarkEnd w:id="775"/>
      <w:bookmarkEnd w:id="776"/>
      <w:bookmarkEnd w:id="777"/>
      <w:bookmarkEnd w:id="778"/>
      <w:bookmarkEnd w:id="779"/>
      <w:r>
        <w:rPr>
          <w:rFonts w:hint="eastAsia" w:ascii="宋体" w:hAnsi="宋体"/>
          <w:b/>
          <w:kern w:val="44"/>
          <w:sz w:val="44"/>
          <w:szCs w:val="44"/>
          <w:highlight w:val="none"/>
        </w:rPr>
        <w:t>业绩合同</w:t>
      </w:r>
    </w:p>
    <w:p>
      <w:pPr>
        <w:rPr>
          <w:rFonts w:hint="eastAsia" w:ascii="宋体" w:hAnsi="宋体"/>
          <w:b/>
          <w:kern w:val="44"/>
          <w:sz w:val="44"/>
          <w:szCs w:val="44"/>
          <w:highlight w:val="none"/>
        </w:rPr>
      </w:pPr>
      <w:r>
        <w:rPr>
          <w:rFonts w:hint="eastAsia" w:ascii="宋体" w:hAnsi="宋体"/>
          <w:b/>
          <w:kern w:val="44"/>
          <w:sz w:val="44"/>
          <w:szCs w:val="44"/>
          <w:highlight w:val="none"/>
        </w:rPr>
        <w:br w:type="page"/>
      </w:r>
    </w:p>
    <w:p>
      <w:pPr>
        <w:jc w:val="center"/>
        <w:rPr>
          <w:rFonts w:hint="eastAsia" w:ascii="宋体" w:hAnsi="宋体"/>
          <w:b/>
          <w:kern w:val="44"/>
          <w:sz w:val="44"/>
          <w:szCs w:val="44"/>
          <w:highlight w:val="none"/>
        </w:rPr>
      </w:pPr>
      <w:r>
        <w:rPr>
          <w:rFonts w:hint="eastAsia" w:ascii="宋体" w:hAnsi="宋体"/>
          <w:b/>
          <w:kern w:val="44"/>
          <w:sz w:val="44"/>
          <w:szCs w:val="44"/>
          <w:highlight w:val="none"/>
        </w:rPr>
        <w:t>八</w:t>
      </w:r>
      <w:r>
        <w:rPr>
          <w:rFonts w:hint="eastAsia" w:ascii="宋体" w:hAnsi="宋体"/>
          <w:b/>
          <w:kern w:val="44"/>
          <w:sz w:val="44"/>
          <w:szCs w:val="44"/>
          <w:highlight w:val="none"/>
          <w:lang w:val="en-US" w:eastAsia="zh-CN"/>
        </w:rPr>
        <w:t xml:space="preserve">  </w:t>
      </w:r>
      <w:r>
        <w:rPr>
          <w:rFonts w:hint="eastAsia" w:ascii="宋体" w:hAnsi="宋体"/>
          <w:b/>
          <w:kern w:val="44"/>
          <w:sz w:val="44"/>
          <w:szCs w:val="44"/>
          <w:highlight w:val="none"/>
        </w:rPr>
        <w:t>企业荣誉、信誉</w:t>
      </w:r>
    </w:p>
    <w:p>
      <w:pPr>
        <w:jc w:val="center"/>
        <w:rPr>
          <w:rFonts w:hint="eastAsia" w:ascii="宋体" w:hAnsi="宋体"/>
          <w:b/>
          <w:kern w:val="44"/>
          <w:sz w:val="44"/>
          <w:szCs w:val="44"/>
          <w:highlight w:val="none"/>
        </w:rPr>
      </w:pPr>
    </w:p>
    <w:p>
      <w:pPr>
        <w:rPr>
          <w:rFonts w:hint="eastAsia" w:ascii="宋体" w:hAnsi="宋体"/>
          <w:b/>
          <w:kern w:val="44"/>
          <w:sz w:val="44"/>
          <w:szCs w:val="44"/>
          <w:highlight w:val="none"/>
        </w:rPr>
      </w:pPr>
      <w:r>
        <w:rPr>
          <w:rFonts w:hint="eastAsia" w:ascii="宋体" w:hAnsi="宋体"/>
          <w:b/>
          <w:kern w:val="44"/>
          <w:sz w:val="44"/>
          <w:szCs w:val="44"/>
          <w:highlight w:val="none"/>
        </w:rPr>
        <w:br w:type="page"/>
      </w:r>
    </w:p>
    <w:p>
      <w:pPr>
        <w:jc w:val="center"/>
        <w:rPr>
          <w:rFonts w:hint="eastAsia" w:ascii="宋体" w:hAnsi="宋体"/>
          <w:b/>
          <w:kern w:val="44"/>
          <w:sz w:val="44"/>
          <w:szCs w:val="44"/>
          <w:highlight w:val="none"/>
        </w:rPr>
      </w:pPr>
    </w:p>
    <w:p>
      <w:pPr>
        <w:jc w:val="center"/>
        <w:rPr>
          <w:rFonts w:hint="default" w:ascii="宋体" w:hAnsi="宋体" w:eastAsia="宋体"/>
          <w:b/>
          <w:kern w:val="44"/>
          <w:sz w:val="44"/>
          <w:szCs w:val="44"/>
          <w:highlight w:val="none"/>
          <w:lang w:val="en-US" w:eastAsia="zh-CN"/>
        </w:rPr>
      </w:pPr>
      <w:r>
        <w:rPr>
          <w:rFonts w:hint="eastAsia" w:ascii="宋体" w:hAnsi="宋体"/>
          <w:b/>
          <w:kern w:val="44"/>
          <w:sz w:val="44"/>
          <w:szCs w:val="44"/>
          <w:highlight w:val="none"/>
          <w:lang w:val="en-US" w:eastAsia="zh-CN"/>
        </w:rPr>
        <w:t>九  售后服务方案</w:t>
      </w:r>
    </w:p>
    <w:p>
      <w:pPr>
        <w:bidi w:val="0"/>
        <w:rPr>
          <w:rFonts w:hint="eastAsia"/>
          <w:lang w:val="en-US" w:eastAsia="zh-CN"/>
        </w:rPr>
      </w:pPr>
    </w:p>
    <w:p>
      <w:pPr>
        <w:spacing w:line="480" w:lineRule="exact"/>
        <w:ind w:firstLine="640" w:firstLineChars="200"/>
        <w:rPr>
          <w:rFonts w:hint="eastAsia" w:ascii="宋体" w:hAnsi="宋体"/>
          <w:sz w:val="32"/>
          <w:szCs w:val="32"/>
          <w:highlight w:val="none"/>
          <w:lang w:val="en-US" w:eastAsia="zh-CN"/>
        </w:rPr>
      </w:pPr>
      <w:r>
        <w:rPr>
          <w:rFonts w:hint="eastAsia" w:ascii="宋体" w:hAnsi="宋体"/>
          <w:sz w:val="32"/>
          <w:szCs w:val="32"/>
          <w:highlight w:val="none"/>
          <w:lang w:val="en-US" w:eastAsia="zh-CN"/>
        </w:rPr>
        <w:t>内容包括但不限于：</w:t>
      </w:r>
    </w:p>
    <w:p>
      <w:pPr>
        <w:spacing w:line="480" w:lineRule="exact"/>
        <w:ind w:firstLine="640" w:firstLineChars="200"/>
        <w:rPr>
          <w:rFonts w:hint="eastAsia" w:ascii="宋体" w:hAnsi="宋体"/>
          <w:sz w:val="32"/>
          <w:szCs w:val="32"/>
          <w:highlight w:val="none"/>
          <w:lang w:val="en-US" w:eastAsia="zh-CN"/>
        </w:rPr>
      </w:pPr>
      <w:r>
        <w:rPr>
          <w:rFonts w:hint="eastAsia" w:ascii="宋体" w:hAnsi="宋体"/>
          <w:sz w:val="32"/>
          <w:szCs w:val="32"/>
          <w:highlight w:val="none"/>
          <w:lang w:val="en-US" w:eastAsia="zh-CN"/>
        </w:rPr>
        <w:t>①故障响应时间、到达现场时间，故障排除时间，7×24小时服务情况；</w:t>
      </w:r>
    </w:p>
    <w:p>
      <w:pPr>
        <w:spacing w:line="480" w:lineRule="exact"/>
        <w:ind w:firstLine="640" w:firstLineChars="200"/>
        <w:rPr>
          <w:rFonts w:hint="eastAsia" w:ascii="宋体" w:hAnsi="宋体"/>
          <w:sz w:val="32"/>
          <w:szCs w:val="32"/>
          <w:highlight w:val="none"/>
          <w:lang w:val="en-US" w:eastAsia="zh-CN"/>
        </w:rPr>
      </w:pPr>
      <w:r>
        <w:rPr>
          <w:rFonts w:hint="eastAsia" w:ascii="宋体" w:hAnsi="宋体"/>
          <w:sz w:val="32"/>
          <w:szCs w:val="32"/>
          <w:highlight w:val="none"/>
          <w:lang w:val="en-US" w:eastAsia="zh-CN"/>
        </w:rPr>
        <w:t>②本地化服务情况；</w:t>
      </w:r>
    </w:p>
    <w:p>
      <w:pPr>
        <w:spacing w:line="480" w:lineRule="exact"/>
        <w:ind w:firstLine="640" w:firstLineChars="200"/>
        <w:rPr>
          <w:rFonts w:hint="eastAsia" w:ascii="宋体" w:hAnsi="宋体"/>
          <w:sz w:val="32"/>
          <w:szCs w:val="32"/>
          <w:highlight w:val="none"/>
          <w:lang w:val="en-US" w:eastAsia="zh-CN"/>
        </w:rPr>
      </w:pPr>
      <w:r>
        <w:rPr>
          <w:rFonts w:hint="eastAsia" w:ascii="宋体" w:hAnsi="宋体"/>
          <w:sz w:val="32"/>
          <w:szCs w:val="32"/>
          <w:highlight w:val="none"/>
          <w:lang w:val="en-US" w:eastAsia="zh-CN"/>
        </w:rPr>
        <w:t>③质量保证期内，提供硬件维保、系统维护、系统升级、定期巡检、技术指导等免费上门服务内容，维修时提供备用机、提供配件优惠等情况；</w:t>
      </w:r>
    </w:p>
    <w:p>
      <w:pPr>
        <w:spacing w:line="480" w:lineRule="exact"/>
        <w:ind w:firstLine="640" w:firstLineChars="200"/>
        <w:rPr>
          <w:rFonts w:hint="eastAsia" w:ascii="宋体" w:hAnsi="宋体"/>
          <w:sz w:val="32"/>
          <w:szCs w:val="32"/>
          <w:highlight w:val="none"/>
          <w:lang w:val="en-US" w:eastAsia="zh-CN"/>
        </w:rPr>
      </w:pPr>
      <w:r>
        <w:rPr>
          <w:rFonts w:hint="eastAsia" w:ascii="宋体" w:hAnsi="宋体"/>
          <w:sz w:val="32"/>
          <w:szCs w:val="32"/>
          <w:highlight w:val="none"/>
          <w:lang w:val="en-US" w:eastAsia="zh-CN"/>
        </w:rPr>
        <w:t>④质量保证期外，提供硬件维保、系统维护等服务内容及费用情况，配件优惠情况等；</w:t>
      </w:r>
    </w:p>
    <w:p>
      <w:pPr>
        <w:spacing w:line="480" w:lineRule="exact"/>
        <w:ind w:firstLine="640" w:firstLineChars="200"/>
        <w:rPr>
          <w:rFonts w:hint="eastAsia" w:ascii="宋体" w:hAnsi="宋体"/>
          <w:sz w:val="32"/>
          <w:szCs w:val="32"/>
          <w:highlight w:val="none"/>
          <w:lang w:val="en-US" w:eastAsia="zh-CN"/>
        </w:rPr>
      </w:pPr>
      <w:r>
        <w:rPr>
          <w:rFonts w:hint="eastAsia" w:ascii="宋体" w:hAnsi="宋体"/>
          <w:sz w:val="32"/>
          <w:szCs w:val="32"/>
          <w:highlight w:val="none"/>
          <w:lang w:val="en-US" w:eastAsia="zh-CN"/>
        </w:rPr>
        <w:t>⑤其他适合本项目的服务范围和内容。</w:t>
      </w:r>
    </w:p>
    <w:p>
      <w:pPr>
        <w:spacing w:line="480" w:lineRule="exact"/>
        <w:ind w:firstLine="640" w:firstLineChars="200"/>
        <w:rPr>
          <w:rFonts w:hint="eastAsia" w:ascii="宋体" w:hAnsi="宋体"/>
          <w:sz w:val="32"/>
          <w:szCs w:val="32"/>
          <w:highlight w:val="none"/>
          <w:lang w:val="en-US" w:eastAsia="zh-CN"/>
        </w:rPr>
      </w:pPr>
    </w:p>
    <w:p>
      <w:pPr>
        <w:bidi w:val="0"/>
        <w:rPr>
          <w:rFonts w:hint="eastAsia"/>
        </w:rPr>
      </w:pPr>
    </w:p>
    <w:p>
      <w:pPr>
        <w:rPr>
          <w:rFonts w:hint="eastAsia" w:ascii="宋体" w:hAnsi="宋体"/>
          <w:b/>
          <w:kern w:val="44"/>
          <w:sz w:val="44"/>
          <w:szCs w:val="44"/>
          <w:highlight w:val="none"/>
        </w:rPr>
      </w:pPr>
      <w:r>
        <w:rPr>
          <w:rFonts w:hint="eastAsia" w:ascii="宋体" w:hAnsi="宋体"/>
          <w:b/>
          <w:kern w:val="44"/>
          <w:sz w:val="44"/>
          <w:szCs w:val="44"/>
          <w:highlight w:val="none"/>
        </w:rPr>
        <w:br w:type="page"/>
      </w:r>
    </w:p>
    <w:p>
      <w:pPr>
        <w:jc w:val="center"/>
        <w:rPr>
          <w:rFonts w:hint="eastAsia" w:ascii="宋体" w:hAnsi="宋体"/>
          <w:b/>
          <w:kern w:val="44"/>
          <w:sz w:val="44"/>
          <w:szCs w:val="44"/>
          <w:highlight w:val="none"/>
        </w:rPr>
      </w:pPr>
    </w:p>
    <w:p>
      <w:pPr>
        <w:jc w:val="center"/>
        <w:rPr>
          <w:rFonts w:hint="default" w:ascii="宋体" w:hAnsi="宋体" w:eastAsia="宋体"/>
          <w:b/>
          <w:kern w:val="44"/>
          <w:sz w:val="44"/>
          <w:szCs w:val="44"/>
          <w:highlight w:val="none"/>
          <w:lang w:val="en-US" w:eastAsia="zh-CN"/>
        </w:rPr>
      </w:pPr>
      <w:r>
        <w:rPr>
          <w:rFonts w:hint="eastAsia" w:ascii="宋体" w:hAnsi="宋体"/>
          <w:b/>
          <w:kern w:val="44"/>
          <w:sz w:val="44"/>
          <w:szCs w:val="44"/>
          <w:highlight w:val="none"/>
        </w:rPr>
        <w:t>十</w:t>
      </w:r>
      <w:r>
        <w:rPr>
          <w:rFonts w:hint="eastAsia" w:ascii="宋体" w:hAnsi="宋体"/>
          <w:b/>
          <w:kern w:val="44"/>
          <w:sz w:val="44"/>
          <w:szCs w:val="44"/>
          <w:highlight w:val="none"/>
          <w:lang w:val="en-US" w:eastAsia="zh-CN"/>
        </w:rPr>
        <w:t xml:space="preserve">  进度计划</w:t>
      </w:r>
    </w:p>
    <w:p>
      <w:pPr>
        <w:jc w:val="center"/>
        <w:rPr>
          <w:rFonts w:hint="eastAsia" w:ascii="宋体" w:hAnsi="宋体"/>
          <w:b/>
          <w:kern w:val="44"/>
          <w:sz w:val="44"/>
          <w:szCs w:val="44"/>
          <w:highlight w:val="none"/>
        </w:rPr>
      </w:pPr>
    </w:p>
    <w:p>
      <w:pPr>
        <w:spacing w:line="480" w:lineRule="exact"/>
        <w:ind w:firstLine="640" w:firstLineChars="200"/>
        <w:rPr>
          <w:rFonts w:hint="eastAsia" w:ascii="宋体" w:hAnsi="宋体"/>
          <w:sz w:val="32"/>
          <w:szCs w:val="32"/>
          <w:highlight w:val="none"/>
          <w:lang w:val="en-US" w:eastAsia="zh-CN"/>
        </w:rPr>
      </w:pPr>
      <w:r>
        <w:rPr>
          <w:rFonts w:hint="eastAsia" w:ascii="宋体" w:hAnsi="宋体"/>
          <w:sz w:val="32"/>
          <w:szCs w:val="32"/>
          <w:highlight w:val="none"/>
          <w:lang w:val="en-US" w:eastAsia="zh-CN"/>
        </w:rPr>
        <w:t>按承诺的合同履行期限制订项目进度计划。</w:t>
      </w:r>
    </w:p>
    <w:p>
      <w:pPr>
        <w:bidi w:val="0"/>
        <w:rPr>
          <w:rFonts w:hint="eastAsia"/>
        </w:rPr>
      </w:pPr>
      <w:r>
        <w:rPr>
          <w:rFonts w:hint="eastAsia"/>
        </w:rPr>
        <w:br w:type="page"/>
      </w:r>
    </w:p>
    <w:p>
      <w:pPr>
        <w:jc w:val="center"/>
        <w:rPr>
          <w:rFonts w:hint="eastAsia" w:ascii="宋体" w:hAnsi="宋体"/>
          <w:b/>
          <w:kern w:val="44"/>
          <w:sz w:val="44"/>
          <w:szCs w:val="44"/>
          <w:highlight w:val="none"/>
        </w:rPr>
      </w:pPr>
    </w:p>
    <w:p>
      <w:pPr>
        <w:jc w:val="center"/>
        <w:rPr>
          <w:rFonts w:hint="eastAsia" w:ascii="宋体" w:hAnsi="宋体"/>
          <w:b/>
          <w:kern w:val="44"/>
          <w:sz w:val="44"/>
          <w:szCs w:val="44"/>
          <w:highlight w:val="none"/>
        </w:rPr>
      </w:pPr>
      <w:r>
        <w:rPr>
          <w:rFonts w:hint="eastAsia" w:ascii="宋体" w:hAnsi="宋体"/>
          <w:b/>
          <w:kern w:val="44"/>
          <w:sz w:val="44"/>
          <w:szCs w:val="44"/>
          <w:highlight w:val="none"/>
        </w:rPr>
        <w:t>十</w:t>
      </w:r>
      <w:r>
        <w:rPr>
          <w:rFonts w:hint="eastAsia" w:ascii="宋体" w:hAnsi="宋体"/>
          <w:b/>
          <w:kern w:val="44"/>
          <w:sz w:val="44"/>
          <w:szCs w:val="44"/>
          <w:highlight w:val="none"/>
          <w:lang w:val="en-US" w:eastAsia="zh-CN"/>
        </w:rPr>
        <w:t>一  投入</w:t>
      </w:r>
      <w:r>
        <w:rPr>
          <w:rFonts w:hint="eastAsia" w:ascii="宋体" w:hAnsi="宋体"/>
          <w:b/>
          <w:kern w:val="44"/>
          <w:sz w:val="44"/>
          <w:szCs w:val="44"/>
          <w:highlight w:val="none"/>
        </w:rPr>
        <w:t>技术力量</w:t>
      </w:r>
    </w:p>
    <w:p>
      <w:pPr>
        <w:jc w:val="center"/>
        <w:rPr>
          <w:rFonts w:hint="eastAsia" w:ascii="宋体" w:hAnsi="宋体"/>
          <w:b/>
          <w:kern w:val="44"/>
          <w:sz w:val="44"/>
          <w:szCs w:val="44"/>
          <w:highlight w:val="none"/>
        </w:rPr>
      </w:pPr>
    </w:p>
    <w:p>
      <w:pPr>
        <w:spacing w:line="480" w:lineRule="exact"/>
        <w:ind w:firstLine="640" w:firstLineChars="200"/>
        <w:rPr>
          <w:rFonts w:hint="eastAsia" w:ascii="宋体" w:hAnsi="宋体"/>
          <w:sz w:val="32"/>
          <w:szCs w:val="32"/>
          <w:highlight w:val="none"/>
          <w:lang w:val="en-US" w:eastAsia="zh-CN"/>
        </w:rPr>
      </w:pPr>
      <w:r>
        <w:rPr>
          <w:rFonts w:hint="eastAsia" w:ascii="宋体" w:hAnsi="宋体"/>
          <w:sz w:val="32"/>
          <w:szCs w:val="32"/>
          <w:highlight w:val="none"/>
          <w:lang w:val="en-US" w:eastAsia="zh-CN"/>
        </w:rPr>
        <w:t>针对本项目安排的技术团队、专业人员、相关设备等情况。</w:t>
      </w:r>
    </w:p>
    <w:p>
      <w:pPr>
        <w:jc w:val="center"/>
        <w:rPr>
          <w:rFonts w:hint="eastAsia" w:ascii="宋体" w:hAnsi="宋体"/>
          <w:b/>
          <w:kern w:val="44"/>
          <w:sz w:val="44"/>
          <w:szCs w:val="44"/>
          <w:highlight w:val="none"/>
        </w:rPr>
      </w:pPr>
    </w:p>
    <w:p>
      <w:pPr>
        <w:rPr>
          <w:rFonts w:hint="eastAsia" w:ascii="宋体" w:hAnsi="宋体"/>
          <w:b/>
          <w:kern w:val="44"/>
          <w:sz w:val="44"/>
          <w:szCs w:val="44"/>
          <w:highlight w:val="none"/>
        </w:rPr>
      </w:pPr>
      <w:r>
        <w:rPr>
          <w:rFonts w:hint="eastAsia" w:ascii="宋体" w:hAnsi="宋体"/>
          <w:b/>
          <w:kern w:val="44"/>
          <w:sz w:val="44"/>
          <w:szCs w:val="44"/>
          <w:highlight w:val="none"/>
        </w:rPr>
        <w:br w:type="page"/>
      </w:r>
    </w:p>
    <w:p>
      <w:pPr>
        <w:jc w:val="center"/>
        <w:rPr>
          <w:rFonts w:hint="default" w:ascii="宋体" w:hAnsi="宋体" w:eastAsia="宋体"/>
          <w:b/>
          <w:kern w:val="44"/>
          <w:sz w:val="44"/>
          <w:szCs w:val="44"/>
          <w:highlight w:val="none"/>
          <w:lang w:val="en-US" w:eastAsia="zh-CN"/>
        </w:rPr>
      </w:pPr>
      <w:r>
        <w:rPr>
          <w:rFonts w:hint="eastAsia" w:ascii="宋体" w:hAnsi="宋体"/>
          <w:b/>
          <w:kern w:val="44"/>
          <w:sz w:val="44"/>
          <w:szCs w:val="44"/>
          <w:highlight w:val="none"/>
        </w:rPr>
        <w:t>十</w:t>
      </w:r>
      <w:r>
        <w:rPr>
          <w:rFonts w:hint="eastAsia" w:ascii="宋体" w:hAnsi="宋体"/>
          <w:b/>
          <w:kern w:val="44"/>
          <w:sz w:val="44"/>
          <w:szCs w:val="44"/>
          <w:highlight w:val="none"/>
          <w:lang w:val="en-US" w:eastAsia="zh-CN"/>
        </w:rPr>
        <w:t>二  整体技术实施方案</w:t>
      </w:r>
    </w:p>
    <w:p>
      <w:pPr>
        <w:rPr>
          <w:rFonts w:ascii="宋体" w:hAnsi="宋体"/>
          <w:sz w:val="32"/>
          <w:szCs w:val="32"/>
          <w:highlight w:val="none"/>
        </w:rPr>
      </w:pPr>
      <w:bookmarkStart w:id="780" w:name="_Toc288115071"/>
      <w:bookmarkStart w:id="781" w:name="_Toc288115096"/>
    </w:p>
    <w:p>
      <w:pPr>
        <w:spacing w:line="480" w:lineRule="exact"/>
        <w:ind w:firstLine="640" w:firstLineChars="200"/>
        <w:rPr>
          <w:rFonts w:hint="eastAsia" w:ascii="宋体" w:hAnsi="宋体"/>
          <w:sz w:val="32"/>
          <w:szCs w:val="32"/>
          <w:highlight w:val="none"/>
          <w:lang w:val="en-US" w:eastAsia="zh-CN"/>
        </w:rPr>
        <w:sectPr>
          <w:footerReference r:id="rId10" w:type="default"/>
          <w:pgSz w:w="11905" w:h="16838"/>
          <w:pgMar w:top="1417" w:right="1417" w:bottom="1417" w:left="1417" w:header="850" w:footer="992" w:gutter="0"/>
          <w:cols w:space="0" w:num="1"/>
          <w:titlePg/>
          <w:rtlGutter w:val="0"/>
          <w:docGrid w:type="lines" w:linePitch="312" w:charSpace="0"/>
        </w:sectPr>
      </w:pPr>
      <w:r>
        <w:rPr>
          <w:rFonts w:hint="eastAsia" w:ascii="宋体" w:hAnsi="宋体"/>
          <w:sz w:val="32"/>
          <w:szCs w:val="32"/>
          <w:highlight w:val="none"/>
          <w:lang w:val="en-US" w:eastAsia="zh-CN"/>
        </w:rPr>
        <w:t>针对项目的技术特点、难点、重点等进行分析，制订确保项目质量的整体技术实施方案。</w:t>
      </w:r>
    </w:p>
    <w:p>
      <w:pPr>
        <w:jc w:val="center"/>
        <w:rPr>
          <w:rFonts w:hint="eastAsia" w:ascii="宋体" w:hAnsi="宋体"/>
          <w:b/>
          <w:kern w:val="44"/>
          <w:sz w:val="44"/>
          <w:szCs w:val="44"/>
          <w:highlight w:val="none"/>
          <w:lang w:val="en-US" w:eastAsia="zh-CN"/>
        </w:rPr>
      </w:pPr>
      <w:r>
        <w:rPr>
          <w:rFonts w:hint="eastAsia" w:ascii="宋体" w:hAnsi="宋体"/>
          <w:b/>
          <w:kern w:val="44"/>
          <w:sz w:val="44"/>
          <w:szCs w:val="44"/>
          <w:highlight w:val="none"/>
        </w:rPr>
        <w:t>十</w:t>
      </w:r>
      <w:r>
        <w:rPr>
          <w:rFonts w:hint="eastAsia" w:ascii="宋体" w:hAnsi="宋体"/>
          <w:b/>
          <w:kern w:val="44"/>
          <w:sz w:val="44"/>
          <w:szCs w:val="44"/>
          <w:highlight w:val="none"/>
          <w:lang w:val="en-US" w:eastAsia="zh-CN"/>
        </w:rPr>
        <w:t>三  供货安装方案</w:t>
      </w:r>
    </w:p>
    <w:p>
      <w:pPr>
        <w:bidi w:val="0"/>
        <w:rPr>
          <w:rFonts w:hint="eastAsia"/>
          <w:lang w:val="en-US" w:eastAsia="zh-CN"/>
        </w:rPr>
      </w:pPr>
    </w:p>
    <w:p>
      <w:pPr>
        <w:bidi w:val="0"/>
        <w:rPr>
          <w:rFonts w:hint="eastAsia"/>
          <w:lang w:val="en-US" w:eastAsia="zh-CN"/>
        </w:rPr>
      </w:pPr>
    </w:p>
    <w:p>
      <w:pPr>
        <w:spacing w:line="480" w:lineRule="exact"/>
        <w:ind w:firstLine="640" w:firstLineChars="200"/>
        <w:rPr>
          <w:rFonts w:hint="eastAsia" w:ascii="宋体" w:hAnsi="宋体"/>
          <w:sz w:val="32"/>
          <w:szCs w:val="32"/>
          <w:highlight w:val="none"/>
          <w:lang w:val="en-US" w:eastAsia="zh-CN"/>
        </w:rPr>
      </w:pPr>
      <w:r>
        <w:rPr>
          <w:rFonts w:hint="eastAsia" w:ascii="宋体" w:hAnsi="宋体"/>
          <w:sz w:val="32"/>
          <w:szCs w:val="32"/>
          <w:highlight w:val="none"/>
          <w:lang w:val="en-US" w:eastAsia="zh-CN"/>
        </w:rPr>
        <w:t>包括但不限于：</w:t>
      </w:r>
    </w:p>
    <w:p>
      <w:pPr>
        <w:spacing w:line="480" w:lineRule="exact"/>
        <w:ind w:firstLine="640" w:firstLineChars="200"/>
        <w:rPr>
          <w:rFonts w:hint="eastAsia" w:ascii="宋体" w:hAnsi="宋体"/>
          <w:sz w:val="32"/>
          <w:szCs w:val="32"/>
          <w:highlight w:val="none"/>
          <w:lang w:val="en-US" w:eastAsia="zh-CN"/>
        </w:rPr>
      </w:pPr>
      <w:r>
        <w:rPr>
          <w:rFonts w:hint="eastAsia" w:ascii="宋体" w:hAnsi="宋体"/>
          <w:sz w:val="32"/>
          <w:szCs w:val="32"/>
          <w:highlight w:val="none"/>
          <w:lang w:val="en-US" w:eastAsia="zh-CN"/>
        </w:rPr>
        <w:t>产品的设计制造或采购，包装运输，交货保管，安装调试，检测检验，技术指导等内容。</w:t>
      </w:r>
    </w:p>
    <w:p>
      <w:pPr>
        <w:bidi w:val="0"/>
        <w:rPr>
          <w:rFonts w:hint="eastAsia"/>
          <w:lang w:val="en-US" w:eastAsia="zh-CN"/>
        </w:rPr>
      </w:pPr>
    </w:p>
    <w:p>
      <w:pPr>
        <w:bidi w:val="0"/>
        <w:rPr>
          <w:rFonts w:hint="default"/>
          <w:lang w:val="en-US" w:eastAsia="zh-CN"/>
        </w:rPr>
        <w:sectPr>
          <w:pgSz w:w="11905" w:h="16838"/>
          <w:pgMar w:top="1417" w:right="1417" w:bottom="1417" w:left="1417" w:header="850" w:footer="992" w:gutter="0"/>
          <w:cols w:space="0" w:num="1"/>
          <w:titlePg/>
          <w:rtlGutter w:val="0"/>
          <w:docGrid w:type="lines" w:linePitch="312" w:charSpace="0"/>
        </w:sectPr>
      </w:pPr>
    </w:p>
    <w:p>
      <w:pPr>
        <w:jc w:val="center"/>
        <w:rPr>
          <w:rFonts w:hint="default" w:ascii="宋体" w:hAnsi="宋体" w:eastAsia="宋体"/>
          <w:b/>
          <w:kern w:val="44"/>
          <w:sz w:val="44"/>
          <w:szCs w:val="44"/>
          <w:highlight w:val="none"/>
          <w:lang w:val="en-US" w:eastAsia="zh-CN"/>
        </w:rPr>
      </w:pPr>
      <w:r>
        <w:rPr>
          <w:rFonts w:hint="eastAsia" w:ascii="宋体" w:hAnsi="宋体"/>
          <w:b/>
          <w:kern w:val="44"/>
          <w:sz w:val="44"/>
          <w:szCs w:val="44"/>
          <w:highlight w:val="none"/>
        </w:rPr>
        <w:t>十</w:t>
      </w:r>
      <w:r>
        <w:rPr>
          <w:rFonts w:hint="eastAsia" w:ascii="宋体" w:hAnsi="宋体"/>
          <w:b/>
          <w:kern w:val="44"/>
          <w:sz w:val="44"/>
          <w:szCs w:val="44"/>
          <w:highlight w:val="none"/>
          <w:lang w:val="en-US" w:eastAsia="zh-CN"/>
        </w:rPr>
        <w:t>四  人员培训方案</w:t>
      </w:r>
    </w:p>
    <w:p>
      <w:pPr>
        <w:bidi w:val="0"/>
        <w:rPr>
          <w:rFonts w:hint="eastAsia"/>
          <w:lang w:val="en-US" w:eastAsia="zh-CN"/>
        </w:rPr>
      </w:pPr>
    </w:p>
    <w:p>
      <w:pPr>
        <w:bidi w:val="0"/>
        <w:rPr>
          <w:rFonts w:hint="eastAsia"/>
          <w:lang w:val="en-US" w:eastAsia="zh-CN"/>
        </w:rPr>
      </w:pPr>
    </w:p>
    <w:p>
      <w:pPr>
        <w:spacing w:line="480" w:lineRule="exact"/>
        <w:ind w:firstLine="640" w:firstLineChars="200"/>
        <w:rPr>
          <w:rFonts w:hint="eastAsia" w:ascii="宋体" w:hAnsi="宋体"/>
          <w:sz w:val="32"/>
          <w:szCs w:val="32"/>
          <w:highlight w:val="none"/>
          <w:lang w:val="en-US" w:eastAsia="zh-CN"/>
        </w:rPr>
      </w:pPr>
      <w:r>
        <w:rPr>
          <w:rFonts w:hint="eastAsia" w:ascii="宋体" w:hAnsi="宋体"/>
          <w:sz w:val="32"/>
          <w:szCs w:val="32"/>
          <w:highlight w:val="none"/>
          <w:lang w:val="en-US" w:eastAsia="zh-CN"/>
        </w:rPr>
        <w:t>针对项目特点及采购人需求情况分析制订人员培训方案，包括但不限于培训计划、培训内容、团队力量、组织实施、质量保证等。</w:t>
      </w:r>
    </w:p>
    <w:p>
      <w:pPr>
        <w:bidi w:val="0"/>
        <w:jc w:val="both"/>
        <w:rPr>
          <w:rFonts w:hint="eastAsia"/>
          <w:lang w:val="en-US" w:eastAsia="zh-CN"/>
        </w:rPr>
        <w:sectPr>
          <w:pgSz w:w="11905" w:h="16838"/>
          <w:pgMar w:top="1417" w:right="1417" w:bottom="1417" w:left="1417" w:header="850" w:footer="992" w:gutter="0"/>
          <w:cols w:space="0" w:num="1"/>
          <w:titlePg/>
          <w:rtlGutter w:val="0"/>
          <w:docGrid w:type="lines" w:linePitch="312" w:charSpace="0"/>
        </w:sectPr>
      </w:pPr>
    </w:p>
    <w:p>
      <w:pPr>
        <w:jc w:val="center"/>
        <w:rPr>
          <w:rFonts w:hint="default" w:ascii="宋体" w:hAnsi="宋体" w:eastAsia="宋体"/>
          <w:b/>
          <w:kern w:val="44"/>
          <w:sz w:val="44"/>
          <w:szCs w:val="44"/>
          <w:highlight w:val="none"/>
          <w:lang w:val="en-US" w:eastAsia="zh-CN"/>
        </w:rPr>
      </w:pPr>
      <w:r>
        <w:rPr>
          <w:rFonts w:hint="eastAsia" w:ascii="宋体" w:hAnsi="宋体"/>
          <w:b/>
          <w:kern w:val="44"/>
          <w:sz w:val="44"/>
          <w:szCs w:val="44"/>
          <w:highlight w:val="none"/>
          <w:lang w:val="en-US" w:eastAsia="zh-CN"/>
        </w:rPr>
        <w:t>十五  验收交接方案</w:t>
      </w:r>
    </w:p>
    <w:p>
      <w:pPr>
        <w:rPr>
          <w:rFonts w:ascii="宋体" w:hAnsi="宋体"/>
          <w:sz w:val="32"/>
          <w:szCs w:val="32"/>
          <w:highlight w:val="none"/>
        </w:rPr>
      </w:pPr>
    </w:p>
    <w:p>
      <w:pPr>
        <w:spacing w:line="480" w:lineRule="exact"/>
        <w:ind w:firstLine="640" w:firstLineChars="200"/>
        <w:rPr>
          <w:rFonts w:hint="eastAsia" w:ascii="宋体" w:hAnsi="宋体"/>
          <w:sz w:val="32"/>
          <w:szCs w:val="32"/>
          <w:highlight w:val="none"/>
          <w:lang w:eastAsia="zh-CN"/>
        </w:rPr>
      </w:pPr>
      <w:r>
        <w:rPr>
          <w:rFonts w:hint="eastAsia" w:ascii="宋体" w:hAnsi="宋体"/>
          <w:sz w:val="32"/>
          <w:szCs w:val="32"/>
          <w:highlight w:val="none"/>
          <w:lang w:val="en-US" w:eastAsia="zh-CN"/>
        </w:rPr>
        <w:t>针对项目特点制订项目验收交接方案，全力配合采购人进行项目验收，顺利完成项目交接。包括但不限于人员安排、资料提供、技术支持、配合内容等，以及需要交付采购人的相关材料（技术标准、技术资料、检测报告等资料，以及备品备件、专用工具等物品）。</w:t>
      </w:r>
    </w:p>
    <w:p>
      <w:pPr>
        <w:bidi w:val="0"/>
        <w:sectPr>
          <w:pgSz w:w="11905" w:h="16838"/>
          <w:pgMar w:top="1417" w:right="1417" w:bottom="1417" w:left="1417" w:header="850" w:footer="992" w:gutter="0"/>
          <w:cols w:space="0" w:num="1"/>
          <w:titlePg/>
          <w:rtlGutter w:val="0"/>
          <w:docGrid w:type="lines" w:linePitch="312" w:charSpace="0"/>
        </w:sectPr>
      </w:pPr>
    </w:p>
    <w:bookmarkEnd w:id="780"/>
    <w:bookmarkEnd w:id="781"/>
    <w:p>
      <w:pPr>
        <w:jc w:val="center"/>
        <w:rPr>
          <w:rFonts w:ascii="宋体" w:hAnsi="宋体" w:cs="宋体"/>
          <w:b/>
          <w:kern w:val="44"/>
          <w:sz w:val="32"/>
          <w:szCs w:val="32"/>
          <w:highlight w:val="none"/>
        </w:rPr>
      </w:pPr>
      <w:r>
        <w:rPr>
          <w:rFonts w:hint="eastAsia" w:ascii="宋体" w:hAnsi="宋体" w:cs="宋体"/>
          <w:b/>
          <w:kern w:val="44"/>
          <w:sz w:val="44"/>
          <w:szCs w:val="44"/>
          <w:highlight w:val="none"/>
          <w:lang w:val="en-US" w:eastAsia="zh-CN"/>
        </w:rPr>
        <w:t>十六</w:t>
      </w:r>
      <w:r>
        <w:rPr>
          <w:rFonts w:hint="eastAsia" w:ascii="宋体" w:hAnsi="宋体" w:cs="宋体"/>
          <w:b/>
          <w:kern w:val="44"/>
          <w:sz w:val="44"/>
          <w:szCs w:val="44"/>
          <w:highlight w:val="none"/>
        </w:rPr>
        <w:t xml:space="preserve">  </w:t>
      </w:r>
      <w:r>
        <w:rPr>
          <w:rFonts w:hint="eastAsia" w:ascii="宋体" w:hAnsi="宋体"/>
          <w:b/>
          <w:kern w:val="44"/>
          <w:sz w:val="44"/>
          <w:szCs w:val="44"/>
          <w:highlight w:val="none"/>
        </w:rPr>
        <w:t>相关证明材料</w:t>
      </w:r>
    </w:p>
    <w:p>
      <w:pPr>
        <w:widowControl/>
        <w:snapToGrid w:val="0"/>
        <w:spacing w:line="480" w:lineRule="exact"/>
        <w:ind w:left="420" w:leftChars="200" w:firstLine="160" w:firstLineChars="50"/>
        <w:jc w:val="left"/>
        <w:rPr>
          <w:rFonts w:ascii="宋体" w:hAnsi="宋体"/>
          <w:sz w:val="32"/>
          <w:szCs w:val="32"/>
          <w:highlight w:val="none"/>
        </w:rPr>
      </w:pPr>
    </w:p>
    <w:p>
      <w:pPr>
        <w:widowControl/>
        <w:tabs>
          <w:tab w:val="left" w:pos="1571"/>
        </w:tabs>
        <w:snapToGrid w:val="0"/>
        <w:spacing w:line="480" w:lineRule="exact"/>
        <w:ind w:firstLine="640" w:firstLineChars="200"/>
        <w:jc w:val="left"/>
        <w:rPr>
          <w:rFonts w:ascii="宋体" w:hAnsi="宋体"/>
          <w:color w:val="000000"/>
          <w:kern w:val="0"/>
          <w:sz w:val="32"/>
          <w:szCs w:val="32"/>
          <w:highlight w:val="none"/>
        </w:rPr>
      </w:pPr>
    </w:p>
    <w:p>
      <w:pPr>
        <w:spacing w:line="480" w:lineRule="exact"/>
        <w:ind w:firstLine="640" w:firstLineChars="200"/>
        <w:rPr>
          <w:rFonts w:ascii="宋体" w:hAnsi="宋体"/>
          <w:sz w:val="32"/>
          <w:szCs w:val="32"/>
          <w:highlight w:val="none"/>
        </w:rPr>
      </w:pPr>
      <w:r>
        <w:rPr>
          <w:rFonts w:hint="eastAsia" w:ascii="宋体" w:hAnsi="宋体"/>
          <w:sz w:val="32"/>
          <w:szCs w:val="32"/>
          <w:highlight w:val="none"/>
        </w:rPr>
        <w:t>1、供应商结合项目要求和自身情况提供相关证明材料。</w:t>
      </w:r>
    </w:p>
    <w:p>
      <w:pPr>
        <w:spacing w:line="480" w:lineRule="exact"/>
        <w:ind w:firstLine="640" w:firstLineChars="200"/>
        <w:rPr>
          <w:rFonts w:ascii="宋体" w:hAnsi="宋体"/>
          <w:sz w:val="32"/>
          <w:szCs w:val="32"/>
          <w:highlight w:val="none"/>
        </w:rPr>
      </w:pPr>
    </w:p>
    <w:p>
      <w:pPr>
        <w:spacing w:line="480" w:lineRule="exact"/>
        <w:ind w:firstLine="640" w:firstLineChars="200"/>
        <w:rPr>
          <w:rFonts w:ascii="宋体" w:hAnsi="宋体"/>
          <w:sz w:val="32"/>
          <w:szCs w:val="32"/>
          <w:highlight w:val="none"/>
        </w:rPr>
      </w:pPr>
      <w:r>
        <w:rPr>
          <w:rFonts w:hint="eastAsia" w:ascii="宋体" w:hAnsi="宋体"/>
          <w:sz w:val="32"/>
          <w:szCs w:val="32"/>
          <w:highlight w:val="none"/>
        </w:rPr>
        <w:t>2、</w:t>
      </w:r>
      <w:r>
        <w:rPr>
          <w:rFonts w:hint="eastAsia" w:ascii="宋体" w:hAnsi="宋体"/>
          <w:sz w:val="32"/>
          <w:szCs w:val="32"/>
          <w:highlight w:val="none"/>
          <w:lang w:val="en-US" w:eastAsia="zh-CN"/>
        </w:rPr>
        <w:t>中小微企业</w:t>
      </w:r>
      <w:r>
        <w:rPr>
          <w:rFonts w:hint="eastAsia" w:ascii="宋体" w:hAnsi="宋体"/>
          <w:sz w:val="32"/>
          <w:szCs w:val="32"/>
          <w:highlight w:val="none"/>
        </w:rPr>
        <w:t>相关材料（格式见附件）：</w:t>
      </w:r>
    </w:p>
    <w:p>
      <w:pPr>
        <w:spacing w:line="480" w:lineRule="exact"/>
        <w:ind w:firstLine="640" w:firstLineChars="200"/>
        <w:rPr>
          <w:rFonts w:ascii="宋体" w:hAnsi="宋体"/>
          <w:sz w:val="32"/>
          <w:szCs w:val="32"/>
          <w:highlight w:val="none"/>
        </w:rPr>
      </w:pPr>
      <w:r>
        <w:rPr>
          <w:rFonts w:hint="eastAsia" w:ascii="宋体" w:hAnsi="宋体"/>
          <w:sz w:val="32"/>
          <w:szCs w:val="32"/>
          <w:highlight w:val="none"/>
        </w:rPr>
        <w:t>只面向中小</w:t>
      </w:r>
      <w:r>
        <w:rPr>
          <w:rFonts w:hint="eastAsia" w:ascii="宋体" w:hAnsi="宋体"/>
          <w:sz w:val="32"/>
          <w:szCs w:val="32"/>
          <w:highlight w:val="none"/>
          <w:lang w:val="en-US" w:eastAsia="zh-CN"/>
        </w:rPr>
        <w:t>微</w:t>
      </w:r>
      <w:r>
        <w:rPr>
          <w:rFonts w:hint="eastAsia" w:ascii="宋体" w:hAnsi="宋体"/>
          <w:sz w:val="32"/>
          <w:szCs w:val="32"/>
          <w:highlight w:val="none"/>
        </w:rPr>
        <w:t>企业采购项目</w:t>
      </w:r>
      <w:r>
        <w:rPr>
          <w:rFonts w:hint="eastAsia" w:ascii="宋体" w:hAnsi="宋体"/>
          <w:sz w:val="32"/>
          <w:szCs w:val="32"/>
          <w:highlight w:val="none"/>
          <w:lang w:eastAsia="zh-CN"/>
        </w:rPr>
        <w:t>。</w:t>
      </w:r>
      <w:r>
        <w:rPr>
          <w:rFonts w:hint="eastAsia" w:ascii="宋体" w:hAnsi="宋体"/>
          <w:sz w:val="32"/>
          <w:szCs w:val="32"/>
          <w:highlight w:val="none"/>
          <w:lang w:val="en-US" w:eastAsia="zh-CN"/>
        </w:rPr>
        <w:t>中型、</w:t>
      </w:r>
      <w:r>
        <w:rPr>
          <w:rFonts w:hint="eastAsia" w:ascii="宋体" w:hAnsi="宋体"/>
          <w:sz w:val="32"/>
          <w:szCs w:val="32"/>
          <w:highlight w:val="none"/>
        </w:rPr>
        <w:t>小型、微型企业须在“三　供应商基本情况和资格证明材料”处按要求提供《中小企业声明函》[若为货物类采购项目，其全部标的（产品）应均为</w:t>
      </w:r>
      <w:r>
        <w:rPr>
          <w:rFonts w:hint="eastAsia" w:ascii="宋体" w:hAnsi="宋体"/>
          <w:sz w:val="32"/>
          <w:szCs w:val="32"/>
          <w:highlight w:val="none"/>
          <w:lang w:val="en-US" w:eastAsia="zh-CN"/>
        </w:rPr>
        <w:t>中型、</w:t>
      </w:r>
      <w:r>
        <w:rPr>
          <w:rFonts w:hint="eastAsia" w:ascii="宋体" w:hAnsi="宋体"/>
          <w:sz w:val="32"/>
          <w:szCs w:val="32"/>
          <w:highlight w:val="none"/>
        </w:rPr>
        <w:t>小型、微型企业生产，并在声明函中分别列明与“投标内容及报价明细表”中对应的每一标的（产品）及其生产制造商情况]</w:t>
      </w:r>
      <w:r>
        <w:rPr>
          <w:rFonts w:hint="eastAsia" w:ascii="宋体" w:hAnsi="宋体"/>
          <w:sz w:val="32"/>
          <w:szCs w:val="32"/>
          <w:highlight w:val="none"/>
          <w:lang w:eastAsia="zh-CN"/>
        </w:rPr>
        <w:t>，</w:t>
      </w:r>
      <w:r>
        <w:rPr>
          <w:rFonts w:hint="eastAsia" w:ascii="宋体" w:hAnsi="宋体"/>
          <w:sz w:val="32"/>
          <w:szCs w:val="32"/>
          <w:highlight w:val="none"/>
          <w:lang w:val="en-US" w:eastAsia="zh-CN"/>
        </w:rPr>
        <w:t>作为资格审查内容</w:t>
      </w:r>
      <w:r>
        <w:rPr>
          <w:rFonts w:hint="eastAsia" w:ascii="宋体" w:hAnsi="宋体"/>
          <w:sz w:val="32"/>
          <w:szCs w:val="32"/>
          <w:highlight w:val="none"/>
        </w:rPr>
        <w:t>。</w:t>
      </w:r>
    </w:p>
    <w:p>
      <w:pPr>
        <w:spacing w:line="480" w:lineRule="exact"/>
        <w:ind w:firstLine="640" w:firstLineChars="200"/>
        <w:rPr>
          <w:rFonts w:hint="eastAsia" w:ascii="宋体" w:hAnsi="宋体"/>
          <w:sz w:val="32"/>
          <w:szCs w:val="32"/>
          <w:highlight w:val="none"/>
        </w:rPr>
      </w:pPr>
      <w:r>
        <w:rPr>
          <w:rFonts w:hint="eastAsia" w:ascii="宋体" w:hAnsi="宋体"/>
          <w:sz w:val="32"/>
          <w:szCs w:val="32"/>
          <w:highlight w:val="none"/>
        </w:rPr>
        <w:t>非专门面向中小</w:t>
      </w:r>
      <w:r>
        <w:rPr>
          <w:rFonts w:hint="eastAsia" w:ascii="宋体" w:hAnsi="宋体"/>
          <w:sz w:val="32"/>
          <w:szCs w:val="32"/>
          <w:highlight w:val="none"/>
          <w:lang w:val="en-US" w:eastAsia="zh-CN"/>
        </w:rPr>
        <w:t>微</w:t>
      </w:r>
      <w:r>
        <w:rPr>
          <w:rFonts w:hint="eastAsia" w:ascii="宋体" w:hAnsi="宋体"/>
          <w:sz w:val="32"/>
          <w:szCs w:val="32"/>
          <w:highlight w:val="none"/>
        </w:rPr>
        <w:t>企业采购项目</w:t>
      </w:r>
      <w:r>
        <w:rPr>
          <w:rFonts w:hint="eastAsia" w:ascii="宋体" w:hAnsi="宋体"/>
          <w:sz w:val="32"/>
          <w:szCs w:val="32"/>
          <w:highlight w:val="none"/>
          <w:lang w:eastAsia="zh-CN"/>
        </w:rPr>
        <w:t>。</w:t>
      </w:r>
      <w:r>
        <w:rPr>
          <w:rFonts w:hint="eastAsia" w:ascii="宋体" w:hAnsi="宋体"/>
          <w:sz w:val="32"/>
          <w:szCs w:val="32"/>
          <w:highlight w:val="none"/>
        </w:rPr>
        <w:t>小型、微型企业按要求提供《中小企业声明函》</w:t>
      </w:r>
      <w:r>
        <w:rPr>
          <w:rFonts w:hint="eastAsia" w:ascii="宋体" w:hAnsi="宋体"/>
          <w:sz w:val="32"/>
          <w:szCs w:val="32"/>
          <w:highlight w:val="none"/>
          <w:lang w:val="en-US" w:eastAsia="zh-CN"/>
        </w:rPr>
        <w:t>的</w:t>
      </w:r>
      <w:r>
        <w:rPr>
          <w:rFonts w:hint="eastAsia" w:ascii="宋体" w:hAnsi="宋体"/>
          <w:sz w:val="32"/>
          <w:szCs w:val="32"/>
          <w:highlight w:val="none"/>
        </w:rPr>
        <w:t>[若为货物类采购项目，其全部标的（产品）应均为小型、微型企业生产，并在声明函中分别列明与“投标内容及报价明细表”中对应的每一标的（产品）及其生产制造商情况]，符合要求者在评标时给予价格扣除。</w:t>
      </w:r>
    </w:p>
    <w:p>
      <w:pPr>
        <w:spacing w:line="480" w:lineRule="exact"/>
        <w:ind w:firstLine="640" w:firstLineChars="200"/>
        <w:rPr>
          <w:rFonts w:hint="eastAsia" w:ascii="宋体" w:hAnsi="宋体"/>
          <w:sz w:val="32"/>
          <w:szCs w:val="32"/>
          <w:highlight w:val="none"/>
          <w:lang w:val="en-US" w:eastAsia="zh-CN"/>
        </w:rPr>
      </w:pPr>
      <w:r>
        <w:rPr>
          <w:rFonts w:hint="eastAsia" w:ascii="宋体" w:hAnsi="宋体"/>
          <w:sz w:val="32"/>
          <w:szCs w:val="32"/>
          <w:highlight w:val="none"/>
        </w:rPr>
        <w:t>监狱企业、残疾人福利性单位</w:t>
      </w:r>
      <w:r>
        <w:rPr>
          <w:rFonts w:hint="eastAsia" w:ascii="宋体" w:hAnsi="宋体"/>
          <w:sz w:val="32"/>
          <w:szCs w:val="32"/>
          <w:highlight w:val="none"/>
          <w:lang w:val="en-US" w:eastAsia="zh-CN"/>
        </w:rPr>
        <w:t>提供</w:t>
      </w:r>
      <w:r>
        <w:rPr>
          <w:rFonts w:hint="eastAsia" w:ascii="宋体" w:hAnsi="宋体"/>
          <w:sz w:val="32"/>
          <w:szCs w:val="32"/>
          <w:highlight w:val="none"/>
        </w:rPr>
        <w:t>符合要求的《监狱企业证明文件》或《残疾人福利性单位声明函》</w:t>
      </w:r>
      <w:r>
        <w:rPr>
          <w:rFonts w:hint="eastAsia" w:ascii="宋体" w:hAnsi="宋体"/>
          <w:sz w:val="32"/>
          <w:szCs w:val="32"/>
          <w:highlight w:val="none"/>
          <w:lang w:eastAsia="zh-CN"/>
        </w:rPr>
        <w:t>，</w:t>
      </w:r>
      <w:r>
        <w:rPr>
          <w:rFonts w:hint="eastAsia" w:ascii="宋体" w:hAnsi="宋体"/>
          <w:sz w:val="32"/>
          <w:szCs w:val="32"/>
          <w:highlight w:val="none"/>
        </w:rPr>
        <w:t>视同小型、微型企业。多重身份者不重复计算。</w:t>
      </w:r>
      <w:r>
        <w:rPr>
          <w:rFonts w:hint="eastAsia" w:ascii="宋体" w:hAnsi="宋体"/>
          <w:sz w:val="32"/>
          <w:szCs w:val="32"/>
          <w:highlight w:val="none"/>
          <w:lang w:val="en-US" w:eastAsia="zh-CN"/>
        </w:rPr>
        <w:t xml:space="preserve"> </w:t>
      </w:r>
    </w:p>
    <w:p>
      <w:pPr>
        <w:spacing w:line="480" w:lineRule="exact"/>
        <w:rPr>
          <w:rFonts w:ascii="宋体" w:hAnsi="宋体"/>
          <w:sz w:val="32"/>
          <w:szCs w:val="32"/>
          <w:highlight w:val="yellow"/>
        </w:rPr>
      </w:pPr>
      <w:r>
        <w:rPr>
          <w:rFonts w:hint="eastAsia" w:ascii="宋体" w:hAnsi="宋体"/>
          <w:sz w:val="32"/>
          <w:szCs w:val="32"/>
          <w:highlight w:val="none"/>
          <w:lang w:val="en-US" w:eastAsia="zh-CN"/>
        </w:rPr>
        <w:t xml:space="preserve">   </w:t>
      </w:r>
    </w:p>
    <w:p>
      <w:pPr>
        <w:spacing w:before="120" w:beforeLines="50" w:after="120" w:afterLines="50"/>
        <w:ind w:firstLine="630" w:firstLineChars="196"/>
        <w:rPr>
          <w:rFonts w:ascii="宋体" w:hAnsi="宋体"/>
          <w:b/>
          <w:kern w:val="44"/>
          <w:sz w:val="32"/>
          <w:szCs w:val="32"/>
          <w:highlight w:val="none"/>
        </w:rPr>
      </w:pPr>
      <w:r>
        <w:rPr>
          <w:rFonts w:hint="eastAsia"/>
          <w:b/>
          <w:kern w:val="44"/>
          <w:sz w:val="32"/>
          <w:szCs w:val="32"/>
          <w:highlight w:val="none"/>
        </w:rPr>
        <w:br w:type="page"/>
      </w:r>
      <w:r>
        <w:rPr>
          <w:rFonts w:hint="eastAsia" w:ascii="宋体" w:hAnsi="宋体"/>
          <w:b/>
          <w:kern w:val="44"/>
          <w:sz w:val="32"/>
          <w:szCs w:val="32"/>
          <w:highlight w:val="none"/>
        </w:rPr>
        <w:t>附件1</w:t>
      </w:r>
      <w:r>
        <w:rPr>
          <w:rFonts w:hint="eastAsia" w:ascii="宋体" w:hAnsi="宋体"/>
          <w:b/>
          <w:sz w:val="28"/>
          <w:szCs w:val="28"/>
          <w:highlight w:val="none"/>
        </w:rPr>
        <w:t>（符合政策要求，并申请按小型微型企业投标者提供）</w:t>
      </w:r>
      <w:r>
        <w:rPr>
          <w:rFonts w:hint="eastAsia" w:ascii="宋体" w:hAnsi="宋体"/>
          <w:b/>
          <w:kern w:val="44"/>
          <w:sz w:val="28"/>
          <w:szCs w:val="28"/>
          <w:highlight w:val="none"/>
        </w:rPr>
        <w:t>：</w:t>
      </w:r>
    </w:p>
    <w:p>
      <w:pPr>
        <w:pStyle w:val="2"/>
        <w:spacing w:after="340" w:line="240" w:lineRule="auto"/>
        <w:jc w:val="center"/>
        <w:rPr>
          <w:rFonts w:ascii="宋体" w:hAnsi="宋体" w:eastAsia="Calibri"/>
          <w:bCs w:val="0"/>
          <w:kern w:val="2"/>
          <w:sz w:val="36"/>
          <w:szCs w:val="36"/>
          <w:highlight w:val="none"/>
        </w:rPr>
      </w:pPr>
      <w:bookmarkStart w:id="782" w:name="_Toc13823"/>
      <w:bookmarkStart w:id="783" w:name="_Toc28641"/>
      <w:r>
        <w:rPr>
          <w:rFonts w:hint="eastAsia" w:ascii="宋体" w:hAnsi="宋体" w:eastAsia="Calibri"/>
          <w:bCs w:val="0"/>
          <w:kern w:val="2"/>
          <w:sz w:val="36"/>
          <w:szCs w:val="36"/>
          <w:highlight w:val="none"/>
        </w:rPr>
        <w:t>中小企业声明函（货物）</w:t>
      </w:r>
      <w:bookmarkEnd w:id="782"/>
      <w:bookmarkEnd w:id="783"/>
    </w:p>
    <w:p>
      <w:pPr>
        <w:spacing w:before="120" w:beforeLines="50" w:after="120" w:afterLines="50" w:line="440" w:lineRule="exact"/>
        <w:ind w:firstLine="600" w:firstLineChars="200"/>
        <w:jc w:val="left"/>
        <w:rPr>
          <w:rFonts w:ascii="宋体" w:hAnsi="宋体" w:eastAsia="Calibri"/>
          <w:sz w:val="30"/>
          <w:szCs w:val="30"/>
          <w:highlight w:val="none"/>
        </w:rPr>
      </w:pPr>
      <w:r>
        <w:rPr>
          <w:rFonts w:hint="eastAsia" w:ascii="宋体" w:hAnsi="宋体" w:eastAsia="Calibri"/>
          <w:sz w:val="30"/>
          <w:szCs w:val="30"/>
          <w:highlight w:val="none"/>
        </w:rPr>
        <w:t>本公司（联合体）郑重声明，根据《政府采购促进中小企业发展管理办法》（财库﹝2020﹞46 号）的规定，本公司（联合体）参加</w:t>
      </w:r>
      <w:r>
        <w:rPr>
          <w:rFonts w:hint="eastAsia" w:ascii="宋体" w:hAnsi="宋体"/>
          <w:i/>
          <w:iCs/>
          <w:sz w:val="30"/>
          <w:szCs w:val="30"/>
          <w:highlight w:val="none"/>
          <w:u w:val="single"/>
        </w:rPr>
        <w:t>（单位名称）</w:t>
      </w:r>
      <w:r>
        <w:rPr>
          <w:rFonts w:hint="eastAsia" w:ascii="宋体" w:hAnsi="宋体" w:eastAsia="Calibri"/>
          <w:sz w:val="30"/>
          <w:szCs w:val="30"/>
          <w:highlight w:val="none"/>
        </w:rPr>
        <w:t>的</w:t>
      </w:r>
      <w:r>
        <w:rPr>
          <w:rFonts w:hint="eastAsia" w:ascii="宋体" w:hAnsi="宋体"/>
          <w:i/>
          <w:iCs/>
          <w:sz w:val="30"/>
          <w:szCs w:val="30"/>
          <w:highlight w:val="none"/>
          <w:u w:val="single"/>
        </w:rPr>
        <w:t>（项目名称）</w:t>
      </w:r>
      <w:r>
        <w:rPr>
          <w:rFonts w:hint="eastAsia" w:ascii="宋体" w:hAnsi="宋体" w:eastAsia="Calibri"/>
          <w:sz w:val="30"/>
          <w:szCs w:val="30"/>
          <w:highlight w:val="none"/>
        </w:rPr>
        <w:t>采购活动，提供的货物全部由符合政策要求的中小企业制造。相关企业（含联合体中的中小企业、签订分包意向协议的中小企业） 的具体情况如下：</w:t>
      </w:r>
    </w:p>
    <w:p>
      <w:pPr>
        <w:spacing w:before="120" w:beforeLines="50" w:after="120" w:afterLines="50" w:line="440" w:lineRule="exact"/>
        <w:ind w:firstLine="600" w:firstLineChars="200"/>
        <w:jc w:val="left"/>
        <w:rPr>
          <w:rFonts w:ascii="宋体" w:hAnsi="宋体" w:eastAsia="Calibri"/>
          <w:sz w:val="30"/>
          <w:szCs w:val="30"/>
          <w:highlight w:val="none"/>
        </w:rPr>
      </w:pPr>
      <w:r>
        <w:rPr>
          <w:rFonts w:hint="eastAsia" w:ascii="宋体" w:hAnsi="宋体" w:eastAsia="Calibri"/>
          <w:sz w:val="30"/>
          <w:szCs w:val="30"/>
          <w:highlight w:val="none"/>
        </w:rPr>
        <w:t xml:space="preserve"> </w:t>
      </w:r>
      <w:r>
        <w:rPr>
          <w:rFonts w:hint="eastAsia" w:ascii="宋体" w:hAnsi="宋体"/>
          <w:sz w:val="30"/>
          <w:szCs w:val="30"/>
          <w:highlight w:val="none"/>
        </w:rPr>
        <w:t>1.</w:t>
      </w:r>
      <w:r>
        <w:rPr>
          <w:rFonts w:hint="eastAsia" w:ascii="宋体" w:hAnsi="宋体"/>
          <w:i/>
          <w:iCs/>
          <w:sz w:val="30"/>
          <w:szCs w:val="30"/>
          <w:highlight w:val="none"/>
          <w:u w:val="single"/>
        </w:rPr>
        <w:t xml:space="preserve">     （标的名称）</w:t>
      </w:r>
      <w:r>
        <w:rPr>
          <w:rFonts w:hint="eastAsia" w:ascii="宋体" w:hAnsi="宋体" w:eastAsia="Calibri"/>
          <w:sz w:val="30"/>
          <w:szCs w:val="30"/>
          <w:highlight w:val="none"/>
        </w:rPr>
        <w:t>，属于</w:t>
      </w:r>
      <w:r>
        <w:rPr>
          <w:rFonts w:hint="eastAsia" w:ascii="宋体" w:hAnsi="宋体"/>
          <w:sz w:val="30"/>
          <w:szCs w:val="30"/>
          <w:highlight w:val="none"/>
          <w:u w:val="single"/>
        </w:rPr>
        <w:t xml:space="preserve">    </w:t>
      </w:r>
      <w:r>
        <w:rPr>
          <w:rFonts w:hint="eastAsia" w:ascii="宋体" w:hAnsi="宋体"/>
          <w:sz w:val="30"/>
          <w:szCs w:val="30"/>
          <w:highlight w:val="none"/>
          <w:u w:val="single"/>
          <w:lang w:val="en-US" w:eastAsia="zh-CN"/>
        </w:rPr>
        <w:t>工业</w:t>
      </w:r>
      <w:r>
        <w:rPr>
          <w:rFonts w:hint="eastAsia" w:ascii="宋体" w:hAnsi="宋体"/>
          <w:sz w:val="30"/>
          <w:szCs w:val="30"/>
          <w:highlight w:val="none"/>
          <w:u w:val="single"/>
        </w:rPr>
        <w:t xml:space="preserve">    </w:t>
      </w:r>
      <w:r>
        <w:rPr>
          <w:rFonts w:hint="eastAsia" w:ascii="宋体" w:hAnsi="宋体" w:eastAsia="Calibri"/>
          <w:sz w:val="30"/>
          <w:szCs w:val="30"/>
          <w:highlight w:val="none"/>
        </w:rPr>
        <w:t>行业；制造商为</w:t>
      </w:r>
      <w:r>
        <w:rPr>
          <w:rFonts w:hint="eastAsia" w:ascii="宋体" w:hAnsi="宋体"/>
          <w:i/>
          <w:iCs/>
          <w:sz w:val="30"/>
          <w:szCs w:val="30"/>
          <w:highlight w:val="none"/>
          <w:u w:val="single"/>
        </w:rPr>
        <w:t>（企业名称）</w:t>
      </w:r>
      <w:r>
        <w:rPr>
          <w:rFonts w:hint="eastAsia" w:ascii="宋体" w:hAnsi="宋体" w:eastAsia="Calibri"/>
          <w:sz w:val="30"/>
          <w:szCs w:val="30"/>
          <w:highlight w:val="none"/>
        </w:rPr>
        <w:t>，从业人员</w:t>
      </w:r>
      <w:r>
        <w:rPr>
          <w:rFonts w:hint="eastAsia" w:ascii="宋体" w:hAnsi="宋体" w:eastAsia="Calibri"/>
          <w:sz w:val="30"/>
          <w:szCs w:val="30"/>
          <w:highlight w:val="none"/>
          <w:u w:val="single"/>
        </w:rPr>
        <w:t xml:space="preserve"> </w:t>
      </w:r>
      <w:r>
        <w:rPr>
          <w:rFonts w:hint="eastAsia" w:ascii="宋体" w:hAnsi="宋体" w:eastAsia="Calibri"/>
          <w:sz w:val="30"/>
          <w:szCs w:val="30"/>
          <w:highlight w:val="none"/>
          <w:u w:val="single"/>
        </w:rPr>
        <w:tab/>
      </w:r>
      <w:r>
        <w:rPr>
          <w:rFonts w:hint="eastAsia" w:ascii="宋体" w:hAnsi="宋体" w:eastAsia="Calibri"/>
          <w:sz w:val="30"/>
          <w:szCs w:val="30"/>
          <w:highlight w:val="none"/>
        </w:rPr>
        <w:t>人，营业收入为</w:t>
      </w:r>
      <w:r>
        <w:rPr>
          <w:rFonts w:hint="eastAsia" w:ascii="宋体" w:hAnsi="宋体" w:eastAsia="Calibri"/>
          <w:sz w:val="30"/>
          <w:szCs w:val="30"/>
          <w:highlight w:val="none"/>
          <w:u w:val="single"/>
        </w:rPr>
        <w:t xml:space="preserve"> </w:t>
      </w:r>
      <w:r>
        <w:rPr>
          <w:rFonts w:hint="eastAsia" w:ascii="宋体" w:hAnsi="宋体" w:eastAsia="Calibri"/>
          <w:sz w:val="30"/>
          <w:szCs w:val="30"/>
          <w:highlight w:val="none"/>
          <w:u w:val="single"/>
        </w:rPr>
        <w:tab/>
      </w:r>
      <w:r>
        <w:rPr>
          <w:rFonts w:hint="eastAsia" w:ascii="宋体" w:hAnsi="宋体" w:eastAsia="Calibri"/>
          <w:sz w:val="30"/>
          <w:szCs w:val="30"/>
          <w:highlight w:val="none"/>
        </w:rPr>
        <w:t>万元，资产总额为</w:t>
      </w:r>
      <w:r>
        <w:rPr>
          <w:rFonts w:hint="eastAsia" w:ascii="宋体" w:hAnsi="宋体" w:eastAsia="Calibri"/>
          <w:sz w:val="30"/>
          <w:szCs w:val="30"/>
          <w:highlight w:val="none"/>
          <w:u w:val="single"/>
        </w:rPr>
        <w:t xml:space="preserve"> </w:t>
      </w:r>
      <w:r>
        <w:rPr>
          <w:rFonts w:hint="eastAsia" w:ascii="宋体" w:hAnsi="宋体"/>
          <w:sz w:val="30"/>
          <w:szCs w:val="30"/>
          <w:highlight w:val="none"/>
          <w:u w:val="single"/>
        </w:rPr>
        <w:t xml:space="preserve">  </w:t>
      </w:r>
      <w:r>
        <w:rPr>
          <w:rFonts w:hint="eastAsia" w:ascii="宋体" w:hAnsi="宋体" w:eastAsia="Calibri"/>
          <w:sz w:val="30"/>
          <w:szCs w:val="30"/>
          <w:highlight w:val="none"/>
          <w:u w:val="single"/>
        </w:rPr>
        <w:tab/>
      </w:r>
      <w:r>
        <w:rPr>
          <w:rFonts w:hint="eastAsia" w:ascii="宋体" w:hAnsi="宋体" w:eastAsia="Calibri"/>
          <w:sz w:val="30"/>
          <w:szCs w:val="30"/>
          <w:highlight w:val="none"/>
        </w:rPr>
        <w:t>万元，属于</w:t>
      </w:r>
      <w:r>
        <w:rPr>
          <w:rFonts w:hint="eastAsia" w:ascii="宋体" w:hAnsi="宋体"/>
          <w:sz w:val="30"/>
          <w:szCs w:val="30"/>
          <w:highlight w:val="none"/>
          <w:u w:val="single"/>
        </w:rPr>
        <w:t xml:space="preserve">            </w:t>
      </w:r>
      <w:r>
        <w:rPr>
          <w:rFonts w:hint="eastAsia" w:ascii="宋体" w:hAnsi="宋体"/>
          <w:i/>
          <w:iCs/>
          <w:sz w:val="30"/>
          <w:szCs w:val="30"/>
          <w:highlight w:val="none"/>
          <w:u w:val="single"/>
        </w:rPr>
        <w:t>（中型企业、小型企业、微型企业）</w:t>
      </w:r>
      <w:r>
        <w:rPr>
          <w:rFonts w:hint="eastAsia" w:ascii="宋体" w:hAnsi="宋体" w:eastAsia="Calibri"/>
          <w:sz w:val="30"/>
          <w:szCs w:val="30"/>
          <w:highlight w:val="none"/>
        </w:rPr>
        <w:t>；</w:t>
      </w:r>
    </w:p>
    <w:p>
      <w:pPr>
        <w:spacing w:before="120" w:beforeLines="50" w:after="120" w:afterLines="50" w:line="440" w:lineRule="exact"/>
        <w:ind w:firstLine="600" w:firstLineChars="200"/>
        <w:jc w:val="left"/>
        <w:rPr>
          <w:rFonts w:ascii="宋体" w:hAnsi="宋体" w:eastAsia="Calibri"/>
          <w:sz w:val="30"/>
          <w:szCs w:val="30"/>
          <w:highlight w:val="none"/>
        </w:rPr>
      </w:pPr>
      <w:r>
        <w:rPr>
          <w:rFonts w:hint="eastAsia" w:ascii="宋体" w:hAnsi="宋体" w:eastAsia="Calibri"/>
          <w:sz w:val="30"/>
          <w:szCs w:val="30"/>
          <w:highlight w:val="none"/>
        </w:rPr>
        <w:t xml:space="preserve"> </w:t>
      </w:r>
      <w:r>
        <w:rPr>
          <w:rFonts w:hint="eastAsia" w:ascii="宋体" w:hAnsi="宋体"/>
          <w:sz w:val="30"/>
          <w:szCs w:val="30"/>
          <w:highlight w:val="none"/>
        </w:rPr>
        <w:t>2.</w:t>
      </w:r>
      <w:r>
        <w:rPr>
          <w:rFonts w:hint="eastAsia" w:ascii="宋体" w:hAnsi="宋体"/>
          <w:i/>
          <w:iCs/>
          <w:sz w:val="30"/>
          <w:szCs w:val="30"/>
          <w:highlight w:val="none"/>
          <w:u w:val="single"/>
        </w:rPr>
        <w:t xml:space="preserve">     （标的名称）</w:t>
      </w:r>
      <w:r>
        <w:rPr>
          <w:rFonts w:hint="eastAsia" w:ascii="宋体" w:hAnsi="宋体" w:eastAsia="Calibri"/>
          <w:sz w:val="30"/>
          <w:szCs w:val="30"/>
          <w:highlight w:val="none"/>
        </w:rPr>
        <w:t>，属于</w:t>
      </w:r>
      <w:r>
        <w:rPr>
          <w:rFonts w:hint="eastAsia" w:ascii="宋体" w:hAnsi="宋体"/>
          <w:sz w:val="30"/>
          <w:szCs w:val="30"/>
          <w:highlight w:val="none"/>
          <w:u w:val="single"/>
        </w:rPr>
        <w:t xml:space="preserve">     </w:t>
      </w:r>
      <w:r>
        <w:rPr>
          <w:rFonts w:hint="eastAsia" w:ascii="宋体" w:hAnsi="宋体"/>
          <w:sz w:val="30"/>
          <w:szCs w:val="30"/>
          <w:highlight w:val="none"/>
          <w:u w:val="single"/>
          <w:lang w:val="en-US" w:eastAsia="zh-CN"/>
        </w:rPr>
        <w:t>工业</w:t>
      </w:r>
      <w:r>
        <w:rPr>
          <w:rFonts w:hint="eastAsia" w:ascii="宋体" w:hAnsi="宋体"/>
          <w:sz w:val="30"/>
          <w:szCs w:val="30"/>
          <w:highlight w:val="none"/>
          <w:u w:val="single"/>
        </w:rPr>
        <w:t xml:space="preserve">     </w:t>
      </w:r>
      <w:r>
        <w:rPr>
          <w:rFonts w:hint="eastAsia" w:ascii="宋体" w:hAnsi="宋体" w:eastAsia="Calibri"/>
          <w:sz w:val="30"/>
          <w:szCs w:val="30"/>
          <w:highlight w:val="none"/>
        </w:rPr>
        <w:t>行业；制造商为</w:t>
      </w:r>
      <w:r>
        <w:rPr>
          <w:rFonts w:hint="eastAsia" w:ascii="宋体" w:hAnsi="宋体"/>
          <w:i/>
          <w:iCs/>
          <w:sz w:val="30"/>
          <w:szCs w:val="30"/>
          <w:highlight w:val="none"/>
          <w:u w:val="single"/>
        </w:rPr>
        <w:t>（企业名称）</w:t>
      </w:r>
      <w:r>
        <w:rPr>
          <w:rFonts w:hint="eastAsia" w:ascii="宋体" w:hAnsi="宋体" w:eastAsia="Calibri"/>
          <w:sz w:val="30"/>
          <w:szCs w:val="30"/>
          <w:highlight w:val="none"/>
        </w:rPr>
        <w:t>，从业人员</w:t>
      </w:r>
      <w:r>
        <w:rPr>
          <w:rFonts w:hint="eastAsia" w:ascii="宋体" w:hAnsi="宋体" w:eastAsia="Calibri"/>
          <w:sz w:val="30"/>
          <w:szCs w:val="30"/>
          <w:highlight w:val="none"/>
          <w:u w:val="single"/>
        </w:rPr>
        <w:t xml:space="preserve"> </w:t>
      </w:r>
      <w:r>
        <w:rPr>
          <w:rFonts w:hint="eastAsia" w:ascii="宋体" w:hAnsi="宋体" w:eastAsia="Calibri"/>
          <w:sz w:val="30"/>
          <w:szCs w:val="30"/>
          <w:highlight w:val="none"/>
          <w:u w:val="single"/>
        </w:rPr>
        <w:tab/>
      </w:r>
      <w:r>
        <w:rPr>
          <w:rFonts w:hint="eastAsia" w:ascii="宋体" w:hAnsi="宋体" w:eastAsia="Calibri"/>
          <w:sz w:val="30"/>
          <w:szCs w:val="30"/>
          <w:highlight w:val="none"/>
        </w:rPr>
        <w:t>人，营业收入为</w:t>
      </w:r>
      <w:r>
        <w:rPr>
          <w:rFonts w:hint="eastAsia" w:ascii="宋体" w:hAnsi="宋体" w:eastAsia="Calibri"/>
          <w:sz w:val="30"/>
          <w:szCs w:val="30"/>
          <w:highlight w:val="none"/>
          <w:u w:val="single"/>
        </w:rPr>
        <w:t xml:space="preserve"> </w:t>
      </w:r>
      <w:r>
        <w:rPr>
          <w:rFonts w:hint="eastAsia" w:ascii="宋体" w:hAnsi="宋体" w:eastAsia="Calibri"/>
          <w:sz w:val="30"/>
          <w:szCs w:val="30"/>
          <w:highlight w:val="none"/>
          <w:u w:val="single"/>
        </w:rPr>
        <w:tab/>
      </w:r>
      <w:r>
        <w:rPr>
          <w:rFonts w:hint="eastAsia" w:ascii="宋体" w:hAnsi="宋体" w:eastAsia="Calibri"/>
          <w:sz w:val="30"/>
          <w:szCs w:val="30"/>
          <w:highlight w:val="none"/>
        </w:rPr>
        <w:t>万元，资产总额为</w:t>
      </w:r>
      <w:r>
        <w:rPr>
          <w:rFonts w:hint="eastAsia" w:ascii="宋体" w:hAnsi="宋体" w:eastAsia="Calibri"/>
          <w:sz w:val="30"/>
          <w:szCs w:val="30"/>
          <w:highlight w:val="none"/>
          <w:u w:val="single"/>
        </w:rPr>
        <w:t xml:space="preserve"> </w:t>
      </w:r>
      <w:r>
        <w:rPr>
          <w:rFonts w:hint="eastAsia" w:ascii="宋体" w:hAnsi="宋体"/>
          <w:sz w:val="30"/>
          <w:szCs w:val="30"/>
          <w:highlight w:val="none"/>
          <w:u w:val="single"/>
        </w:rPr>
        <w:t xml:space="preserve">  </w:t>
      </w:r>
      <w:r>
        <w:rPr>
          <w:rFonts w:hint="eastAsia" w:ascii="宋体" w:hAnsi="宋体" w:eastAsia="Calibri"/>
          <w:sz w:val="30"/>
          <w:szCs w:val="30"/>
          <w:highlight w:val="none"/>
          <w:u w:val="single"/>
        </w:rPr>
        <w:tab/>
      </w:r>
      <w:r>
        <w:rPr>
          <w:rFonts w:hint="eastAsia" w:ascii="宋体" w:hAnsi="宋体" w:eastAsia="Calibri"/>
          <w:sz w:val="30"/>
          <w:szCs w:val="30"/>
          <w:highlight w:val="none"/>
        </w:rPr>
        <w:t>万元，属于</w:t>
      </w:r>
      <w:r>
        <w:rPr>
          <w:rFonts w:hint="eastAsia" w:ascii="宋体" w:hAnsi="宋体"/>
          <w:sz w:val="30"/>
          <w:szCs w:val="30"/>
          <w:highlight w:val="none"/>
          <w:u w:val="single"/>
        </w:rPr>
        <w:t xml:space="preserve">           </w:t>
      </w:r>
      <w:r>
        <w:rPr>
          <w:rFonts w:hint="eastAsia" w:ascii="宋体" w:hAnsi="宋体"/>
          <w:i/>
          <w:iCs/>
          <w:sz w:val="30"/>
          <w:szCs w:val="30"/>
          <w:highlight w:val="none"/>
          <w:u w:val="single"/>
        </w:rPr>
        <w:t>（中型企业、小型企业、微型企业）</w:t>
      </w:r>
      <w:r>
        <w:rPr>
          <w:rFonts w:hint="eastAsia" w:ascii="宋体" w:hAnsi="宋体" w:eastAsia="Calibri"/>
          <w:sz w:val="30"/>
          <w:szCs w:val="30"/>
          <w:highlight w:val="none"/>
        </w:rPr>
        <w:t>；</w:t>
      </w:r>
    </w:p>
    <w:p>
      <w:pPr>
        <w:spacing w:before="120" w:beforeLines="50" w:after="120" w:afterLines="50" w:line="440" w:lineRule="exact"/>
        <w:ind w:firstLine="600" w:firstLineChars="200"/>
        <w:jc w:val="left"/>
        <w:rPr>
          <w:rFonts w:ascii="宋体" w:hAnsi="宋体" w:eastAsia="Calibri"/>
          <w:sz w:val="30"/>
          <w:szCs w:val="30"/>
          <w:highlight w:val="none"/>
        </w:rPr>
      </w:pPr>
      <w:r>
        <w:rPr>
          <w:rFonts w:hint="eastAsia" w:ascii="宋体" w:hAnsi="宋体" w:eastAsia="Calibri"/>
          <w:sz w:val="30"/>
          <w:szCs w:val="30"/>
          <w:highlight w:val="none"/>
        </w:rPr>
        <w:t>……</w:t>
      </w:r>
    </w:p>
    <w:p>
      <w:pPr>
        <w:spacing w:before="120" w:beforeLines="50" w:after="120" w:afterLines="50" w:line="440" w:lineRule="exact"/>
        <w:ind w:firstLine="600" w:firstLineChars="200"/>
        <w:jc w:val="left"/>
        <w:rPr>
          <w:rFonts w:ascii="宋体" w:hAnsi="宋体" w:eastAsia="Calibri"/>
          <w:sz w:val="30"/>
          <w:szCs w:val="30"/>
          <w:highlight w:val="none"/>
        </w:rPr>
      </w:pPr>
      <w:r>
        <w:rPr>
          <w:rFonts w:hint="eastAsia" w:ascii="宋体" w:hAnsi="宋体" w:eastAsia="Calibri"/>
          <w:sz w:val="30"/>
          <w:szCs w:val="30"/>
          <w:highlight w:val="none"/>
        </w:rPr>
        <w:t>以上企业，不属于大企业的分支机构，不存在控股股东为大企业的情形，也不存在与大企业的负责人为同一人的情形。</w:t>
      </w:r>
    </w:p>
    <w:p>
      <w:pPr>
        <w:spacing w:before="120" w:beforeLines="50" w:after="120" w:afterLines="50" w:line="440" w:lineRule="exact"/>
        <w:ind w:firstLine="600" w:firstLineChars="200"/>
        <w:jc w:val="left"/>
        <w:rPr>
          <w:rFonts w:ascii="宋体" w:hAnsi="宋体" w:eastAsia="Calibri"/>
          <w:sz w:val="30"/>
          <w:szCs w:val="30"/>
          <w:highlight w:val="none"/>
        </w:rPr>
      </w:pPr>
      <w:r>
        <w:rPr>
          <w:rFonts w:hint="eastAsia" w:ascii="宋体" w:hAnsi="宋体" w:eastAsia="Calibri"/>
          <w:sz w:val="30"/>
          <w:szCs w:val="30"/>
          <w:highlight w:val="none"/>
        </w:rPr>
        <w:t>本企业对上述声明内容的真实性负责。如有虚假，将依法承担相应责任。</w:t>
      </w:r>
    </w:p>
    <w:p>
      <w:pPr>
        <w:spacing w:before="120" w:beforeLines="50" w:after="120" w:afterLines="50" w:line="440" w:lineRule="exact"/>
        <w:ind w:firstLine="5598" w:firstLineChars="1866"/>
        <w:jc w:val="left"/>
        <w:rPr>
          <w:rFonts w:ascii="宋体" w:hAnsi="宋体" w:eastAsia="Calibri"/>
          <w:sz w:val="30"/>
          <w:szCs w:val="30"/>
          <w:highlight w:val="none"/>
        </w:rPr>
      </w:pPr>
      <w:r>
        <w:rPr>
          <w:rFonts w:hint="eastAsia" w:ascii="宋体" w:hAnsi="宋体" w:eastAsia="Calibri"/>
          <w:sz w:val="30"/>
          <w:szCs w:val="30"/>
          <w:highlight w:val="none"/>
        </w:rPr>
        <w:t>企业名称（盖章）：</w:t>
      </w:r>
    </w:p>
    <w:p>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日期：</w:t>
      </w:r>
    </w:p>
    <w:p>
      <w:pPr>
        <w:spacing w:before="120" w:beforeLines="50" w:after="120" w:afterLines="50" w:line="400" w:lineRule="exact"/>
        <w:ind w:right="-92" w:rightChars="-44"/>
        <w:rPr>
          <w:rFonts w:ascii="宋体" w:hAnsi="宋体"/>
          <w:b/>
          <w:color w:val="auto"/>
          <w:sz w:val="24"/>
          <w:highlight w:val="none"/>
        </w:rPr>
      </w:pPr>
      <w:r>
        <w:rPr>
          <w:rFonts w:hint="eastAsia" w:ascii="宋体" w:hAnsi="宋体"/>
          <w:b/>
          <w:color w:val="auto"/>
          <w:sz w:val="24"/>
          <w:highlight w:val="none"/>
        </w:rPr>
        <w:t>注：1、本采购标的（产品）对应的中小企业划分标准</w:t>
      </w:r>
      <w:r>
        <w:rPr>
          <w:rFonts w:hint="eastAsia" w:ascii="宋体" w:hAnsi="宋体"/>
          <w:b/>
          <w:color w:val="FF0000"/>
          <w:sz w:val="24"/>
          <w:highlight w:val="none"/>
        </w:rPr>
        <w:t>所属行业为：</w:t>
      </w:r>
      <w:r>
        <w:rPr>
          <w:rFonts w:hint="eastAsia" w:ascii="宋体" w:hAnsi="宋体"/>
          <w:b/>
          <w:color w:val="FF0000"/>
          <w:sz w:val="24"/>
          <w:highlight w:val="none"/>
          <w:u w:val="single"/>
        </w:rPr>
        <w:t xml:space="preserve">  </w:t>
      </w:r>
      <w:r>
        <w:rPr>
          <w:rFonts w:hint="eastAsia" w:ascii="宋体" w:hAnsi="宋体"/>
          <w:b/>
          <w:color w:val="FF0000"/>
          <w:sz w:val="24"/>
          <w:highlight w:val="none"/>
          <w:u w:val="single"/>
          <w:lang w:val="en-US" w:eastAsia="zh-CN"/>
        </w:rPr>
        <w:t>工业</w:t>
      </w:r>
      <w:r>
        <w:rPr>
          <w:rFonts w:hint="eastAsia" w:ascii="宋体" w:hAnsi="宋体"/>
          <w:b/>
          <w:color w:val="FF0000"/>
          <w:sz w:val="24"/>
          <w:highlight w:val="none"/>
          <w:u w:val="single"/>
        </w:rPr>
        <w:t xml:space="preserve">  </w:t>
      </w:r>
      <w:r>
        <w:rPr>
          <w:rFonts w:hint="eastAsia" w:ascii="宋体" w:hAnsi="宋体"/>
          <w:b/>
          <w:color w:val="FF0000"/>
          <w:sz w:val="24"/>
          <w:highlight w:val="none"/>
        </w:rPr>
        <w:t>行业</w:t>
      </w:r>
      <w:r>
        <w:rPr>
          <w:rFonts w:hint="eastAsia" w:ascii="宋体" w:hAnsi="宋体"/>
          <w:b/>
          <w:color w:val="auto"/>
          <w:sz w:val="24"/>
          <w:highlight w:val="none"/>
        </w:rPr>
        <w:t>。供应商应按该行业，对照《中小企业划型标准规定》判定标的（产品）生产制造商是否属于中小微企业。在本声明函中分别列明与“投标内容及报价明细表”中对应的每一标的（产品）及其生产制造商情况。</w:t>
      </w:r>
    </w:p>
    <w:p>
      <w:pPr>
        <w:spacing w:before="120" w:beforeLines="50" w:after="120" w:afterLines="50" w:line="400" w:lineRule="exact"/>
        <w:ind w:right="-92" w:rightChars="-44"/>
        <w:rPr>
          <w:rFonts w:ascii="宋体" w:hAnsi="宋体"/>
          <w:b/>
          <w:sz w:val="24"/>
          <w:highlight w:val="none"/>
        </w:rPr>
      </w:pPr>
      <w:r>
        <w:rPr>
          <w:rFonts w:hint="eastAsia" w:ascii="宋体" w:hAnsi="宋体"/>
          <w:b/>
          <w:color w:val="auto"/>
          <w:sz w:val="24"/>
          <w:highlight w:val="none"/>
        </w:rPr>
        <w:t>2、从业人员、营业收入、资产总额填报上一年度数据，无上一年度数据的新成立企业</w:t>
      </w:r>
      <w:r>
        <w:rPr>
          <w:rFonts w:hint="eastAsia" w:ascii="宋体" w:hAnsi="宋体"/>
          <w:b/>
          <w:sz w:val="24"/>
          <w:highlight w:val="none"/>
        </w:rPr>
        <w:t>可不填报。</w:t>
      </w:r>
    </w:p>
    <w:p>
      <w:pPr>
        <w:spacing w:before="120" w:beforeLines="50" w:after="120" w:afterLines="50" w:line="400" w:lineRule="exact"/>
        <w:ind w:right="-92" w:rightChars="-44"/>
        <w:rPr>
          <w:rFonts w:ascii="宋体" w:hAnsi="宋体"/>
          <w:b/>
          <w:sz w:val="24"/>
          <w:highlight w:val="none"/>
        </w:rPr>
        <w:sectPr>
          <w:pgSz w:w="11905" w:h="16838"/>
          <w:pgMar w:top="1417" w:right="1417" w:bottom="1417" w:left="1417" w:header="850" w:footer="992" w:gutter="0"/>
          <w:cols w:space="0" w:num="1"/>
          <w:titlePg/>
          <w:rtlGutter w:val="0"/>
          <w:docGrid w:type="lines" w:linePitch="312" w:charSpace="0"/>
        </w:sectPr>
      </w:pPr>
      <w:r>
        <w:rPr>
          <w:rFonts w:hint="eastAsia" w:ascii="宋体" w:hAnsi="宋体"/>
          <w:b/>
          <w:sz w:val="24"/>
          <w:highlight w:val="none"/>
        </w:rPr>
        <w:t>3、中标人的本声明函随中标结果同时公布，接受其他供应商和社会监督。</w:t>
      </w:r>
    </w:p>
    <w:p>
      <w:pPr>
        <w:rPr>
          <w:rFonts w:ascii="宋体" w:hAnsi="宋体"/>
          <w:b/>
          <w:kern w:val="44"/>
          <w:sz w:val="32"/>
          <w:szCs w:val="32"/>
          <w:highlight w:val="none"/>
        </w:rPr>
      </w:pPr>
      <w:r>
        <w:rPr>
          <w:rFonts w:hint="eastAsia" w:ascii="宋体" w:hAnsi="宋体"/>
          <w:b/>
          <w:kern w:val="44"/>
          <w:sz w:val="32"/>
          <w:szCs w:val="32"/>
          <w:highlight w:val="none"/>
        </w:rPr>
        <w:t>附件2</w:t>
      </w:r>
      <w:r>
        <w:rPr>
          <w:rFonts w:hint="eastAsia" w:ascii="宋体" w:hAnsi="宋体"/>
          <w:b/>
          <w:sz w:val="28"/>
          <w:szCs w:val="28"/>
          <w:highlight w:val="none"/>
        </w:rPr>
        <w:t>（符合政策要求，并申请按残疾人福利性单位投标者提供）</w:t>
      </w:r>
      <w:r>
        <w:rPr>
          <w:rFonts w:hint="eastAsia" w:ascii="宋体" w:hAnsi="宋体"/>
          <w:b/>
          <w:kern w:val="44"/>
          <w:sz w:val="28"/>
          <w:szCs w:val="28"/>
          <w:highlight w:val="none"/>
        </w:rPr>
        <w:t>：</w:t>
      </w:r>
    </w:p>
    <w:p>
      <w:pPr>
        <w:spacing w:line="588" w:lineRule="exact"/>
        <w:rPr>
          <w:rFonts w:ascii="宋体" w:hAnsi="宋体"/>
          <w:spacing w:val="6"/>
          <w:sz w:val="30"/>
          <w:szCs w:val="30"/>
          <w:highlight w:val="none"/>
        </w:rPr>
      </w:pPr>
    </w:p>
    <w:p>
      <w:pPr>
        <w:spacing w:line="588" w:lineRule="exact"/>
        <w:jc w:val="center"/>
        <w:rPr>
          <w:rFonts w:ascii="宋体" w:hAnsi="宋体"/>
          <w:b/>
          <w:spacing w:val="6"/>
          <w:sz w:val="32"/>
          <w:szCs w:val="32"/>
          <w:highlight w:val="none"/>
        </w:rPr>
      </w:pPr>
      <w:bookmarkStart w:id="784" w:name="OLE_LINK13"/>
      <w:bookmarkStart w:id="785" w:name="OLE_LINK14"/>
      <w:r>
        <w:rPr>
          <w:rFonts w:hint="eastAsia" w:ascii="宋体" w:hAnsi="宋体"/>
          <w:b/>
          <w:spacing w:val="6"/>
          <w:sz w:val="32"/>
          <w:szCs w:val="32"/>
          <w:highlight w:val="none"/>
        </w:rPr>
        <w:t>残疾人福利性单位声明函</w:t>
      </w:r>
      <w:bookmarkEnd w:id="784"/>
      <w:bookmarkEnd w:id="785"/>
    </w:p>
    <w:p>
      <w:pPr>
        <w:spacing w:line="588" w:lineRule="exact"/>
        <w:ind w:firstLine="624" w:firstLineChars="200"/>
        <w:rPr>
          <w:rFonts w:ascii="宋体" w:hAnsi="宋体"/>
          <w:spacing w:val="6"/>
          <w:sz w:val="30"/>
          <w:szCs w:val="30"/>
          <w:highlight w:val="none"/>
        </w:rPr>
      </w:pPr>
      <w:r>
        <w:rPr>
          <w:rFonts w:hint="eastAsia" w:ascii="宋体" w:hAnsi="宋体"/>
          <w:spacing w:val="6"/>
          <w:sz w:val="30"/>
          <w:szCs w:val="30"/>
          <w:highlight w:val="none"/>
        </w:rPr>
        <w:t>本单位郑重声明，根据《财政部</w:t>
      </w:r>
      <w:r>
        <w:rPr>
          <w:rFonts w:ascii="宋体" w:hAnsi="宋体"/>
          <w:spacing w:val="6"/>
          <w:sz w:val="30"/>
          <w:szCs w:val="30"/>
          <w:highlight w:val="none"/>
        </w:rPr>
        <w:t xml:space="preserve"> </w:t>
      </w:r>
      <w:r>
        <w:rPr>
          <w:rFonts w:hint="eastAsia" w:ascii="宋体" w:hAnsi="宋体"/>
          <w:spacing w:val="6"/>
          <w:sz w:val="30"/>
          <w:szCs w:val="30"/>
          <w:highlight w:val="none"/>
        </w:rPr>
        <w:t>民政部</w:t>
      </w:r>
      <w:r>
        <w:rPr>
          <w:rFonts w:ascii="宋体" w:hAnsi="宋体"/>
          <w:spacing w:val="6"/>
          <w:sz w:val="30"/>
          <w:szCs w:val="30"/>
          <w:highlight w:val="none"/>
        </w:rPr>
        <w:t xml:space="preserve"> </w:t>
      </w:r>
      <w:r>
        <w:rPr>
          <w:rFonts w:hint="eastAsia" w:ascii="宋体" w:hAnsi="宋体"/>
          <w:spacing w:val="6"/>
          <w:sz w:val="30"/>
          <w:szCs w:val="30"/>
          <w:highlight w:val="none"/>
        </w:rPr>
        <w:t>中国残疾人联合会关于促进残疾人就业政府采购政策的通知》（财库</w:t>
      </w:r>
      <w:r>
        <w:rPr>
          <w:rFonts w:hint="eastAsia" w:ascii="宋体" w:hAnsi="宋体"/>
          <w:sz w:val="32"/>
          <w:szCs w:val="32"/>
          <w:highlight w:val="none"/>
        </w:rPr>
        <w:t>〔</w:t>
      </w:r>
      <w:r>
        <w:rPr>
          <w:rFonts w:ascii="宋体" w:hAnsi="宋体"/>
          <w:sz w:val="32"/>
          <w:szCs w:val="32"/>
          <w:highlight w:val="none"/>
        </w:rPr>
        <w:t>2017</w:t>
      </w:r>
      <w:r>
        <w:rPr>
          <w:rFonts w:hint="eastAsia" w:ascii="宋体" w:hAnsi="宋体"/>
          <w:sz w:val="32"/>
          <w:szCs w:val="32"/>
          <w:highlight w:val="none"/>
        </w:rPr>
        <w:t>〕</w:t>
      </w:r>
      <w:r>
        <w:rPr>
          <w:rFonts w:ascii="宋体" w:hAnsi="宋体"/>
          <w:sz w:val="32"/>
          <w:szCs w:val="32"/>
          <w:highlight w:val="none"/>
        </w:rPr>
        <w:t xml:space="preserve"> 141</w:t>
      </w:r>
      <w:r>
        <w:rPr>
          <w:rFonts w:hint="eastAsia" w:ascii="宋体" w:hAnsi="宋体"/>
          <w:spacing w:val="6"/>
          <w:sz w:val="30"/>
          <w:szCs w:val="30"/>
          <w:highlight w:val="none"/>
        </w:rPr>
        <w:t>号）的规定，本单位为符合条件的残疾人福利性单位，且本单位参加</w:t>
      </w:r>
      <w:r>
        <w:rPr>
          <w:rFonts w:hint="eastAsia" w:ascii="宋体" w:hAnsi="宋体"/>
          <w:spacing w:val="6"/>
          <w:sz w:val="30"/>
          <w:szCs w:val="30"/>
          <w:highlight w:val="none"/>
          <w:u w:val="single"/>
        </w:rPr>
        <w:t xml:space="preserve">        </w:t>
      </w:r>
      <w:r>
        <w:rPr>
          <w:rFonts w:hint="eastAsia" w:ascii="宋体" w:hAnsi="宋体"/>
          <w:spacing w:val="6"/>
          <w:sz w:val="30"/>
          <w:szCs w:val="30"/>
          <w:highlight w:val="none"/>
        </w:rPr>
        <w:t>单位的</w:t>
      </w:r>
      <w:r>
        <w:rPr>
          <w:rFonts w:hint="eastAsia" w:ascii="宋体" w:hAnsi="宋体"/>
          <w:spacing w:val="6"/>
          <w:sz w:val="30"/>
          <w:szCs w:val="30"/>
          <w:highlight w:val="none"/>
          <w:u w:val="single"/>
        </w:rPr>
        <w:t xml:space="preserve">        </w:t>
      </w:r>
      <w:r>
        <w:rPr>
          <w:rFonts w:hint="eastAsia" w:ascii="宋体" w:hAnsi="宋体"/>
          <w:spacing w:val="6"/>
          <w:sz w:val="30"/>
          <w:szCs w:val="30"/>
          <w:highlight w:val="none"/>
        </w:rPr>
        <w:t>项目采购活动提供本单位制造的货物（由本单位承担工程</w:t>
      </w:r>
      <w:r>
        <w:rPr>
          <w:rFonts w:ascii="宋体" w:hAnsi="宋体"/>
          <w:spacing w:val="6"/>
          <w:sz w:val="30"/>
          <w:szCs w:val="30"/>
          <w:highlight w:val="none"/>
        </w:rPr>
        <w:t>/</w:t>
      </w:r>
      <w:r>
        <w:rPr>
          <w:rFonts w:hint="eastAsia" w:ascii="宋体" w:hAnsi="宋体"/>
          <w:spacing w:val="6"/>
          <w:sz w:val="30"/>
          <w:szCs w:val="30"/>
          <w:highlight w:val="none"/>
        </w:rPr>
        <w:t>提供服务），或者提供其他残疾人福利性单位制造的货物（不包括使用非残疾人福利性单位注册商标的货物）。</w:t>
      </w:r>
    </w:p>
    <w:p>
      <w:pPr>
        <w:spacing w:line="588" w:lineRule="exact"/>
        <w:ind w:firstLine="624" w:firstLineChars="200"/>
        <w:rPr>
          <w:rFonts w:ascii="宋体" w:hAnsi="宋体"/>
          <w:spacing w:val="6"/>
          <w:sz w:val="30"/>
          <w:szCs w:val="30"/>
          <w:highlight w:val="none"/>
        </w:rPr>
      </w:pPr>
      <w:r>
        <w:rPr>
          <w:rFonts w:hint="eastAsia" w:ascii="宋体" w:hAnsi="宋体"/>
          <w:spacing w:val="6"/>
          <w:sz w:val="30"/>
          <w:szCs w:val="30"/>
          <w:highlight w:val="none"/>
        </w:rPr>
        <w:t>本单位对上述声明的真实性负责。如有虚假，将依法承担相应责任。</w:t>
      </w:r>
    </w:p>
    <w:p>
      <w:pPr>
        <w:tabs>
          <w:tab w:val="left" w:pos="4860"/>
        </w:tabs>
        <w:spacing w:line="588" w:lineRule="exact"/>
        <w:ind w:right="1560" w:firstLine="3432" w:firstLineChars="1100"/>
        <w:rPr>
          <w:rFonts w:ascii="宋体" w:hAnsi="宋体"/>
          <w:spacing w:val="6"/>
          <w:sz w:val="30"/>
          <w:szCs w:val="30"/>
          <w:highlight w:val="none"/>
        </w:rPr>
      </w:pPr>
    </w:p>
    <w:p>
      <w:pPr>
        <w:tabs>
          <w:tab w:val="left" w:pos="4860"/>
        </w:tabs>
        <w:spacing w:line="588" w:lineRule="exact"/>
        <w:ind w:right="1560" w:firstLine="3432" w:firstLineChars="1100"/>
        <w:rPr>
          <w:rFonts w:ascii="宋体" w:hAnsi="宋体"/>
          <w:spacing w:val="6"/>
          <w:sz w:val="30"/>
          <w:szCs w:val="30"/>
          <w:highlight w:val="none"/>
        </w:rPr>
      </w:pPr>
    </w:p>
    <w:p>
      <w:pPr>
        <w:tabs>
          <w:tab w:val="left" w:pos="4860"/>
        </w:tabs>
        <w:spacing w:line="588" w:lineRule="exact"/>
        <w:ind w:right="1560" w:firstLine="3432" w:firstLineChars="1100"/>
        <w:rPr>
          <w:rFonts w:ascii="宋体" w:hAnsi="宋体"/>
          <w:spacing w:val="6"/>
          <w:sz w:val="30"/>
          <w:szCs w:val="30"/>
          <w:highlight w:val="none"/>
        </w:rPr>
      </w:pPr>
      <w:r>
        <w:rPr>
          <w:rFonts w:hint="eastAsia" w:ascii="宋体" w:hAnsi="宋体"/>
          <w:spacing w:val="6"/>
          <w:sz w:val="30"/>
          <w:szCs w:val="30"/>
          <w:highlight w:val="none"/>
        </w:rPr>
        <w:t>单位名称（盖章）：</w:t>
      </w:r>
    </w:p>
    <w:p>
      <w:pPr>
        <w:tabs>
          <w:tab w:val="left" w:pos="4860"/>
        </w:tabs>
        <w:spacing w:line="588" w:lineRule="exact"/>
        <w:ind w:right="1560" w:firstLine="4680" w:firstLineChars="1500"/>
        <w:rPr>
          <w:rFonts w:ascii="宋体" w:hAnsi="宋体"/>
          <w:spacing w:val="6"/>
          <w:sz w:val="30"/>
          <w:szCs w:val="30"/>
          <w:highlight w:val="none"/>
        </w:rPr>
      </w:pPr>
      <w:r>
        <w:rPr>
          <w:rFonts w:hint="eastAsia" w:ascii="宋体" w:hAnsi="宋体"/>
          <w:spacing w:val="6"/>
          <w:sz w:val="30"/>
          <w:szCs w:val="30"/>
          <w:highlight w:val="none"/>
        </w:rPr>
        <w:t>日</w:t>
      </w:r>
      <w:r>
        <w:rPr>
          <w:rFonts w:ascii="宋体" w:hAnsi="宋体"/>
          <w:spacing w:val="6"/>
          <w:sz w:val="30"/>
          <w:szCs w:val="30"/>
          <w:highlight w:val="none"/>
        </w:rPr>
        <w:t xml:space="preserve">  </w:t>
      </w:r>
      <w:r>
        <w:rPr>
          <w:rFonts w:hint="eastAsia" w:ascii="宋体" w:hAnsi="宋体"/>
          <w:spacing w:val="6"/>
          <w:sz w:val="30"/>
          <w:szCs w:val="30"/>
          <w:highlight w:val="none"/>
        </w:rPr>
        <w:t>期：</w:t>
      </w:r>
    </w:p>
    <w:p>
      <w:pPr>
        <w:spacing w:line="440" w:lineRule="exact"/>
        <w:ind w:firstLine="506" w:firstLineChars="200"/>
        <w:rPr>
          <w:rFonts w:ascii="宋体" w:hAnsi="宋体"/>
          <w:b/>
          <w:bCs/>
          <w:spacing w:val="6"/>
          <w:sz w:val="24"/>
          <w:highlight w:val="none"/>
        </w:rPr>
      </w:pPr>
    </w:p>
    <w:p>
      <w:pPr>
        <w:spacing w:line="440" w:lineRule="exact"/>
        <w:ind w:firstLine="506" w:firstLineChars="200"/>
        <w:rPr>
          <w:rFonts w:ascii="宋体" w:hAnsi="宋体"/>
          <w:b/>
          <w:bCs/>
          <w:spacing w:val="6"/>
          <w:sz w:val="24"/>
          <w:highlight w:val="none"/>
        </w:rPr>
      </w:pPr>
      <w:r>
        <w:rPr>
          <w:rFonts w:hint="eastAsia" w:ascii="宋体" w:hAnsi="宋体"/>
          <w:b/>
          <w:bCs/>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pPr>
        <w:spacing w:line="440" w:lineRule="exact"/>
        <w:ind w:firstLine="506" w:firstLineChars="200"/>
        <w:rPr>
          <w:rFonts w:ascii="宋体" w:hAnsi="宋体"/>
          <w:b/>
          <w:bCs/>
          <w:spacing w:val="6"/>
          <w:sz w:val="24"/>
          <w:highlight w:val="none"/>
        </w:rPr>
      </w:pPr>
      <w:r>
        <w:rPr>
          <w:rFonts w:hint="eastAsia" w:ascii="宋体" w:hAnsi="宋体"/>
          <w:b/>
          <w:bCs/>
          <w:spacing w:val="6"/>
          <w:sz w:val="24"/>
          <w:highlight w:val="none"/>
        </w:rPr>
        <w:t>2、中标人本声明函随中标结果同时公布，接受其他供应商和社会监督。</w:t>
      </w:r>
    </w:p>
    <w:p>
      <w:pPr>
        <w:rPr>
          <w:rFonts w:ascii="宋体" w:hAnsi="宋体"/>
          <w:b/>
          <w:kern w:val="44"/>
          <w:sz w:val="32"/>
          <w:szCs w:val="32"/>
          <w:highlight w:val="none"/>
        </w:rPr>
      </w:pPr>
      <w:r>
        <w:rPr>
          <w:rFonts w:ascii="宋体" w:hAnsi="宋体"/>
          <w:highlight w:val="none"/>
        </w:rPr>
        <w:br w:type="page"/>
      </w:r>
      <w:r>
        <w:rPr>
          <w:rFonts w:hint="eastAsia" w:ascii="宋体" w:hAnsi="宋体"/>
          <w:b/>
          <w:kern w:val="44"/>
          <w:sz w:val="32"/>
          <w:szCs w:val="32"/>
          <w:highlight w:val="none"/>
        </w:rPr>
        <w:t>附件3</w:t>
      </w:r>
      <w:r>
        <w:rPr>
          <w:rFonts w:hint="eastAsia" w:ascii="宋体" w:hAnsi="宋体"/>
          <w:b/>
          <w:sz w:val="28"/>
          <w:szCs w:val="28"/>
          <w:highlight w:val="none"/>
        </w:rPr>
        <w:t>（符合政策要求，并申请按监狱企业投标者提供）</w:t>
      </w:r>
      <w:r>
        <w:rPr>
          <w:rFonts w:hint="eastAsia" w:ascii="宋体" w:hAnsi="宋体"/>
          <w:b/>
          <w:kern w:val="44"/>
          <w:sz w:val="28"/>
          <w:szCs w:val="28"/>
          <w:highlight w:val="none"/>
        </w:rPr>
        <w:t>：</w:t>
      </w:r>
    </w:p>
    <w:p>
      <w:pPr>
        <w:spacing w:line="588" w:lineRule="exact"/>
        <w:rPr>
          <w:rFonts w:ascii="宋体" w:hAnsi="宋体"/>
          <w:spacing w:val="6"/>
          <w:sz w:val="30"/>
          <w:szCs w:val="30"/>
          <w:highlight w:val="none"/>
        </w:rPr>
      </w:pPr>
    </w:p>
    <w:p>
      <w:pPr>
        <w:spacing w:line="588" w:lineRule="exact"/>
        <w:jc w:val="center"/>
        <w:rPr>
          <w:rFonts w:ascii="宋体" w:hAnsi="宋体"/>
          <w:b/>
          <w:spacing w:val="6"/>
          <w:sz w:val="32"/>
          <w:szCs w:val="32"/>
          <w:highlight w:val="none"/>
        </w:rPr>
      </w:pPr>
      <w:r>
        <w:rPr>
          <w:rFonts w:hint="eastAsia" w:ascii="宋体" w:hAnsi="宋体"/>
          <w:b/>
          <w:spacing w:val="6"/>
          <w:sz w:val="32"/>
          <w:szCs w:val="32"/>
          <w:highlight w:val="none"/>
        </w:rPr>
        <w:t>监狱企业证明</w:t>
      </w:r>
    </w:p>
    <w:p>
      <w:pPr>
        <w:spacing w:line="340" w:lineRule="exact"/>
        <w:ind w:firstLine="560" w:firstLineChars="200"/>
        <w:rPr>
          <w:rFonts w:ascii="宋体" w:hAnsi="宋体"/>
          <w:color w:val="FF0000"/>
          <w:sz w:val="28"/>
          <w:szCs w:val="28"/>
          <w:highlight w:val="none"/>
        </w:rPr>
      </w:pPr>
    </w:p>
    <w:p>
      <w:pPr>
        <w:spacing w:line="340" w:lineRule="exact"/>
        <w:ind w:firstLine="560" w:firstLineChars="200"/>
        <w:rPr>
          <w:rFonts w:ascii="宋体" w:hAnsi="宋体"/>
          <w:color w:val="FF0000"/>
          <w:sz w:val="28"/>
          <w:szCs w:val="28"/>
          <w:highlight w:val="none"/>
        </w:rPr>
      </w:pPr>
    </w:p>
    <w:p>
      <w:pPr>
        <w:spacing w:line="340" w:lineRule="exact"/>
        <w:ind w:firstLine="560" w:firstLineChars="200"/>
        <w:rPr>
          <w:rFonts w:ascii="宋体" w:hAnsi="宋体"/>
          <w:color w:val="FF0000"/>
          <w:sz w:val="28"/>
          <w:szCs w:val="28"/>
          <w:highlight w:val="none"/>
        </w:rPr>
      </w:pPr>
    </w:p>
    <w:p>
      <w:pPr>
        <w:spacing w:line="340" w:lineRule="exact"/>
        <w:ind w:firstLine="560" w:firstLineChars="200"/>
        <w:rPr>
          <w:rFonts w:ascii="宋体" w:hAnsi="宋体"/>
          <w:color w:val="FF0000"/>
          <w:sz w:val="28"/>
          <w:szCs w:val="28"/>
          <w:highlight w:val="none"/>
        </w:rPr>
      </w:pPr>
    </w:p>
    <w:p>
      <w:pPr>
        <w:spacing w:line="340" w:lineRule="exact"/>
        <w:ind w:firstLine="580" w:firstLineChars="200"/>
        <w:rPr>
          <w:rFonts w:ascii="宋体" w:hAnsi="宋体"/>
          <w:color w:val="FF0000"/>
          <w:sz w:val="28"/>
          <w:szCs w:val="28"/>
          <w:highlight w:val="none"/>
        </w:rPr>
      </w:pPr>
      <w:r>
        <w:rPr>
          <w:rFonts w:hint="eastAsia" w:ascii="宋体" w:hAnsi="宋体"/>
          <w:color w:val="000000"/>
          <w:sz w:val="29"/>
          <w:szCs w:val="29"/>
          <w:highlight w:val="none"/>
        </w:rPr>
        <w:t>提供由省级以上监狱管理局、戒毒管理局（含新疆生产建设兵团）出具的属于监狱企业的证明文件。</w:t>
      </w:r>
    </w:p>
    <w:p>
      <w:pPr>
        <w:spacing w:line="480" w:lineRule="exact"/>
        <w:jc w:val="center"/>
        <w:rPr>
          <w:rFonts w:ascii="宋体" w:hAnsi="宋体" w:cs="仿宋_GB2312"/>
          <w:b/>
          <w:sz w:val="44"/>
          <w:szCs w:val="44"/>
          <w:highlight w:val="none"/>
        </w:rPr>
      </w:pPr>
    </w:p>
    <w:p>
      <w:pPr>
        <w:spacing w:line="480" w:lineRule="exact"/>
        <w:jc w:val="center"/>
        <w:rPr>
          <w:rFonts w:ascii="宋体" w:hAnsi="宋体" w:cs="仿宋_GB2312"/>
          <w:b/>
          <w:sz w:val="44"/>
          <w:szCs w:val="44"/>
          <w:highlight w:val="none"/>
        </w:rPr>
      </w:pPr>
    </w:p>
    <w:p>
      <w:pPr>
        <w:spacing w:line="480" w:lineRule="exact"/>
        <w:jc w:val="center"/>
        <w:rPr>
          <w:rFonts w:ascii="宋体" w:hAnsi="宋体" w:cs="仿宋_GB2312"/>
          <w:b/>
          <w:sz w:val="44"/>
          <w:szCs w:val="44"/>
          <w:highlight w:val="none"/>
        </w:rPr>
      </w:pPr>
    </w:p>
    <w:p>
      <w:pPr>
        <w:spacing w:line="480" w:lineRule="exact"/>
        <w:jc w:val="center"/>
        <w:rPr>
          <w:rFonts w:ascii="宋体" w:hAnsi="宋体" w:cs="仿宋_GB2312"/>
          <w:b/>
          <w:sz w:val="44"/>
          <w:szCs w:val="44"/>
          <w:highlight w:val="none"/>
        </w:rPr>
      </w:pPr>
    </w:p>
    <w:p>
      <w:pPr>
        <w:spacing w:line="480" w:lineRule="exact"/>
        <w:jc w:val="center"/>
        <w:rPr>
          <w:rFonts w:ascii="宋体" w:hAnsi="宋体" w:cs="仿宋_GB2312"/>
          <w:b/>
          <w:sz w:val="44"/>
          <w:szCs w:val="44"/>
          <w:highlight w:val="none"/>
        </w:rPr>
      </w:pPr>
    </w:p>
    <w:p>
      <w:pPr>
        <w:spacing w:line="480" w:lineRule="exact"/>
        <w:jc w:val="center"/>
        <w:rPr>
          <w:rFonts w:ascii="宋体" w:hAnsi="宋体" w:cs="仿宋_GB2312"/>
          <w:b/>
          <w:sz w:val="44"/>
          <w:szCs w:val="44"/>
          <w:highlight w:val="none"/>
        </w:rPr>
      </w:pPr>
    </w:p>
    <w:p>
      <w:pPr>
        <w:spacing w:line="480" w:lineRule="exact"/>
        <w:jc w:val="center"/>
        <w:rPr>
          <w:rFonts w:ascii="宋体" w:hAnsi="宋体" w:cs="仿宋_GB2312"/>
          <w:b/>
          <w:sz w:val="44"/>
          <w:szCs w:val="44"/>
          <w:highlight w:val="none"/>
        </w:rPr>
      </w:pPr>
    </w:p>
    <w:p>
      <w:pPr>
        <w:spacing w:line="480" w:lineRule="exact"/>
        <w:jc w:val="center"/>
        <w:rPr>
          <w:rFonts w:ascii="宋体" w:hAnsi="宋体" w:cs="仿宋_GB2312"/>
          <w:b/>
          <w:sz w:val="44"/>
          <w:szCs w:val="44"/>
          <w:highlight w:val="none"/>
        </w:rPr>
      </w:pPr>
    </w:p>
    <w:p>
      <w:pPr>
        <w:spacing w:line="480" w:lineRule="exact"/>
        <w:jc w:val="center"/>
        <w:rPr>
          <w:rFonts w:ascii="宋体" w:hAnsi="宋体" w:cs="仿宋_GB2312"/>
          <w:b/>
          <w:sz w:val="44"/>
          <w:szCs w:val="44"/>
          <w:highlight w:val="none"/>
        </w:rPr>
      </w:pPr>
    </w:p>
    <w:p>
      <w:pPr>
        <w:autoSpaceDE w:val="0"/>
        <w:autoSpaceDN w:val="0"/>
        <w:adjustRightInd w:val="0"/>
        <w:ind w:firstLine="482" w:firstLineChars="200"/>
        <w:jc w:val="left"/>
        <w:rPr>
          <w:rFonts w:ascii="宋体" w:hAnsi="宋体" w:cs="仿宋_GB2312"/>
          <w:sz w:val="32"/>
          <w:szCs w:val="32"/>
          <w:highlight w:val="none"/>
        </w:rPr>
      </w:pPr>
      <w:r>
        <w:rPr>
          <w:rFonts w:hint="eastAsia" w:ascii="宋体" w:hAnsi="宋体"/>
          <w:b/>
          <w:sz w:val="24"/>
          <w:highlight w:val="none"/>
        </w:rPr>
        <w:t>注：中标人的本证明文件随中标结果同时公布，接受其他供应商和社会监督。</w:t>
      </w:r>
    </w:p>
    <w:p>
      <w:pPr>
        <w:widowControl/>
        <w:spacing w:line="400" w:lineRule="exact"/>
        <w:jc w:val="left"/>
        <w:rPr>
          <w:rFonts w:ascii="宋体" w:hAnsi="宋体" w:cs="宋体"/>
          <w:bCs/>
          <w:color w:val="555555"/>
          <w:kern w:val="0"/>
          <w:sz w:val="32"/>
          <w:szCs w:val="32"/>
          <w:highlight w:val="none"/>
        </w:rPr>
      </w:pPr>
    </w:p>
    <w:p>
      <w:pPr>
        <w:widowControl/>
        <w:jc w:val="left"/>
        <w:rPr>
          <w:rFonts w:ascii="仿宋_GB2312" w:eastAsia="仿宋_GB2312"/>
          <w:sz w:val="32"/>
          <w:szCs w:val="32"/>
          <w:highlight w:val="none"/>
        </w:rPr>
      </w:pPr>
    </w:p>
    <w:sectPr>
      <w:footerReference r:id="rId11" w:type="default"/>
      <w:pgSz w:w="11905" w:h="16838"/>
      <w:pgMar w:top="1417" w:right="1417" w:bottom="1417" w:left="1417" w:header="850" w:footer="992" w:gutter="0"/>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chs_boot">
    <w:altName w:val="宋体"/>
    <w:panose1 w:val="00000000000000000000"/>
    <w:charset w:val="00"/>
    <w:family w:val="swiss"/>
    <w:pitch w:val="default"/>
    <w:sig w:usb0="00000000" w:usb1="00000000" w:usb2="00000016" w:usb3="00000000" w:csb0="001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rPr>
        <w:rFonts w:hint="eastAsia"/>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776972149" name="文本框 12"/>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pPr>
                            <w:pStyle w:val="18"/>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文本框 12"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L3UTQAAAAAgEAAA8AAAAAAAAAAQAgAAAA&#10;IgAAAGRycy9kb3ducmV2LnhtbFBLAQIUABQAAAAIAIdO4kCpTVrQEwIAAAoEAAAOAAAAAAAAAAEA&#10;IAAAAB8BAABkcnMvZTJvRG9jLnhtbFBLBQYAAAAABgAGAFkBAACk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rPr>
      <w:t>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58802951"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pPr>
                            <w:pStyle w:val="18"/>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13" o:spid="_x0000_s1026" o:spt="202" type="#_x0000_t202" style="position:absolute;left:0pt;margin-top:0pt;height:10.35pt;width:4.55pt;mso-position-horizontal:center;mso-position-horizontal-relative:margin;mso-wrap-style:none;z-index:251661312;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4vdRNAAAAACAQAADwAAAAAAAAABACAAAAAi&#10;AAAAZHJzL2Rvd25yZXYueG1sUEsBAhQAFAAAAAgAh07iQJE1aD4SAgAACgQAAA4AAAAAAAAAAQAg&#10;AAAAHwEAAGRycy9lMm9Eb2MueG1sUEsFBgAAAAAGAAYAWQEAAKMFA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1476912423" name="文本框 1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18"/>
                          </w:pPr>
                          <w:r>
                            <w:fldChar w:fldCharType="begin"/>
                          </w:r>
                          <w:r>
                            <w:instrText xml:space="preserve"> PAGE  \* MERGEFORMAT </w:instrText>
                          </w:r>
                          <w:r>
                            <w:fldChar w:fldCharType="separate"/>
                          </w:r>
                          <w:r>
                            <w:t>9</w:t>
                          </w:r>
                          <w:r>
                            <w:fldChar w:fldCharType="end"/>
                          </w:r>
                        </w:p>
                      </w:txbxContent>
                    </wps:txbx>
                    <wps:bodyPr rot="0" vert="horz" wrap="none" lIns="0" tIns="0" rIns="0" bIns="0" anchor="t" anchorCtr="0" upright="1">
                      <a:spAutoFit/>
                    </wps:bodyPr>
                  </wps:wsp>
                </a:graphicData>
              </a:graphic>
            </wp:anchor>
          </w:drawing>
        </mc:Choice>
        <mc:Fallback>
          <w:pict>
            <v:shape id="文本框 14" o:spid="_x0000_s1026" o:spt="202" type="#_x0000_t202" style="position:absolute;left:0pt;margin-top:0pt;height:10.35pt;width:9.05pt;mso-position-horizontal:center;mso-position-horizontal-relative:margin;mso-wrap-style:none;z-index:251662336;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PlfknQAAAAAwEAAA8AAAAAAAAAAQAgAAAA&#10;IgAAAGRycy9kb3ducmV2LnhtbFBLAQIUABQAAAAIAIdO4kAFV/dnEwIAAAwEAAAOAAAAAAAAAAEA&#10;IAAAAB8BAABkcnMvZTJvRG9jLnhtbFBLBQYAAAAABgAGAFkBAACk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2050397720"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18"/>
                          </w:pPr>
                          <w:r>
                            <w:fldChar w:fldCharType="begin"/>
                          </w:r>
                          <w:r>
                            <w:instrText xml:space="preserve"> PAGE  \* MERGEFORMAT </w:instrText>
                          </w:r>
                          <w:r>
                            <w:fldChar w:fldCharType="separate"/>
                          </w:r>
                          <w:r>
                            <w:t>65</w:t>
                          </w:r>
                          <w:r>
                            <w:fldChar w:fldCharType="end"/>
                          </w:r>
                        </w:p>
                      </w:txbxContent>
                    </wps:txbx>
                    <wps:bodyPr rot="0" vert="horz" wrap="none" lIns="0" tIns="0" rIns="0" bIns="0" anchor="t" anchorCtr="0" upright="1">
                      <a:spAutoFit/>
                    </wps:bodyPr>
                  </wps:wsp>
                </a:graphicData>
              </a:graphic>
            </wp:anchor>
          </w:drawing>
        </mc:Choice>
        <mc:Fallback>
          <w:pict>
            <v:shape id="文本框 16"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PlfknQAAAAAwEAAA8AAAAAAAAAAQAgAAAA&#10;IgAAAGRycy9kb3ducmV2LnhtbFBLAQIUABQAAAAIAIdO4kBEpsO7EwIAAAwEAAAOAAAAAAAAAAEA&#10;IAAAAB8BAABkcnMvZTJvRG9jLnhtbFBLBQYAAAAABgAGAFkBAACk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rPr>
        <w:rFonts w:ascii="仿宋_GB2312" w:eastAsia="仿宋_GB2312"/>
      </w:rPr>
    </w:pPr>
    <w:r>
      <w:rPr>
        <w:rFonts w:hint="eastAsia" w:ascii="仿宋_GB2312" w:eastAsia="仿宋_GB2312"/>
      </w:rPr>
      <w:t>开封市政府采购中心政府采购招标文件</w:t>
    </w:r>
  </w:p>
  <w:p>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5437088"/>
    <w:multiLevelType w:val="singleLevel"/>
    <w:tmpl w:val="85437088"/>
    <w:lvl w:ilvl="0" w:tentative="0">
      <w:start w:val="1"/>
      <w:numFmt w:val="chineseCounting"/>
      <w:suff w:val="nothing"/>
      <w:lvlText w:val="第%1章　"/>
      <w:lvlJc w:val="left"/>
      <w:rPr>
        <w:rFonts w:hint="eastAsia"/>
      </w:rPr>
    </w:lvl>
  </w:abstractNum>
  <w:abstractNum w:abstractNumId="2">
    <w:nsid w:val="880775D9"/>
    <w:multiLevelType w:val="singleLevel"/>
    <w:tmpl w:val="880775D9"/>
    <w:lvl w:ilvl="0" w:tentative="0">
      <w:start w:val="1"/>
      <w:numFmt w:val="decimal"/>
      <w:lvlText w:val="(%1)"/>
      <w:lvlJc w:val="left"/>
      <w:pPr>
        <w:tabs>
          <w:tab w:val="left" w:pos="420"/>
        </w:tabs>
        <w:ind w:left="845" w:hanging="425"/>
      </w:pPr>
      <w:rPr>
        <w:rFonts w:hint="default"/>
      </w:rPr>
    </w:lvl>
  </w:abstractNum>
  <w:abstractNum w:abstractNumId="3">
    <w:nsid w:val="993D3DE8"/>
    <w:multiLevelType w:val="singleLevel"/>
    <w:tmpl w:val="993D3DE8"/>
    <w:lvl w:ilvl="0" w:tentative="0">
      <w:start w:val="1"/>
      <w:numFmt w:val="decimal"/>
      <w:suff w:val="nothing"/>
      <w:lvlText w:val="%1、"/>
      <w:lvlJc w:val="left"/>
    </w:lvl>
  </w:abstractNum>
  <w:abstractNum w:abstractNumId="4">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5">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6">
    <w:nsid w:val="0A5D157D"/>
    <w:multiLevelType w:val="singleLevel"/>
    <w:tmpl w:val="0A5D157D"/>
    <w:lvl w:ilvl="0" w:tentative="0">
      <w:start w:val="1"/>
      <w:numFmt w:val="decimal"/>
      <w:lvlText w:val="%1."/>
      <w:lvlJc w:val="left"/>
      <w:pPr>
        <w:tabs>
          <w:tab w:val="left" w:pos="312"/>
        </w:tabs>
      </w:pPr>
    </w:lvl>
  </w:abstractNum>
  <w:abstractNum w:abstractNumId="7">
    <w:nsid w:val="29C65DBA"/>
    <w:multiLevelType w:val="multilevel"/>
    <w:tmpl w:val="29C65DBA"/>
    <w:lvl w:ilvl="0" w:tentative="0">
      <w:start w:val="2"/>
      <w:numFmt w:val="japaneseCounting"/>
      <w:lvlText w:val="（%1）"/>
      <w:lvlJc w:val="left"/>
      <w:pPr>
        <w:tabs>
          <w:tab w:val="left" w:pos="1080"/>
        </w:tabs>
        <w:ind w:left="1080" w:hanging="10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9">
    <w:nsid w:val="58FA719B"/>
    <w:multiLevelType w:val="singleLevel"/>
    <w:tmpl w:val="58FA719B"/>
    <w:lvl w:ilvl="0" w:tentative="0">
      <w:start w:val="1"/>
      <w:numFmt w:val="decimal"/>
      <w:lvlText w:val="%1)"/>
      <w:lvlJc w:val="left"/>
      <w:pPr>
        <w:tabs>
          <w:tab w:val="left" w:pos="420"/>
        </w:tabs>
        <w:ind w:left="845" w:hanging="425"/>
      </w:pPr>
      <w:rPr>
        <w:rFonts w:hint="default"/>
      </w:rPr>
    </w:lvl>
  </w:abstractNum>
  <w:abstractNum w:abstractNumId="10">
    <w:nsid w:val="64CF817D"/>
    <w:multiLevelType w:val="singleLevel"/>
    <w:tmpl w:val="64CF817D"/>
    <w:lvl w:ilvl="0" w:tentative="0">
      <w:start w:val="1"/>
      <w:numFmt w:val="chineseCounting"/>
      <w:suff w:val="nothing"/>
      <w:lvlText w:val="%1、"/>
      <w:lvlJc w:val="left"/>
      <w:pPr>
        <w:ind w:left="0" w:firstLine="420"/>
      </w:pPr>
      <w:rPr>
        <w:rFonts w:hint="eastAsia"/>
      </w:rPr>
    </w:lvl>
  </w:abstractNum>
  <w:num w:numId="1">
    <w:abstractNumId w:val="1"/>
  </w:num>
  <w:num w:numId="2">
    <w:abstractNumId w:val="4"/>
  </w:num>
  <w:num w:numId="3">
    <w:abstractNumId w:val="5"/>
  </w:num>
  <w:num w:numId="4">
    <w:abstractNumId w:val="9"/>
  </w:num>
  <w:num w:numId="5">
    <w:abstractNumId w:val="2"/>
  </w:num>
  <w:num w:numId="6">
    <w:abstractNumId w:val="3"/>
  </w:num>
  <w:num w:numId="7">
    <w:abstractNumId w:val="8"/>
  </w:num>
  <w:num w:numId="8">
    <w:abstractNumId w:val="6"/>
  </w:num>
  <w:num w:numId="9">
    <w:abstractNumId w:val="10"/>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6"/>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Y2ZmQ4NGZlNjY1MDJmNDlkMWEyZjEzZjdhM2U5MjM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B4"/>
    <w:rsid w:val="004358F5"/>
    <w:rsid w:val="00436C32"/>
    <w:rsid w:val="004374B4"/>
    <w:rsid w:val="00437AF5"/>
    <w:rsid w:val="0044094D"/>
    <w:rsid w:val="00440CD6"/>
    <w:rsid w:val="00441783"/>
    <w:rsid w:val="00441AEE"/>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3129"/>
    <w:rsid w:val="006635A4"/>
    <w:rsid w:val="006637C0"/>
    <w:rsid w:val="00663BD2"/>
    <w:rsid w:val="00663D33"/>
    <w:rsid w:val="00663ED2"/>
    <w:rsid w:val="00663F33"/>
    <w:rsid w:val="00663FF1"/>
    <w:rsid w:val="0066402B"/>
    <w:rsid w:val="00664765"/>
    <w:rsid w:val="00665198"/>
    <w:rsid w:val="006652B4"/>
    <w:rsid w:val="00665BAD"/>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43C"/>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338"/>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2690"/>
    <w:rsid w:val="00B5354D"/>
    <w:rsid w:val="00B537FD"/>
    <w:rsid w:val="00B53ABD"/>
    <w:rsid w:val="00B53D12"/>
    <w:rsid w:val="00B5418E"/>
    <w:rsid w:val="00B543FD"/>
    <w:rsid w:val="00B54CCE"/>
    <w:rsid w:val="00B54D03"/>
    <w:rsid w:val="00B556D9"/>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C53"/>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441"/>
    <w:rsid w:val="00F27904"/>
    <w:rsid w:val="00F30CFE"/>
    <w:rsid w:val="00F313A7"/>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2BF"/>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C48BA"/>
    <w:rsid w:val="015D6BAC"/>
    <w:rsid w:val="015E0835"/>
    <w:rsid w:val="015F2BC9"/>
    <w:rsid w:val="01610122"/>
    <w:rsid w:val="01611F53"/>
    <w:rsid w:val="016568CD"/>
    <w:rsid w:val="01722330"/>
    <w:rsid w:val="017B3B55"/>
    <w:rsid w:val="017B7322"/>
    <w:rsid w:val="018362EB"/>
    <w:rsid w:val="01907A55"/>
    <w:rsid w:val="019825EC"/>
    <w:rsid w:val="019C0D87"/>
    <w:rsid w:val="01A03554"/>
    <w:rsid w:val="01A3073B"/>
    <w:rsid w:val="01A61B7B"/>
    <w:rsid w:val="01AB223D"/>
    <w:rsid w:val="01B127DA"/>
    <w:rsid w:val="01BE2FDC"/>
    <w:rsid w:val="01CC5F5E"/>
    <w:rsid w:val="01CD70E4"/>
    <w:rsid w:val="01D06248"/>
    <w:rsid w:val="01D12314"/>
    <w:rsid w:val="01F565AF"/>
    <w:rsid w:val="01FD42EF"/>
    <w:rsid w:val="02024EA0"/>
    <w:rsid w:val="02041684"/>
    <w:rsid w:val="020852A1"/>
    <w:rsid w:val="020909F5"/>
    <w:rsid w:val="020C2612"/>
    <w:rsid w:val="021F1EBB"/>
    <w:rsid w:val="022E6257"/>
    <w:rsid w:val="023B210A"/>
    <w:rsid w:val="023B6BC5"/>
    <w:rsid w:val="02586CD5"/>
    <w:rsid w:val="025A6F12"/>
    <w:rsid w:val="025F2991"/>
    <w:rsid w:val="025F37F9"/>
    <w:rsid w:val="0261789F"/>
    <w:rsid w:val="026C4DEC"/>
    <w:rsid w:val="0273010D"/>
    <w:rsid w:val="02806579"/>
    <w:rsid w:val="028231D3"/>
    <w:rsid w:val="02A00FF1"/>
    <w:rsid w:val="02A27092"/>
    <w:rsid w:val="02CA5DBD"/>
    <w:rsid w:val="02CC321D"/>
    <w:rsid w:val="02CD68A0"/>
    <w:rsid w:val="02D212D8"/>
    <w:rsid w:val="02D27B3A"/>
    <w:rsid w:val="02D3276B"/>
    <w:rsid w:val="02D3350D"/>
    <w:rsid w:val="02DC3C61"/>
    <w:rsid w:val="030342BE"/>
    <w:rsid w:val="03157416"/>
    <w:rsid w:val="031B3FF8"/>
    <w:rsid w:val="031C0410"/>
    <w:rsid w:val="031C2553"/>
    <w:rsid w:val="03220367"/>
    <w:rsid w:val="033771DC"/>
    <w:rsid w:val="03393105"/>
    <w:rsid w:val="033F77AA"/>
    <w:rsid w:val="033F7AFD"/>
    <w:rsid w:val="035600C2"/>
    <w:rsid w:val="03690580"/>
    <w:rsid w:val="03806F86"/>
    <w:rsid w:val="038C76D9"/>
    <w:rsid w:val="03944DC7"/>
    <w:rsid w:val="039506F6"/>
    <w:rsid w:val="039612D4"/>
    <w:rsid w:val="03A61B23"/>
    <w:rsid w:val="03B44E16"/>
    <w:rsid w:val="03B95416"/>
    <w:rsid w:val="03BC7892"/>
    <w:rsid w:val="03BD25D6"/>
    <w:rsid w:val="03BE1472"/>
    <w:rsid w:val="03D97997"/>
    <w:rsid w:val="03E535C1"/>
    <w:rsid w:val="03E92943"/>
    <w:rsid w:val="03EE2141"/>
    <w:rsid w:val="03EF1A15"/>
    <w:rsid w:val="03EF5CFB"/>
    <w:rsid w:val="03F92894"/>
    <w:rsid w:val="03FC0C80"/>
    <w:rsid w:val="03FC4C25"/>
    <w:rsid w:val="0407357C"/>
    <w:rsid w:val="041D6583"/>
    <w:rsid w:val="041F054D"/>
    <w:rsid w:val="0434330E"/>
    <w:rsid w:val="043C0108"/>
    <w:rsid w:val="043C20FA"/>
    <w:rsid w:val="043F1F14"/>
    <w:rsid w:val="043F7F1A"/>
    <w:rsid w:val="044672EE"/>
    <w:rsid w:val="0447227E"/>
    <w:rsid w:val="0451306F"/>
    <w:rsid w:val="045207E1"/>
    <w:rsid w:val="0452324F"/>
    <w:rsid w:val="045556EE"/>
    <w:rsid w:val="045F3A39"/>
    <w:rsid w:val="045F760C"/>
    <w:rsid w:val="0462063F"/>
    <w:rsid w:val="04701040"/>
    <w:rsid w:val="04877000"/>
    <w:rsid w:val="04884AC0"/>
    <w:rsid w:val="048B6A71"/>
    <w:rsid w:val="048D4554"/>
    <w:rsid w:val="04944A6A"/>
    <w:rsid w:val="04975458"/>
    <w:rsid w:val="049E4BED"/>
    <w:rsid w:val="049F25B9"/>
    <w:rsid w:val="04A517B1"/>
    <w:rsid w:val="04AD710A"/>
    <w:rsid w:val="04B738FA"/>
    <w:rsid w:val="04B8274F"/>
    <w:rsid w:val="04BD3EF1"/>
    <w:rsid w:val="04C21553"/>
    <w:rsid w:val="04C82215"/>
    <w:rsid w:val="04D704A5"/>
    <w:rsid w:val="04D74983"/>
    <w:rsid w:val="04E01F38"/>
    <w:rsid w:val="04E169D3"/>
    <w:rsid w:val="04E85DDD"/>
    <w:rsid w:val="04EB5887"/>
    <w:rsid w:val="04EB7D01"/>
    <w:rsid w:val="04F454F1"/>
    <w:rsid w:val="05006D7B"/>
    <w:rsid w:val="0506170D"/>
    <w:rsid w:val="050A4CE4"/>
    <w:rsid w:val="05147E85"/>
    <w:rsid w:val="051A2002"/>
    <w:rsid w:val="05281683"/>
    <w:rsid w:val="05404C1F"/>
    <w:rsid w:val="05500503"/>
    <w:rsid w:val="05581067"/>
    <w:rsid w:val="05624EF4"/>
    <w:rsid w:val="05634469"/>
    <w:rsid w:val="05663791"/>
    <w:rsid w:val="056C0C7C"/>
    <w:rsid w:val="056D52E8"/>
    <w:rsid w:val="056F2418"/>
    <w:rsid w:val="05714984"/>
    <w:rsid w:val="057A5EF7"/>
    <w:rsid w:val="05856AD5"/>
    <w:rsid w:val="05862977"/>
    <w:rsid w:val="058A1AE1"/>
    <w:rsid w:val="059071C9"/>
    <w:rsid w:val="059E5338"/>
    <w:rsid w:val="05AD1B88"/>
    <w:rsid w:val="05C00040"/>
    <w:rsid w:val="05C00DA5"/>
    <w:rsid w:val="05C220DB"/>
    <w:rsid w:val="05CD5D86"/>
    <w:rsid w:val="05D62085"/>
    <w:rsid w:val="05DD06BF"/>
    <w:rsid w:val="05E14A95"/>
    <w:rsid w:val="05EF595D"/>
    <w:rsid w:val="05F803CD"/>
    <w:rsid w:val="05FE37D9"/>
    <w:rsid w:val="06350C16"/>
    <w:rsid w:val="064660D0"/>
    <w:rsid w:val="064F56ED"/>
    <w:rsid w:val="06550BB2"/>
    <w:rsid w:val="065C244F"/>
    <w:rsid w:val="066A72FC"/>
    <w:rsid w:val="066C6CEA"/>
    <w:rsid w:val="066E3B00"/>
    <w:rsid w:val="0676188F"/>
    <w:rsid w:val="068777A5"/>
    <w:rsid w:val="068C1319"/>
    <w:rsid w:val="069952A4"/>
    <w:rsid w:val="06A52547"/>
    <w:rsid w:val="06AB256C"/>
    <w:rsid w:val="06AF4BEE"/>
    <w:rsid w:val="06B331CE"/>
    <w:rsid w:val="06BD06CE"/>
    <w:rsid w:val="06BD229F"/>
    <w:rsid w:val="06D576B7"/>
    <w:rsid w:val="06EE2960"/>
    <w:rsid w:val="06EF1885"/>
    <w:rsid w:val="071B0D3B"/>
    <w:rsid w:val="071C2603"/>
    <w:rsid w:val="071C6FC5"/>
    <w:rsid w:val="07290464"/>
    <w:rsid w:val="072916E2"/>
    <w:rsid w:val="075F1D3A"/>
    <w:rsid w:val="077C7A64"/>
    <w:rsid w:val="078057A6"/>
    <w:rsid w:val="078071E5"/>
    <w:rsid w:val="07853B29"/>
    <w:rsid w:val="0797489E"/>
    <w:rsid w:val="079B24FB"/>
    <w:rsid w:val="079E7C3D"/>
    <w:rsid w:val="079F7ABD"/>
    <w:rsid w:val="07A52ACF"/>
    <w:rsid w:val="07A56FBB"/>
    <w:rsid w:val="07B26326"/>
    <w:rsid w:val="07B46CDA"/>
    <w:rsid w:val="07B509CE"/>
    <w:rsid w:val="07B651B2"/>
    <w:rsid w:val="07BF6883"/>
    <w:rsid w:val="07C82F2A"/>
    <w:rsid w:val="07D0607E"/>
    <w:rsid w:val="07D63493"/>
    <w:rsid w:val="07DD0491"/>
    <w:rsid w:val="07E10D19"/>
    <w:rsid w:val="07E21FBD"/>
    <w:rsid w:val="07E51AAD"/>
    <w:rsid w:val="07F17CC7"/>
    <w:rsid w:val="07F81B08"/>
    <w:rsid w:val="07FF1A71"/>
    <w:rsid w:val="0802711A"/>
    <w:rsid w:val="08150E35"/>
    <w:rsid w:val="08243C87"/>
    <w:rsid w:val="08276B5D"/>
    <w:rsid w:val="08391BAF"/>
    <w:rsid w:val="084C3AC3"/>
    <w:rsid w:val="08585E9A"/>
    <w:rsid w:val="0873509B"/>
    <w:rsid w:val="08756168"/>
    <w:rsid w:val="088366D5"/>
    <w:rsid w:val="088626E4"/>
    <w:rsid w:val="0892678F"/>
    <w:rsid w:val="089A6E2A"/>
    <w:rsid w:val="08AB6853"/>
    <w:rsid w:val="08BF012F"/>
    <w:rsid w:val="08D95ADD"/>
    <w:rsid w:val="08DF5620"/>
    <w:rsid w:val="08E004C3"/>
    <w:rsid w:val="08E64921"/>
    <w:rsid w:val="08E91129"/>
    <w:rsid w:val="08EF4E64"/>
    <w:rsid w:val="090129D5"/>
    <w:rsid w:val="091B505B"/>
    <w:rsid w:val="09231F4C"/>
    <w:rsid w:val="09324455"/>
    <w:rsid w:val="09367B0A"/>
    <w:rsid w:val="093700E7"/>
    <w:rsid w:val="09394EF4"/>
    <w:rsid w:val="094620D8"/>
    <w:rsid w:val="094D6FD5"/>
    <w:rsid w:val="094E2F83"/>
    <w:rsid w:val="09607EB9"/>
    <w:rsid w:val="0975488B"/>
    <w:rsid w:val="09766518"/>
    <w:rsid w:val="097E6E31"/>
    <w:rsid w:val="0983540E"/>
    <w:rsid w:val="0986119A"/>
    <w:rsid w:val="099278CE"/>
    <w:rsid w:val="09AC3CAB"/>
    <w:rsid w:val="09AE292C"/>
    <w:rsid w:val="09AF5ECF"/>
    <w:rsid w:val="09B278E2"/>
    <w:rsid w:val="09CE24C6"/>
    <w:rsid w:val="09CE5380"/>
    <w:rsid w:val="09DB4A17"/>
    <w:rsid w:val="09EB2C7F"/>
    <w:rsid w:val="09F76085"/>
    <w:rsid w:val="0A016B22"/>
    <w:rsid w:val="0A053745"/>
    <w:rsid w:val="0A097B15"/>
    <w:rsid w:val="0A0B3E2A"/>
    <w:rsid w:val="0A187F18"/>
    <w:rsid w:val="0A261F09"/>
    <w:rsid w:val="0A2C17A5"/>
    <w:rsid w:val="0A385254"/>
    <w:rsid w:val="0A410AF1"/>
    <w:rsid w:val="0A462A7C"/>
    <w:rsid w:val="0A5E2522"/>
    <w:rsid w:val="0A682522"/>
    <w:rsid w:val="0A6F05CA"/>
    <w:rsid w:val="0A876394"/>
    <w:rsid w:val="0A8A698E"/>
    <w:rsid w:val="0A8B7390"/>
    <w:rsid w:val="0A933566"/>
    <w:rsid w:val="0AA24248"/>
    <w:rsid w:val="0AAA48E8"/>
    <w:rsid w:val="0ABF0394"/>
    <w:rsid w:val="0AC21A36"/>
    <w:rsid w:val="0AD503D7"/>
    <w:rsid w:val="0AD91FC9"/>
    <w:rsid w:val="0ADB075F"/>
    <w:rsid w:val="0AE222D4"/>
    <w:rsid w:val="0AF353AB"/>
    <w:rsid w:val="0B0E73C8"/>
    <w:rsid w:val="0B3E31ED"/>
    <w:rsid w:val="0B424235"/>
    <w:rsid w:val="0B4D4AF4"/>
    <w:rsid w:val="0B4F5AAF"/>
    <w:rsid w:val="0B5104C9"/>
    <w:rsid w:val="0B5C1771"/>
    <w:rsid w:val="0B626F71"/>
    <w:rsid w:val="0B695BD3"/>
    <w:rsid w:val="0B6F5CD3"/>
    <w:rsid w:val="0B84224B"/>
    <w:rsid w:val="0B880938"/>
    <w:rsid w:val="0B8A00AE"/>
    <w:rsid w:val="0B8E1D10"/>
    <w:rsid w:val="0B981367"/>
    <w:rsid w:val="0B981885"/>
    <w:rsid w:val="0B9C6927"/>
    <w:rsid w:val="0BA94255"/>
    <w:rsid w:val="0BAA618B"/>
    <w:rsid w:val="0BBB44B0"/>
    <w:rsid w:val="0BD51A4F"/>
    <w:rsid w:val="0BDD7AC5"/>
    <w:rsid w:val="0BE054A7"/>
    <w:rsid w:val="0BF04736"/>
    <w:rsid w:val="0BF16E09"/>
    <w:rsid w:val="0BF91214"/>
    <w:rsid w:val="0BFB0479"/>
    <w:rsid w:val="0C02432C"/>
    <w:rsid w:val="0C1465FD"/>
    <w:rsid w:val="0C180307"/>
    <w:rsid w:val="0C1F4542"/>
    <w:rsid w:val="0C220839"/>
    <w:rsid w:val="0C236700"/>
    <w:rsid w:val="0C2564DE"/>
    <w:rsid w:val="0C2D4BF7"/>
    <w:rsid w:val="0C2D7F94"/>
    <w:rsid w:val="0C4B5C57"/>
    <w:rsid w:val="0C544F80"/>
    <w:rsid w:val="0C5C350D"/>
    <w:rsid w:val="0C620CFB"/>
    <w:rsid w:val="0C6C62F9"/>
    <w:rsid w:val="0C6D7A9C"/>
    <w:rsid w:val="0C72397E"/>
    <w:rsid w:val="0C775497"/>
    <w:rsid w:val="0C8A6C76"/>
    <w:rsid w:val="0C8B2D53"/>
    <w:rsid w:val="0C8D60D2"/>
    <w:rsid w:val="0C907E0B"/>
    <w:rsid w:val="0C95536B"/>
    <w:rsid w:val="0C9A4E3A"/>
    <w:rsid w:val="0C9B0F02"/>
    <w:rsid w:val="0CA627B7"/>
    <w:rsid w:val="0CA94B6C"/>
    <w:rsid w:val="0CB24DEA"/>
    <w:rsid w:val="0CC002AA"/>
    <w:rsid w:val="0CC10939"/>
    <w:rsid w:val="0CC735CB"/>
    <w:rsid w:val="0CC92211"/>
    <w:rsid w:val="0CD52DC1"/>
    <w:rsid w:val="0CD65E68"/>
    <w:rsid w:val="0CDB33AB"/>
    <w:rsid w:val="0CE340E1"/>
    <w:rsid w:val="0CEB0FAE"/>
    <w:rsid w:val="0D12135B"/>
    <w:rsid w:val="0D1326BA"/>
    <w:rsid w:val="0D211F08"/>
    <w:rsid w:val="0D2B4D22"/>
    <w:rsid w:val="0D2F0B75"/>
    <w:rsid w:val="0D3440CE"/>
    <w:rsid w:val="0D470B14"/>
    <w:rsid w:val="0D5D12BA"/>
    <w:rsid w:val="0D652514"/>
    <w:rsid w:val="0D744AB8"/>
    <w:rsid w:val="0D993EF8"/>
    <w:rsid w:val="0DA351E8"/>
    <w:rsid w:val="0DAD6BC9"/>
    <w:rsid w:val="0DB42B36"/>
    <w:rsid w:val="0DEE215C"/>
    <w:rsid w:val="0DF17BB3"/>
    <w:rsid w:val="0DFC6ECD"/>
    <w:rsid w:val="0E073E15"/>
    <w:rsid w:val="0E1165AD"/>
    <w:rsid w:val="0E116B3B"/>
    <w:rsid w:val="0E1C25F8"/>
    <w:rsid w:val="0E1F36F5"/>
    <w:rsid w:val="0E2C3DC4"/>
    <w:rsid w:val="0E3348F0"/>
    <w:rsid w:val="0E49061A"/>
    <w:rsid w:val="0E4B01DA"/>
    <w:rsid w:val="0E4E5E22"/>
    <w:rsid w:val="0E5065FE"/>
    <w:rsid w:val="0E527771"/>
    <w:rsid w:val="0E557D0D"/>
    <w:rsid w:val="0E5756DE"/>
    <w:rsid w:val="0E617AF3"/>
    <w:rsid w:val="0E667896"/>
    <w:rsid w:val="0E680D42"/>
    <w:rsid w:val="0E697251"/>
    <w:rsid w:val="0E6B1BCF"/>
    <w:rsid w:val="0E760A01"/>
    <w:rsid w:val="0E7771D7"/>
    <w:rsid w:val="0E7A15D0"/>
    <w:rsid w:val="0E8928D9"/>
    <w:rsid w:val="0E9A06DB"/>
    <w:rsid w:val="0E9B7D48"/>
    <w:rsid w:val="0EB220B4"/>
    <w:rsid w:val="0EB647D5"/>
    <w:rsid w:val="0ED35F14"/>
    <w:rsid w:val="0EDE23CA"/>
    <w:rsid w:val="0EEF1A3E"/>
    <w:rsid w:val="0EEF7DB9"/>
    <w:rsid w:val="0F0545AE"/>
    <w:rsid w:val="0F17354D"/>
    <w:rsid w:val="0F2672BB"/>
    <w:rsid w:val="0F2D1010"/>
    <w:rsid w:val="0F3A43F7"/>
    <w:rsid w:val="0F3E4809"/>
    <w:rsid w:val="0F473A14"/>
    <w:rsid w:val="0F4B64AC"/>
    <w:rsid w:val="0F54351E"/>
    <w:rsid w:val="0F5A05C7"/>
    <w:rsid w:val="0F645140"/>
    <w:rsid w:val="0F661726"/>
    <w:rsid w:val="0F6C5371"/>
    <w:rsid w:val="0F706CF2"/>
    <w:rsid w:val="0F790C4B"/>
    <w:rsid w:val="0F7C59D4"/>
    <w:rsid w:val="0F801D2C"/>
    <w:rsid w:val="0F873C06"/>
    <w:rsid w:val="0F8751F8"/>
    <w:rsid w:val="0F8C1996"/>
    <w:rsid w:val="0F941DDC"/>
    <w:rsid w:val="0F98145F"/>
    <w:rsid w:val="0FA3121A"/>
    <w:rsid w:val="0FA73596"/>
    <w:rsid w:val="0FAB1309"/>
    <w:rsid w:val="0FAF5D73"/>
    <w:rsid w:val="0FB41BCB"/>
    <w:rsid w:val="0FB87D37"/>
    <w:rsid w:val="0FBC139E"/>
    <w:rsid w:val="0FD30D4A"/>
    <w:rsid w:val="0FD31486"/>
    <w:rsid w:val="0FDE750E"/>
    <w:rsid w:val="0FE61E3D"/>
    <w:rsid w:val="0FEF6A66"/>
    <w:rsid w:val="0FFC1742"/>
    <w:rsid w:val="0FFE2130"/>
    <w:rsid w:val="101B550E"/>
    <w:rsid w:val="10262C63"/>
    <w:rsid w:val="102A39F0"/>
    <w:rsid w:val="103449ED"/>
    <w:rsid w:val="10367DFD"/>
    <w:rsid w:val="10377C81"/>
    <w:rsid w:val="103C2486"/>
    <w:rsid w:val="104C7B89"/>
    <w:rsid w:val="106D155F"/>
    <w:rsid w:val="10775B6E"/>
    <w:rsid w:val="107F35A6"/>
    <w:rsid w:val="108E5678"/>
    <w:rsid w:val="10B55501"/>
    <w:rsid w:val="10B97633"/>
    <w:rsid w:val="10BA762B"/>
    <w:rsid w:val="10BB784F"/>
    <w:rsid w:val="10BF1F0B"/>
    <w:rsid w:val="10C0777A"/>
    <w:rsid w:val="10C36704"/>
    <w:rsid w:val="10C80E1B"/>
    <w:rsid w:val="10C92E76"/>
    <w:rsid w:val="10CF22C6"/>
    <w:rsid w:val="10DF7C4B"/>
    <w:rsid w:val="10F03EEC"/>
    <w:rsid w:val="10F662F8"/>
    <w:rsid w:val="10F674A5"/>
    <w:rsid w:val="10FB5E9E"/>
    <w:rsid w:val="111134DD"/>
    <w:rsid w:val="11164A85"/>
    <w:rsid w:val="112108ED"/>
    <w:rsid w:val="11234289"/>
    <w:rsid w:val="113151B7"/>
    <w:rsid w:val="11394FC4"/>
    <w:rsid w:val="113969C6"/>
    <w:rsid w:val="11472E91"/>
    <w:rsid w:val="11532397"/>
    <w:rsid w:val="11540F3C"/>
    <w:rsid w:val="11647E94"/>
    <w:rsid w:val="116B5C81"/>
    <w:rsid w:val="11772E7B"/>
    <w:rsid w:val="117D68B3"/>
    <w:rsid w:val="118908CC"/>
    <w:rsid w:val="118A451F"/>
    <w:rsid w:val="118F194B"/>
    <w:rsid w:val="119039FF"/>
    <w:rsid w:val="11AC7268"/>
    <w:rsid w:val="11AE2E68"/>
    <w:rsid w:val="11B148DB"/>
    <w:rsid w:val="11B84D73"/>
    <w:rsid w:val="11BA18B5"/>
    <w:rsid w:val="11BA3584"/>
    <w:rsid w:val="11BD3C8A"/>
    <w:rsid w:val="11C40985"/>
    <w:rsid w:val="11DF7443"/>
    <w:rsid w:val="11E56DF3"/>
    <w:rsid w:val="11E66BE4"/>
    <w:rsid w:val="11F35801"/>
    <w:rsid w:val="11F43846"/>
    <w:rsid w:val="11F97327"/>
    <w:rsid w:val="11FC5678"/>
    <w:rsid w:val="11FF2D51"/>
    <w:rsid w:val="121508E7"/>
    <w:rsid w:val="122F5A2F"/>
    <w:rsid w:val="12396910"/>
    <w:rsid w:val="12396A15"/>
    <w:rsid w:val="12422B59"/>
    <w:rsid w:val="124F770E"/>
    <w:rsid w:val="125455B6"/>
    <w:rsid w:val="12652E2F"/>
    <w:rsid w:val="12774495"/>
    <w:rsid w:val="12776995"/>
    <w:rsid w:val="12A12A75"/>
    <w:rsid w:val="12B72298"/>
    <w:rsid w:val="12B92B80"/>
    <w:rsid w:val="12C34841"/>
    <w:rsid w:val="12C434C0"/>
    <w:rsid w:val="12DA262E"/>
    <w:rsid w:val="12E4182F"/>
    <w:rsid w:val="12EA49F9"/>
    <w:rsid w:val="12F808F3"/>
    <w:rsid w:val="12F9465F"/>
    <w:rsid w:val="12FE5880"/>
    <w:rsid w:val="133236CD"/>
    <w:rsid w:val="133B6A25"/>
    <w:rsid w:val="1342014B"/>
    <w:rsid w:val="134A0A16"/>
    <w:rsid w:val="1353553E"/>
    <w:rsid w:val="135A7AEB"/>
    <w:rsid w:val="135E0C2E"/>
    <w:rsid w:val="135F3508"/>
    <w:rsid w:val="136070E5"/>
    <w:rsid w:val="136441CE"/>
    <w:rsid w:val="138133C6"/>
    <w:rsid w:val="138C13B1"/>
    <w:rsid w:val="13994D5D"/>
    <w:rsid w:val="13AE5449"/>
    <w:rsid w:val="13B34C36"/>
    <w:rsid w:val="13CA7CC7"/>
    <w:rsid w:val="13CF0B97"/>
    <w:rsid w:val="13F60B9E"/>
    <w:rsid w:val="13F839D7"/>
    <w:rsid w:val="13FA1A5D"/>
    <w:rsid w:val="13FC512B"/>
    <w:rsid w:val="14003282"/>
    <w:rsid w:val="14092680"/>
    <w:rsid w:val="140943F6"/>
    <w:rsid w:val="140A090B"/>
    <w:rsid w:val="1429755F"/>
    <w:rsid w:val="14435F96"/>
    <w:rsid w:val="14501FA4"/>
    <w:rsid w:val="14513B72"/>
    <w:rsid w:val="146A7D9B"/>
    <w:rsid w:val="14731E5F"/>
    <w:rsid w:val="147B4D9F"/>
    <w:rsid w:val="147D1D63"/>
    <w:rsid w:val="147F0970"/>
    <w:rsid w:val="1484494A"/>
    <w:rsid w:val="148B30F7"/>
    <w:rsid w:val="148D1503"/>
    <w:rsid w:val="148D37AA"/>
    <w:rsid w:val="14962D01"/>
    <w:rsid w:val="14A7513C"/>
    <w:rsid w:val="14C11485"/>
    <w:rsid w:val="14C447F8"/>
    <w:rsid w:val="14D841E8"/>
    <w:rsid w:val="14E33FBF"/>
    <w:rsid w:val="14FC0436"/>
    <w:rsid w:val="15074784"/>
    <w:rsid w:val="1513199B"/>
    <w:rsid w:val="151E23E8"/>
    <w:rsid w:val="152139F9"/>
    <w:rsid w:val="15263BEF"/>
    <w:rsid w:val="15472243"/>
    <w:rsid w:val="15557DE4"/>
    <w:rsid w:val="156264EB"/>
    <w:rsid w:val="1565422D"/>
    <w:rsid w:val="156A3166"/>
    <w:rsid w:val="157D192A"/>
    <w:rsid w:val="15870523"/>
    <w:rsid w:val="158B5C6F"/>
    <w:rsid w:val="159E5049"/>
    <w:rsid w:val="15A10BAE"/>
    <w:rsid w:val="15AC0A22"/>
    <w:rsid w:val="15AF7257"/>
    <w:rsid w:val="15CC1BB7"/>
    <w:rsid w:val="15D00AC4"/>
    <w:rsid w:val="15D62521"/>
    <w:rsid w:val="15DA080F"/>
    <w:rsid w:val="15E06DB6"/>
    <w:rsid w:val="15E21718"/>
    <w:rsid w:val="15E75D82"/>
    <w:rsid w:val="16012162"/>
    <w:rsid w:val="1603392A"/>
    <w:rsid w:val="1605186D"/>
    <w:rsid w:val="16090816"/>
    <w:rsid w:val="16104199"/>
    <w:rsid w:val="161C49D4"/>
    <w:rsid w:val="161D0E57"/>
    <w:rsid w:val="16214FCC"/>
    <w:rsid w:val="162E7C07"/>
    <w:rsid w:val="162F2706"/>
    <w:rsid w:val="16311B18"/>
    <w:rsid w:val="16323620"/>
    <w:rsid w:val="16387FD6"/>
    <w:rsid w:val="163D4862"/>
    <w:rsid w:val="163F682C"/>
    <w:rsid w:val="16474F8E"/>
    <w:rsid w:val="164A1D9F"/>
    <w:rsid w:val="164D1414"/>
    <w:rsid w:val="165335C0"/>
    <w:rsid w:val="1658646E"/>
    <w:rsid w:val="165A5414"/>
    <w:rsid w:val="16692743"/>
    <w:rsid w:val="166A3BE5"/>
    <w:rsid w:val="16734728"/>
    <w:rsid w:val="16837294"/>
    <w:rsid w:val="16895CFA"/>
    <w:rsid w:val="168D57EA"/>
    <w:rsid w:val="1690466C"/>
    <w:rsid w:val="1692770B"/>
    <w:rsid w:val="16985F3D"/>
    <w:rsid w:val="169A69F5"/>
    <w:rsid w:val="169C2629"/>
    <w:rsid w:val="169D7266"/>
    <w:rsid w:val="16A160FA"/>
    <w:rsid w:val="16A427CF"/>
    <w:rsid w:val="16AB2114"/>
    <w:rsid w:val="16BB1883"/>
    <w:rsid w:val="16C319BF"/>
    <w:rsid w:val="16C513D3"/>
    <w:rsid w:val="16C64858"/>
    <w:rsid w:val="16D13612"/>
    <w:rsid w:val="16D915D3"/>
    <w:rsid w:val="16DC22CD"/>
    <w:rsid w:val="16E017E8"/>
    <w:rsid w:val="16E903D0"/>
    <w:rsid w:val="16F5513D"/>
    <w:rsid w:val="171D5380"/>
    <w:rsid w:val="17381B99"/>
    <w:rsid w:val="17397720"/>
    <w:rsid w:val="174621FF"/>
    <w:rsid w:val="174725DF"/>
    <w:rsid w:val="175F2179"/>
    <w:rsid w:val="17680005"/>
    <w:rsid w:val="17722790"/>
    <w:rsid w:val="177F1E52"/>
    <w:rsid w:val="1784290A"/>
    <w:rsid w:val="17866A41"/>
    <w:rsid w:val="17946704"/>
    <w:rsid w:val="17B02551"/>
    <w:rsid w:val="17CA6C70"/>
    <w:rsid w:val="17D55482"/>
    <w:rsid w:val="17D86F39"/>
    <w:rsid w:val="17F21A0E"/>
    <w:rsid w:val="17F65882"/>
    <w:rsid w:val="17FC7499"/>
    <w:rsid w:val="18047D2E"/>
    <w:rsid w:val="181101FF"/>
    <w:rsid w:val="18137996"/>
    <w:rsid w:val="18193B31"/>
    <w:rsid w:val="18290AAD"/>
    <w:rsid w:val="183E1ADB"/>
    <w:rsid w:val="1843148F"/>
    <w:rsid w:val="18672B7C"/>
    <w:rsid w:val="18707E15"/>
    <w:rsid w:val="188643B8"/>
    <w:rsid w:val="188B2D6D"/>
    <w:rsid w:val="188F3C2E"/>
    <w:rsid w:val="18914013"/>
    <w:rsid w:val="189746FE"/>
    <w:rsid w:val="18A33803"/>
    <w:rsid w:val="18AA1733"/>
    <w:rsid w:val="18BA03EC"/>
    <w:rsid w:val="18C94A94"/>
    <w:rsid w:val="18D8162B"/>
    <w:rsid w:val="18E14D67"/>
    <w:rsid w:val="18E4316D"/>
    <w:rsid w:val="18E746E8"/>
    <w:rsid w:val="18E966A5"/>
    <w:rsid w:val="18EE1F18"/>
    <w:rsid w:val="18F6792A"/>
    <w:rsid w:val="18FE5C8D"/>
    <w:rsid w:val="19064FCB"/>
    <w:rsid w:val="19157D18"/>
    <w:rsid w:val="19167A45"/>
    <w:rsid w:val="19185547"/>
    <w:rsid w:val="192835A8"/>
    <w:rsid w:val="1936516B"/>
    <w:rsid w:val="19375678"/>
    <w:rsid w:val="19392019"/>
    <w:rsid w:val="194C1F56"/>
    <w:rsid w:val="194D74B2"/>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215AC"/>
    <w:rsid w:val="19A54BF8"/>
    <w:rsid w:val="19AC3396"/>
    <w:rsid w:val="19B62DA2"/>
    <w:rsid w:val="19BA26F0"/>
    <w:rsid w:val="19C10E2A"/>
    <w:rsid w:val="19C92F06"/>
    <w:rsid w:val="19D84FCE"/>
    <w:rsid w:val="19D90D46"/>
    <w:rsid w:val="19E140B3"/>
    <w:rsid w:val="19E27BFB"/>
    <w:rsid w:val="19ED659F"/>
    <w:rsid w:val="19EF40C6"/>
    <w:rsid w:val="19F7757A"/>
    <w:rsid w:val="1A007276"/>
    <w:rsid w:val="1A0A0EFF"/>
    <w:rsid w:val="1A17021F"/>
    <w:rsid w:val="1A1726E0"/>
    <w:rsid w:val="1A1F7543"/>
    <w:rsid w:val="1A210CDC"/>
    <w:rsid w:val="1A376341"/>
    <w:rsid w:val="1A4014F0"/>
    <w:rsid w:val="1A481379"/>
    <w:rsid w:val="1A5534F5"/>
    <w:rsid w:val="1A5712FD"/>
    <w:rsid w:val="1A581A4E"/>
    <w:rsid w:val="1A5959E3"/>
    <w:rsid w:val="1A597989"/>
    <w:rsid w:val="1A711ED2"/>
    <w:rsid w:val="1A71207C"/>
    <w:rsid w:val="1A7D0DA6"/>
    <w:rsid w:val="1AA05880"/>
    <w:rsid w:val="1AA72BF2"/>
    <w:rsid w:val="1ADF05DE"/>
    <w:rsid w:val="1AEB6F83"/>
    <w:rsid w:val="1AEF5A10"/>
    <w:rsid w:val="1AFC1190"/>
    <w:rsid w:val="1B0510F1"/>
    <w:rsid w:val="1B0644E6"/>
    <w:rsid w:val="1B0B13D3"/>
    <w:rsid w:val="1B2D1349"/>
    <w:rsid w:val="1B2F1017"/>
    <w:rsid w:val="1B3A3A66"/>
    <w:rsid w:val="1B5A1D55"/>
    <w:rsid w:val="1B5E59A7"/>
    <w:rsid w:val="1B652F97"/>
    <w:rsid w:val="1B72386C"/>
    <w:rsid w:val="1B8545F0"/>
    <w:rsid w:val="1B8A054A"/>
    <w:rsid w:val="1B9149E2"/>
    <w:rsid w:val="1B9211AC"/>
    <w:rsid w:val="1B99078D"/>
    <w:rsid w:val="1BAC0824"/>
    <w:rsid w:val="1BB65948"/>
    <w:rsid w:val="1BB87F9B"/>
    <w:rsid w:val="1BB9409A"/>
    <w:rsid w:val="1BC31CAE"/>
    <w:rsid w:val="1BCB05A7"/>
    <w:rsid w:val="1BDA39E6"/>
    <w:rsid w:val="1BE22984"/>
    <w:rsid w:val="1BE53E44"/>
    <w:rsid w:val="1BEF65FF"/>
    <w:rsid w:val="1BF86B72"/>
    <w:rsid w:val="1C006382"/>
    <w:rsid w:val="1C0A3439"/>
    <w:rsid w:val="1C1036BB"/>
    <w:rsid w:val="1C103880"/>
    <w:rsid w:val="1C142061"/>
    <w:rsid w:val="1C1C4F1A"/>
    <w:rsid w:val="1C200EAE"/>
    <w:rsid w:val="1C2A2048"/>
    <w:rsid w:val="1C2A7637"/>
    <w:rsid w:val="1C2E7544"/>
    <w:rsid w:val="1C2F491A"/>
    <w:rsid w:val="1C462D86"/>
    <w:rsid w:val="1C46308A"/>
    <w:rsid w:val="1C467DDE"/>
    <w:rsid w:val="1C47468D"/>
    <w:rsid w:val="1C4F3051"/>
    <w:rsid w:val="1C5076C5"/>
    <w:rsid w:val="1C553CD8"/>
    <w:rsid w:val="1C780873"/>
    <w:rsid w:val="1C7C31B7"/>
    <w:rsid w:val="1C81626D"/>
    <w:rsid w:val="1C846981"/>
    <w:rsid w:val="1C8D3977"/>
    <w:rsid w:val="1C960319"/>
    <w:rsid w:val="1C9B1C69"/>
    <w:rsid w:val="1CB22E40"/>
    <w:rsid w:val="1CBD3FBA"/>
    <w:rsid w:val="1CBF45C8"/>
    <w:rsid w:val="1CCA206E"/>
    <w:rsid w:val="1CCE3D5B"/>
    <w:rsid w:val="1CCF317C"/>
    <w:rsid w:val="1CD01614"/>
    <w:rsid w:val="1CF02081"/>
    <w:rsid w:val="1CF223DC"/>
    <w:rsid w:val="1CFD17BE"/>
    <w:rsid w:val="1CFD4D4B"/>
    <w:rsid w:val="1D0B31FB"/>
    <w:rsid w:val="1D0B3DEB"/>
    <w:rsid w:val="1D1D751F"/>
    <w:rsid w:val="1D1E6250"/>
    <w:rsid w:val="1D284372"/>
    <w:rsid w:val="1D2F3092"/>
    <w:rsid w:val="1D3544E5"/>
    <w:rsid w:val="1D373BB2"/>
    <w:rsid w:val="1D38707E"/>
    <w:rsid w:val="1D4750A4"/>
    <w:rsid w:val="1D4C50E7"/>
    <w:rsid w:val="1D5460C4"/>
    <w:rsid w:val="1D682B0D"/>
    <w:rsid w:val="1D6A0633"/>
    <w:rsid w:val="1D7148B5"/>
    <w:rsid w:val="1D8334A3"/>
    <w:rsid w:val="1D9D1099"/>
    <w:rsid w:val="1DA80455"/>
    <w:rsid w:val="1DBC67DD"/>
    <w:rsid w:val="1DBD319E"/>
    <w:rsid w:val="1DC13FCB"/>
    <w:rsid w:val="1DC51D0D"/>
    <w:rsid w:val="1DCD7725"/>
    <w:rsid w:val="1DCE749D"/>
    <w:rsid w:val="1DD66FB0"/>
    <w:rsid w:val="1DE657E0"/>
    <w:rsid w:val="1DFE3F85"/>
    <w:rsid w:val="1E075E82"/>
    <w:rsid w:val="1E1C6DB5"/>
    <w:rsid w:val="1E206E4E"/>
    <w:rsid w:val="1E227924"/>
    <w:rsid w:val="1E2320A1"/>
    <w:rsid w:val="1E236A34"/>
    <w:rsid w:val="1E292F94"/>
    <w:rsid w:val="1E371DB2"/>
    <w:rsid w:val="1E4431F8"/>
    <w:rsid w:val="1E49391C"/>
    <w:rsid w:val="1E5834BE"/>
    <w:rsid w:val="1E591A59"/>
    <w:rsid w:val="1E5E6EE1"/>
    <w:rsid w:val="1E700AAC"/>
    <w:rsid w:val="1E7255DB"/>
    <w:rsid w:val="1E8C6387"/>
    <w:rsid w:val="1EA01C75"/>
    <w:rsid w:val="1EA25BAA"/>
    <w:rsid w:val="1EA37B56"/>
    <w:rsid w:val="1EA72CFA"/>
    <w:rsid w:val="1EA82513"/>
    <w:rsid w:val="1EAE249B"/>
    <w:rsid w:val="1EC30464"/>
    <w:rsid w:val="1EC37970"/>
    <w:rsid w:val="1ED55F80"/>
    <w:rsid w:val="1EDA1028"/>
    <w:rsid w:val="1EDC7F5E"/>
    <w:rsid w:val="1EDD01B6"/>
    <w:rsid w:val="1EE3736F"/>
    <w:rsid w:val="1EEB1387"/>
    <w:rsid w:val="1EF02DBA"/>
    <w:rsid w:val="1EF1171F"/>
    <w:rsid w:val="1F053515"/>
    <w:rsid w:val="1F0B4CBD"/>
    <w:rsid w:val="1F0C1361"/>
    <w:rsid w:val="1F183083"/>
    <w:rsid w:val="1F2F1202"/>
    <w:rsid w:val="1F446C62"/>
    <w:rsid w:val="1F560242"/>
    <w:rsid w:val="1F5A5F92"/>
    <w:rsid w:val="1F774E07"/>
    <w:rsid w:val="1F7B0185"/>
    <w:rsid w:val="1F841218"/>
    <w:rsid w:val="1F8C2DA5"/>
    <w:rsid w:val="1F9B302D"/>
    <w:rsid w:val="1FBC6EA2"/>
    <w:rsid w:val="1FC1749E"/>
    <w:rsid w:val="1FC21D84"/>
    <w:rsid w:val="1FC429AC"/>
    <w:rsid w:val="1FDB5818"/>
    <w:rsid w:val="2000078A"/>
    <w:rsid w:val="20121912"/>
    <w:rsid w:val="20153726"/>
    <w:rsid w:val="20340448"/>
    <w:rsid w:val="20345AE3"/>
    <w:rsid w:val="205D0771"/>
    <w:rsid w:val="205F064C"/>
    <w:rsid w:val="20743577"/>
    <w:rsid w:val="207B2B57"/>
    <w:rsid w:val="20823EE5"/>
    <w:rsid w:val="208677AD"/>
    <w:rsid w:val="208A0F4A"/>
    <w:rsid w:val="20951127"/>
    <w:rsid w:val="209E1271"/>
    <w:rsid w:val="209F588A"/>
    <w:rsid w:val="20A57BD4"/>
    <w:rsid w:val="20A977A1"/>
    <w:rsid w:val="20AC2D10"/>
    <w:rsid w:val="20AC4A64"/>
    <w:rsid w:val="20B05AB9"/>
    <w:rsid w:val="20C37953"/>
    <w:rsid w:val="20CE2199"/>
    <w:rsid w:val="20D01EB7"/>
    <w:rsid w:val="20D22ECB"/>
    <w:rsid w:val="20F22122"/>
    <w:rsid w:val="20F557A1"/>
    <w:rsid w:val="20FA289D"/>
    <w:rsid w:val="20FE424D"/>
    <w:rsid w:val="210303E4"/>
    <w:rsid w:val="21240098"/>
    <w:rsid w:val="21244F9D"/>
    <w:rsid w:val="213749DC"/>
    <w:rsid w:val="21416D41"/>
    <w:rsid w:val="2142426F"/>
    <w:rsid w:val="21431371"/>
    <w:rsid w:val="21483F6A"/>
    <w:rsid w:val="214A2426"/>
    <w:rsid w:val="214C33EF"/>
    <w:rsid w:val="215525E8"/>
    <w:rsid w:val="2156204B"/>
    <w:rsid w:val="215C4E9A"/>
    <w:rsid w:val="216457A9"/>
    <w:rsid w:val="217C1192"/>
    <w:rsid w:val="219537A4"/>
    <w:rsid w:val="21962AAA"/>
    <w:rsid w:val="219A6D4B"/>
    <w:rsid w:val="21A632B7"/>
    <w:rsid w:val="21AB495F"/>
    <w:rsid w:val="21C43C75"/>
    <w:rsid w:val="21C97EEF"/>
    <w:rsid w:val="21ED35E0"/>
    <w:rsid w:val="21EE07BA"/>
    <w:rsid w:val="22096683"/>
    <w:rsid w:val="221A354A"/>
    <w:rsid w:val="221C3EC6"/>
    <w:rsid w:val="221D1672"/>
    <w:rsid w:val="2224062C"/>
    <w:rsid w:val="222B5EB7"/>
    <w:rsid w:val="2238786B"/>
    <w:rsid w:val="224920B4"/>
    <w:rsid w:val="224F015E"/>
    <w:rsid w:val="22571BA5"/>
    <w:rsid w:val="22573150"/>
    <w:rsid w:val="22617D92"/>
    <w:rsid w:val="22625D7D"/>
    <w:rsid w:val="227060BE"/>
    <w:rsid w:val="22804455"/>
    <w:rsid w:val="228A7943"/>
    <w:rsid w:val="228C104B"/>
    <w:rsid w:val="228D5ABB"/>
    <w:rsid w:val="22944E93"/>
    <w:rsid w:val="22993768"/>
    <w:rsid w:val="229B6703"/>
    <w:rsid w:val="229D6A37"/>
    <w:rsid w:val="229D6DB5"/>
    <w:rsid w:val="22A939AB"/>
    <w:rsid w:val="22B962A9"/>
    <w:rsid w:val="22C448E5"/>
    <w:rsid w:val="22DF5A44"/>
    <w:rsid w:val="230B73C5"/>
    <w:rsid w:val="231565F6"/>
    <w:rsid w:val="23213F89"/>
    <w:rsid w:val="23407CCF"/>
    <w:rsid w:val="23443B5F"/>
    <w:rsid w:val="234E7A9A"/>
    <w:rsid w:val="235A5E54"/>
    <w:rsid w:val="236478D2"/>
    <w:rsid w:val="236773C3"/>
    <w:rsid w:val="236E0751"/>
    <w:rsid w:val="2375458A"/>
    <w:rsid w:val="2378337E"/>
    <w:rsid w:val="239D405B"/>
    <w:rsid w:val="239D5ED0"/>
    <w:rsid w:val="23B3034A"/>
    <w:rsid w:val="23B32618"/>
    <w:rsid w:val="23B64E06"/>
    <w:rsid w:val="23CB4D3A"/>
    <w:rsid w:val="23D40C4E"/>
    <w:rsid w:val="23F25E4D"/>
    <w:rsid w:val="240011DA"/>
    <w:rsid w:val="24004AB2"/>
    <w:rsid w:val="240422A6"/>
    <w:rsid w:val="240626FC"/>
    <w:rsid w:val="24085CFA"/>
    <w:rsid w:val="240943E8"/>
    <w:rsid w:val="240E302D"/>
    <w:rsid w:val="24174945"/>
    <w:rsid w:val="242A1D2C"/>
    <w:rsid w:val="24475820"/>
    <w:rsid w:val="245C2990"/>
    <w:rsid w:val="24625EFC"/>
    <w:rsid w:val="246A53BC"/>
    <w:rsid w:val="246F1D58"/>
    <w:rsid w:val="247F7103"/>
    <w:rsid w:val="249A5382"/>
    <w:rsid w:val="24AA7BA4"/>
    <w:rsid w:val="24AB6A8D"/>
    <w:rsid w:val="24BB6E43"/>
    <w:rsid w:val="24CA1218"/>
    <w:rsid w:val="24CB66FB"/>
    <w:rsid w:val="24D069BE"/>
    <w:rsid w:val="25027E6E"/>
    <w:rsid w:val="25096983"/>
    <w:rsid w:val="250B573A"/>
    <w:rsid w:val="2512232E"/>
    <w:rsid w:val="252B2250"/>
    <w:rsid w:val="25310FEB"/>
    <w:rsid w:val="253121B6"/>
    <w:rsid w:val="25556B4E"/>
    <w:rsid w:val="255B6AB3"/>
    <w:rsid w:val="255C4BD2"/>
    <w:rsid w:val="256245E1"/>
    <w:rsid w:val="25684DAD"/>
    <w:rsid w:val="257D2ECD"/>
    <w:rsid w:val="257D4278"/>
    <w:rsid w:val="25947C91"/>
    <w:rsid w:val="259B0FC8"/>
    <w:rsid w:val="25A4389E"/>
    <w:rsid w:val="25A466AC"/>
    <w:rsid w:val="25AB180A"/>
    <w:rsid w:val="25B1118D"/>
    <w:rsid w:val="25B81297"/>
    <w:rsid w:val="25C26294"/>
    <w:rsid w:val="25DE0ABB"/>
    <w:rsid w:val="25EA227D"/>
    <w:rsid w:val="25EE2F6B"/>
    <w:rsid w:val="25EE5AEF"/>
    <w:rsid w:val="25F03B65"/>
    <w:rsid w:val="25F9484B"/>
    <w:rsid w:val="25F95A76"/>
    <w:rsid w:val="260A0E31"/>
    <w:rsid w:val="260C7B9A"/>
    <w:rsid w:val="2615143E"/>
    <w:rsid w:val="26235823"/>
    <w:rsid w:val="262B6A8F"/>
    <w:rsid w:val="262F4A23"/>
    <w:rsid w:val="263A387F"/>
    <w:rsid w:val="265D1D80"/>
    <w:rsid w:val="2663431E"/>
    <w:rsid w:val="266C70F0"/>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8B2E0F"/>
    <w:rsid w:val="27933B14"/>
    <w:rsid w:val="2793478A"/>
    <w:rsid w:val="2796423F"/>
    <w:rsid w:val="27A235A3"/>
    <w:rsid w:val="27A573C1"/>
    <w:rsid w:val="27AC73AE"/>
    <w:rsid w:val="27B119B4"/>
    <w:rsid w:val="27BE5369"/>
    <w:rsid w:val="27BF04E9"/>
    <w:rsid w:val="27C13545"/>
    <w:rsid w:val="27C748D4"/>
    <w:rsid w:val="27CF2074"/>
    <w:rsid w:val="27D55855"/>
    <w:rsid w:val="27DF6C4E"/>
    <w:rsid w:val="27EC7E96"/>
    <w:rsid w:val="27F516EA"/>
    <w:rsid w:val="27F70F16"/>
    <w:rsid w:val="28111F7A"/>
    <w:rsid w:val="28232C8D"/>
    <w:rsid w:val="28254BAA"/>
    <w:rsid w:val="28267B00"/>
    <w:rsid w:val="283E2902"/>
    <w:rsid w:val="285664CE"/>
    <w:rsid w:val="28583914"/>
    <w:rsid w:val="2859377E"/>
    <w:rsid w:val="285A5748"/>
    <w:rsid w:val="285B36CF"/>
    <w:rsid w:val="286616EB"/>
    <w:rsid w:val="286D1437"/>
    <w:rsid w:val="28795561"/>
    <w:rsid w:val="288167BA"/>
    <w:rsid w:val="288818EE"/>
    <w:rsid w:val="288D39AB"/>
    <w:rsid w:val="28920A3E"/>
    <w:rsid w:val="2899A4CA"/>
    <w:rsid w:val="28A17421"/>
    <w:rsid w:val="28B22E8E"/>
    <w:rsid w:val="28C130D1"/>
    <w:rsid w:val="28C40F66"/>
    <w:rsid w:val="28D15A0A"/>
    <w:rsid w:val="28D70B46"/>
    <w:rsid w:val="28E371D6"/>
    <w:rsid w:val="28E514B5"/>
    <w:rsid w:val="28EE2D15"/>
    <w:rsid w:val="28EE67DC"/>
    <w:rsid w:val="28F25980"/>
    <w:rsid w:val="28F53AF3"/>
    <w:rsid w:val="28F8498E"/>
    <w:rsid w:val="28F95255"/>
    <w:rsid w:val="290225D3"/>
    <w:rsid w:val="2904200E"/>
    <w:rsid w:val="29077494"/>
    <w:rsid w:val="291A5EE2"/>
    <w:rsid w:val="29251E56"/>
    <w:rsid w:val="292E69B5"/>
    <w:rsid w:val="29390A1F"/>
    <w:rsid w:val="293D7A97"/>
    <w:rsid w:val="294303EE"/>
    <w:rsid w:val="29435A91"/>
    <w:rsid w:val="29487EC4"/>
    <w:rsid w:val="295108F9"/>
    <w:rsid w:val="29526E23"/>
    <w:rsid w:val="29574C3C"/>
    <w:rsid w:val="29646E76"/>
    <w:rsid w:val="29687D5A"/>
    <w:rsid w:val="296A58C3"/>
    <w:rsid w:val="296D5007"/>
    <w:rsid w:val="29826D04"/>
    <w:rsid w:val="298C7522"/>
    <w:rsid w:val="298F15DF"/>
    <w:rsid w:val="298F4F7D"/>
    <w:rsid w:val="29C22246"/>
    <w:rsid w:val="29C502E2"/>
    <w:rsid w:val="29CB6B8E"/>
    <w:rsid w:val="29EC2C27"/>
    <w:rsid w:val="29F22EB9"/>
    <w:rsid w:val="29F41A85"/>
    <w:rsid w:val="29F973AE"/>
    <w:rsid w:val="2A027E45"/>
    <w:rsid w:val="2A0D7A79"/>
    <w:rsid w:val="2A0E4EF5"/>
    <w:rsid w:val="2A13795C"/>
    <w:rsid w:val="2A230902"/>
    <w:rsid w:val="2A2E5A7E"/>
    <w:rsid w:val="2A397ADB"/>
    <w:rsid w:val="2A500BB0"/>
    <w:rsid w:val="2A612324"/>
    <w:rsid w:val="2A693A20"/>
    <w:rsid w:val="2A7A3E7F"/>
    <w:rsid w:val="2A841049"/>
    <w:rsid w:val="2A87448F"/>
    <w:rsid w:val="2A9E55B4"/>
    <w:rsid w:val="2AA03146"/>
    <w:rsid w:val="2AA723FA"/>
    <w:rsid w:val="2AA9206F"/>
    <w:rsid w:val="2AAB6F8C"/>
    <w:rsid w:val="2AAC4934"/>
    <w:rsid w:val="2AAD3254"/>
    <w:rsid w:val="2AB351AD"/>
    <w:rsid w:val="2ABB2A2D"/>
    <w:rsid w:val="2AC450FA"/>
    <w:rsid w:val="2AC5154B"/>
    <w:rsid w:val="2ACE4B67"/>
    <w:rsid w:val="2AD633B7"/>
    <w:rsid w:val="2AE57D07"/>
    <w:rsid w:val="2AEC425A"/>
    <w:rsid w:val="2B055E43"/>
    <w:rsid w:val="2B2160A9"/>
    <w:rsid w:val="2B3129C7"/>
    <w:rsid w:val="2B3E30FF"/>
    <w:rsid w:val="2B3E4F87"/>
    <w:rsid w:val="2B403A25"/>
    <w:rsid w:val="2B404781"/>
    <w:rsid w:val="2B414A8B"/>
    <w:rsid w:val="2B414ADB"/>
    <w:rsid w:val="2B45623B"/>
    <w:rsid w:val="2B491899"/>
    <w:rsid w:val="2B4B5135"/>
    <w:rsid w:val="2B525912"/>
    <w:rsid w:val="2B5706F9"/>
    <w:rsid w:val="2B670B65"/>
    <w:rsid w:val="2B68109E"/>
    <w:rsid w:val="2B6D51F0"/>
    <w:rsid w:val="2B762B51"/>
    <w:rsid w:val="2B942DDC"/>
    <w:rsid w:val="2B97183A"/>
    <w:rsid w:val="2BAB3053"/>
    <w:rsid w:val="2BBE65D9"/>
    <w:rsid w:val="2BD15D21"/>
    <w:rsid w:val="2BD50067"/>
    <w:rsid w:val="2BD63337"/>
    <w:rsid w:val="2BE55033"/>
    <w:rsid w:val="2BF043F9"/>
    <w:rsid w:val="2BF2576A"/>
    <w:rsid w:val="2BFB2D9E"/>
    <w:rsid w:val="2C0A417D"/>
    <w:rsid w:val="2C0B4465"/>
    <w:rsid w:val="2C1B755F"/>
    <w:rsid w:val="2C2220D9"/>
    <w:rsid w:val="2C2E0A7D"/>
    <w:rsid w:val="2C300E95"/>
    <w:rsid w:val="2C330EDB"/>
    <w:rsid w:val="2C3A1B18"/>
    <w:rsid w:val="2C507644"/>
    <w:rsid w:val="2C574478"/>
    <w:rsid w:val="2C5C119F"/>
    <w:rsid w:val="2C5F157F"/>
    <w:rsid w:val="2C651983"/>
    <w:rsid w:val="2C66214F"/>
    <w:rsid w:val="2C6E17C2"/>
    <w:rsid w:val="2C7C7A3B"/>
    <w:rsid w:val="2C8330C3"/>
    <w:rsid w:val="2C8903AA"/>
    <w:rsid w:val="2C8C5944"/>
    <w:rsid w:val="2C8D7546"/>
    <w:rsid w:val="2C9A6113"/>
    <w:rsid w:val="2C9C61E9"/>
    <w:rsid w:val="2CA31736"/>
    <w:rsid w:val="2CB750DB"/>
    <w:rsid w:val="2CBC58D1"/>
    <w:rsid w:val="2CBD363E"/>
    <w:rsid w:val="2CC24314"/>
    <w:rsid w:val="2CC31AA1"/>
    <w:rsid w:val="2CCA7E8A"/>
    <w:rsid w:val="2CCE59C2"/>
    <w:rsid w:val="2CF73D3E"/>
    <w:rsid w:val="2D052228"/>
    <w:rsid w:val="2D26387C"/>
    <w:rsid w:val="2D2638BF"/>
    <w:rsid w:val="2D264FE2"/>
    <w:rsid w:val="2D266A1B"/>
    <w:rsid w:val="2D2B320F"/>
    <w:rsid w:val="2D2C63EA"/>
    <w:rsid w:val="2D2E53F9"/>
    <w:rsid w:val="2D580189"/>
    <w:rsid w:val="2D661B27"/>
    <w:rsid w:val="2D6A6F25"/>
    <w:rsid w:val="2D704DDE"/>
    <w:rsid w:val="2D7D7F0E"/>
    <w:rsid w:val="2D843A07"/>
    <w:rsid w:val="2D8E5D85"/>
    <w:rsid w:val="2D9B4CAF"/>
    <w:rsid w:val="2D9E0A23"/>
    <w:rsid w:val="2DB45B6D"/>
    <w:rsid w:val="2DBD619E"/>
    <w:rsid w:val="2DBF6224"/>
    <w:rsid w:val="2DC07DFB"/>
    <w:rsid w:val="2DC70C24"/>
    <w:rsid w:val="2DCB3B49"/>
    <w:rsid w:val="2DCC67A0"/>
    <w:rsid w:val="2DCE7077"/>
    <w:rsid w:val="2DD02A6D"/>
    <w:rsid w:val="2DDA3990"/>
    <w:rsid w:val="2DF66EF4"/>
    <w:rsid w:val="2DFA2E0B"/>
    <w:rsid w:val="2DFC41AD"/>
    <w:rsid w:val="2E180085"/>
    <w:rsid w:val="2E211FE2"/>
    <w:rsid w:val="2E25717B"/>
    <w:rsid w:val="2E3713DB"/>
    <w:rsid w:val="2E374561"/>
    <w:rsid w:val="2E4171C4"/>
    <w:rsid w:val="2E444AFF"/>
    <w:rsid w:val="2E4511F3"/>
    <w:rsid w:val="2E474078"/>
    <w:rsid w:val="2E525C15"/>
    <w:rsid w:val="2E5A120D"/>
    <w:rsid w:val="2E677721"/>
    <w:rsid w:val="2E767899"/>
    <w:rsid w:val="2E78452B"/>
    <w:rsid w:val="2E8C7FEC"/>
    <w:rsid w:val="2E9E2CED"/>
    <w:rsid w:val="2EAC037F"/>
    <w:rsid w:val="2EAF3A22"/>
    <w:rsid w:val="2EBC5D7C"/>
    <w:rsid w:val="2EBE6558"/>
    <w:rsid w:val="2EC03D09"/>
    <w:rsid w:val="2EC35DF5"/>
    <w:rsid w:val="2EC50B0C"/>
    <w:rsid w:val="2ECC0AC3"/>
    <w:rsid w:val="2EDA313F"/>
    <w:rsid w:val="2EDA4F22"/>
    <w:rsid w:val="2EE17F66"/>
    <w:rsid w:val="2EE46E94"/>
    <w:rsid w:val="2EF25DF1"/>
    <w:rsid w:val="2EF8508B"/>
    <w:rsid w:val="2EFE6E2D"/>
    <w:rsid w:val="2EFF2E0C"/>
    <w:rsid w:val="2F103E04"/>
    <w:rsid w:val="2F1155C8"/>
    <w:rsid w:val="2F1C13BF"/>
    <w:rsid w:val="2F2D62E8"/>
    <w:rsid w:val="2F340AA1"/>
    <w:rsid w:val="2F4702A4"/>
    <w:rsid w:val="2F5073FF"/>
    <w:rsid w:val="2F535D43"/>
    <w:rsid w:val="2F6A1782"/>
    <w:rsid w:val="2F741918"/>
    <w:rsid w:val="2F870719"/>
    <w:rsid w:val="2F875A04"/>
    <w:rsid w:val="2F8A10C6"/>
    <w:rsid w:val="2F962DB3"/>
    <w:rsid w:val="2F9F555F"/>
    <w:rsid w:val="2FA26C38"/>
    <w:rsid w:val="2FA411C4"/>
    <w:rsid w:val="2FAC0F9C"/>
    <w:rsid w:val="2FB11482"/>
    <w:rsid w:val="2FB378CE"/>
    <w:rsid w:val="2FC242FE"/>
    <w:rsid w:val="2FCE2CA3"/>
    <w:rsid w:val="2FD11E32"/>
    <w:rsid w:val="2FDB75C4"/>
    <w:rsid w:val="2FE94E0F"/>
    <w:rsid w:val="300F0BC6"/>
    <w:rsid w:val="301420D8"/>
    <w:rsid w:val="302C542E"/>
    <w:rsid w:val="3034442B"/>
    <w:rsid w:val="30370BDD"/>
    <w:rsid w:val="30390071"/>
    <w:rsid w:val="303F5EC2"/>
    <w:rsid w:val="30405223"/>
    <w:rsid w:val="304549CB"/>
    <w:rsid w:val="3046174E"/>
    <w:rsid w:val="30605AFF"/>
    <w:rsid w:val="3060766D"/>
    <w:rsid w:val="306E4143"/>
    <w:rsid w:val="30823C5E"/>
    <w:rsid w:val="30916B3D"/>
    <w:rsid w:val="309E099A"/>
    <w:rsid w:val="30A023CD"/>
    <w:rsid w:val="30A43B3C"/>
    <w:rsid w:val="30B023A9"/>
    <w:rsid w:val="30BF439A"/>
    <w:rsid w:val="30C916BD"/>
    <w:rsid w:val="30D4575F"/>
    <w:rsid w:val="3112096E"/>
    <w:rsid w:val="31142A42"/>
    <w:rsid w:val="31171594"/>
    <w:rsid w:val="31271309"/>
    <w:rsid w:val="312879CF"/>
    <w:rsid w:val="312B7651"/>
    <w:rsid w:val="31390163"/>
    <w:rsid w:val="313930CC"/>
    <w:rsid w:val="317038E6"/>
    <w:rsid w:val="31761E03"/>
    <w:rsid w:val="317C3D05"/>
    <w:rsid w:val="3180527D"/>
    <w:rsid w:val="31905D79"/>
    <w:rsid w:val="319D0FFC"/>
    <w:rsid w:val="31A733A7"/>
    <w:rsid w:val="31AB2B70"/>
    <w:rsid w:val="31BE1AEF"/>
    <w:rsid w:val="31CA024B"/>
    <w:rsid w:val="31CD7626"/>
    <w:rsid w:val="31D03718"/>
    <w:rsid w:val="31D04385"/>
    <w:rsid w:val="31D439FD"/>
    <w:rsid w:val="31ED40DA"/>
    <w:rsid w:val="31FB7BDC"/>
    <w:rsid w:val="320261C4"/>
    <w:rsid w:val="320321A9"/>
    <w:rsid w:val="320715AC"/>
    <w:rsid w:val="32222A49"/>
    <w:rsid w:val="322E75B6"/>
    <w:rsid w:val="322F3E02"/>
    <w:rsid w:val="323C4484"/>
    <w:rsid w:val="323E5820"/>
    <w:rsid w:val="3246664A"/>
    <w:rsid w:val="32532BFB"/>
    <w:rsid w:val="32543208"/>
    <w:rsid w:val="32582E60"/>
    <w:rsid w:val="32623251"/>
    <w:rsid w:val="32770E1D"/>
    <w:rsid w:val="327C6702"/>
    <w:rsid w:val="327F3A40"/>
    <w:rsid w:val="32802295"/>
    <w:rsid w:val="328754F4"/>
    <w:rsid w:val="32970E77"/>
    <w:rsid w:val="329E2C41"/>
    <w:rsid w:val="32A963D1"/>
    <w:rsid w:val="32AB3732"/>
    <w:rsid w:val="32BB4322"/>
    <w:rsid w:val="32C87218"/>
    <w:rsid w:val="32CC0B3A"/>
    <w:rsid w:val="32D103B5"/>
    <w:rsid w:val="32E9446A"/>
    <w:rsid w:val="32ED6D0D"/>
    <w:rsid w:val="32EE21EF"/>
    <w:rsid w:val="32FB6F3A"/>
    <w:rsid w:val="32FE403C"/>
    <w:rsid w:val="3301516C"/>
    <w:rsid w:val="330847A6"/>
    <w:rsid w:val="330E3473"/>
    <w:rsid w:val="331D6515"/>
    <w:rsid w:val="332445D4"/>
    <w:rsid w:val="33374A05"/>
    <w:rsid w:val="333F7A14"/>
    <w:rsid w:val="33420DD0"/>
    <w:rsid w:val="336D3CCC"/>
    <w:rsid w:val="337B723F"/>
    <w:rsid w:val="338737CD"/>
    <w:rsid w:val="338D4C76"/>
    <w:rsid w:val="33923FE8"/>
    <w:rsid w:val="33A1247D"/>
    <w:rsid w:val="33A53035"/>
    <w:rsid w:val="33AC25F0"/>
    <w:rsid w:val="33C06DA7"/>
    <w:rsid w:val="33CB37C6"/>
    <w:rsid w:val="33D01002"/>
    <w:rsid w:val="33D840F1"/>
    <w:rsid w:val="33DE1462"/>
    <w:rsid w:val="33E11AF8"/>
    <w:rsid w:val="33E308E0"/>
    <w:rsid w:val="33F018FF"/>
    <w:rsid w:val="33F144DC"/>
    <w:rsid w:val="340D641C"/>
    <w:rsid w:val="340F5638"/>
    <w:rsid w:val="341474EF"/>
    <w:rsid w:val="34164C19"/>
    <w:rsid w:val="341D2DE6"/>
    <w:rsid w:val="341D45AF"/>
    <w:rsid w:val="3428494C"/>
    <w:rsid w:val="342873C9"/>
    <w:rsid w:val="343435C9"/>
    <w:rsid w:val="34362709"/>
    <w:rsid w:val="344A39D0"/>
    <w:rsid w:val="344A75CC"/>
    <w:rsid w:val="345707EA"/>
    <w:rsid w:val="34597F15"/>
    <w:rsid w:val="345E036E"/>
    <w:rsid w:val="346317C9"/>
    <w:rsid w:val="34656B85"/>
    <w:rsid w:val="3470037B"/>
    <w:rsid w:val="34840215"/>
    <w:rsid w:val="348619E3"/>
    <w:rsid w:val="349826DA"/>
    <w:rsid w:val="34A25937"/>
    <w:rsid w:val="34A73DDD"/>
    <w:rsid w:val="34C54FA6"/>
    <w:rsid w:val="34CD416D"/>
    <w:rsid w:val="34D21F7A"/>
    <w:rsid w:val="34D40752"/>
    <w:rsid w:val="34DD4868"/>
    <w:rsid w:val="34F42F64"/>
    <w:rsid w:val="34FB21A1"/>
    <w:rsid w:val="350031D3"/>
    <w:rsid w:val="35172D6D"/>
    <w:rsid w:val="352E1B9C"/>
    <w:rsid w:val="354268E3"/>
    <w:rsid w:val="354C1621"/>
    <w:rsid w:val="354D3607"/>
    <w:rsid w:val="35513745"/>
    <w:rsid w:val="35521CDA"/>
    <w:rsid w:val="35613C72"/>
    <w:rsid w:val="35797275"/>
    <w:rsid w:val="35900175"/>
    <w:rsid w:val="359C56FD"/>
    <w:rsid w:val="35AD5FDE"/>
    <w:rsid w:val="35AF3C99"/>
    <w:rsid w:val="35B244CD"/>
    <w:rsid w:val="35BD4675"/>
    <w:rsid w:val="35BF0570"/>
    <w:rsid w:val="35C0308E"/>
    <w:rsid w:val="35D24B6F"/>
    <w:rsid w:val="35D31D82"/>
    <w:rsid w:val="35D703D8"/>
    <w:rsid w:val="35F3196D"/>
    <w:rsid w:val="35F66D7E"/>
    <w:rsid w:val="36010FB1"/>
    <w:rsid w:val="3601265D"/>
    <w:rsid w:val="36071834"/>
    <w:rsid w:val="36257395"/>
    <w:rsid w:val="362C71B5"/>
    <w:rsid w:val="363E5073"/>
    <w:rsid w:val="366531FD"/>
    <w:rsid w:val="366559E4"/>
    <w:rsid w:val="36807AC2"/>
    <w:rsid w:val="36862126"/>
    <w:rsid w:val="36862B8B"/>
    <w:rsid w:val="368F2A60"/>
    <w:rsid w:val="36965FCE"/>
    <w:rsid w:val="36A302BA"/>
    <w:rsid w:val="36AC2B28"/>
    <w:rsid w:val="36AF4EB1"/>
    <w:rsid w:val="36B145FE"/>
    <w:rsid w:val="36BD3E66"/>
    <w:rsid w:val="36C459FB"/>
    <w:rsid w:val="36CE073F"/>
    <w:rsid w:val="36D51124"/>
    <w:rsid w:val="36E87115"/>
    <w:rsid w:val="36F32C3E"/>
    <w:rsid w:val="370160A4"/>
    <w:rsid w:val="370B18C5"/>
    <w:rsid w:val="37195C0B"/>
    <w:rsid w:val="374240D8"/>
    <w:rsid w:val="37511E8F"/>
    <w:rsid w:val="375178F7"/>
    <w:rsid w:val="37534E63"/>
    <w:rsid w:val="375422E1"/>
    <w:rsid w:val="37585548"/>
    <w:rsid w:val="375A785C"/>
    <w:rsid w:val="375B08FF"/>
    <w:rsid w:val="375B33C6"/>
    <w:rsid w:val="37681A16"/>
    <w:rsid w:val="3779143F"/>
    <w:rsid w:val="377D4E3C"/>
    <w:rsid w:val="37837F08"/>
    <w:rsid w:val="37856B99"/>
    <w:rsid w:val="37870664"/>
    <w:rsid w:val="37956DFA"/>
    <w:rsid w:val="3797437B"/>
    <w:rsid w:val="379B5B54"/>
    <w:rsid w:val="379E73FF"/>
    <w:rsid w:val="37B02C8E"/>
    <w:rsid w:val="37BD5263"/>
    <w:rsid w:val="37BDBCE1"/>
    <w:rsid w:val="37BE5BCC"/>
    <w:rsid w:val="37BF2ED1"/>
    <w:rsid w:val="37DC25AF"/>
    <w:rsid w:val="37DD2E3D"/>
    <w:rsid w:val="37E42D93"/>
    <w:rsid w:val="37E82C91"/>
    <w:rsid w:val="37F92688"/>
    <w:rsid w:val="382611A3"/>
    <w:rsid w:val="38273C4A"/>
    <w:rsid w:val="3838318A"/>
    <w:rsid w:val="384E540B"/>
    <w:rsid w:val="3855218C"/>
    <w:rsid w:val="385666B5"/>
    <w:rsid w:val="38571C47"/>
    <w:rsid w:val="38877CA4"/>
    <w:rsid w:val="389467D2"/>
    <w:rsid w:val="389468ED"/>
    <w:rsid w:val="38993C8D"/>
    <w:rsid w:val="389E6F8B"/>
    <w:rsid w:val="38B55CBD"/>
    <w:rsid w:val="38C24929"/>
    <w:rsid w:val="38C74D5D"/>
    <w:rsid w:val="38CA08B7"/>
    <w:rsid w:val="38DC2EF1"/>
    <w:rsid w:val="38F848ED"/>
    <w:rsid w:val="39003169"/>
    <w:rsid w:val="3901706C"/>
    <w:rsid w:val="390239BE"/>
    <w:rsid w:val="39046C4D"/>
    <w:rsid w:val="390E11E4"/>
    <w:rsid w:val="3915418A"/>
    <w:rsid w:val="39362426"/>
    <w:rsid w:val="393954F1"/>
    <w:rsid w:val="393E58F7"/>
    <w:rsid w:val="394E1922"/>
    <w:rsid w:val="39522A4F"/>
    <w:rsid w:val="395B4E39"/>
    <w:rsid w:val="395F1F56"/>
    <w:rsid w:val="397A49D1"/>
    <w:rsid w:val="397F1A05"/>
    <w:rsid w:val="398114C3"/>
    <w:rsid w:val="39873EC3"/>
    <w:rsid w:val="39897C3B"/>
    <w:rsid w:val="398A3F16"/>
    <w:rsid w:val="398A4385"/>
    <w:rsid w:val="398D62E7"/>
    <w:rsid w:val="39900FC9"/>
    <w:rsid w:val="399D5C12"/>
    <w:rsid w:val="399F3CA4"/>
    <w:rsid w:val="39A3590E"/>
    <w:rsid w:val="39AF31ED"/>
    <w:rsid w:val="39B06BEC"/>
    <w:rsid w:val="39BE3241"/>
    <w:rsid w:val="39C26CA9"/>
    <w:rsid w:val="39D011BE"/>
    <w:rsid w:val="39F134B3"/>
    <w:rsid w:val="3A041E9E"/>
    <w:rsid w:val="3A047516"/>
    <w:rsid w:val="3A051129"/>
    <w:rsid w:val="3A0B3F2D"/>
    <w:rsid w:val="3A1F6829"/>
    <w:rsid w:val="3A26221A"/>
    <w:rsid w:val="3A26548A"/>
    <w:rsid w:val="3A287497"/>
    <w:rsid w:val="3A296D28"/>
    <w:rsid w:val="3A384A7C"/>
    <w:rsid w:val="3A3A6426"/>
    <w:rsid w:val="3A471399"/>
    <w:rsid w:val="3A485400"/>
    <w:rsid w:val="3A6B7AC9"/>
    <w:rsid w:val="3A6C4ACA"/>
    <w:rsid w:val="3A6C5593"/>
    <w:rsid w:val="3A6C6A34"/>
    <w:rsid w:val="3A6F47C2"/>
    <w:rsid w:val="3A726421"/>
    <w:rsid w:val="3A773F37"/>
    <w:rsid w:val="3A895611"/>
    <w:rsid w:val="3A8F302F"/>
    <w:rsid w:val="3A9073CB"/>
    <w:rsid w:val="3A970136"/>
    <w:rsid w:val="3AA264A5"/>
    <w:rsid w:val="3AAF1923"/>
    <w:rsid w:val="3AAF547F"/>
    <w:rsid w:val="3AD43398"/>
    <w:rsid w:val="3AD94E1B"/>
    <w:rsid w:val="3ADC026A"/>
    <w:rsid w:val="3AE14933"/>
    <w:rsid w:val="3AE311E7"/>
    <w:rsid w:val="3B062751"/>
    <w:rsid w:val="3B0D47DE"/>
    <w:rsid w:val="3B14556E"/>
    <w:rsid w:val="3B28000C"/>
    <w:rsid w:val="3B5249B8"/>
    <w:rsid w:val="3B534EF6"/>
    <w:rsid w:val="3B5C71EE"/>
    <w:rsid w:val="3B7874EE"/>
    <w:rsid w:val="3BAD6EF5"/>
    <w:rsid w:val="3BC14FB6"/>
    <w:rsid w:val="3BD34E26"/>
    <w:rsid w:val="3BD42C9A"/>
    <w:rsid w:val="3BD5712E"/>
    <w:rsid w:val="3BD853D7"/>
    <w:rsid w:val="3BD94E32"/>
    <w:rsid w:val="3BDD601C"/>
    <w:rsid w:val="3BEF68BF"/>
    <w:rsid w:val="3BF55AB2"/>
    <w:rsid w:val="3BFA01D4"/>
    <w:rsid w:val="3C0A7798"/>
    <w:rsid w:val="3C20177D"/>
    <w:rsid w:val="3C30439E"/>
    <w:rsid w:val="3C31796A"/>
    <w:rsid w:val="3C3245BA"/>
    <w:rsid w:val="3C3F2599"/>
    <w:rsid w:val="3C547ECE"/>
    <w:rsid w:val="3C553845"/>
    <w:rsid w:val="3C587E92"/>
    <w:rsid w:val="3C616C4D"/>
    <w:rsid w:val="3C636521"/>
    <w:rsid w:val="3C6C2271"/>
    <w:rsid w:val="3C720E5A"/>
    <w:rsid w:val="3C741756"/>
    <w:rsid w:val="3C747B2E"/>
    <w:rsid w:val="3C926B1E"/>
    <w:rsid w:val="3CA31CBF"/>
    <w:rsid w:val="3CA50E5E"/>
    <w:rsid w:val="3CA8662A"/>
    <w:rsid w:val="3CBD40AC"/>
    <w:rsid w:val="3CBF0D95"/>
    <w:rsid w:val="3CBF53C0"/>
    <w:rsid w:val="3CC36B35"/>
    <w:rsid w:val="3CE84D04"/>
    <w:rsid w:val="3CF74DDB"/>
    <w:rsid w:val="3D0C6484"/>
    <w:rsid w:val="3D2008B6"/>
    <w:rsid w:val="3D2D072D"/>
    <w:rsid w:val="3D38472D"/>
    <w:rsid w:val="3D4445A5"/>
    <w:rsid w:val="3D4B638E"/>
    <w:rsid w:val="3D60664C"/>
    <w:rsid w:val="3D6D1908"/>
    <w:rsid w:val="3D781D62"/>
    <w:rsid w:val="3DA407DA"/>
    <w:rsid w:val="3DA45043"/>
    <w:rsid w:val="3DA72FF0"/>
    <w:rsid w:val="3DAE1A1E"/>
    <w:rsid w:val="3DCA0ECE"/>
    <w:rsid w:val="3DCC6120"/>
    <w:rsid w:val="3DD700F5"/>
    <w:rsid w:val="3DDA529F"/>
    <w:rsid w:val="3DDC7181"/>
    <w:rsid w:val="3DEE62BF"/>
    <w:rsid w:val="3DFB5797"/>
    <w:rsid w:val="3E123215"/>
    <w:rsid w:val="3E146DC6"/>
    <w:rsid w:val="3E182620"/>
    <w:rsid w:val="3E18333B"/>
    <w:rsid w:val="3E2A0839"/>
    <w:rsid w:val="3E330175"/>
    <w:rsid w:val="3E3963F4"/>
    <w:rsid w:val="3E412892"/>
    <w:rsid w:val="3E432AAE"/>
    <w:rsid w:val="3E565B39"/>
    <w:rsid w:val="3E5B4912"/>
    <w:rsid w:val="3E6F7351"/>
    <w:rsid w:val="3E70175E"/>
    <w:rsid w:val="3E73608E"/>
    <w:rsid w:val="3E742C68"/>
    <w:rsid w:val="3E74386C"/>
    <w:rsid w:val="3E872BA6"/>
    <w:rsid w:val="3EA01CAF"/>
    <w:rsid w:val="3EA868C2"/>
    <w:rsid w:val="3EB82888"/>
    <w:rsid w:val="3EBF1103"/>
    <w:rsid w:val="3EDC1B47"/>
    <w:rsid w:val="3EEC0950"/>
    <w:rsid w:val="3EED62EC"/>
    <w:rsid w:val="3EF0450F"/>
    <w:rsid w:val="3EFA69B7"/>
    <w:rsid w:val="3EFB138B"/>
    <w:rsid w:val="3EFF5646"/>
    <w:rsid w:val="3EFF6564"/>
    <w:rsid w:val="3F0F30F4"/>
    <w:rsid w:val="3F0F4A6B"/>
    <w:rsid w:val="3F132EDE"/>
    <w:rsid w:val="3F1C34BB"/>
    <w:rsid w:val="3F262A14"/>
    <w:rsid w:val="3F2A357E"/>
    <w:rsid w:val="3F3348D1"/>
    <w:rsid w:val="3F3917B9"/>
    <w:rsid w:val="3F3B0DB0"/>
    <w:rsid w:val="3F3E1957"/>
    <w:rsid w:val="3F446F74"/>
    <w:rsid w:val="3F577E93"/>
    <w:rsid w:val="3F654C6A"/>
    <w:rsid w:val="3F660D80"/>
    <w:rsid w:val="3F6A406B"/>
    <w:rsid w:val="3F730DBF"/>
    <w:rsid w:val="3F731171"/>
    <w:rsid w:val="3F7647BE"/>
    <w:rsid w:val="3F765972"/>
    <w:rsid w:val="3F7D5653"/>
    <w:rsid w:val="3F7FD2E1"/>
    <w:rsid w:val="3F887C54"/>
    <w:rsid w:val="3F9309E2"/>
    <w:rsid w:val="3FA255B3"/>
    <w:rsid w:val="3FB85499"/>
    <w:rsid w:val="3FBB501D"/>
    <w:rsid w:val="3FBC62ED"/>
    <w:rsid w:val="3FC1012F"/>
    <w:rsid w:val="3FD40E2F"/>
    <w:rsid w:val="3FF83425"/>
    <w:rsid w:val="400F50C7"/>
    <w:rsid w:val="40165819"/>
    <w:rsid w:val="40182F4B"/>
    <w:rsid w:val="40194644"/>
    <w:rsid w:val="402874E5"/>
    <w:rsid w:val="402C30CE"/>
    <w:rsid w:val="403368E6"/>
    <w:rsid w:val="40404565"/>
    <w:rsid w:val="40406474"/>
    <w:rsid w:val="40430B3B"/>
    <w:rsid w:val="404E1296"/>
    <w:rsid w:val="4053653B"/>
    <w:rsid w:val="4058616F"/>
    <w:rsid w:val="405A7C3B"/>
    <w:rsid w:val="406C13E9"/>
    <w:rsid w:val="40773485"/>
    <w:rsid w:val="407934A8"/>
    <w:rsid w:val="408152AE"/>
    <w:rsid w:val="408B6047"/>
    <w:rsid w:val="40901E8C"/>
    <w:rsid w:val="409B3CB0"/>
    <w:rsid w:val="409B4B92"/>
    <w:rsid w:val="409C08A5"/>
    <w:rsid w:val="409C64A6"/>
    <w:rsid w:val="409D4190"/>
    <w:rsid w:val="40A1586A"/>
    <w:rsid w:val="40AE3AB9"/>
    <w:rsid w:val="40AE482F"/>
    <w:rsid w:val="40B00A00"/>
    <w:rsid w:val="40C201B4"/>
    <w:rsid w:val="40D07EFD"/>
    <w:rsid w:val="40D11392"/>
    <w:rsid w:val="40D81790"/>
    <w:rsid w:val="40E259EE"/>
    <w:rsid w:val="40E436BC"/>
    <w:rsid w:val="40E70812"/>
    <w:rsid w:val="40EB2F89"/>
    <w:rsid w:val="40F97454"/>
    <w:rsid w:val="410451A7"/>
    <w:rsid w:val="410F42BC"/>
    <w:rsid w:val="412B7F18"/>
    <w:rsid w:val="41320BB8"/>
    <w:rsid w:val="414122F0"/>
    <w:rsid w:val="414157F3"/>
    <w:rsid w:val="41551F82"/>
    <w:rsid w:val="41555F3F"/>
    <w:rsid w:val="4156184A"/>
    <w:rsid w:val="4160525C"/>
    <w:rsid w:val="416A2100"/>
    <w:rsid w:val="41735578"/>
    <w:rsid w:val="41764F49"/>
    <w:rsid w:val="417B2021"/>
    <w:rsid w:val="418376A3"/>
    <w:rsid w:val="418D7E57"/>
    <w:rsid w:val="41AC56F4"/>
    <w:rsid w:val="41AF1F3C"/>
    <w:rsid w:val="41B4616B"/>
    <w:rsid w:val="41C304DF"/>
    <w:rsid w:val="41C87E4F"/>
    <w:rsid w:val="41CE77BD"/>
    <w:rsid w:val="41CF6407"/>
    <w:rsid w:val="41CF6C2B"/>
    <w:rsid w:val="41CF7FC1"/>
    <w:rsid w:val="41EF2605"/>
    <w:rsid w:val="41F25DF7"/>
    <w:rsid w:val="41F560D9"/>
    <w:rsid w:val="41F87F1F"/>
    <w:rsid w:val="42044568"/>
    <w:rsid w:val="42057EE3"/>
    <w:rsid w:val="420A7CC6"/>
    <w:rsid w:val="42114C71"/>
    <w:rsid w:val="42154762"/>
    <w:rsid w:val="42175FB4"/>
    <w:rsid w:val="42441D7B"/>
    <w:rsid w:val="424B2350"/>
    <w:rsid w:val="42541790"/>
    <w:rsid w:val="426D50E1"/>
    <w:rsid w:val="42870F07"/>
    <w:rsid w:val="429064A2"/>
    <w:rsid w:val="429F20A7"/>
    <w:rsid w:val="42A4461E"/>
    <w:rsid w:val="42A561C7"/>
    <w:rsid w:val="42AB0C22"/>
    <w:rsid w:val="42B13CAF"/>
    <w:rsid w:val="42B375DC"/>
    <w:rsid w:val="42B84ABA"/>
    <w:rsid w:val="42C1615C"/>
    <w:rsid w:val="42C43F3A"/>
    <w:rsid w:val="42C837D2"/>
    <w:rsid w:val="42FA74B4"/>
    <w:rsid w:val="431B5DA8"/>
    <w:rsid w:val="431E7646"/>
    <w:rsid w:val="432F53AF"/>
    <w:rsid w:val="43331167"/>
    <w:rsid w:val="43376BDC"/>
    <w:rsid w:val="43380329"/>
    <w:rsid w:val="433A5FD6"/>
    <w:rsid w:val="433B3283"/>
    <w:rsid w:val="43470D71"/>
    <w:rsid w:val="434927BA"/>
    <w:rsid w:val="43A001CA"/>
    <w:rsid w:val="43A23DD3"/>
    <w:rsid w:val="43A46436"/>
    <w:rsid w:val="43BA59BD"/>
    <w:rsid w:val="43C63B0B"/>
    <w:rsid w:val="43DF729C"/>
    <w:rsid w:val="43EA39CC"/>
    <w:rsid w:val="43EC6E34"/>
    <w:rsid w:val="44031929"/>
    <w:rsid w:val="441E71D2"/>
    <w:rsid w:val="44386DC7"/>
    <w:rsid w:val="444B0AB7"/>
    <w:rsid w:val="44546674"/>
    <w:rsid w:val="446A779D"/>
    <w:rsid w:val="446B06FF"/>
    <w:rsid w:val="44843DC2"/>
    <w:rsid w:val="448D5A66"/>
    <w:rsid w:val="44A410C8"/>
    <w:rsid w:val="44A616A1"/>
    <w:rsid w:val="44AA25B1"/>
    <w:rsid w:val="44B35568"/>
    <w:rsid w:val="44C0374E"/>
    <w:rsid w:val="44CA5540"/>
    <w:rsid w:val="44E26451"/>
    <w:rsid w:val="44E61C88"/>
    <w:rsid w:val="44F81AEE"/>
    <w:rsid w:val="44FA76E5"/>
    <w:rsid w:val="44FF5255"/>
    <w:rsid w:val="450A088A"/>
    <w:rsid w:val="45126D36"/>
    <w:rsid w:val="451323E3"/>
    <w:rsid w:val="45356B84"/>
    <w:rsid w:val="454B5917"/>
    <w:rsid w:val="454D7D6F"/>
    <w:rsid w:val="455603DA"/>
    <w:rsid w:val="4562080B"/>
    <w:rsid w:val="45694A1E"/>
    <w:rsid w:val="457A48DC"/>
    <w:rsid w:val="457F0578"/>
    <w:rsid w:val="45911C42"/>
    <w:rsid w:val="45966550"/>
    <w:rsid w:val="45A44293"/>
    <w:rsid w:val="45A71A97"/>
    <w:rsid w:val="45B11820"/>
    <w:rsid w:val="45B17333"/>
    <w:rsid w:val="45B40A62"/>
    <w:rsid w:val="45B66687"/>
    <w:rsid w:val="45BC5BBE"/>
    <w:rsid w:val="45DF7A91"/>
    <w:rsid w:val="45E5016B"/>
    <w:rsid w:val="45E83F3B"/>
    <w:rsid w:val="45ED221F"/>
    <w:rsid w:val="45F17051"/>
    <w:rsid w:val="45F662B5"/>
    <w:rsid w:val="46072173"/>
    <w:rsid w:val="463A1088"/>
    <w:rsid w:val="463F4E04"/>
    <w:rsid w:val="46443B98"/>
    <w:rsid w:val="464909B5"/>
    <w:rsid w:val="464949DA"/>
    <w:rsid w:val="4653372D"/>
    <w:rsid w:val="465E0296"/>
    <w:rsid w:val="4660794F"/>
    <w:rsid w:val="46757F48"/>
    <w:rsid w:val="467F21AA"/>
    <w:rsid w:val="46832EC4"/>
    <w:rsid w:val="46874AF7"/>
    <w:rsid w:val="469D7C7D"/>
    <w:rsid w:val="46A2546A"/>
    <w:rsid w:val="46A626BE"/>
    <w:rsid w:val="46AE1BBC"/>
    <w:rsid w:val="46C358F2"/>
    <w:rsid w:val="46E84189"/>
    <w:rsid w:val="46FB1A26"/>
    <w:rsid w:val="46FB4F0D"/>
    <w:rsid w:val="47013FF5"/>
    <w:rsid w:val="470352B6"/>
    <w:rsid w:val="47174AD8"/>
    <w:rsid w:val="473F5D2E"/>
    <w:rsid w:val="47437DF0"/>
    <w:rsid w:val="474B1D32"/>
    <w:rsid w:val="475C24EB"/>
    <w:rsid w:val="47623D37"/>
    <w:rsid w:val="476A4880"/>
    <w:rsid w:val="476D355D"/>
    <w:rsid w:val="477B5067"/>
    <w:rsid w:val="477F1359"/>
    <w:rsid w:val="478D56A7"/>
    <w:rsid w:val="47946129"/>
    <w:rsid w:val="479C778F"/>
    <w:rsid w:val="479F5922"/>
    <w:rsid w:val="47A74F93"/>
    <w:rsid w:val="47B55DC2"/>
    <w:rsid w:val="47B95AE3"/>
    <w:rsid w:val="47C54635"/>
    <w:rsid w:val="48084775"/>
    <w:rsid w:val="480D4044"/>
    <w:rsid w:val="48284AC3"/>
    <w:rsid w:val="48305B8F"/>
    <w:rsid w:val="48317C01"/>
    <w:rsid w:val="48390969"/>
    <w:rsid w:val="483956BD"/>
    <w:rsid w:val="484B4AC6"/>
    <w:rsid w:val="486D6CE9"/>
    <w:rsid w:val="48833616"/>
    <w:rsid w:val="488439A9"/>
    <w:rsid w:val="48924524"/>
    <w:rsid w:val="489F6228"/>
    <w:rsid w:val="48A42282"/>
    <w:rsid w:val="48AC2FFE"/>
    <w:rsid w:val="48E46C3C"/>
    <w:rsid w:val="48F63FC2"/>
    <w:rsid w:val="49142B20"/>
    <w:rsid w:val="491A265E"/>
    <w:rsid w:val="49252964"/>
    <w:rsid w:val="49261002"/>
    <w:rsid w:val="493251EE"/>
    <w:rsid w:val="49423962"/>
    <w:rsid w:val="494E1CBC"/>
    <w:rsid w:val="495A6FB4"/>
    <w:rsid w:val="495E4BAF"/>
    <w:rsid w:val="497C3DFC"/>
    <w:rsid w:val="497F7B76"/>
    <w:rsid w:val="498D1081"/>
    <w:rsid w:val="49A017E2"/>
    <w:rsid w:val="49A5127B"/>
    <w:rsid w:val="49A93BB4"/>
    <w:rsid w:val="49B434C4"/>
    <w:rsid w:val="49BB6429"/>
    <w:rsid w:val="49CA5E32"/>
    <w:rsid w:val="49E3381F"/>
    <w:rsid w:val="49E51520"/>
    <w:rsid w:val="49F52A74"/>
    <w:rsid w:val="49FE0A9E"/>
    <w:rsid w:val="4A0A0924"/>
    <w:rsid w:val="4A0A1718"/>
    <w:rsid w:val="4A0B5B9B"/>
    <w:rsid w:val="4A0B5CB6"/>
    <w:rsid w:val="4A0F2B90"/>
    <w:rsid w:val="4A143551"/>
    <w:rsid w:val="4A175819"/>
    <w:rsid w:val="4A186210"/>
    <w:rsid w:val="4A3622A4"/>
    <w:rsid w:val="4A4200BE"/>
    <w:rsid w:val="4A595408"/>
    <w:rsid w:val="4A5D78CD"/>
    <w:rsid w:val="4A6B71F5"/>
    <w:rsid w:val="4A6D53AC"/>
    <w:rsid w:val="4A7B678A"/>
    <w:rsid w:val="4A953BED"/>
    <w:rsid w:val="4AC4127E"/>
    <w:rsid w:val="4AC665FA"/>
    <w:rsid w:val="4AD109E2"/>
    <w:rsid w:val="4AD52A4C"/>
    <w:rsid w:val="4AD85F80"/>
    <w:rsid w:val="4AE747C1"/>
    <w:rsid w:val="4B176DB6"/>
    <w:rsid w:val="4B1873D3"/>
    <w:rsid w:val="4B2103FF"/>
    <w:rsid w:val="4B252B10"/>
    <w:rsid w:val="4B2736D7"/>
    <w:rsid w:val="4B301BE5"/>
    <w:rsid w:val="4B352B76"/>
    <w:rsid w:val="4B39251C"/>
    <w:rsid w:val="4B3A0D95"/>
    <w:rsid w:val="4B414168"/>
    <w:rsid w:val="4B4D1F5E"/>
    <w:rsid w:val="4B5B306C"/>
    <w:rsid w:val="4B663938"/>
    <w:rsid w:val="4B7122DD"/>
    <w:rsid w:val="4B7342A7"/>
    <w:rsid w:val="4B8364F9"/>
    <w:rsid w:val="4B844D22"/>
    <w:rsid w:val="4B99075F"/>
    <w:rsid w:val="4B9F0F3C"/>
    <w:rsid w:val="4BA426B2"/>
    <w:rsid w:val="4BAA3E90"/>
    <w:rsid w:val="4BBC47D7"/>
    <w:rsid w:val="4BBD5BA9"/>
    <w:rsid w:val="4BC36FDC"/>
    <w:rsid w:val="4BC92119"/>
    <w:rsid w:val="4BCD7E5B"/>
    <w:rsid w:val="4BD521F8"/>
    <w:rsid w:val="4BDB1843"/>
    <w:rsid w:val="4BE76E9B"/>
    <w:rsid w:val="4BE853BB"/>
    <w:rsid w:val="4C0324E8"/>
    <w:rsid w:val="4C0A5BDC"/>
    <w:rsid w:val="4C1B0BC7"/>
    <w:rsid w:val="4C2A0855"/>
    <w:rsid w:val="4C3103EA"/>
    <w:rsid w:val="4C4F778C"/>
    <w:rsid w:val="4C526A67"/>
    <w:rsid w:val="4C553263"/>
    <w:rsid w:val="4C5D11DF"/>
    <w:rsid w:val="4C62441C"/>
    <w:rsid w:val="4C632BA1"/>
    <w:rsid w:val="4C6E50DF"/>
    <w:rsid w:val="4C6F2693"/>
    <w:rsid w:val="4C881FE0"/>
    <w:rsid w:val="4C89610A"/>
    <w:rsid w:val="4C924C68"/>
    <w:rsid w:val="4C947B7A"/>
    <w:rsid w:val="4CA706AC"/>
    <w:rsid w:val="4CAB1E29"/>
    <w:rsid w:val="4CAF57B3"/>
    <w:rsid w:val="4CCB73B3"/>
    <w:rsid w:val="4CD10495"/>
    <w:rsid w:val="4CD174D7"/>
    <w:rsid w:val="4CDC1C99"/>
    <w:rsid w:val="4CDF5F6F"/>
    <w:rsid w:val="4CE94293"/>
    <w:rsid w:val="4CE95CF9"/>
    <w:rsid w:val="4CEA61AE"/>
    <w:rsid w:val="4D0C49B3"/>
    <w:rsid w:val="4D0E1AFF"/>
    <w:rsid w:val="4D2360A9"/>
    <w:rsid w:val="4D241CFD"/>
    <w:rsid w:val="4D257701"/>
    <w:rsid w:val="4D2662D4"/>
    <w:rsid w:val="4D2B308B"/>
    <w:rsid w:val="4D2E492A"/>
    <w:rsid w:val="4D3A32CE"/>
    <w:rsid w:val="4D3A5285"/>
    <w:rsid w:val="4D3B7679"/>
    <w:rsid w:val="4D4C6CD2"/>
    <w:rsid w:val="4D4D1254"/>
    <w:rsid w:val="4D4E514B"/>
    <w:rsid w:val="4D62033D"/>
    <w:rsid w:val="4D646943"/>
    <w:rsid w:val="4D69341E"/>
    <w:rsid w:val="4D6F132D"/>
    <w:rsid w:val="4D76AE4D"/>
    <w:rsid w:val="4D775994"/>
    <w:rsid w:val="4D7E786E"/>
    <w:rsid w:val="4D813AAF"/>
    <w:rsid w:val="4D8E5785"/>
    <w:rsid w:val="4D920DA6"/>
    <w:rsid w:val="4D9C5154"/>
    <w:rsid w:val="4DA22C22"/>
    <w:rsid w:val="4DAD1CF2"/>
    <w:rsid w:val="4DD77BB3"/>
    <w:rsid w:val="4DE17531"/>
    <w:rsid w:val="4DFB6F66"/>
    <w:rsid w:val="4DFE254E"/>
    <w:rsid w:val="4E0263E8"/>
    <w:rsid w:val="4E03137F"/>
    <w:rsid w:val="4E133C12"/>
    <w:rsid w:val="4E2234FC"/>
    <w:rsid w:val="4E4168DE"/>
    <w:rsid w:val="4E4B776F"/>
    <w:rsid w:val="4E5505A3"/>
    <w:rsid w:val="4E573A0C"/>
    <w:rsid w:val="4E5B352D"/>
    <w:rsid w:val="4E5B6A13"/>
    <w:rsid w:val="4E6459A5"/>
    <w:rsid w:val="4E66005F"/>
    <w:rsid w:val="4E673904"/>
    <w:rsid w:val="4E6D72F7"/>
    <w:rsid w:val="4E904202"/>
    <w:rsid w:val="4E925632"/>
    <w:rsid w:val="4E961608"/>
    <w:rsid w:val="4EB91DBD"/>
    <w:rsid w:val="4EBB5DFE"/>
    <w:rsid w:val="4EBE7F2F"/>
    <w:rsid w:val="4EE447E9"/>
    <w:rsid w:val="4EE500CD"/>
    <w:rsid w:val="4EE51484"/>
    <w:rsid w:val="4F0B4A9B"/>
    <w:rsid w:val="4F11005F"/>
    <w:rsid w:val="4F2C2527"/>
    <w:rsid w:val="4F2E5057"/>
    <w:rsid w:val="4F31680E"/>
    <w:rsid w:val="4F3828E8"/>
    <w:rsid w:val="4F3F3667"/>
    <w:rsid w:val="4F5276F9"/>
    <w:rsid w:val="4F551A63"/>
    <w:rsid w:val="4F600CF4"/>
    <w:rsid w:val="4F604B42"/>
    <w:rsid w:val="4F675ED1"/>
    <w:rsid w:val="4F6B59C1"/>
    <w:rsid w:val="4F715FC6"/>
    <w:rsid w:val="4F8B6CC9"/>
    <w:rsid w:val="4F8D1DDB"/>
    <w:rsid w:val="4F8F1FBF"/>
    <w:rsid w:val="4F9E0730"/>
    <w:rsid w:val="4F9F5E45"/>
    <w:rsid w:val="4FA13207"/>
    <w:rsid w:val="4FA75211"/>
    <w:rsid w:val="4FA84DFE"/>
    <w:rsid w:val="4FB43964"/>
    <w:rsid w:val="4FBB66C9"/>
    <w:rsid w:val="4FBD7FD1"/>
    <w:rsid w:val="4FC47B85"/>
    <w:rsid w:val="4FCB19E7"/>
    <w:rsid w:val="4FD277EE"/>
    <w:rsid w:val="4FE15C83"/>
    <w:rsid w:val="4FE93093"/>
    <w:rsid w:val="4FF5172F"/>
    <w:rsid w:val="500951DA"/>
    <w:rsid w:val="50142635"/>
    <w:rsid w:val="5015592D"/>
    <w:rsid w:val="50167463"/>
    <w:rsid w:val="501C315F"/>
    <w:rsid w:val="50256401"/>
    <w:rsid w:val="502C0884"/>
    <w:rsid w:val="503C0079"/>
    <w:rsid w:val="50534547"/>
    <w:rsid w:val="505B1395"/>
    <w:rsid w:val="506A7D8E"/>
    <w:rsid w:val="5076626F"/>
    <w:rsid w:val="507C325B"/>
    <w:rsid w:val="50834F8C"/>
    <w:rsid w:val="50B67F4C"/>
    <w:rsid w:val="50B74C36"/>
    <w:rsid w:val="50C20F92"/>
    <w:rsid w:val="50C406E4"/>
    <w:rsid w:val="50C86E43"/>
    <w:rsid w:val="50D1743D"/>
    <w:rsid w:val="50D542AA"/>
    <w:rsid w:val="50DE3161"/>
    <w:rsid w:val="50E347CC"/>
    <w:rsid w:val="50E579F5"/>
    <w:rsid w:val="50EF2A50"/>
    <w:rsid w:val="510F05CE"/>
    <w:rsid w:val="511E12FF"/>
    <w:rsid w:val="5120072F"/>
    <w:rsid w:val="51256043"/>
    <w:rsid w:val="5157604D"/>
    <w:rsid w:val="515A3289"/>
    <w:rsid w:val="515D758B"/>
    <w:rsid w:val="51676DFF"/>
    <w:rsid w:val="51682F45"/>
    <w:rsid w:val="5178039D"/>
    <w:rsid w:val="51870AAC"/>
    <w:rsid w:val="518E1E3B"/>
    <w:rsid w:val="51915487"/>
    <w:rsid w:val="51932FAD"/>
    <w:rsid w:val="51B03B5F"/>
    <w:rsid w:val="51B46176"/>
    <w:rsid w:val="51C03390"/>
    <w:rsid w:val="51C4585C"/>
    <w:rsid w:val="51CD1E23"/>
    <w:rsid w:val="51D44CC7"/>
    <w:rsid w:val="51DA4DD6"/>
    <w:rsid w:val="51E41A5B"/>
    <w:rsid w:val="51F4103D"/>
    <w:rsid w:val="51F6353C"/>
    <w:rsid w:val="52170C48"/>
    <w:rsid w:val="521A36CE"/>
    <w:rsid w:val="522C2F95"/>
    <w:rsid w:val="52412887"/>
    <w:rsid w:val="52657A5E"/>
    <w:rsid w:val="526861E8"/>
    <w:rsid w:val="527C6403"/>
    <w:rsid w:val="527D0E27"/>
    <w:rsid w:val="5280699E"/>
    <w:rsid w:val="528F264B"/>
    <w:rsid w:val="52AB0F09"/>
    <w:rsid w:val="52B95F1B"/>
    <w:rsid w:val="52C64BA1"/>
    <w:rsid w:val="52D7336D"/>
    <w:rsid w:val="52E965CA"/>
    <w:rsid w:val="52F07080"/>
    <w:rsid w:val="52F932E4"/>
    <w:rsid w:val="530D2D1D"/>
    <w:rsid w:val="53174884"/>
    <w:rsid w:val="53191D2D"/>
    <w:rsid w:val="532669BF"/>
    <w:rsid w:val="532A610A"/>
    <w:rsid w:val="532C6CA9"/>
    <w:rsid w:val="532D3760"/>
    <w:rsid w:val="533407C0"/>
    <w:rsid w:val="533627B3"/>
    <w:rsid w:val="534053B7"/>
    <w:rsid w:val="5344231C"/>
    <w:rsid w:val="53482049"/>
    <w:rsid w:val="534B1422"/>
    <w:rsid w:val="53501784"/>
    <w:rsid w:val="53504691"/>
    <w:rsid w:val="535A2807"/>
    <w:rsid w:val="5371368E"/>
    <w:rsid w:val="539453CB"/>
    <w:rsid w:val="5398626F"/>
    <w:rsid w:val="53BD2563"/>
    <w:rsid w:val="53C83B27"/>
    <w:rsid w:val="53DA4EC3"/>
    <w:rsid w:val="53E31850"/>
    <w:rsid w:val="53E358E6"/>
    <w:rsid w:val="53E37A74"/>
    <w:rsid w:val="53E41CC6"/>
    <w:rsid w:val="53EC4BF7"/>
    <w:rsid w:val="53F14249"/>
    <w:rsid w:val="53FE5A45"/>
    <w:rsid w:val="540006A2"/>
    <w:rsid w:val="54012256"/>
    <w:rsid w:val="5409241A"/>
    <w:rsid w:val="5410392E"/>
    <w:rsid w:val="54104AE0"/>
    <w:rsid w:val="541A3896"/>
    <w:rsid w:val="542E5F01"/>
    <w:rsid w:val="54307C7C"/>
    <w:rsid w:val="543C4499"/>
    <w:rsid w:val="54443B93"/>
    <w:rsid w:val="54445193"/>
    <w:rsid w:val="544669FD"/>
    <w:rsid w:val="54466F4E"/>
    <w:rsid w:val="544F31B6"/>
    <w:rsid w:val="54553DD5"/>
    <w:rsid w:val="545F67C6"/>
    <w:rsid w:val="54652C7D"/>
    <w:rsid w:val="549223AF"/>
    <w:rsid w:val="5493595D"/>
    <w:rsid w:val="549945E6"/>
    <w:rsid w:val="54A51975"/>
    <w:rsid w:val="54B1270D"/>
    <w:rsid w:val="54C23100"/>
    <w:rsid w:val="54C563D4"/>
    <w:rsid w:val="54C6369A"/>
    <w:rsid w:val="54D046EA"/>
    <w:rsid w:val="54D90F94"/>
    <w:rsid w:val="54DD7595"/>
    <w:rsid w:val="54ED0C26"/>
    <w:rsid w:val="54F643C7"/>
    <w:rsid w:val="54F82522"/>
    <w:rsid w:val="54FA491E"/>
    <w:rsid w:val="54FC460A"/>
    <w:rsid w:val="54FD4587"/>
    <w:rsid w:val="5501609C"/>
    <w:rsid w:val="550B72FE"/>
    <w:rsid w:val="55144E68"/>
    <w:rsid w:val="551A0DF0"/>
    <w:rsid w:val="5520724E"/>
    <w:rsid w:val="552161A3"/>
    <w:rsid w:val="55257691"/>
    <w:rsid w:val="5526343F"/>
    <w:rsid w:val="5549231F"/>
    <w:rsid w:val="555F0079"/>
    <w:rsid w:val="556F3D31"/>
    <w:rsid w:val="557D13E4"/>
    <w:rsid w:val="557E051F"/>
    <w:rsid w:val="558F6181"/>
    <w:rsid w:val="55985036"/>
    <w:rsid w:val="55997B55"/>
    <w:rsid w:val="559C6102"/>
    <w:rsid w:val="559D43FA"/>
    <w:rsid w:val="559F4374"/>
    <w:rsid w:val="55A30CE4"/>
    <w:rsid w:val="55A3219F"/>
    <w:rsid w:val="55A47ABE"/>
    <w:rsid w:val="55BF1099"/>
    <w:rsid w:val="55C27A0C"/>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B015FB"/>
    <w:rsid w:val="56B62223"/>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B5C93"/>
    <w:rsid w:val="576C5A04"/>
    <w:rsid w:val="57723665"/>
    <w:rsid w:val="577C0F04"/>
    <w:rsid w:val="577F432C"/>
    <w:rsid w:val="57833F8D"/>
    <w:rsid w:val="5785381A"/>
    <w:rsid w:val="57B40731"/>
    <w:rsid w:val="57BD0238"/>
    <w:rsid w:val="57CA583D"/>
    <w:rsid w:val="57CE2F91"/>
    <w:rsid w:val="57F553A3"/>
    <w:rsid w:val="58005114"/>
    <w:rsid w:val="58076E2A"/>
    <w:rsid w:val="580A7FCA"/>
    <w:rsid w:val="580E4305"/>
    <w:rsid w:val="582744CB"/>
    <w:rsid w:val="583472EB"/>
    <w:rsid w:val="58567A67"/>
    <w:rsid w:val="58584A76"/>
    <w:rsid w:val="585F78AA"/>
    <w:rsid w:val="58657CC1"/>
    <w:rsid w:val="587C45E8"/>
    <w:rsid w:val="58883DB7"/>
    <w:rsid w:val="588A3951"/>
    <w:rsid w:val="588C5ECE"/>
    <w:rsid w:val="58951D01"/>
    <w:rsid w:val="589917F1"/>
    <w:rsid w:val="58A106A5"/>
    <w:rsid w:val="58BA328F"/>
    <w:rsid w:val="58C12AF6"/>
    <w:rsid w:val="58CB7D26"/>
    <w:rsid w:val="58CF4E95"/>
    <w:rsid w:val="58D02986"/>
    <w:rsid w:val="58DD4061"/>
    <w:rsid w:val="58F06F37"/>
    <w:rsid w:val="58F26BBE"/>
    <w:rsid w:val="58F967EE"/>
    <w:rsid w:val="59004E1D"/>
    <w:rsid w:val="590B26D8"/>
    <w:rsid w:val="59122C0C"/>
    <w:rsid w:val="593474A8"/>
    <w:rsid w:val="593901D6"/>
    <w:rsid w:val="59456494"/>
    <w:rsid w:val="594828CF"/>
    <w:rsid w:val="594F0101"/>
    <w:rsid w:val="59505C28"/>
    <w:rsid w:val="595D2642"/>
    <w:rsid w:val="59656FE0"/>
    <w:rsid w:val="596C0ADC"/>
    <w:rsid w:val="598B43C7"/>
    <w:rsid w:val="59941FB8"/>
    <w:rsid w:val="599B15D3"/>
    <w:rsid w:val="599B3347"/>
    <w:rsid w:val="59A07809"/>
    <w:rsid w:val="59B57DE8"/>
    <w:rsid w:val="59B87FA6"/>
    <w:rsid w:val="59BC2414"/>
    <w:rsid w:val="59C83A10"/>
    <w:rsid w:val="59D32AE1"/>
    <w:rsid w:val="59D92DF0"/>
    <w:rsid w:val="59DC0BCE"/>
    <w:rsid w:val="59E174CA"/>
    <w:rsid w:val="59E21D3F"/>
    <w:rsid w:val="59E630B3"/>
    <w:rsid w:val="59E95D8A"/>
    <w:rsid w:val="59F21769"/>
    <w:rsid w:val="59FF18E5"/>
    <w:rsid w:val="59FF791E"/>
    <w:rsid w:val="5A111763"/>
    <w:rsid w:val="5A141C15"/>
    <w:rsid w:val="5A2C091C"/>
    <w:rsid w:val="5A3410A5"/>
    <w:rsid w:val="5A386AC4"/>
    <w:rsid w:val="5A3B1633"/>
    <w:rsid w:val="5A4F7C8D"/>
    <w:rsid w:val="5A582FE6"/>
    <w:rsid w:val="5A614EC3"/>
    <w:rsid w:val="5A6A4473"/>
    <w:rsid w:val="5A6E45B7"/>
    <w:rsid w:val="5A706581"/>
    <w:rsid w:val="5A822CB6"/>
    <w:rsid w:val="5A883ACC"/>
    <w:rsid w:val="5A89170D"/>
    <w:rsid w:val="5A951B44"/>
    <w:rsid w:val="5A9E4652"/>
    <w:rsid w:val="5AA004E9"/>
    <w:rsid w:val="5AA34820"/>
    <w:rsid w:val="5ABA5DFE"/>
    <w:rsid w:val="5AC46702"/>
    <w:rsid w:val="5AC643F3"/>
    <w:rsid w:val="5ACA752C"/>
    <w:rsid w:val="5AD030A7"/>
    <w:rsid w:val="5AD3266C"/>
    <w:rsid w:val="5ADB4989"/>
    <w:rsid w:val="5ADD12F1"/>
    <w:rsid w:val="5ADD678A"/>
    <w:rsid w:val="5AF23639"/>
    <w:rsid w:val="5AFC6067"/>
    <w:rsid w:val="5AFE3B8D"/>
    <w:rsid w:val="5AFF3964"/>
    <w:rsid w:val="5B2722C6"/>
    <w:rsid w:val="5B3475AF"/>
    <w:rsid w:val="5B473724"/>
    <w:rsid w:val="5B5045A9"/>
    <w:rsid w:val="5B511702"/>
    <w:rsid w:val="5B584F7A"/>
    <w:rsid w:val="5B6E42E3"/>
    <w:rsid w:val="5B6F0A06"/>
    <w:rsid w:val="5B741FBF"/>
    <w:rsid w:val="5B981697"/>
    <w:rsid w:val="5B9B1222"/>
    <w:rsid w:val="5BA54009"/>
    <w:rsid w:val="5BA65FD3"/>
    <w:rsid w:val="5BB243EA"/>
    <w:rsid w:val="5BC9758F"/>
    <w:rsid w:val="5BD364CA"/>
    <w:rsid w:val="5BD62312"/>
    <w:rsid w:val="5BDC37A3"/>
    <w:rsid w:val="5BEA4A79"/>
    <w:rsid w:val="5BEA61EE"/>
    <w:rsid w:val="5BFA1EAE"/>
    <w:rsid w:val="5BFF6384"/>
    <w:rsid w:val="5C044ACF"/>
    <w:rsid w:val="5C074CC3"/>
    <w:rsid w:val="5C0C22DA"/>
    <w:rsid w:val="5C0D1933"/>
    <w:rsid w:val="5C0F1DCA"/>
    <w:rsid w:val="5C1967A5"/>
    <w:rsid w:val="5C1A0858"/>
    <w:rsid w:val="5C2A26DE"/>
    <w:rsid w:val="5C2B3FA9"/>
    <w:rsid w:val="5C300706"/>
    <w:rsid w:val="5C366F03"/>
    <w:rsid w:val="5C3837BA"/>
    <w:rsid w:val="5C4C5669"/>
    <w:rsid w:val="5C4C7FF5"/>
    <w:rsid w:val="5C4E28F2"/>
    <w:rsid w:val="5C590532"/>
    <w:rsid w:val="5C5C7650"/>
    <w:rsid w:val="5C61405A"/>
    <w:rsid w:val="5C6235A3"/>
    <w:rsid w:val="5C753B31"/>
    <w:rsid w:val="5C763BF7"/>
    <w:rsid w:val="5C7B5B76"/>
    <w:rsid w:val="5C835F64"/>
    <w:rsid w:val="5C8F33CA"/>
    <w:rsid w:val="5CA729BF"/>
    <w:rsid w:val="5CB07109"/>
    <w:rsid w:val="5CB564CD"/>
    <w:rsid w:val="5CB64996"/>
    <w:rsid w:val="5CBB441E"/>
    <w:rsid w:val="5CC06FDD"/>
    <w:rsid w:val="5CC77769"/>
    <w:rsid w:val="5CC93D27"/>
    <w:rsid w:val="5CD21947"/>
    <w:rsid w:val="5CDD4955"/>
    <w:rsid w:val="5CE36871"/>
    <w:rsid w:val="5CEF2604"/>
    <w:rsid w:val="5CF45BDC"/>
    <w:rsid w:val="5CF647CF"/>
    <w:rsid w:val="5D043136"/>
    <w:rsid w:val="5D0B433F"/>
    <w:rsid w:val="5D1137F6"/>
    <w:rsid w:val="5D1B16E2"/>
    <w:rsid w:val="5D216076"/>
    <w:rsid w:val="5D275F5F"/>
    <w:rsid w:val="5D2B15D9"/>
    <w:rsid w:val="5D316639"/>
    <w:rsid w:val="5D3457D3"/>
    <w:rsid w:val="5D377DCB"/>
    <w:rsid w:val="5D451B0B"/>
    <w:rsid w:val="5D487345"/>
    <w:rsid w:val="5D4A6B09"/>
    <w:rsid w:val="5D5E19FF"/>
    <w:rsid w:val="5D642DEA"/>
    <w:rsid w:val="5D663C6C"/>
    <w:rsid w:val="5D794CE4"/>
    <w:rsid w:val="5D7E7207"/>
    <w:rsid w:val="5D801225"/>
    <w:rsid w:val="5D8B15BF"/>
    <w:rsid w:val="5D8F6D1E"/>
    <w:rsid w:val="5D9C768D"/>
    <w:rsid w:val="5DA51A05"/>
    <w:rsid w:val="5DA867CA"/>
    <w:rsid w:val="5DB030C9"/>
    <w:rsid w:val="5DC82230"/>
    <w:rsid w:val="5DCC5E35"/>
    <w:rsid w:val="5DDD62DB"/>
    <w:rsid w:val="5DE24FC9"/>
    <w:rsid w:val="5DF47BDD"/>
    <w:rsid w:val="5DFF79B1"/>
    <w:rsid w:val="5E0E3444"/>
    <w:rsid w:val="5E20588D"/>
    <w:rsid w:val="5E364C03"/>
    <w:rsid w:val="5E366D66"/>
    <w:rsid w:val="5E413D47"/>
    <w:rsid w:val="5E446EBF"/>
    <w:rsid w:val="5E4473E0"/>
    <w:rsid w:val="5E5A2091"/>
    <w:rsid w:val="5E5F3342"/>
    <w:rsid w:val="5E7073D8"/>
    <w:rsid w:val="5E7554D9"/>
    <w:rsid w:val="5E79352B"/>
    <w:rsid w:val="5E7B7D35"/>
    <w:rsid w:val="5E8F086F"/>
    <w:rsid w:val="5E937CA5"/>
    <w:rsid w:val="5E95260C"/>
    <w:rsid w:val="5E972FFA"/>
    <w:rsid w:val="5EA234F0"/>
    <w:rsid w:val="5EAF306B"/>
    <w:rsid w:val="5EB91416"/>
    <w:rsid w:val="5ECE13BF"/>
    <w:rsid w:val="5ED92B48"/>
    <w:rsid w:val="5EDB4A3D"/>
    <w:rsid w:val="5EDD61AF"/>
    <w:rsid w:val="5EE75AC7"/>
    <w:rsid w:val="5EE920F4"/>
    <w:rsid w:val="5EF4074C"/>
    <w:rsid w:val="5EFD0859"/>
    <w:rsid w:val="5F0651CC"/>
    <w:rsid w:val="5F1540E6"/>
    <w:rsid w:val="5F251BB7"/>
    <w:rsid w:val="5F262F0E"/>
    <w:rsid w:val="5F2B0CC9"/>
    <w:rsid w:val="5F3B3043"/>
    <w:rsid w:val="5F4A65CE"/>
    <w:rsid w:val="5F5475FA"/>
    <w:rsid w:val="5F567D9F"/>
    <w:rsid w:val="5F650A27"/>
    <w:rsid w:val="5F785718"/>
    <w:rsid w:val="5F794626"/>
    <w:rsid w:val="5F840C68"/>
    <w:rsid w:val="5F8779E8"/>
    <w:rsid w:val="5F8C3EEF"/>
    <w:rsid w:val="5FC32D89"/>
    <w:rsid w:val="5FC50612"/>
    <w:rsid w:val="5FC722E8"/>
    <w:rsid w:val="5FEA370B"/>
    <w:rsid w:val="5FFC08B7"/>
    <w:rsid w:val="5FFC654F"/>
    <w:rsid w:val="60127BDB"/>
    <w:rsid w:val="601338BB"/>
    <w:rsid w:val="60150D5F"/>
    <w:rsid w:val="60161979"/>
    <w:rsid w:val="601B1A18"/>
    <w:rsid w:val="60252943"/>
    <w:rsid w:val="602C4CF9"/>
    <w:rsid w:val="603441C9"/>
    <w:rsid w:val="60386277"/>
    <w:rsid w:val="604A517F"/>
    <w:rsid w:val="6051241D"/>
    <w:rsid w:val="6051351A"/>
    <w:rsid w:val="605777C8"/>
    <w:rsid w:val="605E7FF4"/>
    <w:rsid w:val="60675D31"/>
    <w:rsid w:val="607217A0"/>
    <w:rsid w:val="60744060"/>
    <w:rsid w:val="60830A73"/>
    <w:rsid w:val="608E7761"/>
    <w:rsid w:val="608F4782"/>
    <w:rsid w:val="609076C4"/>
    <w:rsid w:val="6099008A"/>
    <w:rsid w:val="60AA7040"/>
    <w:rsid w:val="60B265A9"/>
    <w:rsid w:val="60B35150"/>
    <w:rsid w:val="60B62CA5"/>
    <w:rsid w:val="60C90022"/>
    <w:rsid w:val="60E16138"/>
    <w:rsid w:val="60E60496"/>
    <w:rsid w:val="60E929AC"/>
    <w:rsid w:val="60EC7F1C"/>
    <w:rsid w:val="60ED424F"/>
    <w:rsid w:val="60FE7313"/>
    <w:rsid w:val="61035669"/>
    <w:rsid w:val="6104195F"/>
    <w:rsid w:val="610F5D0D"/>
    <w:rsid w:val="611066BB"/>
    <w:rsid w:val="611F54AC"/>
    <w:rsid w:val="612658E7"/>
    <w:rsid w:val="61303C96"/>
    <w:rsid w:val="61392356"/>
    <w:rsid w:val="614A7CF5"/>
    <w:rsid w:val="61511ED9"/>
    <w:rsid w:val="6170523F"/>
    <w:rsid w:val="61743F0C"/>
    <w:rsid w:val="617550F8"/>
    <w:rsid w:val="61893C1F"/>
    <w:rsid w:val="61985951"/>
    <w:rsid w:val="619A2136"/>
    <w:rsid w:val="619E79D2"/>
    <w:rsid w:val="61A134C4"/>
    <w:rsid w:val="61AB4343"/>
    <w:rsid w:val="61DE554E"/>
    <w:rsid w:val="61E863CA"/>
    <w:rsid w:val="61F20BC2"/>
    <w:rsid w:val="61FC5629"/>
    <w:rsid w:val="622561F5"/>
    <w:rsid w:val="623065F6"/>
    <w:rsid w:val="623978A4"/>
    <w:rsid w:val="62523E11"/>
    <w:rsid w:val="625C5CEF"/>
    <w:rsid w:val="62687396"/>
    <w:rsid w:val="62782DE1"/>
    <w:rsid w:val="6278463C"/>
    <w:rsid w:val="62817D43"/>
    <w:rsid w:val="62AF67D8"/>
    <w:rsid w:val="62BA0940"/>
    <w:rsid w:val="62BC7D94"/>
    <w:rsid w:val="62C1013E"/>
    <w:rsid w:val="62E0608F"/>
    <w:rsid w:val="62EE51D2"/>
    <w:rsid w:val="63061B43"/>
    <w:rsid w:val="630E3768"/>
    <w:rsid w:val="63235316"/>
    <w:rsid w:val="63352116"/>
    <w:rsid w:val="63380193"/>
    <w:rsid w:val="634100AB"/>
    <w:rsid w:val="63426970"/>
    <w:rsid w:val="63437437"/>
    <w:rsid w:val="63542CE7"/>
    <w:rsid w:val="63616586"/>
    <w:rsid w:val="63632466"/>
    <w:rsid w:val="63754AB6"/>
    <w:rsid w:val="637B2502"/>
    <w:rsid w:val="638135AD"/>
    <w:rsid w:val="63904DFA"/>
    <w:rsid w:val="639A2F45"/>
    <w:rsid w:val="639D271F"/>
    <w:rsid w:val="63A32DDF"/>
    <w:rsid w:val="63AB23D8"/>
    <w:rsid w:val="63AE1B87"/>
    <w:rsid w:val="63C03DF0"/>
    <w:rsid w:val="63CD1750"/>
    <w:rsid w:val="63CE6FEE"/>
    <w:rsid w:val="63D01DBD"/>
    <w:rsid w:val="63D168CC"/>
    <w:rsid w:val="63D857E3"/>
    <w:rsid w:val="63D87BF4"/>
    <w:rsid w:val="63DF2D0A"/>
    <w:rsid w:val="63E23618"/>
    <w:rsid w:val="63E678B4"/>
    <w:rsid w:val="63EA7C71"/>
    <w:rsid w:val="63EB0C9B"/>
    <w:rsid w:val="63EB129B"/>
    <w:rsid w:val="63F02AD4"/>
    <w:rsid w:val="63F77FDF"/>
    <w:rsid w:val="640D39DE"/>
    <w:rsid w:val="6414138E"/>
    <w:rsid w:val="641A59AB"/>
    <w:rsid w:val="642F6192"/>
    <w:rsid w:val="644005A9"/>
    <w:rsid w:val="64432A21"/>
    <w:rsid w:val="645B0332"/>
    <w:rsid w:val="646B37CD"/>
    <w:rsid w:val="64804A3D"/>
    <w:rsid w:val="648226C8"/>
    <w:rsid w:val="64963088"/>
    <w:rsid w:val="649C6ACA"/>
    <w:rsid w:val="64A007B0"/>
    <w:rsid w:val="64B516F2"/>
    <w:rsid w:val="64BF00B9"/>
    <w:rsid w:val="64C14A81"/>
    <w:rsid w:val="64D23842"/>
    <w:rsid w:val="64E016B4"/>
    <w:rsid w:val="64E36309"/>
    <w:rsid w:val="64F53BCB"/>
    <w:rsid w:val="64FF0C2E"/>
    <w:rsid w:val="650263DF"/>
    <w:rsid w:val="650F62F9"/>
    <w:rsid w:val="65355D7F"/>
    <w:rsid w:val="654725D5"/>
    <w:rsid w:val="65531A97"/>
    <w:rsid w:val="656D0D62"/>
    <w:rsid w:val="65992C34"/>
    <w:rsid w:val="659A2704"/>
    <w:rsid w:val="659A5AE5"/>
    <w:rsid w:val="659C0330"/>
    <w:rsid w:val="65A11CE5"/>
    <w:rsid w:val="65C95A3A"/>
    <w:rsid w:val="65DC39BC"/>
    <w:rsid w:val="65E13C28"/>
    <w:rsid w:val="65E240AB"/>
    <w:rsid w:val="65F00C5B"/>
    <w:rsid w:val="65F728DC"/>
    <w:rsid w:val="66187ACD"/>
    <w:rsid w:val="661E50E3"/>
    <w:rsid w:val="661F2DD4"/>
    <w:rsid w:val="662126B9"/>
    <w:rsid w:val="66247B53"/>
    <w:rsid w:val="66251A13"/>
    <w:rsid w:val="6631468C"/>
    <w:rsid w:val="66361DB9"/>
    <w:rsid w:val="664C2D08"/>
    <w:rsid w:val="664D6D4E"/>
    <w:rsid w:val="665455AE"/>
    <w:rsid w:val="66567C51"/>
    <w:rsid w:val="665C20B0"/>
    <w:rsid w:val="665F7C4A"/>
    <w:rsid w:val="6666618F"/>
    <w:rsid w:val="66730073"/>
    <w:rsid w:val="667411A7"/>
    <w:rsid w:val="66757604"/>
    <w:rsid w:val="6683720B"/>
    <w:rsid w:val="668B2CBD"/>
    <w:rsid w:val="66970D48"/>
    <w:rsid w:val="669E1219"/>
    <w:rsid w:val="66A11D4E"/>
    <w:rsid w:val="66BB08C3"/>
    <w:rsid w:val="66C242EE"/>
    <w:rsid w:val="66DE2AC5"/>
    <w:rsid w:val="66F35AF0"/>
    <w:rsid w:val="66F516DF"/>
    <w:rsid w:val="67126A1B"/>
    <w:rsid w:val="67213C63"/>
    <w:rsid w:val="67221946"/>
    <w:rsid w:val="672F3CC3"/>
    <w:rsid w:val="673F0A07"/>
    <w:rsid w:val="674C78D2"/>
    <w:rsid w:val="67584625"/>
    <w:rsid w:val="67654F94"/>
    <w:rsid w:val="67741540"/>
    <w:rsid w:val="67784B3D"/>
    <w:rsid w:val="677A041A"/>
    <w:rsid w:val="677A2E38"/>
    <w:rsid w:val="677B5744"/>
    <w:rsid w:val="677B7F6E"/>
    <w:rsid w:val="677D5E3A"/>
    <w:rsid w:val="677D5F50"/>
    <w:rsid w:val="677F0D9A"/>
    <w:rsid w:val="678606EC"/>
    <w:rsid w:val="67892EB2"/>
    <w:rsid w:val="678B49FB"/>
    <w:rsid w:val="679D0C3E"/>
    <w:rsid w:val="67A24EC6"/>
    <w:rsid w:val="67B30601"/>
    <w:rsid w:val="67B30D5A"/>
    <w:rsid w:val="67C021CA"/>
    <w:rsid w:val="67C92B33"/>
    <w:rsid w:val="67CC2981"/>
    <w:rsid w:val="67D143D7"/>
    <w:rsid w:val="67D512D3"/>
    <w:rsid w:val="67FF0C5F"/>
    <w:rsid w:val="67FF8B64"/>
    <w:rsid w:val="680D7763"/>
    <w:rsid w:val="682162F1"/>
    <w:rsid w:val="68221535"/>
    <w:rsid w:val="682E6D63"/>
    <w:rsid w:val="68437083"/>
    <w:rsid w:val="684C2BD7"/>
    <w:rsid w:val="68533339"/>
    <w:rsid w:val="68680898"/>
    <w:rsid w:val="68685893"/>
    <w:rsid w:val="68690DB1"/>
    <w:rsid w:val="686F00CC"/>
    <w:rsid w:val="68710AB1"/>
    <w:rsid w:val="68762BDA"/>
    <w:rsid w:val="68770F26"/>
    <w:rsid w:val="688E486E"/>
    <w:rsid w:val="68953657"/>
    <w:rsid w:val="68A51AEC"/>
    <w:rsid w:val="68A94636"/>
    <w:rsid w:val="68C47A98"/>
    <w:rsid w:val="68C64D5F"/>
    <w:rsid w:val="68E73BBC"/>
    <w:rsid w:val="68E8348B"/>
    <w:rsid w:val="68FD3526"/>
    <w:rsid w:val="69020CEC"/>
    <w:rsid w:val="690D0FD5"/>
    <w:rsid w:val="692100FE"/>
    <w:rsid w:val="69350587"/>
    <w:rsid w:val="693747D7"/>
    <w:rsid w:val="693900F9"/>
    <w:rsid w:val="693B7D5A"/>
    <w:rsid w:val="694E2184"/>
    <w:rsid w:val="695603C1"/>
    <w:rsid w:val="69574C91"/>
    <w:rsid w:val="69584DB0"/>
    <w:rsid w:val="69586B5E"/>
    <w:rsid w:val="695D0F42"/>
    <w:rsid w:val="69651231"/>
    <w:rsid w:val="69674A06"/>
    <w:rsid w:val="69692A09"/>
    <w:rsid w:val="696D3650"/>
    <w:rsid w:val="69783CF9"/>
    <w:rsid w:val="698B79BC"/>
    <w:rsid w:val="698C4311"/>
    <w:rsid w:val="698C7C1D"/>
    <w:rsid w:val="69937975"/>
    <w:rsid w:val="69937E95"/>
    <w:rsid w:val="69A13E27"/>
    <w:rsid w:val="69A86D71"/>
    <w:rsid w:val="69B7215C"/>
    <w:rsid w:val="69BB3F70"/>
    <w:rsid w:val="69D112C7"/>
    <w:rsid w:val="69D73FE1"/>
    <w:rsid w:val="69E72ABB"/>
    <w:rsid w:val="69F309C8"/>
    <w:rsid w:val="69F464B8"/>
    <w:rsid w:val="69F80DB0"/>
    <w:rsid w:val="69FC5BA7"/>
    <w:rsid w:val="6A0015C5"/>
    <w:rsid w:val="6A114ABE"/>
    <w:rsid w:val="6A1330E9"/>
    <w:rsid w:val="6A18009C"/>
    <w:rsid w:val="6A2151A2"/>
    <w:rsid w:val="6A366774"/>
    <w:rsid w:val="6A4B0118"/>
    <w:rsid w:val="6A521800"/>
    <w:rsid w:val="6A60610D"/>
    <w:rsid w:val="6A6207B2"/>
    <w:rsid w:val="6A733103"/>
    <w:rsid w:val="6A7C062B"/>
    <w:rsid w:val="6A8670F7"/>
    <w:rsid w:val="6A99268D"/>
    <w:rsid w:val="6AA162E3"/>
    <w:rsid w:val="6AA33502"/>
    <w:rsid w:val="6AA6074F"/>
    <w:rsid w:val="6AA65FF6"/>
    <w:rsid w:val="6AA8059C"/>
    <w:rsid w:val="6AAB53B4"/>
    <w:rsid w:val="6AC12A02"/>
    <w:rsid w:val="6AC41FD2"/>
    <w:rsid w:val="6AC86B84"/>
    <w:rsid w:val="6AD00976"/>
    <w:rsid w:val="6ADC7A1E"/>
    <w:rsid w:val="6AE4298E"/>
    <w:rsid w:val="6AF0599D"/>
    <w:rsid w:val="6AF35F9A"/>
    <w:rsid w:val="6AF66935"/>
    <w:rsid w:val="6B1F050D"/>
    <w:rsid w:val="6B2111D2"/>
    <w:rsid w:val="6B223D01"/>
    <w:rsid w:val="6B224456"/>
    <w:rsid w:val="6B2F4B01"/>
    <w:rsid w:val="6B3771FD"/>
    <w:rsid w:val="6B491AE3"/>
    <w:rsid w:val="6B5B3F6B"/>
    <w:rsid w:val="6B5C045C"/>
    <w:rsid w:val="6B64664A"/>
    <w:rsid w:val="6B690C1F"/>
    <w:rsid w:val="6B841E74"/>
    <w:rsid w:val="6B8600C3"/>
    <w:rsid w:val="6B862C3A"/>
    <w:rsid w:val="6B8A608B"/>
    <w:rsid w:val="6B8B2D6C"/>
    <w:rsid w:val="6BB92B8F"/>
    <w:rsid w:val="6BBEAF0D"/>
    <w:rsid w:val="6BC4419C"/>
    <w:rsid w:val="6BCF0C2E"/>
    <w:rsid w:val="6BD63F74"/>
    <w:rsid w:val="6BE91E36"/>
    <w:rsid w:val="6BF23772"/>
    <w:rsid w:val="6C0001D3"/>
    <w:rsid w:val="6C05469A"/>
    <w:rsid w:val="6C0C006C"/>
    <w:rsid w:val="6C0E5BFA"/>
    <w:rsid w:val="6C137DF3"/>
    <w:rsid w:val="6C1D2B12"/>
    <w:rsid w:val="6C2A02D2"/>
    <w:rsid w:val="6C3A3D49"/>
    <w:rsid w:val="6C45694D"/>
    <w:rsid w:val="6C472EBA"/>
    <w:rsid w:val="6C517895"/>
    <w:rsid w:val="6C594B3B"/>
    <w:rsid w:val="6C676BAF"/>
    <w:rsid w:val="6C71409B"/>
    <w:rsid w:val="6C7524C4"/>
    <w:rsid w:val="6C790046"/>
    <w:rsid w:val="6C847C6A"/>
    <w:rsid w:val="6CA07FF2"/>
    <w:rsid w:val="6CAA170F"/>
    <w:rsid w:val="6CAA6341"/>
    <w:rsid w:val="6CAC0708"/>
    <w:rsid w:val="6CB21200"/>
    <w:rsid w:val="6CB433CC"/>
    <w:rsid w:val="6CCD093A"/>
    <w:rsid w:val="6CE15B1C"/>
    <w:rsid w:val="6CE31D43"/>
    <w:rsid w:val="6CE37E0C"/>
    <w:rsid w:val="6CEA14D9"/>
    <w:rsid w:val="6CEB2BB2"/>
    <w:rsid w:val="6CF91BA2"/>
    <w:rsid w:val="6CFD7CAA"/>
    <w:rsid w:val="6D0D4A41"/>
    <w:rsid w:val="6D1234C8"/>
    <w:rsid w:val="6D153134"/>
    <w:rsid w:val="6D3011E3"/>
    <w:rsid w:val="6D3921C4"/>
    <w:rsid w:val="6D3F7E3F"/>
    <w:rsid w:val="6D454822"/>
    <w:rsid w:val="6D472138"/>
    <w:rsid w:val="6D4C1B1A"/>
    <w:rsid w:val="6D60154F"/>
    <w:rsid w:val="6D6E3F3E"/>
    <w:rsid w:val="6D6F4477"/>
    <w:rsid w:val="6D7101EF"/>
    <w:rsid w:val="6D8575C8"/>
    <w:rsid w:val="6D8B55D6"/>
    <w:rsid w:val="6D8F3301"/>
    <w:rsid w:val="6DA43F0A"/>
    <w:rsid w:val="6DA472CE"/>
    <w:rsid w:val="6DA92C65"/>
    <w:rsid w:val="6DB528F4"/>
    <w:rsid w:val="6DCC18C9"/>
    <w:rsid w:val="6DD42CD4"/>
    <w:rsid w:val="6DDA7221"/>
    <w:rsid w:val="6DDD5981"/>
    <w:rsid w:val="6DDD787C"/>
    <w:rsid w:val="6DE0582C"/>
    <w:rsid w:val="6DE1694E"/>
    <w:rsid w:val="6DE64844"/>
    <w:rsid w:val="6DFD555D"/>
    <w:rsid w:val="6E001CCB"/>
    <w:rsid w:val="6E041556"/>
    <w:rsid w:val="6E0659AC"/>
    <w:rsid w:val="6E0949F7"/>
    <w:rsid w:val="6E0C7F17"/>
    <w:rsid w:val="6E177FA3"/>
    <w:rsid w:val="6E253230"/>
    <w:rsid w:val="6E2A5D31"/>
    <w:rsid w:val="6E345A09"/>
    <w:rsid w:val="6E54021C"/>
    <w:rsid w:val="6E57552D"/>
    <w:rsid w:val="6E587601"/>
    <w:rsid w:val="6E870278"/>
    <w:rsid w:val="6E900803"/>
    <w:rsid w:val="6E980103"/>
    <w:rsid w:val="6E9879FD"/>
    <w:rsid w:val="6EA436DE"/>
    <w:rsid w:val="6EA91C0A"/>
    <w:rsid w:val="6EC85C7C"/>
    <w:rsid w:val="6ECE01AD"/>
    <w:rsid w:val="6ED352DA"/>
    <w:rsid w:val="6ED77105"/>
    <w:rsid w:val="6EED1AF7"/>
    <w:rsid w:val="6EED5F9B"/>
    <w:rsid w:val="6EF929BB"/>
    <w:rsid w:val="6EFA06B8"/>
    <w:rsid w:val="6EFC1D3A"/>
    <w:rsid w:val="6F03756C"/>
    <w:rsid w:val="6F08513D"/>
    <w:rsid w:val="6F1B0514"/>
    <w:rsid w:val="6F1D7A2C"/>
    <w:rsid w:val="6F245233"/>
    <w:rsid w:val="6F26325B"/>
    <w:rsid w:val="6F2A4AF9"/>
    <w:rsid w:val="6F2F0361"/>
    <w:rsid w:val="6F4B556B"/>
    <w:rsid w:val="6F521DA8"/>
    <w:rsid w:val="6F56268D"/>
    <w:rsid w:val="6F5738DB"/>
    <w:rsid w:val="6F5E47A3"/>
    <w:rsid w:val="6F7524D3"/>
    <w:rsid w:val="6F7A3AB1"/>
    <w:rsid w:val="6F7E0E20"/>
    <w:rsid w:val="6F827F9F"/>
    <w:rsid w:val="6F8B5EDC"/>
    <w:rsid w:val="6F933826"/>
    <w:rsid w:val="6FA44B57"/>
    <w:rsid w:val="6FAD7B35"/>
    <w:rsid w:val="6FB2669E"/>
    <w:rsid w:val="6FBD68AC"/>
    <w:rsid w:val="6FC34F4E"/>
    <w:rsid w:val="6FC72562"/>
    <w:rsid w:val="6FD16072"/>
    <w:rsid w:val="6FD54DBD"/>
    <w:rsid w:val="6FDE149A"/>
    <w:rsid w:val="6FEC6252"/>
    <w:rsid w:val="6FF12EB6"/>
    <w:rsid w:val="6FF473E6"/>
    <w:rsid w:val="6FFB6E51"/>
    <w:rsid w:val="6FFE5E10"/>
    <w:rsid w:val="70011C6F"/>
    <w:rsid w:val="701315F8"/>
    <w:rsid w:val="70133FED"/>
    <w:rsid w:val="70150DEC"/>
    <w:rsid w:val="70294DB1"/>
    <w:rsid w:val="702F03DE"/>
    <w:rsid w:val="703629B8"/>
    <w:rsid w:val="70381498"/>
    <w:rsid w:val="704E3157"/>
    <w:rsid w:val="7067653C"/>
    <w:rsid w:val="706C6E5E"/>
    <w:rsid w:val="70817FDC"/>
    <w:rsid w:val="708F6D10"/>
    <w:rsid w:val="70A94752"/>
    <w:rsid w:val="70C24848"/>
    <w:rsid w:val="70CC66D6"/>
    <w:rsid w:val="70CD1EA1"/>
    <w:rsid w:val="70D16D5B"/>
    <w:rsid w:val="70DD5B9B"/>
    <w:rsid w:val="70E65F31"/>
    <w:rsid w:val="70EA4D0B"/>
    <w:rsid w:val="70F3310B"/>
    <w:rsid w:val="70F33611"/>
    <w:rsid w:val="70F529D8"/>
    <w:rsid w:val="70F80C27"/>
    <w:rsid w:val="70FD1E74"/>
    <w:rsid w:val="7103039C"/>
    <w:rsid w:val="71094EE1"/>
    <w:rsid w:val="7113780F"/>
    <w:rsid w:val="71234381"/>
    <w:rsid w:val="712D6B22"/>
    <w:rsid w:val="71324139"/>
    <w:rsid w:val="714E07E0"/>
    <w:rsid w:val="71535F0A"/>
    <w:rsid w:val="71566C84"/>
    <w:rsid w:val="716342F2"/>
    <w:rsid w:val="7176589D"/>
    <w:rsid w:val="71890F4E"/>
    <w:rsid w:val="719E2D77"/>
    <w:rsid w:val="71AD269A"/>
    <w:rsid w:val="71B1003D"/>
    <w:rsid w:val="71B26D02"/>
    <w:rsid w:val="71B87331"/>
    <w:rsid w:val="71C22190"/>
    <w:rsid w:val="71DB25B0"/>
    <w:rsid w:val="71DD262A"/>
    <w:rsid w:val="71E56C44"/>
    <w:rsid w:val="71F66F14"/>
    <w:rsid w:val="720D7234"/>
    <w:rsid w:val="720F76A2"/>
    <w:rsid w:val="72150491"/>
    <w:rsid w:val="721533B7"/>
    <w:rsid w:val="722270B4"/>
    <w:rsid w:val="723133BA"/>
    <w:rsid w:val="72442376"/>
    <w:rsid w:val="72745768"/>
    <w:rsid w:val="727A5D97"/>
    <w:rsid w:val="728D6069"/>
    <w:rsid w:val="729060C4"/>
    <w:rsid w:val="729130E1"/>
    <w:rsid w:val="72927344"/>
    <w:rsid w:val="7295156C"/>
    <w:rsid w:val="729D2580"/>
    <w:rsid w:val="72A67B87"/>
    <w:rsid w:val="72B33057"/>
    <w:rsid w:val="72B4208D"/>
    <w:rsid w:val="72BD74AB"/>
    <w:rsid w:val="72CC2F73"/>
    <w:rsid w:val="72D045AE"/>
    <w:rsid w:val="72D30170"/>
    <w:rsid w:val="72DE56EC"/>
    <w:rsid w:val="731A227C"/>
    <w:rsid w:val="731D1288"/>
    <w:rsid w:val="73263829"/>
    <w:rsid w:val="732844B5"/>
    <w:rsid w:val="734168B5"/>
    <w:rsid w:val="7342148F"/>
    <w:rsid w:val="734B09AB"/>
    <w:rsid w:val="735569E4"/>
    <w:rsid w:val="735D6F92"/>
    <w:rsid w:val="736F5970"/>
    <w:rsid w:val="737D29E8"/>
    <w:rsid w:val="73835463"/>
    <w:rsid w:val="738C04CD"/>
    <w:rsid w:val="738E752A"/>
    <w:rsid w:val="73A20B1D"/>
    <w:rsid w:val="73AD5DF1"/>
    <w:rsid w:val="73B330F9"/>
    <w:rsid w:val="73C23B2B"/>
    <w:rsid w:val="73C44CED"/>
    <w:rsid w:val="73D0510F"/>
    <w:rsid w:val="73ED31EC"/>
    <w:rsid w:val="73EF0526"/>
    <w:rsid w:val="740D2F81"/>
    <w:rsid w:val="740F42BD"/>
    <w:rsid w:val="742C1313"/>
    <w:rsid w:val="74314888"/>
    <w:rsid w:val="7458018C"/>
    <w:rsid w:val="7461241C"/>
    <w:rsid w:val="746820E1"/>
    <w:rsid w:val="747431F1"/>
    <w:rsid w:val="7475083E"/>
    <w:rsid w:val="74794E04"/>
    <w:rsid w:val="74943930"/>
    <w:rsid w:val="7497700C"/>
    <w:rsid w:val="749E606B"/>
    <w:rsid w:val="74A108C3"/>
    <w:rsid w:val="74A51618"/>
    <w:rsid w:val="74A761E5"/>
    <w:rsid w:val="74B84955"/>
    <w:rsid w:val="74CC6652"/>
    <w:rsid w:val="74D82307"/>
    <w:rsid w:val="74DD2099"/>
    <w:rsid w:val="74EB19F9"/>
    <w:rsid w:val="74FA3218"/>
    <w:rsid w:val="75014144"/>
    <w:rsid w:val="750712FE"/>
    <w:rsid w:val="75086702"/>
    <w:rsid w:val="75096069"/>
    <w:rsid w:val="75137C89"/>
    <w:rsid w:val="753078C7"/>
    <w:rsid w:val="753164B5"/>
    <w:rsid w:val="7537210A"/>
    <w:rsid w:val="753D0242"/>
    <w:rsid w:val="75405EF4"/>
    <w:rsid w:val="75591E6C"/>
    <w:rsid w:val="755E374E"/>
    <w:rsid w:val="755E6504"/>
    <w:rsid w:val="755F74C6"/>
    <w:rsid w:val="75653843"/>
    <w:rsid w:val="75666F53"/>
    <w:rsid w:val="756A393F"/>
    <w:rsid w:val="756D6C3E"/>
    <w:rsid w:val="757836DE"/>
    <w:rsid w:val="758E6C35"/>
    <w:rsid w:val="759A2644"/>
    <w:rsid w:val="75A34005"/>
    <w:rsid w:val="75A53176"/>
    <w:rsid w:val="75B3143C"/>
    <w:rsid w:val="75DE663D"/>
    <w:rsid w:val="75DF77C9"/>
    <w:rsid w:val="76050685"/>
    <w:rsid w:val="761D147A"/>
    <w:rsid w:val="76487F5B"/>
    <w:rsid w:val="764C7A4B"/>
    <w:rsid w:val="765650F3"/>
    <w:rsid w:val="765661D4"/>
    <w:rsid w:val="765B3C33"/>
    <w:rsid w:val="76633D26"/>
    <w:rsid w:val="76793527"/>
    <w:rsid w:val="76813F28"/>
    <w:rsid w:val="768A50AF"/>
    <w:rsid w:val="768E761F"/>
    <w:rsid w:val="76967DBD"/>
    <w:rsid w:val="76992BAC"/>
    <w:rsid w:val="769F7459"/>
    <w:rsid w:val="76A95843"/>
    <w:rsid w:val="76B50711"/>
    <w:rsid w:val="76B70072"/>
    <w:rsid w:val="76C94F71"/>
    <w:rsid w:val="76EA1012"/>
    <w:rsid w:val="76EA5F76"/>
    <w:rsid w:val="76F118C6"/>
    <w:rsid w:val="77040325"/>
    <w:rsid w:val="77040389"/>
    <w:rsid w:val="7714385F"/>
    <w:rsid w:val="771845F1"/>
    <w:rsid w:val="77204693"/>
    <w:rsid w:val="7730377C"/>
    <w:rsid w:val="77335A41"/>
    <w:rsid w:val="77336CB1"/>
    <w:rsid w:val="773B0311"/>
    <w:rsid w:val="773F42D3"/>
    <w:rsid w:val="77471FC0"/>
    <w:rsid w:val="77516E88"/>
    <w:rsid w:val="77527177"/>
    <w:rsid w:val="77545751"/>
    <w:rsid w:val="776246DD"/>
    <w:rsid w:val="776430D3"/>
    <w:rsid w:val="776B5480"/>
    <w:rsid w:val="776E7C54"/>
    <w:rsid w:val="77732816"/>
    <w:rsid w:val="77756FCF"/>
    <w:rsid w:val="777C4360"/>
    <w:rsid w:val="77872205"/>
    <w:rsid w:val="77886598"/>
    <w:rsid w:val="779237CF"/>
    <w:rsid w:val="779248CF"/>
    <w:rsid w:val="77A63824"/>
    <w:rsid w:val="77AF17F8"/>
    <w:rsid w:val="77B42334"/>
    <w:rsid w:val="77BC0420"/>
    <w:rsid w:val="77BF37F2"/>
    <w:rsid w:val="77CB0341"/>
    <w:rsid w:val="77CB2A11"/>
    <w:rsid w:val="77D80280"/>
    <w:rsid w:val="77D86362"/>
    <w:rsid w:val="77DD2CDB"/>
    <w:rsid w:val="77DE2925"/>
    <w:rsid w:val="77ED781B"/>
    <w:rsid w:val="77F379D0"/>
    <w:rsid w:val="77FC3263"/>
    <w:rsid w:val="78054D4B"/>
    <w:rsid w:val="78076869"/>
    <w:rsid w:val="780E632E"/>
    <w:rsid w:val="78182DED"/>
    <w:rsid w:val="78234AAC"/>
    <w:rsid w:val="782A4B57"/>
    <w:rsid w:val="782F3180"/>
    <w:rsid w:val="78333B77"/>
    <w:rsid w:val="78551A1C"/>
    <w:rsid w:val="7856575F"/>
    <w:rsid w:val="786156A0"/>
    <w:rsid w:val="7869772C"/>
    <w:rsid w:val="786F5C73"/>
    <w:rsid w:val="787827BA"/>
    <w:rsid w:val="78AE246B"/>
    <w:rsid w:val="78BF34D3"/>
    <w:rsid w:val="78C40B07"/>
    <w:rsid w:val="79013F9E"/>
    <w:rsid w:val="79053EE1"/>
    <w:rsid w:val="79117683"/>
    <w:rsid w:val="7915055D"/>
    <w:rsid w:val="79387AA2"/>
    <w:rsid w:val="79516F21"/>
    <w:rsid w:val="7956040C"/>
    <w:rsid w:val="795D45C7"/>
    <w:rsid w:val="795E6DCD"/>
    <w:rsid w:val="795F0980"/>
    <w:rsid w:val="79882989"/>
    <w:rsid w:val="799B1284"/>
    <w:rsid w:val="79AF131A"/>
    <w:rsid w:val="79BF008C"/>
    <w:rsid w:val="79DB07EA"/>
    <w:rsid w:val="79F46118"/>
    <w:rsid w:val="79F8AD8E"/>
    <w:rsid w:val="7A0A5C53"/>
    <w:rsid w:val="7A15284A"/>
    <w:rsid w:val="7A385FB5"/>
    <w:rsid w:val="7A634B02"/>
    <w:rsid w:val="7A8A7BB0"/>
    <w:rsid w:val="7A8EDC86"/>
    <w:rsid w:val="7A9279C8"/>
    <w:rsid w:val="7A934189"/>
    <w:rsid w:val="7A980376"/>
    <w:rsid w:val="7A9B1DC0"/>
    <w:rsid w:val="7AA91468"/>
    <w:rsid w:val="7AAA55F3"/>
    <w:rsid w:val="7AB7745D"/>
    <w:rsid w:val="7ABD6E12"/>
    <w:rsid w:val="7ABE01A3"/>
    <w:rsid w:val="7ACA56C9"/>
    <w:rsid w:val="7ACE6CE4"/>
    <w:rsid w:val="7AD01BE9"/>
    <w:rsid w:val="7AF145FC"/>
    <w:rsid w:val="7AF719DB"/>
    <w:rsid w:val="7B0E669F"/>
    <w:rsid w:val="7B1C45FD"/>
    <w:rsid w:val="7B1D7C08"/>
    <w:rsid w:val="7B302ED7"/>
    <w:rsid w:val="7B3D3E06"/>
    <w:rsid w:val="7B4B2CA9"/>
    <w:rsid w:val="7B512E32"/>
    <w:rsid w:val="7B542EFE"/>
    <w:rsid w:val="7B5457E3"/>
    <w:rsid w:val="7B5F17E9"/>
    <w:rsid w:val="7B74F02E"/>
    <w:rsid w:val="7B7620DA"/>
    <w:rsid w:val="7B840910"/>
    <w:rsid w:val="7B913AEA"/>
    <w:rsid w:val="7B95779E"/>
    <w:rsid w:val="7BB73BB8"/>
    <w:rsid w:val="7BBF481B"/>
    <w:rsid w:val="7BC05414"/>
    <w:rsid w:val="7BC77A59"/>
    <w:rsid w:val="7BC92E31"/>
    <w:rsid w:val="7BE05AFD"/>
    <w:rsid w:val="7BE74879"/>
    <w:rsid w:val="7BF30969"/>
    <w:rsid w:val="7BF658F4"/>
    <w:rsid w:val="7C121D64"/>
    <w:rsid w:val="7C1558B6"/>
    <w:rsid w:val="7C1A419B"/>
    <w:rsid w:val="7C294018"/>
    <w:rsid w:val="7C2D37DB"/>
    <w:rsid w:val="7C3920FC"/>
    <w:rsid w:val="7C400DC2"/>
    <w:rsid w:val="7C4B7CC8"/>
    <w:rsid w:val="7C65738C"/>
    <w:rsid w:val="7C80044E"/>
    <w:rsid w:val="7CB3005B"/>
    <w:rsid w:val="7CC252DC"/>
    <w:rsid w:val="7CF871E2"/>
    <w:rsid w:val="7CFA491C"/>
    <w:rsid w:val="7CFB0594"/>
    <w:rsid w:val="7D0413E5"/>
    <w:rsid w:val="7D052883"/>
    <w:rsid w:val="7D080444"/>
    <w:rsid w:val="7D0A7926"/>
    <w:rsid w:val="7D0E6933"/>
    <w:rsid w:val="7D0F3580"/>
    <w:rsid w:val="7D11554A"/>
    <w:rsid w:val="7D1E73C7"/>
    <w:rsid w:val="7D1F5041"/>
    <w:rsid w:val="7D254B52"/>
    <w:rsid w:val="7D276975"/>
    <w:rsid w:val="7D3C048A"/>
    <w:rsid w:val="7D4C2098"/>
    <w:rsid w:val="7D6C1D7F"/>
    <w:rsid w:val="7D727A60"/>
    <w:rsid w:val="7D9D0B8C"/>
    <w:rsid w:val="7D9E2DD0"/>
    <w:rsid w:val="7D9F2B56"/>
    <w:rsid w:val="7DA37F52"/>
    <w:rsid w:val="7DA737B9"/>
    <w:rsid w:val="7DC72148"/>
    <w:rsid w:val="7DC9A4E1"/>
    <w:rsid w:val="7DCA0002"/>
    <w:rsid w:val="7DCA350D"/>
    <w:rsid w:val="7DCA6913"/>
    <w:rsid w:val="7DCE03A6"/>
    <w:rsid w:val="7DD000A3"/>
    <w:rsid w:val="7DD353FE"/>
    <w:rsid w:val="7DD7598F"/>
    <w:rsid w:val="7DF33775"/>
    <w:rsid w:val="7DF95AC7"/>
    <w:rsid w:val="7DFA5FDE"/>
    <w:rsid w:val="7E024E93"/>
    <w:rsid w:val="7E17093E"/>
    <w:rsid w:val="7E1F0343"/>
    <w:rsid w:val="7E1F289D"/>
    <w:rsid w:val="7E244E09"/>
    <w:rsid w:val="7E296D49"/>
    <w:rsid w:val="7E322BF0"/>
    <w:rsid w:val="7E3D55AC"/>
    <w:rsid w:val="7E414101"/>
    <w:rsid w:val="7E4A216B"/>
    <w:rsid w:val="7E507730"/>
    <w:rsid w:val="7E5A6722"/>
    <w:rsid w:val="7E6025CA"/>
    <w:rsid w:val="7E6462BE"/>
    <w:rsid w:val="7E7FDD25"/>
    <w:rsid w:val="7E851D4C"/>
    <w:rsid w:val="7E8719CA"/>
    <w:rsid w:val="7E8A42B4"/>
    <w:rsid w:val="7E8E43A4"/>
    <w:rsid w:val="7E977CD1"/>
    <w:rsid w:val="7E9F45EB"/>
    <w:rsid w:val="7EAB1087"/>
    <w:rsid w:val="7ECB2067"/>
    <w:rsid w:val="7ED312A7"/>
    <w:rsid w:val="7EDC3936"/>
    <w:rsid w:val="7EEF469E"/>
    <w:rsid w:val="7EF016CC"/>
    <w:rsid w:val="7F080287"/>
    <w:rsid w:val="7F0D5C54"/>
    <w:rsid w:val="7F126400"/>
    <w:rsid w:val="7F14234B"/>
    <w:rsid w:val="7F211349"/>
    <w:rsid w:val="7F2922B9"/>
    <w:rsid w:val="7F3A03DA"/>
    <w:rsid w:val="7F3B5658"/>
    <w:rsid w:val="7F3F5381"/>
    <w:rsid w:val="7F4D4962"/>
    <w:rsid w:val="7F4F2A7D"/>
    <w:rsid w:val="7F660E38"/>
    <w:rsid w:val="7F6E2ADE"/>
    <w:rsid w:val="7F6F0306"/>
    <w:rsid w:val="7F70652D"/>
    <w:rsid w:val="7F7ED6A3"/>
    <w:rsid w:val="7F810731"/>
    <w:rsid w:val="7F887292"/>
    <w:rsid w:val="7F894774"/>
    <w:rsid w:val="7F8B66A8"/>
    <w:rsid w:val="7F912B25"/>
    <w:rsid w:val="7F934B69"/>
    <w:rsid w:val="7FA3626C"/>
    <w:rsid w:val="7FA83C4D"/>
    <w:rsid w:val="7FAC1D15"/>
    <w:rsid w:val="7FAF335E"/>
    <w:rsid w:val="7FB15DDC"/>
    <w:rsid w:val="7FBA4D31"/>
    <w:rsid w:val="7FC570A6"/>
    <w:rsid w:val="7FC67B8E"/>
    <w:rsid w:val="7FCD25AE"/>
    <w:rsid w:val="7FD50102"/>
    <w:rsid w:val="7FD67A6A"/>
    <w:rsid w:val="7FDC07EC"/>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9"/>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40"/>
    <w:autoRedefine/>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paragraph" w:styleId="5">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3">
    <w:name w:val="Default Paragraph Font"/>
    <w:autoRedefine/>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6">
    <w:name w:val="toc 7"/>
    <w:basedOn w:val="1"/>
    <w:next w:val="1"/>
    <w:autoRedefine/>
    <w:semiHidden/>
    <w:qFormat/>
    <w:uiPriority w:val="0"/>
    <w:pPr>
      <w:ind w:left="1260"/>
      <w:jc w:val="left"/>
    </w:pPr>
    <w:rPr>
      <w:sz w:val="18"/>
      <w:szCs w:val="18"/>
    </w:rPr>
  </w:style>
  <w:style w:type="paragraph" w:styleId="7">
    <w:name w:val="Normal Indent"/>
    <w:basedOn w:val="1"/>
    <w:autoRedefine/>
    <w:qFormat/>
    <w:uiPriority w:val="0"/>
    <w:pPr>
      <w:ind w:firstLine="420"/>
    </w:pPr>
    <w:rPr>
      <w:szCs w:val="20"/>
    </w:rPr>
  </w:style>
  <w:style w:type="paragraph" w:styleId="8">
    <w:name w:val="annotation text"/>
    <w:basedOn w:val="1"/>
    <w:link w:val="41"/>
    <w:autoRedefine/>
    <w:semiHidden/>
    <w:qFormat/>
    <w:uiPriority w:val="0"/>
    <w:pPr>
      <w:jc w:val="left"/>
    </w:pPr>
  </w:style>
  <w:style w:type="paragraph" w:styleId="9">
    <w:name w:val="Body Text 3"/>
    <w:basedOn w:val="1"/>
    <w:autoRedefine/>
    <w:qFormat/>
    <w:uiPriority w:val="0"/>
    <w:rPr>
      <w:rFonts w:ascii="宋体"/>
      <w:sz w:val="24"/>
      <w:szCs w:val="20"/>
    </w:rPr>
  </w:style>
  <w:style w:type="paragraph" w:styleId="10">
    <w:name w:val="Body Text"/>
    <w:basedOn w:val="1"/>
    <w:next w:val="11"/>
    <w:link w:val="42"/>
    <w:autoRedefine/>
    <w:qFormat/>
    <w:uiPriority w:val="0"/>
    <w:pPr>
      <w:spacing w:after="120"/>
    </w:pPr>
  </w:style>
  <w:style w:type="paragraph" w:styleId="11">
    <w:name w:val="Date"/>
    <w:basedOn w:val="1"/>
    <w:next w:val="1"/>
    <w:autoRedefine/>
    <w:qFormat/>
    <w:uiPriority w:val="0"/>
    <w:pPr>
      <w:ind w:left="100" w:leftChars="2500"/>
    </w:pPr>
  </w:style>
  <w:style w:type="paragraph" w:styleId="12">
    <w:name w:val="Body Text Indent"/>
    <w:basedOn w:val="1"/>
    <w:next w:val="10"/>
    <w:autoRedefine/>
    <w:unhideWhenUsed/>
    <w:qFormat/>
    <w:uiPriority w:val="99"/>
    <w:pPr>
      <w:spacing w:after="120"/>
      <w:ind w:left="420" w:leftChars="200"/>
    </w:pPr>
    <w:rPr>
      <w:kern w:val="0"/>
      <w:sz w:val="20"/>
    </w:rPr>
  </w:style>
  <w:style w:type="paragraph" w:styleId="13">
    <w:name w:val="toc 5"/>
    <w:basedOn w:val="1"/>
    <w:next w:val="1"/>
    <w:autoRedefine/>
    <w:semiHidden/>
    <w:qFormat/>
    <w:uiPriority w:val="0"/>
    <w:pPr>
      <w:ind w:left="840"/>
      <w:jc w:val="left"/>
    </w:pPr>
    <w:rPr>
      <w:sz w:val="18"/>
      <w:szCs w:val="18"/>
    </w:rPr>
  </w:style>
  <w:style w:type="paragraph" w:styleId="14">
    <w:name w:val="toc 3"/>
    <w:basedOn w:val="1"/>
    <w:next w:val="1"/>
    <w:autoRedefine/>
    <w:qFormat/>
    <w:uiPriority w:val="0"/>
    <w:pPr>
      <w:ind w:left="420"/>
      <w:jc w:val="left"/>
    </w:pPr>
    <w:rPr>
      <w:i/>
      <w:iCs/>
      <w:sz w:val="20"/>
      <w:szCs w:val="20"/>
    </w:rPr>
  </w:style>
  <w:style w:type="paragraph" w:styleId="15">
    <w:name w:val="Plain Text"/>
    <w:basedOn w:val="1"/>
    <w:autoRedefine/>
    <w:qFormat/>
    <w:uiPriority w:val="0"/>
    <w:rPr>
      <w:rFonts w:ascii="Courier New" w:hAnsi="Courier New"/>
      <w:szCs w:val="20"/>
    </w:rPr>
  </w:style>
  <w:style w:type="paragraph" w:styleId="16">
    <w:name w:val="toc 8"/>
    <w:basedOn w:val="1"/>
    <w:next w:val="1"/>
    <w:autoRedefine/>
    <w:semiHidden/>
    <w:qFormat/>
    <w:uiPriority w:val="0"/>
    <w:pPr>
      <w:ind w:left="1470"/>
      <w:jc w:val="left"/>
    </w:pPr>
    <w:rPr>
      <w:sz w:val="18"/>
      <w:szCs w:val="18"/>
    </w:rPr>
  </w:style>
  <w:style w:type="paragraph" w:styleId="17">
    <w:name w:val="Balloon Text"/>
    <w:basedOn w:val="1"/>
    <w:autoRedefine/>
    <w:semiHidden/>
    <w:qFormat/>
    <w:uiPriority w:val="0"/>
    <w:rPr>
      <w:sz w:val="18"/>
      <w:szCs w:val="18"/>
    </w:rPr>
  </w:style>
  <w:style w:type="paragraph" w:styleId="18">
    <w:name w:val="footer"/>
    <w:basedOn w:val="1"/>
    <w:autoRedefine/>
    <w:qFormat/>
    <w:uiPriority w:val="0"/>
    <w:pPr>
      <w:tabs>
        <w:tab w:val="center" w:pos="4153"/>
        <w:tab w:val="right" w:pos="8306"/>
      </w:tabs>
      <w:snapToGrid w:val="0"/>
      <w:jc w:val="left"/>
    </w:pPr>
    <w:rPr>
      <w:sz w:val="18"/>
      <w:szCs w:val="18"/>
    </w:rPr>
  </w:style>
  <w:style w:type="paragraph" w:styleId="19">
    <w:name w:val="envelope return"/>
    <w:basedOn w:val="1"/>
    <w:autoRedefine/>
    <w:qFormat/>
    <w:uiPriority w:val="0"/>
    <w:pPr>
      <w:snapToGrid w:val="0"/>
    </w:pPr>
    <w:rPr>
      <w:rFonts w:ascii="Arial" w:hAnsi="Arial"/>
    </w:rPr>
  </w:style>
  <w:style w:type="paragraph" w:styleId="2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0"/>
    <w:pPr>
      <w:spacing w:before="120" w:after="120"/>
      <w:jc w:val="left"/>
    </w:pPr>
    <w:rPr>
      <w:b/>
      <w:bCs/>
      <w:caps/>
      <w:sz w:val="20"/>
      <w:szCs w:val="20"/>
    </w:rPr>
  </w:style>
  <w:style w:type="paragraph" w:styleId="22">
    <w:name w:val="toc 4"/>
    <w:basedOn w:val="1"/>
    <w:next w:val="1"/>
    <w:autoRedefine/>
    <w:semiHidden/>
    <w:qFormat/>
    <w:uiPriority w:val="0"/>
    <w:pPr>
      <w:ind w:left="630"/>
      <w:jc w:val="left"/>
    </w:pPr>
    <w:rPr>
      <w:sz w:val="18"/>
      <w:szCs w:val="18"/>
    </w:rPr>
  </w:style>
  <w:style w:type="paragraph" w:styleId="23">
    <w:name w:val="toc 6"/>
    <w:basedOn w:val="1"/>
    <w:next w:val="1"/>
    <w:autoRedefine/>
    <w:semiHidden/>
    <w:qFormat/>
    <w:uiPriority w:val="0"/>
    <w:pPr>
      <w:ind w:left="1050"/>
      <w:jc w:val="left"/>
    </w:pPr>
    <w:rPr>
      <w:sz w:val="18"/>
      <w:szCs w:val="18"/>
    </w:rPr>
  </w:style>
  <w:style w:type="paragraph" w:styleId="24">
    <w:name w:val="toc 2"/>
    <w:basedOn w:val="1"/>
    <w:next w:val="1"/>
    <w:autoRedefine/>
    <w:qFormat/>
    <w:uiPriority w:val="0"/>
    <w:pPr>
      <w:ind w:left="210"/>
      <w:jc w:val="left"/>
    </w:pPr>
    <w:rPr>
      <w:smallCaps/>
      <w:sz w:val="20"/>
      <w:szCs w:val="20"/>
    </w:rPr>
  </w:style>
  <w:style w:type="paragraph" w:styleId="25">
    <w:name w:val="toc 9"/>
    <w:basedOn w:val="1"/>
    <w:next w:val="1"/>
    <w:autoRedefine/>
    <w:semiHidden/>
    <w:qFormat/>
    <w:uiPriority w:val="0"/>
    <w:pPr>
      <w:ind w:left="1680"/>
      <w:jc w:val="left"/>
    </w:pPr>
    <w:rPr>
      <w:sz w:val="18"/>
      <w:szCs w:val="18"/>
    </w:rPr>
  </w:style>
  <w:style w:type="paragraph" w:styleId="26">
    <w:name w:val="Body Text 2"/>
    <w:basedOn w:val="1"/>
    <w:autoRedefine/>
    <w:qFormat/>
    <w:uiPriority w:val="0"/>
    <w:pPr>
      <w:spacing w:line="240" w:lineRule="exact"/>
    </w:pPr>
    <w:rPr>
      <w:rFonts w:eastAsia="仿宋_GB2312"/>
    </w:rPr>
  </w:style>
  <w:style w:type="paragraph" w:styleId="27">
    <w:name w:val="HTML Preformatted"/>
    <w:basedOn w:val="1"/>
    <w:link w:val="43"/>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8">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9">
    <w:name w:val="annotation subject"/>
    <w:basedOn w:val="8"/>
    <w:next w:val="8"/>
    <w:autoRedefine/>
    <w:semiHidden/>
    <w:qFormat/>
    <w:uiPriority w:val="0"/>
    <w:rPr>
      <w:b/>
      <w:bCs/>
    </w:rPr>
  </w:style>
  <w:style w:type="paragraph" w:styleId="30">
    <w:name w:val="Body Text First Indent 2"/>
    <w:basedOn w:val="12"/>
    <w:next w:val="31"/>
    <w:autoRedefine/>
    <w:qFormat/>
    <w:uiPriority w:val="99"/>
    <w:pPr>
      <w:ind w:firstLine="420"/>
    </w:pPr>
    <w:rPr>
      <w:sz w:val="24"/>
    </w:rPr>
  </w:style>
  <w:style w:type="paragraph" w:customStyle="1" w:styleId="31">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character" w:styleId="34">
    <w:name w:val="page number"/>
    <w:autoRedefine/>
    <w:qFormat/>
    <w:uiPriority w:val="0"/>
  </w:style>
  <w:style w:type="character" w:styleId="35">
    <w:name w:val="FollowedHyperlink"/>
    <w:autoRedefine/>
    <w:qFormat/>
    <w:uiPriority w:val="0"/>
    <w:rPr>
      <w:color w:val="000000"/>
      <w:u w:val="none"/>
    </w:rPr>
  </w:style>
  <w:style w:type="character" w:styleId="36">
    <w:name w:val="line number"/>
    <w:autoRedefine/>
    <w:qFormat/>
    <w:uiPriority w:val="0"/>
  </w:style>
  <w:style w:type="character" w:styleId="37">
    <w:name w:val="Hyperlink"/>
    <w:autoRedefine/>
    <w:qFormat/>
    <w:uiPriority w:val="0"/>
    <w:rPr>
      <w:color w:val="000000"/>
      <w:u w:val="none"/>
    </w:rPr>
  </w:style>
  <w:style w:type="character" w:styleId="38">
    <w:name w:val="annotation reference"/>
    <w:autoRedefine/>
    <w:semiHidden/>
    <w:qFormat/>
    <w:uiPriority w:val="0"/>
    <w:rPr>
      <w:sz w:val="21"/>
      <w:szCs w:val="21"/>
    </w:rPr>
  </w:style>
  <w:style w:type="character" w:customStyle="1" w:styleId="39">
    <w:name w:val="标题 1 字符"/>
    <w:link w:val="2"/>
    <w:autoRedefine/>
    <w:qFormat/>
    <w:uiPriority w:val="0"/>
    <w:rPr>
      <w:rFonts w:eastAsia="宋体"/>
      <w:b/>
      <w:bCs/>
      <w:kern w:val="44"/>
      <w:sz w:val="44"/>
      <w:szCs w:val="44"/>
      <w:lang w:val="en-US" w:eastAsia="zh-CN" w:bidi="ar-SA"/>
    </w:rPr>
  </w:style>
  <w:style w:type="character" w:customStyle="1" w:styleId="40">
    <w:name w:val="标题 2 字符"/>
    <w:link w:val="3"/>
    <w:autoRedefine/>
    <w:qFormat/>
    <w:uiPriority w:val="0"/>
    <w:rPr>
      <w:rFonts w:ascii="Arial" w:hAnsi="Arial" w:eastAsia="黑体"/>
      <w:b/>
      <w:bCs/>
      <w:kern w:val="2"/>
      <w:sz w:val="32"/>
      <w:szCs w:val="32"/>
      <w:lang w:val="en-US" w:eastAsia="zh-CN" w:bidi="ar-SA"/>
    </w:rPr>
  </w:style>
  <w:style w:type="character" w:customStyle="1" w:styleId="41">
    <w:name w:val="批注文字 字符"/>
    <w:link w:val="8"/>
    <w:autoRedefine/>
    <w:qFormat/>
    <w:uiPriority w:val="0"/>
    <w:rPr>
      <w:rFonts w:eastAsia="宋体"/>
      <w:kern w:val="2"/>
      <w:sz w:val="21"/>
      <w:szCs w:val="24"/>
      <w:lang w:val="en-US" w:eastAsia="zh-CN" w:bidi="ar-SA"/>
    </w:rPr>
  </w:style>
  <w:style w:type="character" w:customStyle="1" w:styleId="42">
    <w:name w:val="正文文本 字符"/>
    <w:link w:val="10"/>
    <w:autoRedefine/>
    <w:qFormat/>
    <w:uiPriority w:val="0"/>
    <w:rPr>
      <w:kern w:val="2"/>
      <w:sz w:val="21"/>
      <w:szCs w:val="24"/>
    </w:rPr>
  </w:style>
  <w:style w:type="character" w:customStyle="1" w:styleId="43">
    <w:name w:val="HTML 预设格式 字符"/>
    <w:link w:val="27"/>
    <w:autoRedefine/>
    <w:qFormat/>
    <w:uiPriority w:val="99"/>
    <w:rPr>
      <w:rFonts w:ascii="宋体" w:hAnsi="宋体" w:cs="宋体"/>
      <w:sz w:val="24"/>
      <w:szCs w:val="24"/>
    </w:rPr>
  </w:style>
  <w:style w:type="character" w:customStyle="1" w:styleId="44">
    <w:name w:val="Char Char Char"/>
    <w:autoRedefine/>
    <w:qFormat/>
    <w:locked/>
    <w:uiPriority w:val="0"/>
    <w:rPr>
      <w:rFonts w:eastAsia="宋体"/>
      <w:b/>
      <w:bCs/>
      <w:kern w:val="44"/>
      <w:sz w:val="44"/>
      <w:szCs w:val="44"/>
      <w:lang w:val="en-US" w:eastAsia="zh-CN" w:bidi="ar-SA"/>
    </w:rPr>
  </w:style>
  <w:style w:type="character" w:customStyle="1" w:styleId="45">
    <w:name w:val="hover16"/>
    <w:autoRedefine/>
    <w:qFormat/>
    <w:uiPriority w:val="0"/>
  </w:style>
  <w:style w:type="character" w:customStyle="1" w:styleId="46">
    <w:name w:val="Intense Emphasis"/>
    <w:autoRedefine/>
    <w:qFormat/>
    <w:uiPriority w:val="0"/>
    <w:rPr>
      <w:rFonts w:eastAsia="仿宋_GB2312"/>
      <w:bCs/>
      <w:iCs/>
      <w:color w:val="auto"/>
      <w:sz w:val="32"/>
    </w:rPr>
  </w:style>
  <w:style w:type="paragraph" w:customStyle="1" w:styleId="47">
    <w:name w:val="cjk"/>
    <w:basedOn w:val="1"/>
    <w:autoRedefine/>
    <w:qFormat/>
    <w:uiPriority w:val="0"/>
    <w:pPr>
      <w:widowControl/>
      <w:spacing w:line="480" w:lineRule="auto"/>
      <w:jc w:val="left"/>
    </w:pPr>
    <w:rPr>
      <w:rFonts w:ascii="宋体" w:hAnsi="宋体" w:cs="宋体"/>
      <w:kern w:val="0"/>
      <w:sz w:val="24"/>
    </w:rPr>
  </w:style>
  <w:style w:type="paragraph" w:styleId="48">
    <w:name w:val="List Paragraph"/>
    <w:basedOn w:val="1"/>
    <w:autoRedefine/>
    <w:qFormat/>
    <w:uiPriority w:val="1"/>
    <w:pPr>
      <w:ind w:left="205" w:right="169" w:firstLine="655"/>
    </w:pPr>
    <w:rPr>
      <w:rFonts w:ascii="仿宋" w:hAnsi="仿宋" w:eastAsia="仿宋" w:cs="仿宋"/>
      <w:u w:val="single" w:color="000000"/>
      <w:lang w:val="zh-CN" w:bidi="zh-CN"/>
    </w:rPr>
  </w:style>
  <w:style w:type="paragraph" w:customStyle="1" w:styleId="49">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50">
    <w:name w:val="Default"/>
    <w:next w:val="1"/>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1">
    <w:name w:val="大标题"/>
    <w:basedOn w:val="1"/>
    <w:next w:val="30"/>
    <w:autoRedefine/>
    <w:qFormat/>
    <w:uiPriority w:val="0"/>
    <w:pPr>
      <w:jc w:val="center"/>
    </w:pPr>
    <w:rPr>
      <w:rFonts w:ascii="Arial" w:hAnsi="Arial"/>
      <w:b/>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5378</Words>
  <Characters>30657</Characters>
  <Lines>255</Lines>
  <Paragraphs>71</Paragraphs>
  <TotalTime>27</TotalTime>
  <ScaleCrop>false</ScaleCrop>
  <LinksUpToDate>false</LinksUpToDate>
  <CharactersWithSpaces>35964</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lenovo</dc:creator>
  <cp:lastModifiedBy>O(∩_∩)O</cp:lastModifiedBy>
  <cp:lastPrinted>2024-03-27T04:22:00Z</cp:lastPrinted>
  <dcterms:modified xsi:type="dcterms:W3CDTF">2024-04-03T07:29:38Z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E76424B6EBC3416A8F20269A73C4D800_13</vt:lpwstr>
  </property>
</Properties>
</file>