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20922">
      <w:pPr>
        <w:spacing w:line="560" w:lineRule="exact"/>
        <w:jc w:val="center"/>
        <w:rPr>
          <w:rFonts w:ascii="楷体_GB2312" w:eastAsia="楷体_GB2312"/>
          <w:b/>
          <w:color w:val="auto"/>
          <w:sz w:val="52"/>
          <w:szCs w:val="52"/>
          <w:highlight w:val="none"/>
        </w:rPr>
      </w:pPr>
      <w:bookmarkStart w:id="778" w:name="_GoBack"/>
      <w:bookmarkEnd w:id="778"/>
      <w:bookmarkStart w:id="0" w:name="_Toc247085669"/>
      <w:bookmarkStart w:id="1" w:name="_Toc246996898"/>
      <w:bookmarkStart w:id="2" w:name="_Toc296602400"/>
    </w:p>
    <w:p w14:paraId="2DB5E2F1">
      <w:pPr>
        <w:spacing w:line="560" w:lineRule="exact"/>
        <w:jc w:val="center"/>
        <w:rPr>
          <w:color w:val="auto"/>
          <w:highlight w:val="none"/>
        </w:rPr>
      </w:pPr>
      <w:r>
        <w:rPr>
          <w:rFonts w:hint="eastAsia"/>
          <w:b/>
          <w:bCs/>
          <w:color w:val="auto"/>
          <w:sz w:val="36"/>
          <w:szCs w:val="44"/>
          <w:highlight w:val="none"/>
        </w:rPr>
        <w:t>开封市监狱改扩建项目信息化及安防设施建设工程项目</w:t>
      </w:r>
    </w:p>
    <w:p w14:paraId="14595E3A">
      <w:pPr>
        <w:spacing w:line="400" w:lineRule="exact"/>
        <w:jc w:val="center"/>
        <w:rPr>
          <w:color w:val="auto"/>
          <w:highlight w:val="none"/>
        </w:rPr>
      </w:pPr>
    </w:p>
    <w:p w14:paraId="181DD0AD">
      <w:pPr>
        <w:spacing w:line="400" w:lineRule="exact"/>
        <w:jc w:val="center"/>
        <w:rPr>
          <w:color w:val="auto"/>
          <w:highlight w:val="none"/>
        </w:rPr>
      </w:pPr>
    </w:p>
    <w:p w14:paraId="4757DE1A">
      <w:pPr>
        <w:spacing w:line="400" w:lineRule="exact"/>
        <w:jc w:val="center"/>
        <w:rPr>
          <w:color w:val="auto"/>
          <w:highlight w:val="none"/>
        </w:rPr>
      </w:pPr>
    </w:p>
    <w:p w14:paraId="71C7CDE2">
      <w:pPr>
        <w:spacing w:line="400" w:lineRule="exact"/>
        <w:jc w:val="center"/>
        <w:rPr>
          <w:color w:val="auto"/>
          <w:highlight w:val="none"/>
        </w:rPr>
      </w:pPr>
    </w:p>
    <w:p w14:paraId="4BC2271C">
      <w:pPr>
        <w:spacing w:line="400" w:lineRule="exact"/>
        <w:jc w:val="center"/>
        <w:rPr>
          <w:color w:val="auto"/>
          <w:highlight w:val="none"/>
        </w:rPr>
      </w:pPr>
    </w:p>
    <w:p w14:paraId="2317A32A">
      <w:pPr>
        <w:spacing w:line="400" w:lineRule="exact"/>
        <w:jc w:val="center"/>
        <w:rPr>
          <w:color w:val="auto"/>
          <w:highlight w:val="none"/>
        </w:rPr>
      </w:pPr>
    </w:p>
    <w:p w14:paraId="45BEB963">
      <w:pPr>
        <w:jc w:val="center"/>
        <w:rPr>
          <w:color w:val="auto"/>
          <w:highlight w:val="none"/>
        </w:rPr>
      </w:pPr>
    </w:p>
    <w:p w14:paraId="3747768F">
      <w:pPr>
        <w:jc w:val="center"/>
        <w:rPr>
          <w:color w:val="auto"/>
          <w:highlight w:val="none"/>
        </w:rPr>
      </w:pPr>
    </w:p>
    <w:p w14:paraId="7E8E37F1">
      <w:pPr>
        <w:jc w:val="center"/>
        <w:rPr>
          <w:color w:val="auto"/>
          <w:highlight w:val="none"/>
        </w:rPr>
      </w:pPr>
    </w:p>
    <w:p w14:paraId="78453846">
      <w:pPr>
        <w:jc w:val="center"/>
        <w:rPr>
          <w:color w:val="auto"/>
          <w:highlight w:val="none"/>
        </w:rPr>
      </w:pPr>
    </w:p>
    <w:p w14:paraId="711D964F">
      <w:pPr>
        <w:jc w:val="center"/>
        <w:rPr>
          <w:color w:val="auto"/>
          <w:highlight w:val="none"/>
        </w:rPr>
      </w:pPr>
    </w:p>
    <w:p w14:paraId="43C6BC52">
      <w:pPr>
        <w:jc w:val="center"/>
        <w:rPr>
          <w:color w:val="auto"/>
          <w:highlight w:val="none"/>
        </w:rPr>
      </w:pPr>
    </w:p>
    <w:p w14:paraId="2B35EB9E">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6D07A77E">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项目编号：汴财招标采购-2022-70</w:t>
      </w:r>
    </w:p>
    <w:p w14:paraId="39CE91D3">
      <w:pPr>
        <w:jc w:val="center"/>
        <w:rPr>
          <w:rFonts w:ascii="楷体_GB2312" w:eastAsia="楷体_GB2312"/>
          <w:color w:val="auto"/>
          <w:sz w:val="32"/>
          <w:szCs w:val="32"/>
          <w:highlight w:val="none"/>
        </w:rPr>
      </w:pPr>
    </w:p>
    <w:p w14:paraId="178912D1">
      <w:pPr>
        <w:spacing w:line="400" w:lineRule="exact"/>
        <w:jc w:val="center"/>
        <w:rPr>
          <w:color w:val="auto"/>
          <w:highlight w:val="none"/>
        </w:rPr>
      </w:pPr>
    </w:p>
    <w:p w14:paraId="4F7891F0">
      <w:pPr>
        <w:spacing w:line="400" w:lineRule="exact"/>
        <w:jc w:val="center"/>
        <w:rPr>
          <w:color w:val="auto"/>
          <w:highlight w:val="none"/>
        </w:rPr>
      </w:pPr>
    </w:p>
    <w:p w14:paraId="72D41381">
      <w:pPr>
        <w:spacing w:line="400" w:lineRule="exact"/>
        <w:jc w:val="center"/>
        <w:rPr>
          <w:color w:val="auto"/>
          <w:highlight w:val="none"/>
        </w:rPr>
      </w:pPr>
    </w:p>
    <w:p w14:paraId="3D3AB7C1">
      <w:pPr>
        <w:spacing w:line="400" w:lineRule="exact"/>
        <w:jc w:val="center"/>
        <w:rPr>
          <w:color w:val="auto"/>
          <w:highlight w:val="none"/>
        </w:rPr>
      </w:pPr>
    </w:p>
    <w:p w14:paraId="600877DA">
      <w:pPr>
        <w:spacing w:line="400" w:lineRule="exact"/>
        <w:jc w:val="center"/>
        <w:rPr>
          <w:color w:val="auto"/>
          <w:highlight w:val="none"/>
        </w:rPr>
      </w:pPr>
    </w:p>
    <w:p w14:paraId="0118FD14">
      <w:pPr>
        <w:spacing w:line="400" w:lineRule="exact"/>
        <w:jc w:val="center"/>
        <w:rPr>
          <w:color w:val="auto"/>
          <w:highlight w:val="none"/>
        </w:rPr>
      </w:pPr>
    </w:p>
    <w:p w14:paraId="6AA4C5E3">
      <w:pPr>
        <w:spacing w:line="400" w:lineRule="exact"/>
        <w:jc w:val="center"/>
        <w:rPr>
          <w:color w:val="auto"/>
          <w:highlight w:val="none"/>
        </w:rPr>
      </w:pPr>
    </w:p>
    <w:p w14:paraId="4E72B04B">
      <w:pPr>
        <w:spacing w:line="400" w:lineRule="exact"/>
        <w:jc w:val="center"/>
        <w:rPr>
          <w:color w:val="auto"/>
          <w:highlight w:val="none"/>
        </w:rPr>
      </w:pPr>
    </w:p>
    <w:p w14:paraId="243B8899">
      <w:pPr>
        <w:spacing w:line="400" w:lineRule="exact"/>
        <w:jc w:val="center"/>
        <w:rPr>
          <w:color w:val="auto"/>
          <w:highlight w:val="none"/>
        </w:rPr>
      </w:pPr>
    </w:p>
    <w:p w14:paraId="4CFDEDFA">
      <w:pPr>
        <w:spacing w:line="400" w:lineRule="exact"/>
        <w:jc w:val="center"/>
        <w:rPr>
          <w:color w:val="auto"/>
          <w:highlight w:val="none"/>
        </w:rPr>
      </w:pPr>
    </w:p>
    <w:p w14:paraId="69EDE841">
      <w:pPr>
        <w:spacing w:line="560" w:lineRule="exact"/>
        <w:jc w:val="center"/>
        <w:rPr>
          <w:rFonts w:ascii="楷体_GB2312" w:eastAsia="楷体_GB2312"/>
          <w:b/>
          <w:color w:val="auto"/>
          <w:spacing w:val="40"/>
          <w:sz w:val="36"/>
          <w:szCs w:val="36"/>
          <w:highlight w:val="none"/>
        </w:rPr>
      </w:pPr>
      <w:r>
        <w:rPr>
          <w:rFonts w:hint="eastAsia" w:ascii="楷体_GB2312" w:eastAsia="楷体_GB2312"/>
          <w:b/>
          <w:color w:val="auto"/>
          <w:spacing w:val="40"/>
          <w:sz w:val="36"/>
          <w:szCs w:val="36"/>
          <w:highlight w:val="none"/>
        </w:rPr>
        <w:t>开封市政府采购中心</w:t>
      </w:r>
    </w:p>
    <w:p w14:paraId="648D74A7">
      <w:pPr>
        <w:pStyle w:val="27"/>
        <w:tabs>
          <w:tab w:val="right" w:leader="dot" w:pos="8834"/>
        </w:tabs>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p>
    <w:p w14:paraId="368EA97A">
      <w:pPr>
        <w:pStyle w:val="8"/>
        <w:tabs>
          <w:tab w:val="right" w:leader="dot" w:pos="8834"/>
        </w:tabs>
        <w:jc w:val="center"/>
        <w:rPr>
          <w:rFonts w:ascii="宋体" w:hAnsi="宋体"/>
          <w:b w:val="0"/>
          <w:bCs w:val="0"/>
          <w:iCs/>
          <w:caps/>
          <w:color w:val="auto"/>
          <w:highlight w:val="none"/>
        </w:rPr>
      </w:pPr>
      <w:bookmarkStart w:id="3" w:name="_Toc29393"/>
      <w:bookmarkStart w:id="4" w:name="_Toc29748"/>
      <w:r>
        <w:rPr>
          <w:rFonts w:hint="eastAsia" w:ascii="宋体" w:hAnsi="宋体"/>
          <w:color w:val="auto"/>
          <w:highlight w:val="none"/>
        </w:rPr>
        <w:t>目   录</w:t>
      </w:r>
      <w:bookmarkEnd w:id="0"/>
      <w:bookmarkEnd w:id="1"/>
      <w:bookmarkEnd w:id="2"/>
      <w:bookmarkEnd w:id="3"/>
      <w:bookmarkEnd w:id="4"/>
      <w:bookmarkStart w:id="5" w:name="_Toc289241521"/>
      <w:bookmarkStart w:id="6" w:name="_Toc289241344"/>
      <w:bookmarkStart w:id="7" w:name="_Toc338840439"/>
      <w:bookmarkStart w:id="8" w:name="_Toc338840184"/>
      <w:r>
        <w:rPr>
          <w:rFonts w:ascii="宋体" w:hAnsi="宋体"/>
          <w:color w:val="auto"/>
          <w:highlight w:val="none"/>
        </w:rPr>
        <w:fldChar w:fldCharType="begin"/>
      </w:r>
      <w:r>
        <w:rPr>
          <w:rFonts w:ascii="宋体" w:hAnsi="宋体"/>
          <w:color w:val="auto"/>
          <w:highlight w:val="none"/>
        </w:rPr>
        <w:instrText xml:space="preserve"> </w:instrText>
      </w:r>
      <w:r>
        <w:rPr>
          <w:rFonts w:hint="eastAsia" w:ascii="宋体" w:hAnsi="宋体"/>
          <w:color w:val="auto"/>
          <w:highlight w:val="none"/>
        </w:rPr>
        <w:instrText xml:space="preserve">TOC \o "1-2" \h \z \u</w:instrText>
      </w:r>
      <w:r>
        <w:rPr>
          <w:rFonts w:ascii="宋体" w:hAnsi="宋体"/>
          <w:color w:val="auto"/>
          <w:highlight w:val="none"/>
        </w:rPr>
        <w:instrText xml:space="preserve"> </w:instrText>
      </w:r>
      <w:r>
        <w:rPr>
          <w:rFonts w:ascii="宋体" w:hAnsi="宋体"/>
          <w:color w:val="auto"/>
          <w:highlight w:val="none"/>
        </w:rPr>
        <w:fldChar w:fldCharType="separate"/>
      </w:r>
    </w:p>
    <w:p w14:paraId="45B593D9">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"_Toc26571" </w:instrText>
      </w:r>
      <w:r>
        <w:rPr>
          <w:color w:val="auto"/>
          <w:highlight w:val="none"/>
        </w:rPr>
        <w:fldChar w:fldCharType="separate"/>
      </w:r>
      <w:r>
        <w:rPr>
          <w:rFonts w:hint="eastAsia" w:ascii="宋体" w:hAnsi="宋体" w:cs="宋体"/>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_Toc26571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B1F3B40">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"_Toc13151"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_Toc13151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42F8C37">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"_Toc18827" </w:instrText>
      </w:r>
      <w:r>
        <w:rPr>
          <w:color w:val="auto"/>
          <w:highlight w:val="none"/>
        </w:rPr>
        <w:fldChar w:fldCharType="separate"/>
      </w:r>
      <w:r>
        <w:rPr>
          <w:rFonts w:hint="eastAsia" w:ascii="宋体" w:hAnsi="宋体" w:cs="宋体"/>
          <w:color w:val="auto"/>
          <w:sz w:val="28"/>
          <w:szCs w:val="28"/>
          <w:highlight w:val="none"/>
        </w:rPr>
        <w:t>供应商须知前附表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_Toc18827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926712D">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"_Toc29445" </w:instrText>
      </w:r>
      <w:r>
        <w:rPr>
          <w:color w:val="auto"/>
          <w:highlight w:val="none"/>
        </w:rPr>
        <w:fldChar w:fldCharType="separate"/>
      </w:r>
      <w:r>
        <w:rPr>
          <w:rFonts w:hint="eastAsia" w:ascii="宋体" w:hAnsi="宋体" w:cs="宋体"/>
          <w:color w:val="auto"/>
          <w:sz w:val="28"/>
          <w:szCs w:val="28"/>
          <w:highlight w:val="none"/>
        </w:rPr>
        <w:t>1. 总则</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59D21BF">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"_Toc28300" </w:instrText>
      </w:r>
      <w:r>
        <w:rPr>
          <w:color w:val="auto"/>
          <w:highlight w:val="none"/>
        </w:rPr>
        <w:fldChar w:fldCharType="separate"/>
      </w:r>
      <w:r>
        <w:rPr>
          <w:rFonts w:hint="eastAsia" w:ascii="宋体" w:hAnsi="宋体" w:cs="宋体"/>
          <w:color w:val="auto"/>
          <w:sz w:val="28"/>
          <w:szCs w:val="28"/>
          <w:highlight w:val="none"/>
        </w:rPr>
        <w:t>2. 招标文件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_Toc28300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E0A5489">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"_Toc8262" </w:instrText>
      </w:r>
      <w:r>
        <w:rPr>
          <w:color w:val="auto"/>
          <w:highlight w:val="none"/>
        </w:rPr>
        <w:fldChar w:fldCharType="separate"/>
      </w:r>
      <w:r>
        <w:rPr>
          <w:rFonts w:hint="eastAsia" w:ascii="宋体" w:hAnsi="宋体" w:cs="宋体"/>
          <w:color w:val="auto"/>
          <w:sz w:val="28"/>
          <w:szCs w:val="28"/>
          <w:highlight w:val="none"/>
        </w:rPr>
        <w:t>3. 投标文件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_Toc8262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4A81A">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"_Toc14743" </w:instrText>
      </w:r>
      <w:r>
        <w:rPr>
          <w:color w:val="auto"/>
          <w:highlight w:val="none"/>
        </w:rPr>
        <w:fldChar w:fldCharType="separate"/>
      </w:r>
      <w:r>
        <w:rPr>
          <w:rFonts w:hint="eastAsia" w:ascii="宋体" w:hAnsi="宋体" w:cs="宋体"/>
          <w:color w:val="auto"/>
          <w:sz w:val="28"/>
          <w:szCs w:val="28"/>
          <w:highlight w:val="none"/>
        </w:rPr>
        <w:t>4. 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_Toc14743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5FA9FE4">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"_Toc20438" </w:instrText>
      </w:r>
      <w:r>
        <w:rPr>
          <w:color w:val="auto"/>
          <w:highlight w:val="none"/>
        </w:rPr>
        <w:fldChar w:fldCharType="separate"/>
      </w:r>
      <w:r>
        <w:rPr>
          <w:rFonts w:hint="eastAsia" w:ascii="宋体" w:hAnsi="宋体" w:cs="宋体"/>
          <w:color w:val="auto"/>
          <w:sz w:val="28"/>
          <w:szCs w:val="28"/>
          <w:highlight w:val="none"/>
        </w:rPr>
        <w:t>5. 开标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_Toc20438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A35539D">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"_Toc23925" </w:instrText>
      </w:r>
      <w:r>
        <w:rPr>
          <w:color w:val="auto"/>
          <w:highlight w:val="none"/>
        </w:rPr>
        <w:fldChar w:fldCharType="separate"/>
      </w:r>
      <w:r>
        <w:rPr>
          <w:rFonts w:hint="eastAsia" w:ascii="宋体" w:hAnsi="宋体" w:cs="宋体"/>
          <w:color w:val="auto"/>
          <w:sz w:val="28"/>
          <w:szCs w:val="28"/>
          <w:highlight w:val="none"/>
        </w:rPr>
        <w:t>6. 评标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_Toc23925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7F347BF">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"_Toc7858" </w:instrText>
      </w:r>
      <w:r>
        <w:rPr>
          <w:color w:val="auto"/>
          <w:highlight w:val="none"/>
        </w:rPr>
        <w:fldChar w:fldCharType="separate"/>
      </w:r>
      <w:r>
        <w:rPr>
          <w:rFonts w:hint="eastAsia" w:ascii="宋体" w:hAnsi="宋体" w:cs="宋体"/>
          <w:color w:val="auto"/>
          <w:sz w:val="28"/>
          <w:szCs w:val="28"/>
          <w:highlight w:val="none"/>
        </w:rPr>
        <w:t>7. 合同授予</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_Toc7858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93D8378">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"_Toc19232" </w:instrText>
      </w:r>
      <w:r>
        <w:rPr>
          <w:color w:val="auto"/>
          <w:highlight w:val="none"/>
        </w:rPr>
        <w:fldChar w:fldCharType="separate"/>
      </w:r>
      <w:r>
        <w:rPr>
          <w:rFonts w:hint="eastAsia" w:ascii="宋体" w:hAnsi="宋体" w:cs="宋体"/>
          <w:color w:val="auto"/>
          <w:sz w:val="28"/>
          <w:szCs w:val="28"/>
          <w:highlight w:val="none"/>
        </w:rPr>
        <w:t>8. 纪律和监督</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_Toc19232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9C58D15">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"_Toc10773" </w:instrText>
      </w:r>
      <w:r>
        <w:rPr>
          <w:color w:val="auto"/>
          <w:highlight w:val="none"/>
        </w:rPr>
        <w:fldChar w:fldCharType="separate"/>
      </w:r>
      <w:r>
        <w:rPr>
          <w:rFonts w:hint="eastAsia" w:ascii="宋体" w:hAnsi="宋体" w:cs="宋体"/>
          <w:color w:val="auto"/>
          <w:sz w:val="28"/>
          <w:szCs w:val="28"/>
          <w:highlight w:val="none"/>
        </w:rPr>
        <w:t>9. 关于中小企业、监狱企业、残疾人福利性单位投标的说明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_Toc10773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556DBCC">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"_Toc615" </w:instrText>
      </w:r>
      <w:r>
        <w:rPr>
          <w:color w:val="auto"/>
          <w:highlight w:val="none"/>
        </w:rPr>
        <w:fldChar w:fldCharType="separate"/>
      </w:r>
      <w:r>
        <w:rPr>
          <w:rFonts w:hint="eastAsia" w:ascii="宋体" w:hAnsi="宋体" w:cs="宋体"/>
          <w:color w:val="auto"/>
          <w:sz w:val="28"/>
          <w:szCs w:val="28"/>
          <w:highlight w:val="none"/>
        </w:rPr>
        <w:t>10. 需要补充的其他内容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_Toc615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803B20A">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"_Toc29712" </w:instrText>
      </w:r>
      <w:r>
        <w:rPr>
          <w:color w:val="auto"/>
          <w:highlight w:val="none"/>
        </w:rPr>
        <w:fldChar w:fldCharType="separate"/>
      </w:r>
      <w:r>
        <w:rPr>
          <w:rFonts w:hint="eastAsia" w:ascii="宋体" w:hAnsi="宋体" w:cs="宋体"/>
          <w:color w:val="auto"/>
          <w:sz w:val="28"/>
          <w:szCs w:val="28"/>
          <w:highlight w:val="none"/>
        </w:rPr>
        <w:t>11．电子招标投标</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_Toc29712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3CB2C00">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"_Toc24747" </w:instrText>
      </w:r>
      <w:r>
        <w:rPr>
          <w:color w:val="auto"/>
          <w:highlight w:val="none"/>
        </w:rPr>
        <w:fldChar w:fldCharType="separate"/>
      </w:r>
      <w:r>
        <w:rPr>
          <w:rFonts w:hint="eastAsia" w:ascii="宋体" w:hAnsi="宋体" w:cs="宋体"/>
          <w:color w:val="auto"/>
          <w:sz w:val="28"/>
          <w:szCs w:val="28"/>
          <w:highlight w:val="none"/>
        </w:rPr>
        <w:t>第三章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_Toc24747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572E480">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"_Toc452" </w:instrText>
      </w:r>
      <w:r>
        <w:rPr>
          <w:color w:val="auto"/>
          <w:highlight w:val="none"/>
        </w:rPr>
        <w:fldChar w:fldCharType="separate"/>
      </w:r>
      <w:r>
        <w:rPr>
          <w:rFonts w:hint="eastAsia" w:ascii="宋体" w:hAnsi="宋体" w:cs="宋体"/>
          <w:color w:val="auto"/>
          <w:sz w:val="28"/>
          <w:szCs w:val="28"/>
          <w:highlight w:val="none"/>
        </w:rPr>
        <w:t>评标办法前附表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6E2ADF7">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"_Toc9899" </w:instrText>
      </w:r>
      <w:r>
        <w:rPr>
          <w:color w:val="auto"/>
          <w:highlight w:val="none"/>
        </w:rPr>
        <w:fldChar w:fldCharType="separate"/>
      </w:r>
      <w:r>
        <w:rPr>
          <w:rFonts w:hint="eastAsia" w:ascii="宋体" w:hAnsi="宋体" w:cs="宋体"/>
          <w:color w:val="auto"/>
          <w:sz w:val="28"/>
          <w:szCs w:val="28"/>
          <w:highlight w:val="none"/>
        </w:rPr>
        <w:t>1. 评标方法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_Toc9899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1A4DDBB">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"_Toc10387" </w:instrText>
      </w:r>
      <w:r>
        <w:rPr>
          <w:color w:val="auto"/>
          <w:highlight w:val="none"/>
        </w:rPr>
        <w:fldChar w:fldCharType="separate"/>
      </w:r>
      <w:r>
        <w:rPr>
          <w:rFonts w:hint="eastAsia" w:ascii="宋体" w:hAnsi="宋体" w:cs="宋体"/>
          <w:color w:val="auto"/>
          <w:sz w:val="28"/>
          <w:szCs w:val="28"/>
          <w:highlight w:val="none"/>
        </w:rPr>
        <w:t>2. 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_Toc10387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72EB1EF">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"_Toc30064" </w:instrText>
      </w:r>
      <w:r>
        <w:rPr>
          <w:color w:val="auto"/>
          <w:highlight w:val="none"/>
        </w:rPr>
        <w:fldChar w:fldCharType="separate"/>
      </w:r>
      <w:r>
        <w:rPr>
          <w:rFonts w:hint="eastAsia" w:ascii="宋体" w:hAnsi="宋体" w:cs="宋体"/>
          <w:color w:val="auto"/>
          <w:sz w:val="28"/>
          <w:szCs w:val="28"/>
          <w:highlight w:val="none"/>
        </w:rPr>
        <w:t>3. 评标程序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_Toc30064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027E8CB">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"_Toc27082" </w:instrText>
      </w:r>
      <w:r>
        <w:rPr>
          <w:color w:val="auto"/>
          <w:highlight w:val="none"/>
        </w:rPr>
        <w:fldChar w:fldCharType="separate"/>
      </w:r>
      <w:r>
        <w:rPr>
          <w:rFonts w:hint="eastAsia" w:ascii="宋体" w:hAnsi="宋体" w:cs="宋体"/>
          <w:color w:val="auto"/>
          <w:sz w:val="28"/>
          <w:szCs w:val="28"/>
          <w:highlight w:val="none"/>
        </w:rPr>
        <w:t>附件Ａ：</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_Toc27082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ECD9A1D">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"_Toc17369" </w:instrText>
      </w:r>
      <w:r>
        <w:rPr>
          <w:color w:val="auto"/>
          <w:highlight w:val="none"/>
        </w:rPr>
        <w:fldChar w:fldCharType="separate"/>
      </w:r>
      <w:r>
        <w:rPr>
          <w:rFonts w:hint="eastAsia" w:ascii="宋体" w:hAnsi="宋体" w:cs="宋体"/>
          <w:color w:val="auto"/>
          <w:sz w:val="28"/>
          <w:szCs w:val="28"/>
          <w:highlight w:val="none"/>
        </w:rPr>
        <w:t>第四章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_Toc17369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4A3116E">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"_Toc30854" </w:instrText>
      </w:r>
      <w:r>
        <w:rPr>
          <w:color w:val="auto"/>
          <w:highlight w:val="none"/>
        </w:rPr>
        <w:fldChar w:fldCharType="separate"/>
      </w:r>
      <w:r>
        <w:rPr>
          <w:rFonts w:hint="eastAsia" w:ascii="宋体" w:hAnsi="宋体" w:cs="宋体"/>
          <w:color w:val="auto"/>
          <w:sz w:val="28"/>
          <w:szCs w:val="28"/>
          <w:highlight w:val="none"/>
        </w:rPr>
        <w:t>开封政府采购合同融资政策告知函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_Toc30854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8D27CC2">
      <w:pPr>
        <w:pStyle w:val="30"/>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"_Toc6494" </w:instrText>
      </w:r>
      <w:r>
        <w:rPr>
          <w:color w:val="auto"/>
          <w:highlight w:val="none"/>
        </w:rPr>
        <w:fldChar w:fldCharType="separate"/>
      </w:r>
      <w:r>
        <w:rPr>
          <w:rFonts w:hint="eastAsia" w:ascii="宋体" w:hAnsi="宋体" w:cs="宋体"/>
          <w:bCs/>
          <w:color w:val="auto"/>
          <w:sz w:val="28"/>
          <w:szCs w:val="28"/>
          <w:highlight w:val="none"/>
        </w:rPr>
        <w:t>开封政府采购合同履约保函政策告知函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_Toc6494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5BE4C53">
      <w:pPr>
        <w:pStyle w:val="27"/>
        <w:tabs>
          <w:tab w:val="right" w:leader="dot" w:pos="8844"/>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"_Toc9194" </w:instrText>
      </w:r>
      <w:r>
        <w:rPr>
          <w:color w:val="auto"/>
          <w:highlight w:val="none"/>
        </w:rPr>
        <w:fldChar w:fldCharType="separate"/>
      </w:r>
      <w:r>
        <w:rPr>
          <w:rFonts w:hint="eastAsia" w:ascii="宋体" w:hAnsi="宋体" w:cs="宋体"/>
          <w:color w:val="auto"/>
          <w:sz w:val="28"/>
          <w:szCs w:val="28"/>
          <w:highlight w:val="none"/>
        </w:rPr>
        <w:t>第五章  招标内容及商务技术要求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_Toc9194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44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BA8C53C">
      <w:pPr>
        <w:pStyle w:val="27"/>
        <w:tabs>
          <w:tab w:val="right" w:leader="dot" w:pos="8844"/>
        </w:tabs>
        <w:rPr>
          <w:rFonts w:hint="default"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"_Toc32761" </w:instrText>
      </w:r>
      <w:r>
        <w:rPr>
          <w:color w:val="auto"/>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73</w:t>
      </w:r>
    </w:p>
    <w:p w14:paraId="33B0E640">
      <w:pPr>
        <w:pStyle w:val="27"/>
        <w:tabs>
          <w:tab w:val="right" w:leader="dot" w:pos="8834"/>
        </w:tabs>
        <w:jc w:val="center"/>
        <w:rPr>
          <w:rFonts w:ascii="宋体" w:hAnsi="宋体"/>
          <w:b w:val="0"/>
          <w:bCs w:val="0"/>
          <w:iCs/>
          <w:caps w:val="0"/>
          <w:color w:val="auto"/>
          <w:highlight w:val="none"/>
        </w:rPr>
        <w:sectPr>
          <w:footerReference r:id="rId6" w:type="default"/>
          <w:pgSz w:w="11906" w:h="16838"/>
          <w:pgMar w:top="1417" w:right="1474" w:bottom="1417" w:left="1588" w:header="851" w:footer="992" w:gutter="0"/>
          <w:pgNumType w:start="1"/>
          <w:cols w:space="720" w:num="1"/>
          <w:docGrid w:type="lines" w:linePitch="312" w:charSpace="0"/>
        </w:sectPr>
      </w:pPr>
      <w:r>
        <w:rPr>
          <w:rFonts w:ascii="宋体" w:hAnsi="宋体"/>
          <w:b w:val="0"/>
          <w:bCs w:val="0"/>
          <w:iCs/>
          <w:caps w:val="0"/>
          <w:color w:val="auto"/>
          <w:sz w:val="44"/>
          <w:szCs w:val="44"/>
          <w:highlight w:val="none"/>
        </w:rPr>
        <w:fldChar w:fldCharType="end"/>
      </w:r>
      <w:bookmarkStart w:id="9" w:name="_Toc494526398"/>
      <w:bookmarkStart w:id="10" w:name="_Toc494093426"/>
      <w:bookmarkStart w:id="11" w:name="_Toc338840478"/>
      <w:bookmarkStart w:id="12" w:name="_Toc346523462"/>
      <w:bookmarkStart w:id="13" w:name="_Toc494526397"/>
      <w:bookmarkStart w:id="14" w:name="_Toc1607"/>
      <w:bookmarkStart w:id="15" w:name="_Toc346523399"/>
    </w:p>
    <w:p w14:paraId="2490528F">
      <w:pPr>
        <w:pStyle w:val="8"/>
        <w:numPr>
          <w:ilvl w:val="0"/>
          <w:numId w:val="2"/>
        </w:numPr>
        <w:jc w:val="center"/>
        <w:rPr>
          <w:rFonts w:ascii="宋体" w:hAnsi="宋体"/>
          <w:color w:val="auto"/>
          <w:highlight w:val="none"/>
        </w:rPr>
      </w:pPr>
      <w:bookmarkStart w:id="16" w:name="_Toc17934"/>
      <w:r>
        <w:rPr>
          <w:rFonts w:hint="eastAsia" w:ascii="宋体" w:hAnsi="宋体"/>
          <w:color w:val="auto"/>
          <w:highlight w:val="none"/>
        </w:rPr>
        <w:t xml:space="preserve"> </w:t>
      </w:r>
      <w:bookmarkEnd w:id="5"/>
      <w:bookmarkEnd w:id="6"/>
      <w:bookmarkStart w:id="17" w:name="_Toc2387"/>
      <w:bookmarkStart w:id="18" w:name="_Toc26571"/>
      <w:r>
        <w:rPr>
          <w:rFonts w:hint="eastAsia" w:ascii="宋体" w:hAnsi="宋体"/>
          <w:color w:val="auto"/>
          <w:highlight w:val="none"/>
        </w:rPr>
        <w:t>招标公告</w:t>
      </w:r>
      <w:bookmarkEnd w:id="7"/>
      <w:bookmarkEnd w:id="8"/>
      <w:bookmarkEnd w:id="9"/>
      <w:bookmarkEnd w:id="10"/>
      <w:bookmarkEnd w:id="11"/>
      <w:bookmarkEnd w:id="12"/>
      <w:bookmarkEnd w:id="13"/>
      <w:bookmarkEnd w:id="14"/>
      <w:bookmarkEnd w:id="15"/>
      <w:bookmarkEnd w:id="16"/>
      <w:bookmarkEnd w:id="17"/>
      <w:bookmarkEnd w:id="18"/>
    </w:p>
    <w:p w14:paraId="652EF7A7">
      <w:pPr>
        <w:jc w:val="center"/>
        <w:rPr>
          <w:rFonts w:hint="eastAsia" w:ascii="宋体" w:hAnsi="宋体" w:cs="宋体"/>
          <w:bCs/>
          <w:color w:val="auto"/>
          <w:kern w:val="0"/>
          <w:sz w:val="32"/>
          <w:szCs w:val="32"/>
          <w:highlight w:val="yellow"/>
        </w:rPr>
      </w:pPr>
      <w:r>
        <w:rPr>
          <w:rFonts w:hint="eastAsia" w:ascii="宋体" w:hAnsi="宋体" w:cs="宋体"/>
          <w:bCs/>
          <w:color w:val="auto"/>
          <w:kern w:val="0"/>
          <w:sz w:val="32"/>
          <w:szCs w:val="32"/>
          <w:highlight w:val="none"/>
        </w:rPr>
        <w:t>开封市监狱改扩建项目信息化及安防设施建设工程项目</w:t>
      </w:r>
    </w:p>
    <w:p w14:paraId="66175DDE">
      <w:pPr>
        <w:jc w:val="center"/>
        <w:rPr>
          <w:rFonts w:ascii="宋体" w:hAnsi="宋体" w:cs="宋体"/>
          <w:bCs/>
          <w:color w:val="auto"/>
          <w:kern w:val="0"/>
          <w:sz w:val="32"/>
          <w:szCs w:val="32"/>
          <w:highlight w:val="none"/>
        </w:rPr>
      </w:pPr>
      <w:r>
        <w:rPr>
          <w:rFonts w:hint="eastAsia" w:ascii="宋体" w:hAnsi="宋体" w:cs="宋体"/>
          <w:bCs/>
          <w:color w:val="auto"/>
          <w:kern w:val="0"/>
          <w:sz w:val="32"/>
          <w:szCs w:val="32"/>
          <w:highlight w:val="none"/>
        </w:rPr>
        <w:t>公</w:t>
      </w:r>
      <w:r>
        <w:rPr>
          <w:rFonts w:hint="eastAsia" w:ascii="宋体" w:hAnsi="宋体" w:cs="宋体"/>
          <w:bCs/>
          <w:color w:val="auto"/>
          <w:spacing w:val="-10"/>
          <w:kern w:val="0"/>
          <w:sz w:val="32"/>
          <w:szCs w:val="32"/>
          <w:highlight w:val="none"/>
        </w:rPr>
        <w:t>开招标</w:t>
      </w:r>
      <w:r>
        <w:rPr>
          <w:rFonts w:hint="eastAsia" w:ascii="宋体" w:hAnsi="宋体" w:cs="宋体"/>
          <w:bCs/>
          <w:color w:val="auto"/>
          <w:kern w:val="0"/>
          <w:sz w:val="32"/>
          <w:szCs w:val="32"/>
          <w:highlight w:val="none"/>
        </w:rPr>
        <w:t>公告</w:t>
      </w:r>
    </w:p>
    <w:p w14:paraId="32C1EF64">
      <w:pPr>
        <w:jc w:val="center"/>
        <w:rPr>
          <w:rFonts w:ascii="宋体" w:hAnsi="宋体" w:cs="宋体"/>
          <w:bCs/>
          <w:color w:val="auto"/>
          <w:kern w:val="0"/>
          <w:sz w:val="32"/>
          <w:szCs w:val="32"/>
          <w:highlight w:val="none"/>
        </w:rPr>
      </w:pPr>
    </w:p>
    <w:p w14:paraId="3C3FBB62">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一、项目基本情况 </w:t>
      </w:r>
    </w:p>
    <w:p w14:paraId="7BE1272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w:t>
      </w:r>
      <w:r>
        <w:rPr>
          <w:rFonts w:hint="eastAsia" w:ascii="宋体" w:hAnsi="宋体"/>
          <w:color w:val="auto"/>
          <w:sz w:val="24"/>
          <w:highlight w:val="none"/>
        </w:rPr>
        <w:t>汴财招标</w:t>
      </w:r>
      <w:r>
        <w:rPr>
          <w:rFonts w:hint="eastAsia" w:ascii="宋体" w:hAnsi="宋体" w:cs="宋体"/>
          <w:color w:val="auto"/>
          <w:sz w:val="24"/>
          <w:highlight w:val="none"/>
        </w:rPr>
        <w:t xml:space="preserve">采购-2022-70 </w:t>
      </w:r>
      <w:r>
        <w:rPr>
          <w:rFonts w:hint="eastAsia" w:ascii="宋体" w:hAnsi="宋体" w:cs="宋体"/>
          <w:color w:val="auto"/>
          <w:kern w:val="0"/>
          <w:sz w:val="24"/>
          <w:highlight w:val="none"/>
        </w:rPr>
        <w:t xml:space="preserve">  </w:t>
      </w:r>
    </w:p>
    <w:p w14:paraId="03D4115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2、项目名称：开封市监狱改扩建项目信息化及安防设施建设工程项目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14:paraId="76CA733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0798D5A2">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4、预算金额：15035836.77元   </w:t>
      </w:r>
    </w:p>
    <w:p w14:paraId="5C0B804E">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最高限价：15035836.77元    </w:t>
      </w:r>
    </w:p>
    <w:tbl>
      <w:tblPr>
        <w:tblStyle w:val="36"/>
        <w:tblW w:w="9399"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904"/>
        <w:gridCol w:w="1719"/>
        <w:gridCol w:w="3095"/>
        <w:gridCol w:w="1841"/>
        <w:gridCol w:w="1840"/>
      </w:tblGrid>
      <w:tr w14:paraId="44A57426">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24" w:hRule="atLeast"/>
          <w:tblCellSpacing w:w="0" w:type="dxa"/>
          <w:jc w:val="center"/>
        </w:trPr>
        <w:tc>
          <w:tcPr>
            <w:tcW w:w="904" w:type="dxa"/>
            <w:vAlign w:val="center"/>
          </w:tcPr>
          <w:p w14:paraId="58E03B8D">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719" w:type="dxa"/>
            <w:vAlign w:val="center"/>
          </w:tcPr>
          <w:p w14:paraId="016C802E">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3095" w:type="dxa"/>
            <w:vAlign w:val="center"/>
          </w:tcPr>
          <w:p w14:paraId="613DB01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1841" w:type="dxa"/>
            <w:vAlign w:val="center"/>
          </w:tcPr>
          <w:p w14:paraId="3FF6AD8D">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1840" w:type="dxa"/>
            <w:vAlign w:val="center"/>
          </w:tcPr>
          <w:p w14:paraId="07F7EBCF">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2C1E52E5">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311" w:hRule="atLeast"/>
          <w:tblCellSpacing w:w="0" w:type="dxa"/>
          <w:jc w:val="center"/>
        </w:trPr>
        <w:tc>
          <w:tcPr>
            <w:tcW w:w="904" w:type="dxa"/>
            <w:vAlign w:val="center"/>
          </w:tcPr>
          <w:p w14:paraId="3FF32BE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719" w:type="dxa"/>
            <w:vAlign w:val="center"/>
          </w:tcPr>
          <w:p w14:paraId="769591DB">
            <w:pPr>
              <w:widowControl/>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汴财招标采购-2022-70</w:t>
            </w:r>
          </w:p>
        </w:tc>
        <w:tc>
          <w:tcPr>
            <w:tcW w:w="3095" w:type="dxa"/>
            <w:vAlign w:val="center"/>
          </w:tcPr>
          <w:p w14:paraId="1C271D41">
            <w:pPr>
              <w:widowControl/>
              <w:adjustRightInd w:val="0"/>
              <w:snapToGrid w:val="0"/>
              <w:spacing w:line="360" w:lineRule="auto"/>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开封市监狱改扩建项目信息化及安防设施建设工程项目</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第五次</w:t>
            </w:r>
            <w:r>
              <w:rPr>
                <w:rFonts w:hint="eastAsia" w:ascii="宋体" w:hAnsi="宋体" w:cs="宋体"/>
                <w:color w:val="auto"/>
                <w:kern w:val="0"/>
                <w:sz w:val="24"/>
                <w:highlight w:val="none"/>
                <w:lang w:eastAsia="zh-CN"/>
              </w:rPr>
              <w:t>）</w:t>
            </w:r>
          </w:p>
        </w:tc>
        <w:tc>
          <w:tcPr>
            <w:tcW w:w="1841" w:type="dxa"/>
            <w:vAlign w:val="center"/>
          </w:tcPr>
          <w:p w14:paraId="7C6B9989">
            <w:pPr>
              <w:widowControl/>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15035836.77</w:t>
            </w:r>
          </w:p>
        </w:tc>
        <w:tc>
          <w:tcPr>
            <w:tcW w:w="1840" w:type="dxa"/>
            <w:vAlign w:val="center"/>
          </w:tcPr>
          <w:p w14:paraId="6F2BB998">
            <w:pPr>
              <w:widowControl/>
              <w:adjustRightInd w:val="0"/>
              <w:snapToGrid w:val="0"/>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15035836.77</w:t>
            </w:r>
          </w:p>
        </w:tc>
      </w:tr>
    </w:tbl>
    <w:p w14:paraId="1408B884">
      <w:pPr>
        <w:widowControl/>
        <w:adjustRightInd w:val="0"/>
        <w:snapToGrid w:val="0"/>
        <w:spacing w:line="360" w:lineRule="auto"/>
        <w:ind w:firstLine="840"/>
        <w:jc w:val="left"/>
        <w:rPr>
          <w:rFonts w:ascii="宋体" w:hAnsi="宋体" w:cs="宋体"/>
          <w:color w:val="auto"/>
          <w:kern w:val="0"/>
          <w:sz w:val="24"/>
          <w:highlight w:val="none"/>
        </w:rPr>
      </w:pPr>
    </w:p>
    <w:p w14:paraId="469AF726">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5、采购需求（包括但不限于标的的名称、数量、简要技术需求或服务要求等） </w:t>
      </w:r>
    </w:p>
    <w:p w14:paraId="253C9066">
      <w:pPr>
        <w:widowControl/>
        <w:adjustRightInd w:val="0"/>
        <w:snapToGri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综合布线系统、计算机网络系统、信息安全设备服务器及存储系统、机房工程、固话及通讯终端智能管理系统、会议系统、周界安防工程、视频监控系统、紧急报警系统、监听对讲系统、出入口管理系统</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会见管理系统、亲情电话系统、指挥中心</w:t>
      </w:r>
      <w:r>
        <w:rPr>
          <w:rFonts w:hint="eastAsia" w:ascii="宋体" w:hAnsi="宋体" w:eastAsia="宋体" w:cs="宋体"/>
          <w:color w:val="auto"/>
          <w:kern w:val="0"/>
          <w:sz w:val="24"/>
          <w:highlight w:val="none"/>
          <w:lang w:eastAsia="zh-CN"/>
        </w:rPr>
        <w:t>、智能安防集成平台、</w:t>
      </w:r>
      <w:r>
        <w:rPr>
          <w:rFonts w:hint="eastAsia" w:ascii="宋体" w:hAnsi="宋体" w:eastAsia="宋体" w:cs="宋体"/>
          <w:color w:val="auto"/>
          <w:kern w:val="0"/>
          <w:sz w:val="24"/>
          <w:highlight w:val="none"/>
          <w:lang w:val="en-US" w:eastAsia="zh-CN"/>
        </w:rPr>
        <w:t>大门等</w:t>
      </w:r>
    </w:p>
    <w:p w14:paraId="00BE59E2">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6、合同履行期限：180日历天   </w:t>
      </w:r>
    </w:p>
    <w:p w14:paraId="799BC776">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CD1DDF2">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C77147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274B0D8E">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二、申请人资格要求： </w:t>
      </w:r>
    </w:p>
    <w:p w14:paraId="76F2117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20A6FC89">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F46FD1D">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详见招标文件 </w:t>
      </w:r>
    </w:p>
    <w:p w14:paraId="4191F22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8EE1B52">
      <w:pPr>
        <w:widowControl/>
        <w:numPr>
          <w:ilvl w:val="0"/>
          <w:numId w:val="3"/>
        </w:numPr>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71ADD6E0">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14:paraId="1BC8BE18">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14:paraId="2459B958">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依法缴纳税收的证明材料。【提供距开标不超过半年（缴款日期、入库日期等）任意一次经营缴税凭据或税务部门出具的“无欠税证明”原件扫描件。属于免税对象者，自行出具免税声明或提供其他证明材料。】</w:t>
      </w:r>
    </w:p>
    <w:p w14:paraId="33052144">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依法缴纳社会保障资金的证明材料。（提供距开标不超过半年任意一次为职工缴纳养老等社会保险的缴纳凭据或清单或社保部门证明。提供原件扫描件或电子凭证。）</w:t>
      </w:r>
    </w:p>
    <w:p w14:paraId="08815B1A">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42897CC2">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48B6FB87">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14:paraId="7FE932F8">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3）企业资质：供应商须具有建设行政主管部门颁发电子与智能化工程专业承包</w:t>
      </w:r>
      <w:r>
        <w:rPr>
          <w:rFonts w:hint="eastAsia" w:ascii="宋体" w:hAnsi="宋体" w:cs="宋体"/>
          <w:color w:val="auto"/>
          <w:kern w:val="0"/>
          <w:sz w:val="24"/>
          <w:highlight w:val="none"/>
          <w:lang w:val="en-US" w:eastAsia="zh-CN"/>
        </w:rPr>
        <w:t>二</w:t>
      </w:r>
      <w:r>
        <w:rPr>
          <w:rFonts w:hint="eastAsia" w:ascii="宋体" w:hAnsi="宋体" w:cs="宋体"/>
          <w:color w:val="auto"/>
          <w:kern w:val="0"/>
          <w:sz w:val="24"/>
          <w:highlight w:val="none"/>
        </w:rPr>
        <w:t>级</w:t>
      </w:r>
      <w:r>
        <w:rPr>
          <w:rFonts w:hint="eastAsia" w:ascii="宋体" w:hAnsi="宋体" w:cs="宋体"/>
          <w:color w:val="auto"/>
          <w:kern w:val="0"/>
          <w:sz w:val="24"/>
          <w:highlight w:val="none"/>
          <w:lang w:val="en-US" w:eastAsia="zh-CN"/>
        </w:rPr>
        <w:t>及以上</w:t>
      </w:r>
      <w:r>
        <w:rPr>
          <w:rFonts w:hint="eastAsia" w:ascii="宋体" w:hAnsi="宋体" w:cs="宋体"/>
          <w:color w:val="auto"/>
          <w:kern w:val="0"/>
          <w:sz w:val="24"/>
          <w:highlight w:val="none"/>
        </w:rPr>
        <w:t>资质，且具备有效安全生产许可证。（提供原件扫描件）</w:t>
      </w:r>
    </w:p>
    <w:p w14:paraId="0C0904BA">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三、获取招标文件 </w:t>
      </w:r>
    </w:p>
    <w:p w14:paraId="1B628E57">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1.时间：2024年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 至2024年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16</w:t>
      </w:r>
      <w:r>
        <w:rPr>
          <w:rFonts w:hint="eastAsia" w:ascii="宋体" w:hAnsi="宋体" w:cs="宋体"/>
          <w:color w:val="auto"/>
          <w:kern w:val="0"/>
          <w:sz w:val="24"/>
          <w:highlight w:val="none"/>
        </w:rPr>
        <w:t xml:space="preserve">日，每天上午00:00至12:00，下午12:00至23:59（北京时间，法定节假日除外。） </w:t>
      </w:r>
    </w:p>
    <w:p w14:paraId="331BE19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7ED7687C">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1DAD5DB7">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7C340213">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四、投标截止时间及地点 </w:t>
      </w:r>
    </w:p>
    <w:p w14:paraId="1A71800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1.时间：2024年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09617DA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14A40F51">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五、开标时间及地点 </w:t>
      </w:r>
    </w:p>
    <w:p w14:paraId="595B1DD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1.时间：2024年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17</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6A25602F">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6A33B782">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六、发布公告的媒介及招标公告期限 </w:t>
      </w:r>
    </w:p>
    <w:p w14:paraId="02F7A3A7">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661D5F5C">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七、其他补充事宜 </w:t>
      </w:r>
    </w:p>
    <w:p w14:paraId="2FE0CF86">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6F6F632C">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平台使用方不负责解决技术问题。</w:t>
      </w:r>
    </w:p>
    <w:p w14:paraId="18353F42">
      <w:pPr>
        <w:widowControl/>
        <w:adjustRightInd w:val="0"/>
        <w:snapToGrid w:val="0"/>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八、凡对本次招标提出询问，请按照以下方式联系 </w:t>
      </w:r>
    </w:p>
    <w:p w14:paraId="37AFAC4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13D51C14">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名称：开封市监狱</w:t>
      </w:r>
    </w:p>
    <w:p w14:paraId="191FD8AD">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地址：开封市龙亭区219省道与稻三路交叉口向东100米</w:t>
      </w:r>
    </w:p>
    <w:p w14:paraId="5E937F8F">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联系人：张先生</w:t>
      </w:r>
    </w:p>
    <w:p w14:paraId="310BEEB3">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联系方式：0371-22218198</w:t>
      </w:r>
    </w:p>
    <w:p w14:paraId="2A29DABE">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2.采购代理机构信息（如有） </w:t>
      </w:r>
    </w:p>
    <w:p w14:paraId="06384B63">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7E195E86">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7987C633">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联系人：张先生  </w:t>
      </w:r>
    </w:p>
    <w:p w14:paraId="56FD018B">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w:t>
      </w:r>
    </w:p>
    <w:p w14:paraId="425E8FC0">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336C7ABA">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项目联系人：张先生  </w:t>
      </w:r>
    </w:p>
    <w:p w14:paraId="2F40B714">
      <w:pPr>
        <w:widowControl/>
        <w:adjustRightInd w:val="0"/>
        <w:snapToGrid w:val="0"/>
        <w:spacing w:line="360" w:lineRule="auto"/>
        <w:ind w:left="420"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w:t>
      </w:r>
    </w:p>
    <w:p w14:paraId="42933FF4">
      <w:pPr>
        <w:spacing w:line="312" w:lineRule="auto"/>
        <w:ind w:firstLine="421"/>
        <w:rPr>
          <w:rFonts w:ascii="宋体" w:hAnsi="宋体"/>
          <w:color w:val="auto"/>
          <w:sz w:val="24"/>
          <w:highlight w:val="none"/>
          <w:lang w:val="zh-CN"/>
        </w:rPr>
      </w:pPr>
    </w:p>
    <w:p w14:paraId="12235651">
      <w:pPr>
        <w:pStyle w:val="8"/>
        <w:jc w:val="center"/>
        <w:rPr>
          <w:rFonts w:ascii="宋体" w:hAnsi="宋体"/>
          <w:color w:val="auto"/>
          <w:highlight w:val="none"/>
        </w:rPr>
      </w:pPr>
      <w:bookmarkStart w:id="19" w:name="_Toc346523463"/>
      <w:bookmarkStart w:id="20" w:name="_Toc144974495"/>
      <w:bookmarkStart w:id="21" w:name="_Toc247085687"/>
      <w:bookmarkStart w:id="22" w:name="_Toc28703"/>
      <w:bookmarkStart w:id="23" w:name="_Toc494093427"/>
      <w:bookmarkStart w:id="24" w:name="_Toc179632544"/>
      <w:bookmarkStart w:id="25" w:name="_Toc8884"/>
      <w:bookmarkStart w:id="26" w:name="_Toc152042303"/>
      <w:bookmarkStart w:id="27" w:name="_Toc338840479"/>
      <w:bookmarkStart w:id="28" w:name="_Toc152045527"/>
      <w:bookmarkStart w:id="29" w:name="_Toc494526399"/>
      <w:bookmarkStart w:id="30" w:name="_Toc246996916"/>
      <w:bookmarkStart w:id="31" w:name="_Toc338840185"/>
      <w:bookmarkStart w:id="32" w:name="_Toc3179"/>
      <w:bookmarkStart w:id="33" w:name="_Toc346523400"/>
      <w:bookmarkStart w:id="34" w:name="_Toc246996173"/>
      <w:bookmarkStart w:id="35" w:name="_Toc338840440"/>
      <w:r>
        <w:rPr>
          <w:rFonts w:hint="eastAsia" w:ascii="宋体" w:hAnsi="宋体"/>
          <w:color w:val="auto"/>
          <w:highlight w:val="none"/>
        </w:rPr>
        <w:br w:type="page"/>
      </w:r>
      <w:bookmarkStart w:id="36" w:name="_Toc13151"/>
      <w:r>
        <w:rPr>
          <w:rFonts w:hint="eastAsia" w:ascii="宋体" w:hAnsi="宋体"/>
          <w:color w:val="auto"/>
          <w:highlight w:val="none"/>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AE0878">
      <w:pPr>
        <w:pStyle w:val="9"/>
        <w:jc w:val="center"/>
        <w:rPr>
          <w:rFonts w:ascii="宋体" w:hAnsi="宋体" w:eastAsia="宋体"/>
          <w:color w:val="auto"/>
          <w:highlight w:val="none"/>
        </w:rPr>
      </w:pPr>
      <w:bookmarkStart w:id="37" w:name="_Toc246996917"/>
      <w:bookmarkStart w:id="38" w:name="_Toc152042304"/>
      <w:bookmarkStart w:id="39" w:name="_Toc346523401"/>
      <w:bookmarkStart w:id="40" w:name="_Toc494526400"/>
      <w:bookmarkStart w:id="41" w:name="_Toc18612"/>
      <w:bookmarkStart w:id="42" w:name="_Toc338840186"/>
      <w:bookmarkStart w:id="43" w:name="_Toc247085688"/>
      <w:bookmarkStart w:id="44" w:name="_Toc152045528"/>
      <w:bookmarkStart w:id="45" w:name="_Toc338840441"/>
      <w:bookmarkStart w:id="46" w:name="_Toc11060"/>
      <w:bookmarkStart w:id="47" w:name="_Toc18827"/>
      <w:bookmarkStart w:id="48" w:name="_Toc179632545"/>
      <w:bookmarkStart w:id="49" w:name="_Toc494093428"/>
      <w:bookmarkStart w:id="50" w:name="_Toc246996174"/>
      <w:bookmarkStart w:id="51" w:name="_Toc144974496"/>
      <w:bookmarkStart w:id="52" w:name="_Toc346523464"/>
      <w:bookmarkStart w:id="53" w:name="_Toc23185"/>
      <w:bookmarkStart w:id="54" w:name="_Toc338840480"/>
      <w:r>
        <w:rPr>
          <w:rFonts w:hint="eastAsia" w:ascii="宋体" w:hAnsi="宋体" w:eastAsia="宋体"/>
          <w:color w:val="auto"/>
          <w:highlight w:val="none"/>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108DCF86">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6"/>
        <w:tblW w:w="0" w:type="auto"/>
        <w:tblInd w:w="0" w:type="dxa"/>
        <w:tblLayout w:type="fixed"/>
        <w:tblCellMar>
          <w:top w:w="0" w:type="dxa"/>
          <w:left w:w="108" w:type="dxa"/>
          <w:bottom w:w="0" w:type="dxa"/>
          <w:right w:w="108" w:type="dxa"/>
        </w:tblCellMar>
      </w:tblPr>
      <w:tblGrid>
        <w:gridCol w:w="1008"/>
        <w:gridCol w:w="1980"/>
        <w:gridCol w:w="5534"/>
      </w:tblGrid>
      <w:tr w14:paraId="72FF282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F883786">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0EC9539">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571AD036">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33237AD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FD827CC">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676551FC">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0655B49B">
            <w:pPr>
              <w:spacing w:line="440" w:lineRule="atLeast"/>
              <w:rPr>
                <w:rFonts w:hint="eastAsia"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：开封市监狱</w:t>
            </w:r>
          </w:p>
          <w:p w14:paraId="3A47E6A9">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开封市龙亭区219省道与稻三路交叉口向东100米</w:t>
            </w:r>
          </w:p>
          <w:p w14:paraId="7696EF51">
            <w:pPr>
              <w:spacing w:line="440" w:lineRule="atLeast"/>
              <w:rPr>
                <w:rFonts w:ascii="宋体" w:hAnsi="宋体"/>
                <w:color w:val="auto"/>
                <w:szCs w:val="21"/>
                <w:highlight w:val="none"/>
              </w:rPr>
            </w:pPr>
            <w:r>
              <w:rPr>
                <w:rFonts w:ascii="宋体" w:hAnsi="宋体"/>
                <w:color w:val="auto"/>
                <w:szCs w:val="21"/>
                <w:highlight w:val="none"/>
              </w:rPr>
              <w:t>联系人：</w:t>
            </w:r>
            <w:r>
              <w:rPr>
                <w:rFonts w:hint="eastAsia" w:ascii="宋体" w:hAnsi="宋体"/>
                <w:color w:val="auto"/>
                <w:szCs w:val="21"/>
                <w:highlight w:val="none"/>
              </w:rPr>
              <w:t>张先生</w:t>
            </w:r>
          </w:p>
          <w:p w14:paraId="410B8901">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0371-22218198　　</w:t>
            </w:r>
          </w:p>
        </w:tc>
      </w:tr>
      <w:tr w14:paraId="2C90C45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CC0F7F0">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35B37858">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4BB9CB6A">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14:paraId="5F6CA763">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开封市郑开大道与三大街交汇处路北，开封市民之家6楼西头向北6067房间（政府采购）</w:t>
            </w:r>
          </w:p>
          <w:p w14:paraId="463454FE">
            <w:pPr>
              <w:spacing w:line="440" w:lineRule="atLeast"/>
              <w:rPr>
                <w:rFonts w:ascii="宋体" w:hAnsi="宋体"/>
                <w:color w:val="auto"/>
                <w:szCs w:val="21"/>
                <w:highlight w:val="none"/>
              </w:rPr>
            </w:pPr>
            <w:r>
              <w:rPr>
                <w:rFonts w:hint="eastAsia" w:ascii="宋体" w:hAnsi="宋体"/>
                <w:color w:val="auto"/>
                <w:szCs w:val="21"/>
                <w:highlight w:val="none"/>
              </w:rPr>
              <w:t>项目</w:t>
            </w:r>
            <w:r>
              <w:rPr>
                <w:rFonts w:ascii="宋体" w:hAnsi="宋体"/>
                <w:color w:val="auto"/>
                <w:szCs w:val="21"/>
                <w:highlight w:val="none"/>
              </w:rPr>
              <w:t>联系人：</w:t>
            </w:r>
            <w:r>
              <w:rPr>
                <w:rFonts w:hint="eastAsia" w:ascii="宋体" w:hAnsi="宋体"/>
                <w:color w:val="auto"/>
                <w:szCs w:val="21"/>
                <w:highlight w:val="none"/>
              </w:rPr>
              <w:t>张先生</w:t>
            </w:r>
          </w:p>
          <w:p w14:paraId="56ABB1B4">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0371—23856102</w:t>
            </w:r>
          </w:p>
        </w:tc>
      </w:tr>
      <w:tr w14:paraId="3D02E53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1ED7BE5">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76D7C771">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5F9AA94A">
            <w:pPr>
              <w:spacing w:line="440" w:lineRule="atLeast"/>
              <w:rPr>
                <w:rFonts w:ascii="宋体" w:hAnsi="宋体"/>
                <w:color w:val="auto"/>
                <w:szCs w:val="21"/>
                <w:highlight w:val="none"/>
              </w:rPr>
            </w:pPr>
            <w:r>
              <w:rPr>
                <w:rFonts w:hint="eastAsia" w:ascii="宋体" w:hAnsi="宋体"/>
                <w:color w:val="auto"/>
                <w:szCs w:val="21"/>
                <w:highlight w:val="none"/>
              </w:rPr>
              <w:t>开封市监狱改扩建项目信息化及安防设施建设工程项目</w:t>
            </w:r>
          </w:p>
        </w:tc>
      </w:tr>
      <w:tr w14:paraId="2D8A0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9903350">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6D802F8">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2212D8F1">
            <w:pPr>
              <w:spacing w:line="440" w:lineRule="atLeast"/>
              <w:rPr>
                <w:rFonts w:ascii="宋体" w:hAnsi="宋体"/>
                <w:color w:val="auto"/>
                <w:szCs w:val="21"/>
                <w:highlight w:val="none"/>
              </w:rPr>
            </w:pPr>
            <w:r>
              <w:rPr>
                <w:rFonts w:hint="eastAsia" w:ascii="宋体" w:hAnsi="宋体"/>
                <w:color w:val="auto"/>
                <w:szCs w:val="21"/>
                <w:highlight w:val="none"/>
              </w:rPr>
              <w:t>开封市龙亭区219省道与稻三路交叉口向东100米</w:t>
            </w:r>
          </w:p>
        </w:tc>
      </w:tr>
      <w:tr w14:paraId="0965D84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8FBEA24">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6556C06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4D90279F">
            <w:pPr>
              <w:spacing w:line="440" w:lineRule="atLeast"/>
              <w:rPr>
                <w:rFonts w:ascii="宋体" w:hAnsi="宋体"/>
                <w:color w:val="auto"/>
                <w:szCs w:val="21"/>
                <w:highlight w:val="none"/>
              </w:rPr>
            </w:pPr>
            <w:r>
              <w:rPr>
                <w:rFonts w:hint="eastAsia" w:ascii="宋体" w:hAnsi="宋体"/>
                <w:color w:val="auto"/>
                <w:szCs w:val="21"/>
                <w:highlight w:val="none"/>
              </w:rPr>
              <w:t>100%财政资金</w:t>
            </w:r>
          </w:p>
        </w:tc>
      </w:tr>
      <w:tr w14:paraId="1FD951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67FB745">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21D65E1F">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786CF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782667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4B5056C">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065A4A12">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453E4B74">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00D849B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91630D8">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08E3A0B7">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1F63504C">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ascii="宋体" w:hAnsi="宋体"/>
                <w:color w:val="auto"/>
                <w:szCs w:val="21"/>
                <w:highlight w:val="none"/>
                <w:u w:val="single"/>
              </w:rPr>
              <w:t xml:space="preserve"> </w:t>
            </w:r>
            <w:r>
              <w:rPr>
                <w:rFonts w:hint="eastAsia" w:ascii="宋体" w:hAnsi="宋体"/>
                <w:color w:val="auto"/>
                <w:szCs w:val="21"/>
                <w:highlight w:val="none"/>
                <w:u w:val="none"/>
              </w:rPr>
              <w:t>180</w:t>
            </w:r>
            <w:r>
              <w:rPr>
                <w:rFonts w:ascii="宋体" w:hAnsi="宋体"/>
                <w:color w:val="auto"/>
                <w:szCs w:val="21"/>
                <w:highlight w:val="none"/>
                <w:u w:val="none"/>
              </w:rPr>
              <w:t>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7E2E579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B70DB70">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0E010F47">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E02AA4B">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0A573A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B9E36C">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36CB4CBE">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285C990C">
            <w:pPr>
              <w:spacing w:line="440" w:lineRule="atLeast"/>
              <w:rPr>
                <w:rFonts w:ascii="宋体" w:hAnsi="宋体"/>
                <w:color w:val="auto"/>
                <w:szCs w:val="21"/>
                <w:highlight w:val="none"/>
              </w:rPr>
            </w:pPr>
            <w:r>
              <w:rPr>
                <w:rFonts w:hint="eastAsia" w:ascii="宋体" w:hAnsi="宋体" w:eastAsia="宋体" w:cs="Times New Roman"/>
                <w:color w:val="auto"/>
                <w:szCs w:val="21"/>
                <w:highlight w:val="none"/>
              </w:rPr>
              <w:t>本项目免费质量保证期为2年，如果国家、行业或制造商规定期限比要求的长，则以规定期限长者为准。</w:t>
            </w:r>
            <w:r>
              <w:rPr>
                <w:rFonts w:hint="eastAsia" w:ascii="宋体" w:hAnsi="宋体"/>
                <w:color w:val="auto"/>
                <w:szCs w:val="21"/>
                <w:highlight w:val="none"/>
              </w:rPr>
              <w:t>（从合同履行结束，项日验收合格之日开始计算。）</w:t>
            </w:r>
          </w:p>
        </w:tc>
      </w:tr>
      <w:tr w14:paraId="2B0E9B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DEA087">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2C537427">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24C54116">
            <w:pPr>
              <w:spacing w:line="440" w:lineRule="atLeast"/>
              <w:rPr>
                <w:color w:val="auto"/>
                <w:highlight w:val="none"/>
              </w:rPr>
            </w:pPr>
            <w:r>
              <w:rPr>
                <w:rFonts w:hint="eastAsia"/>
                <w:color w:val="auto"/>
                <w:highlight w:val="none"/>
              </w:rPr>
              <w:t xml:space="preserve">1、满足《中华人民共和国政府采购法》第二十二条规定； </w:t>
            </w:r>
          </w:p>
          <w:p w14:paraId="37846874">
            <w:pPr>
              <w:spacing w:line="440" w:lineRule="atLeast"/>
              <w:rPr>
                <w:color w:val="auto"/>
                <w:highlight w:val="none"/>
              </w:rPr>
            </w:pPr>
            <w:r>
              <w:rPr>
                <w:rFonts w:hint="eastAsia"/>
                <w:color w:val="auto"/>
                <w:highlight w:val="none"/>
              </w:rPr>
              <w:t>2、落实政府采购政策满足的资格要求：</w:t>
            </w:r>
          </w:p>
          <w:p w14:paraId="5EB2F3BE">
            <w:pPr>
              <w:spacing w:line="440" w:lineRule="atLeast"/>
              <w:rPr>
                <w:color w:val="auto"/>
                <w:highlight w:val="none"/>
              </w:rPr>
            </w:pPr>
            <w:r>
              <w:rPr>
                <w:rFonts w:hint="eastAsia"/>
                <w:color w:val="auto"/>
                <w:highlight w:val="none"/>
              </w:rPr>
              <w:t xml:space="preserve">详见招标文件 </w:t>
            </w:r>
          </w:p>
          <w:p w14:paraId="4C1B3966">
            <w:pPr>
              <w:spacing w:line="440" w:lineRule="atLeast"/>
              <w:rPr>
                <w:color w:val="auto"/>
                <w:highlight w:val="none"/>
              </w:rPr>
            </w:pPr>
            <w:r>
              <w:rPr>
                <w:rFonts w:hint="eastAsia"/>
                <w:color w:val="auto"/>
                <w:highlight w:val="none"/>
              </w:rPr>
              <w:t xml:space="preserve">3、本项目的特定资格要求 </w:t>
            </w:r>
          </w:p>
          <w:p w14:paraId="534CE1F1">
            <w:pPr>
              <w:spacing w:line="440" w:lineRule="atLeast"/>
              <w:rPr>
                <w:color w:val="auto"/>
                <w:highlight w:val="none"/>
              </w:rPr>
            </w:pPr>
            <w:r>
              <w:rPr>
                <w:rFonts w:hint="eastAsia"/>
                <w:color w:val="auto"/>
                <w:highlight w:val="none"/>
              </w:rPr>
              <w:t>1)供应商应具备下列条件，并提供相应材料：</w:t>
            </w:r>
          </w:p>
          <w:p w14:paraId="249FC122">
            <w:pPr>
              <w:spacing w:line="440" w:lineRule="atLeast"/>
              <w:jc w:val="left"/>
              <w:rPr>
                <w:color w:val="auto"/>
                <w:highlight w:val="none"/>
              </w:rPr>
            </w:pPr>
            <w:r>
              <w:rPr>
                <w:rFonts w:hint="eastAsia"/>
                <w:color w:val="auto"/>
                <w:highlight w:val="none"/>
              </w:rPr>
              <w:t>(1)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14:paraId="2C90458D">
            <w:pPr>
              <w:spacing w:line="440" w:lineRule="atLeast"/>
              <w:jc w:val="left"/>
              <w:rPr>
                <w:color w:val="auto"/>
                <w:highlight w:val="none"/>
              </w:rPr>
            </w:pPr>
            <w:r>
              <w:rPr>
                <w:rFonts w:hint="eastAsia"/>
                <w:color w:val="auto"/>
                <w:highlight w:val="none"/>
              </w:rPr>
              <w:t>(2)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14:paraId="1C04A99E">
            <w:pPr>
              <w:spacing w:line="440" w:lineRule="atLeast"/>
              <w:jc w:val="left"/>
              <w:rPr>
                <w:color w:val="auto"/>
                <w:highlight w:val="none"/>
              </w:rPr>
            </w:pPr>
            <w:r>
              <w:rPr>
                <w:rFonts w:hint="eastAsia"/>
                <w:color w:val="auto"/>
                <w:highlight w:val="none"/>
              </w:rPr>
              <w:t>(3)依法缴纳税收的证明材料。【提供距开标不超过半年（缴款日期、入库日期等）任意一次经营缴税凭据或税务部门出具的“无欠税证明”原件扫描件。属于免税对象者，自行出具免税声明或提供其他证明材料。】</w:t>
            </w:r>
          </w:p>
          <w:p w14:paraId="205E2222">
            <w:pPr>
              <w:spacing w:line="440" w:lineRule="atLeast"/>
              <w:jc w:val="left"/>
              <w:rPr>
                <w:color w:val="auto"/>
                <w:highlight w:val="none"/>
              </w:rPr>
            </w:pPr>
            <w:r>
              <w:rPr>
                <w:rFonts w:hint="eastAsia"/>
                <w:color w:val="auto"/>
                <w:highlight w:val="none"/>
              </w:rPr>
              <w:t>(4)(依法缴纳社会保障资金的证明材料。（提供距开标不超过半年任意一次为职工缴纳养老等社会保险的缴纳凭据或清单或社保部门证明。提供原件扫描件或电子凭证。）</w:t>
            </w:r>
          </w:p>
          <w:p w14:paraId="20ABC0D1">
            <w:pPr>
              <w:spacing w:line="440" w:lineRule="atLeast"/>
              <w:jc w:val="left"/>
              <w:rPr>
                <w:color w:val="auto"/>
                <w:highlight w:val="none"/>
              </w:rPr>
            </w:pPr>
            <w:r>
              <w:rPr>
                <w:rFonts w:hint="eastAsia"/>
                <w:color w:val="auto"/>
                <w:highlight w:val="none"/>
              </w:rPr>
              <w:t>(5)具备履行合同所必需的设备和专业技术能力的承诺。</w:t>
            </w:r>
          </w:p>
          <w:p w14:paraId="0C02724C">
            <w:pPr>
              <w:spacing w:line="440" w:lineRule="atLeast"/>
              <w:jc w:val="left"/>
              <w:rPr>
                <w:color w:val="auto"/>
                <w:highlight w:val="none"/>
              </w:rPr>
            </w:pPr>
            <w:r>
              <w:rPr>
                <w:rFonts w:hint="eastAsia"/>
                <w:color w:val="auto"/>
                <w:highlight w:val="none"/>
              </w:rPr>
              <w:t>(6)供应商开标前三年内在经营活动中无重大违法记录的书面声明。</w:t>
            </w:r>
          </w:p>
          <w:p w14:paraId="1D8DEBB9">
            <w:pPr>
              <w:spacing w:line="440" w:lineRule="atLeast"/>
              <w:jc w:val="left"/>
              <w:rPr>
                <w:rFonts w:hint="eastAsia" w:ascii="Times New Roman" w:hAnsi="Times New Roman" w:eastAsia="宋体" w:cs="Times New Roman"/>
                <w:color w:val="auto"/>
                <w:highlight w:val="none"/>
              </w:rPr>
            </w:pPr>
            <w:r>
              <w:rPr>
                <w:rFonts w:hint="eastAsia"/>
                <w:color w:val="auto"/>
                <w:highlight w:val="none"/>
              </w:rPr>
              <w:t>2)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w:t>
            </w:r>
            <w:r>
              <w:rPr>
                <w:rFonts w:hint="eastAsia" w:ascii="Times New Roman" w:hAnsi="Times New Roman" w:eastAsia="宋体" w:cs="Times New Roman"/>
                <w:color w:val="auto"/>
                <w:highlight w:val="none"/>
              </w:rPr>
              <w:t>中国”网站（http://www.creditchina.gov.cn）、中国政府采购网（http://www.ccgp.gov.cn）。】</w:t>
            </w:r>
          </w:p>
          <w:p w14:paraId="4709A828">
            <w:pPr>
              <w:spacing w:line="440" w:lineRule="atLeast"/>
              <w:jc w:val="left"/>
              <w:rPr>
                <w:color w:val="auto"/>
                <w:highlight w:val="none"/>
              </w:rPr>
            </w:pPr>
            <w:r>
              <w:rPr>
                <w:rFonts w:hint="eastAsia" w:ascii="Times New Roman" w:hAnsi="Times New Roman" w:eastAsia="宋体" w:cs="Times New Roman"/>
                <w:color w:val="auto"/>
                <w:highlight w:val="none"/>
                <w:lang w:val="en-US" w:eastAsia="zh-CN"/>
              </w:rPr>
              <w:t>3）企业资质：供应商须具有建设行政主管部门颁发电子与智能化工程专业承包二级及以上资质，且具备有效安全生产许可证。（提供原件扫描件）</w:t>
            </w:r>
          </w:p>
        </w:tc>
      </w:tr>
      <w:tr w14:paraId="7CA0838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402058D">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85CA7A1">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16485B74">
            <w:pPr>
              <w:pStyle w:val="18"/>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36D8D2DC">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4830295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1288D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74E9DA4">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6E145B4D">
            <w:pPr>
              <w:pStyle w:val="18"/>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206E6D54">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1BD48AD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770FAD8">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053F9259">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C6A8969">
            <w:pPr>
              <w:pStyle w:val="18"/>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0A015CD7">
            <w:pPr>
              <w:pStyle w:val="18"/>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72D61960">
            <w:pPr>
              <w:pStyle w:val="18"/>
              <w:topLinePunct/>
              <w:spacing w:line="440" w:lineRule="atLeast"/>
              <w:rPr>
                <w:rFonts w:hAnsi="宋体"/>
                <w:color w:val="auto"/>
                <w:sz w:val="21"/>
                <w:szCs w:val="21"/>
                <w:highlight w:val="none"/>
              </w:rPr>
            </w:pPr>
            <w:r>
              <w:rPr>
                <w:rFonts w:hint="eastAsia" w:hAnsi="宋体"/>
                <w:color w:val="auto"/>
                <w:sz w:val="21"/>
                <w:szCs w:val="21"/>
                <w:highlight w:val="none"/>
              </w:rPr>
              <w:t>3、采购文件列明的其他构成无效投标的内容。</w:t>
            </w:r>
          </w:p>
        </w:tc>
      </w:tr>
      <w:tr w14:paraId="2996CE3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27AC9B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EB5DE5F">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2EBB6967">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148DC4B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2A72694">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6785A655">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56347C06">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18BE9C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DC90E85">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0EEF384C">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4BC7770A">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365E0E09">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04724BA8">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031177AE">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08C1816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1164D3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F7D1C9">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7ABD470">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42B000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2F4F6C3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C4993B">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42A3B49D">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3EF03A3">
            <w:pPr>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1C512C0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14D1DA5">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1CA7D9DC">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08BC7810">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006507A2">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4E9D90CE">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设最高限价，最高限价为15035836.77元。</w:t>
            </w:r>
          </w:p>
          <w:p w14:paraId="3953E439">
            <w:pPr>
              <w:spacing w:line="440" w:lineRule="atLeast"/>
              <w:rPr>
                <w:rFonts w:ascii="宋体" w:hAnsi="宋体"/>
                <w:color w:val="auto"/>
                <w:szCs w:val="21"/>
                <w:highlight w:val="none"/>
              </w:rPr>
            </w:pPr>
            <w:r>
              <w:rPr>
                <w:rFonts w:hint="eastAsia" w:ascii="宋体" w:hAnsi="宋体"/>
                <w:color w:val="auto"/>
                <w:szCs w:val="21"/>
                <w:highlight w:val="none"/>
              </w:rPr>
              <w:t>项目预算金额：15035836.77元。</w:t>
            </w:r>
          </w:p>
          <w:p w14:paraId="56C2E14E">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0A91C06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BC3208E">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5E38577C">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4A91858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24036B3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CCB3F0D">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6F4C11A">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378FD7D">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4FD62823">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05A3CEA5">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17B1CAD0">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230BEC7">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1A757D5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2B3AF684">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31C46559">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7DAC45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34CF987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76268D4">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70F562F8">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6C8B3C2">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36A3CA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0E04BFB">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49FB8B0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7370D14E">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43D93172">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403E70B0">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7777FB29">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14A5D6F3">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：2024年</w:t>
            </w:r>
            <w:r>
              <w:rPr>
                <w:rFonts w:hint="eastAsia" w:ascii="宋体" w:hAnsi="宋体"/>
                <w:color w:val="auto"/>
                <w:szCs w:val="21"/>
                <w:highlight w:val="none"/>
                <w:lang w:val="en-US" w:eastAsia="zh-CN"/>
              </w:rPr>
              <w:t>10</w:t>
            </w:r>
            <w:r>
              <w:rPr>
                <w:rFonts w:hint="eastAsia" w:ascii="宋体" w:hAnsi="宋体"/>
                <w:color w:val="auto"/>
                <w:szCs w:val="21"/>
                <w:highlight w:val="none"/>
              </w:rPr>
              <w:t>月17日09时</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p w14:paraId="5D77B860">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308B6592">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5409D500">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830224F">
            <w:pPr>
              <w:spacing w:line="440" w:lineRule="atLeast"/>
              <w:jc w:val="center"/>
              <w:rPr>
                <w:rFonts w:ascii="宋体" w:hAnsi="宋体"/>
                <w:color w:val="auto"/>
                <w:szCs w:val="21"/>
                <w:highlight w:val="none"/>
              </w:rPr>
            </w:pPr>
            <w:r>
              <w:rPr>
                <w:rFonts w:hint="eastAsia" w:ascii="宋体" w:hAnsi="宋体"/>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860531F">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475264DB">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6E426EBB">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7139782E">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602F14D9">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265B0646">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319D206E">
            <w:pPr>
              <w:spacing w:line="440" w:lineRule="atLeast"/>
              <w:jc w:val="center"/>
              <w:rPr>
                <w:rFonts w:ascii="宋体" w:hAnsi="宋体"/>
                <w:color w:val="auto"/>
                <w:szCs w:val="21"/>
                <w:highlight w:val="none"/>
              </w:rPr>
            </w:pPr>
            <w:r>
              <w:rPr>
                <w:rFonts w:hint="eastAsia" w:ascii="宋体" w:hAnsi="宋体"/>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34D7C9F9">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lang w:val="en-US" w:eastAsia="zh-CN"/>
              </w:rPr>
              <w:t>7</w:t>
            </w:r>
            <w:r>
              <w:rPr>
                <w:rFonts w:hint="eastAsia" w:ascii="宋体" w:hAnsi="宋体"/>
                <w:color w:val="auto"/>
                <w:szCs w:val="21"/>
                <w:highlight w:val="none"/>
              </w:rPr>
              <w:t>人组成，其中评审专家不少于成员总数的三分之二。</w:t>
            </w:r>
          </w:p>
          <w:p w14:paraId="272490B9">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4C2AFC99">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346BB7E">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4C96921">
            <w:pPr>
              <w:spacing w:line="440" w:lineRule="atLeast"/>
              <w:jc w:val="center"/>
              <w:rPr>
                <w:rFonts w:ascii="宋体" w:hAnsi="宋体"/>
                <w:color w:val="auto"/>
                <w:szCs w:val="21"/>
                <w:highlight w:val="none"/>
              </w:rPr>
            </w:pPr>
            <w:r>
              <w:rPr>
                <w:rFonts w:hint="eastAsia" w:ascii="宋体" w:hAnsi="宋体"/>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234450FB">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5EFFCFBF">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3DCE526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13A9B1F1">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14EBDC1D">
            <w:pPr>
              <w:spacing w:line="440" w:lineRule="atLeast"/>
              <w:jc w:val="center"/>
              <w:rPr>
                <w:rFonts w:ascii="宋体" w:hAnsi="宋体"/>
                <w:color w:val="auto"/>
                <w:szCs w:val="21"/>
                <w:highlight w:val="none"/>
              </w:rPr>
            </w:pPr>
            <w:r>
              <w:rPr>
                <w:rFonts w:hint="eastAsia" w:ascii="宋体" w:hAnsi="宋体"/>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1B097315">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5D465BCD">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B4B90F2">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138D066A">
            <w:pPr>
              <w:spacing w:line="440" w:lineRule="atLeast"/>
              <w:jc w:val="center"/>
              <w:rPr>
                <w:rFonts w:ascii="宋体" w:hAnsi="宋体"/>
                <w:color w:val="auto"/>
                <w:szCs w:val="21"/>
                <w:highlight w:val="none"/>
              </w:rPr>
            </w:pPr>
            <w:r>
              <w:rPr>
                <w:rFonts w:hint="eastAsia" w:ascii="宋体" w:hAnsi="宋体"/>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A1BCCD8">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4E92C47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29EB93">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C3F4218">
            <w:pPr>
              <w:spacing w:line="440" w:lineRule="atLeast"/>
              <w:jc w:val="center"/>
              <w:rPr>
                <w:rFonts w:ascii="宋体" w:hAnsi="宋体"/>
                <w:color w:val="auto"/>
                <w:szCs w:val="21"/>
                <w:highlight w:val="none"/>
              </w:rPr>
            </w:pPr>
            <w:r>
              <w:rPr>
                <w:rFonts w:ascii="宋体" w:hAnsi="宋体"/>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267E0945">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5DDBE2A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631040">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7FDA8DE5">
            <w:pPr>
              <w:spacing w:line="440" w:lineRule="atLeast"/>
              <w:jc w:val="center"/>
              <w:rPr>
                <w:rFonts w:ascii="宋体" w:hAnsi="宋体"/>
                <w:color w:val="auto"/>
                <w:szCs w:val="21"/>
                <w:highlight w:val="none"/>
              </w:rPr>
            </w:pPr>
            <w:r>
              <w:rPr>
                <w:rFonts w:hint="eastAsia" w:ascii="宋体" w:hAnsi="宋体"/>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2AB250CF">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0817403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C1397F0">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155D8B66">
            <w:pPr>
              <w:spacing w:line="440" w:lineRule="atLeast"/>
              <w:jc w:val="center"/>
              <w:rPr>
                <w:rFonts w:ascii="宋体" w:hAnsi="宋体"/>
                <w:color w:val="auto"/>
                <w:szCs w:val="21"/>
                <w:highlight w:val="none"/>
              </w:rPr>
            </w:pPr>
            <w:r>
              <w:rPr>
                <w:rFonts w:hint="eastAsia" w:ascii="宋体" w:hAnsi="宋体"/>
                <w:color w:val="auto"/>
                <w:szCs w:val="21"/>
                <w:highlight w:val="none"/>
              </w:rPr>
              <w:t>询问和质疑</w:t>
            </w:r>
          </w:p>
          <w:p w14:paraId="450751E3">
            <w:pPr>
              <w:spacing w:line="440" w:lineRule="atLeast"/>
              <w:jc w:val="center"/>
              <w:rPr>
                <w:rFonts w:ascii="宋体" w:hAnsi="宋体"/>
                <w:color w:val="auto"/>
                <w:szCs w:val="21"/>
                <w:highlight w:val="none"/>
              </w:rPr>
            </w:pPr>
          </w:p>
          <w:p w14:paraId="29251043">
            <w:pPr>
              <w:spacing w:line="440" w:lineRule="atLeast"/>
              <w:jc w:val="center"/>
              <w:rPr>
                <w:rFonts w:ascii="宋体" w:hAnsi="宋体"/>
                <w:color w:val="auto"/>
                <w:szCs w:val="21"/>
                <w:highlight w:val="none"/>
              </w:rPr>
            </w:pPr>
            <w:r>
              <w:rPr>
                <w:rFonts w:hint="eastAsia" w:ascii="宋体" w:hAnsi="宋体"/>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4294B6B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235CFEB4">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2、质疑（格式参照财政部2018年发布的《质疑函范本》）。对招标文件的质疑，应当在收到招标文件之日或招标公告期满之日起7个工作日内提出（</w:t>
            </w:r>
            <w:r>
              <w:rPr>
                <w:rFonts w:hint="eastAsia" w:ascii="宋体" w:hAnsi="宋体" w:cs="宋体"/>
                <w:color w:val="auto"/>
                <w:kern w:val="0"/>
                <w:szCs w:val="21"/>
                <w:highlight w:val="none"/>
              </w:rPr>
              <w:t>在招标公告期限届满之后下载招标文件的，对招标文件的质疑期限从公告期限届满之日起计算；在公告期限届满之前下载招标文件的，对招标文件的质疑期限从下载之日起计算。</w:t>
            </w:r>
            <w:r>
              <w:rPr>
                <w:rFonts w:hint="eastAsia" w:ascii="宋体" w:hAnsi="宋体"/>
                <w:color w:val="auto"/>
                <w:szCs w:val="21"/>
                <w:highlight w:val="none"/>
              </w:rPr>
              <w:t>）；对招标、评标过程的质疑，应在知道或者应知其权益受到损害之日起7个工作日内提出； 对成交或成交结果有质疑的，应在成交或成交公告期满之日起7个工作日内提出。通过《开封市公共资源交易信息网》凭CA密钥登录，线上提起，并同时打电话提醒采购人和采购代理机构注意及时查收。</w:t>
            </w:r>
          </w:p>
          <w:p w14:paraId="2A14C5A6">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p>
        </w:tc>
      </w:tr>
      <w:tr w14:paraId="133B623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A2C01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6E5F7B27">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4BAB8E8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33C8206">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053CD2ED">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2C71974">
            <w:pPr>
              <w:spacing w:line="440" w:lineRule="atLeast"/>
              <w:rPr>
                <w:rFonts w:ascii="宋体" w:hAnsi="宋体"/>
                <w:color w:val="auto"/>
                <w:szCs w:val="21"/>
                <w:highlight w:val="none"/>
              </w:rPr>
            </w:pPr>
            <w:r>
              <w:rPr>
                <w:rFonts w:hint="eastAsia" w:ascii="宋体" w:hAnsi="宋体"/>
                <w:color w:val="auto"/>
                <w:szCs w:val="21"/>
                <w:highlight w:val="none"/>
              </w:rPr>
              <w:t>签订合同后主要设备到场支付合同总价款的10%，项目完工验收合格后支付至合同总价款的100%。在支付尾款的同时供应商应向采购人提供合同总价款5%的银行保函，于质量保证期（含承诺延长年限）满后无质量问题时退还。</w:t>
            </w:r>
          </w:p>
        </w:tc>
      </w:tr>
      <w:tr w14:paraId="234243C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FE46931">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1BAC049E">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62E33A92">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80D6BF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2D0AB2A">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81FBD6">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09F55838">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07E41A7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0D30C1">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4023830B">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7230D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561423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923A4E">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53AB701C">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19E45F40">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6DADAAC4">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E48CC">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67A56797">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E39301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749A70BB">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E53A0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1F2333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3A35D18">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2388DBD1">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3109B1A4">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869CAAF">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7631618D">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A4AC44F">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w:t>
            </w:r>
          </w:p>
        </w:tc>
      </w:tr>
      <w:tr w14:paraId="7157BF61">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6AD5C305">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087B915D">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40131492">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5584516D">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342A723">
            <w:pPr>
              <w:spacing w:line="440" w:lineRule="atLeast"/>
              <w:jc w:val="center"/>
              <w:rPr>
                <w:rFonts w:ascii="宋体" w:hAnsi="宋体"/>
                <w:color w:val="auto"/>
                <w:szCs w:val="21"/>
                <w:highlight w:val="none"/>
              </w:rPr>
            </w:pPr>
            <w:r>
              <w:rPr>
                <w:rFonts w:hint="eastAsia"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5B2A2DBA">
            <w:pPr>
              <w:spacing w:line="440" w:lineRule="atLeast"/>
              <w:jc w:val="center"/>
              <w:rPr>
                <w:rFonts w:ascii="宋体" w:hAnsi="宋体"/>
                <w:color w:val="auto"/>
                <w:szCs w:val="21"/>
                <w:highlight w:val="none"/>
              </w:rPr>
            </w:pPr>
            <w:r>
              <w:rPr>
                <w:rFonts w:hint="eastAsia" w:ascii="宋体" w:hAnsi="宋体"/>
                <w:color w:val="auto"/>
                <w:szCs w:val="21"/>
                <w:highlight w:val="none"/>
              </w:rPr>
              <w:t>原件扫描件</w:t>
            </w:r>
          </w:p>
        </w:tc>
        <w:tc>
          <w:tcPr>
            <w:tcW w:w="5534" w:type="dxa"/>
            <w:tcBorders>
              <w:top w:val="single" w:color="auto" w:sz="4" w:space="0"/>
              <w:left w:val="single" w:color="auto" w:sz="4" w:space="0"/>
              <w:bottom w:val="single" w:color="auto" w:sz="4" w:space="0"/>
              <w:right w:val="single" w:color="auto" w:sz="4" w:space="0"/>
            </w:tcBorders>
            <w:vAlign w:val="center"/>
          </w:tcPr>
          <w:p w14:paraId="3480279A">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本项目所要求提供的原件扫描件均应为能准确反映原件色彩原貌的彩色扫描件。</w:t>
            </w:r>
          </w:p>
        </w:tc>
      </w:tr>
      <w:tr w14:paraId="30096FD9">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80E3508">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3236265">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2CA0A2C2">
      <w:pPr>
        <w:pStyle w:val="9"/>
        <w:rPr>
          <w:rFonts w:ascii="宋体" w:hAnsi="宋体" w:eastAsia="宋体"/>
          <w:color w:val="auto"/>
          <w:highlight w:val="none"/>
        </w:rPr>
      </w:pPr>
      <w:bookmarkStart w:id="55" w:name="_Toc338840442"/>
      <w:bookmarkStart w:id="56" w:name="_Toc179632546"/>
      <w:bookmarkStart w:id="57" w:name="_Toc246996175"/>
      <w:bookmarkStart w:id="58" w:name="_Toc494526401"/>
      <w:bookmarkStart w:id="59" w:name="_Toc246996918"/>
      <w:bookmarkStart w:id="60" w:name="_Toc346523402"/>
      <w:bookmarkStart w:id="61" w:name="_Toc152042305"/>
      <w:bookmarkStart w:id="62" w:name="_Toc494093429"/>
      <w:bookmarkStart w:id="63" w:name="_Toc144974497"/>
      <w:bookmarkStart w:id="64" w:name="_Toc247085689"/>
      <w:bookmarkStart w:id="65" w:name="_Toc338840187"/>
      <w:bookmarkStart w:id="66" w:name="_Toc338840481"/>
      <w:bookmarkStart w:id="67" w:name="_Toc346523465"/>
      <w:bookmarkStart w:id="68" w:name="_Toc152045529"/>
      <w:r>
        <w:rPr>
          <w:rFonts w:hint="eastAsia" w:ascii="宋体" w:hAnsi="宋体" w:eastAsia="宋体"/>
          <w:color w:val="auto"/>
          <w:highlight w:val="none"/>
        </w:rPr>
        <w:br w:type="page"/>
      </w:r>
      <w:bookmarkStart w:id="69" w:name="_Toc29445"/>
      <w:bookmarkStart w:id="70" w:name="_Toc25787"/>
      <w:bookmarkStart w:id="71" w:name="_Toc28332"/>
      <w:bookmarkStart w:id="72" w:name="_Toc18686"/>
      <w:r>
        <w:rPr>
          <w:rFonts w:hint="eastAsia" w:ascii="宋体" w:hAnsi="宋体" w:eastAsia="宋体"/>
          <w:color w:val="auto"/>
          <w:highlight w:val="none"/>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10EFA57C">
      <w:pPr>
        <w:pStyle w:val="10"/>
        <w:rPr>
          <w:rFonts w:ascii="宋体" w:hAnsi="宋体"/>
          <w:color w:val="auto"/>
          <w:highlight w:val="none"/>
        </w:rPr>
      </w:pPr>
      <w:bookmarkStart w:id="73" w:name="_Toc152042306"/>
      <w:bookmarkStart w:id="74" w:name="_Toc152045530"/>
      <w:bookmarkStart w:id="75" w:name="_Toc338840188"/>
      <w:bookmarkStart w:id="76" w:name="_Toc144974498"/>
      <w:bookmarkStart w:id="77" w:name="_Toc246996176"/>
      <w:bookmarkStart w:id="78" w:name="_Toc246996919"/>
      <w:bookmarkStart w:id="79" w:name="_Toc247085690"/>
      <w:bookmarkStart w:id="80" w:name="_Toc179632547"/>
      <w:r>
        <w:rPr>
          <w:rFonts w:hint="eastAsia" w:ascii="宋体" w:hAnsi="宋体"/>
          <w:color w:val="auto"/>
          <w:highlight w:val="none"/>
        </w:rPr>
        <w:t>1.1 项目概况</w:t>
      </w:r>
      <w:bookmarkEnd w:id="73"/>
      <w:bookmarkEnd w:id="74"/>
      <w:bookmarkEnd w:id="75"/>
      <w:bookmarkEnd w:id="76"/>
      <w:bookmarkEnd w:id="77"/>
      <w:bookmarkEnd w:id="78"/>
      <w:bookmarkEnd w:id="79"/>
      <w:bookmarkEnd w:id="80"/>
    </w:p>
    <w:p w14:paraId="1EA8A16F">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14:paraId="065C8F3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320C3F47">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72650116">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0598EF79">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3BCA0596">
      <w:pPr>
        <w:pStyle w:val="10"/>
        <w:rPr>
          <w:rFonts w:ascii="宋体" w:hAnsi="宋体"/>
          <w:color w:val="auto"/>
          <w:highlight w:val="none"/>
        </w:rPr>
      </w:pPr>
      <w:bookmarkStart w:id="81" w:name="_Toc247085691"/>
      <w:bookmarkStart w:id="82" w:name="_Toc246996920"/>
      <w:bookmarkStart w:id="83" w:name="_Toc179632548"/>
      <w:bookmarkStart w:id="84" w:name="_Toc144974499"/>
      <w:bookmarkStart w:id="85" w:name="_Toc338840189"/>
      <w:bookmarkStart w:id="86" w:name="_Toc152042307"/>
      <w:bookmarkStart w:id="87" w:name="_Toc246996177"/>
      <w:bookmarkStart w:id="88" w:name="_Toc152045531"/>
      <w:r>
        <w:rPr>
          <w:rFonts w:hint="eastAsia" w:ascii="宋体" w:hAnsi="宋体"/>
          <w:color w:val="auto"/>
          <w:highlight w:val="none"/>
        </w:rPr>
        <w:t>1.2 资金来源和落实情况</w:t>
      </w:r>
      <w:bookmarkEnd w:id="81"/>
      <w:bookmarkEnd w:id="82"/>
      <w:bookmarkEnd w:id="83"/>
      <w:bookmarkEnd w:id="84"/>
      <w:bookmarkEnd w:id="85"/>
      <w:bookmarkEnd w:id="86"/>
      <w:bookmarkEnd w:id="87"/>
      <w:bookmarkEnd w:id="88"/>
    </w:p>
    <w:p w14:paraId="21888D9E">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259DE17F">
      <w:pPr>
        <w:spacing w:line="400" w:lineRule="exact"/>
        <w:ind w:firstLine="420" w:firstLineChars="200"/>
        <w:rPr>
          <w:rFonts w:ascii="宋体" w:hAnsi="宋体"/>
          <w:color w:val="auto"/>
          <w:highlight w:val="none"/>
        </w:rPr>
      </w:pPr>
      <w:r>
        <w:rPr>
          <w:rFonts w:hint="eastAsia" w:ascii="宋体" w:hAnsi="宋体"/>
          <w:color w:val="auto"/>
          <w:highlight w:val="none"/>
        </w:rPr>
        <w:t>1.2.2 本招标项目的资金落实情况：见供应商须知前附表。</w:t>
      </w:r>
    </w:p>
    <w:p w14:paraId="24F243FA">
      <w:pPr>
        <w:pStyle w:val="10"/>
        <w:rPr>
          <w:rFonts w:ascii="宋体" w:hAnsi="宋体"/>
          <w:color w:val="auto"/>
          <w:highlight w:val="none"/>
        </w:rPr>
      </w:pPr>
      <w:bookmarkStart w:id="89" w:name="_Toc179632549"/>
      <w:bookmarkStart w:id="90" w:name="_Toc246996921"/>
      <w:bookmarkStart w:id="91" w:name="_Toc338840190"/>
      <w:bookmarkStart w:id="92" w:name="_Toc246996178"/>
      <w:bookmarkStart w:id="93" w:name="_Toc247085692"/>
      <w:bookmarkStart w:id="94" w:name="_Toc152042308"/>
      <w:bookmarkStart w:id="95" w:name="_Toc152045532"/>
      <w:bookmarkStart w:id="96" w:name="_Toc144974500"/>
      <w:r>
        <w:rPr>
          <w:rFonts w:hint="eastAsia" w:ascii="宋体" w:hAnsi="宋体"/>
          <w:color w:val="auto"/>
          <w:highlight w:val="none"/>
        </w:rPr>
        <w:t>1.3 招标范围、合同履行期限、质量要求</w:t>
      </w:r>
      <w:bookmarkEnd w:id="89"/>
      <w:bookmarkEnd w:id="90"/>
      <w:bookmarkEnd w:id="91"/>
      <w:bookmarkEnd w:id="92"/>
      <w:bookmarkEnd w:id="93"/>
      <w:bookmarkEnd w:id="94"/>
      <w:bookmarkEnd w:id="95"/>
      <w:bookmarkEnd w:id="96"/>
    </w:p>
    <w:p w14:paraId="0A515CF6">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538AA87D">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25ABECAF">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6FB79395">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5A7EF558">
      <w:pPr>
        <w:pStyle w:val="10"/>
        <w:rPr>
          <w:rFonts w:ascii="宋体" w:hAnsi="宋体"/>
          <w:color w:val="auto"/>
          <w:highlight w:val="none"/>
        </w:rPr>
      </w:pPr>
      <w:bookmarkStart w:id="97" w:name="_Toc152045534"/>
      <w:bookmarkStart w:id="98" w:name="_Toc152042310"/>
      <w:bookmarkStart w:id="99" w:name="_Toc246996179"/>
      <w:bookmarkStart w:id="100" w:name="_Toc144974502"/>
      <w:bookmarkStart w:id="101" w:name="_Toc179632551"/>
      <w:bookmarkStart w:id="102" w:name="_Toc246996922"/>
      <w:bookmarkStart w:id="103" w:name="_Toc338840191"/>
      <w:bookmarkStart w:id="104" w:name="_Toc247085693"/>
      <w:r>
        <w:rPr>
          <w:rFonts w:hint="eastAsia" w:ascii="宋体" w:hAnsi="宋体"/>
          <w:color w:val="auto"/>
          <w:highlight w:val="none"/>
        </w:rPr>
        <w:t>1.4 供应商资格要求</w:t>
      </w:r>
      <w:bookmarkEnd w:id="97"/>
      <w:bookmarkEnd w:id="98"/>
      <w:bookmarkEnd w:id="99"/>
      <w:bookmarkEnd w:id="100"/>
      <w:bookmarkEnd w:id="101"/>
      <w:bookmarkEnd w:id="102"/>
      <w:bookmarkEnd w:id="103"/>
      <w:bookmarkEnd w:id="104"/>
    </w:p>
    <w:p w14:paraId="5C1E1599">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116D015B">
      <w:pPr>
        <w:spacing w:line="400" w:lineRule="exact"/>
        <w:ind w:firstLine="359" w:firstLineChars="171"/>
        <w:rPr>
          <w:rFonts w:ascii="宋体" w:hAnsi="宋体"/>
          <w:color w:val="auto"/>
          <w:highlight w:val="none"/>
        </w:rPr>
      </w:pPr>
      <w:r>
        <w:rPr>
          <w:rFonts w:hint="eastAsia" w:ascii="宋体" w:hAnsi="宋体"/>
          <w:color w:val="auto"/>
          <w:highlight w:val="none"/>
        </w:rPr>
        <w:t>1.4.2 供应商不得存在下列情形之一：</w:t>
      </w:r>
    </w:p>
    <w:p w14:paraId="20D35CC7">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82BBDF1">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D6DF977">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5898A1D6">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11F6850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73E64290">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20FDDD2">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073C7AA9">
      <w:pPr>
        <w:pStyle w:val="10"/>
        <w:rPr>
          <w:rFonts w:ascii="宋体" w:hAnsi="宋体"/>
          <w:color w:val="auto"/>
          <w:highlight w:val="none"/>
        </w:rPr>
      </w:pPr>
      <w:bookmarkStart w:id="105" w:name="_Toc152045535"/>
      <w:bookmarkStart w:id="106" w:name="_Toc246996923"/>
      <w:bookmarkStart w:id="107" w:name="_Toc179632552"/>
      <w:bookmarkStart w:id="108" w:name="_Toc247085694"/>
      <w:bookmarkStart w:id="109" w:name="_Toc338840192"/>
      <w:bookmarkStart w:id="110" w:name="_Toc152042311"/>
      <w:bookmarkStart w:id="111" w:name="_Toc246996180"/>
      <w:bookmarkStart w:id="112" w:name="_Toc144974503"/>
      <w:r>
        <w:rPr>
          <w:rFonts w:hint="eastAsia" w:ascii="宋体" w:hAnsi="宋体"/>
          <w:color w:val="auto"/>
          <w:highlight w:val="none"/>
        </w:rPr>
        <w:t>1.5 费用承担</w:t>
      </w:r>
      <w:bookmarkEnd w:id="105"/>
      <w:bookmarkEnd w:id="106"/>
      <w:bookmarkEnd w:id="107"/>
      <w:bookmarkEnd w:id="108"/>
      <w:bookmarkEnd w:id="109"/>
      <w:bookmarkEnd w:id="110"/>
      <w:bookmarkEnd w:id="111"/>
      <w:bookmarkEnd w:id="112"/>
    </w:p>
    <w:p w14:paraId="1963C0B8">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0CBB8464">
      <w:pPr>
        <w:pStyle w:val="10"/>
        <w:rPr>
          <w:rFonts w:ascii="宋体" w:hAnsi="宋体"/>
          <w:color w:val="auto"/>
          <w:highlight w:val="none"/>
        </w:rPr>
      </w:pPr>
      <w:bookmarkStart w:id="113" w:name="_Toc338840193"/>
      <w:bookmarkStart w:id="114" w:name="_Toc246996924"/>
      <w:bookmarkStart w:id="115" w:name="_Toc247085695"/>
      <w:bookmarkStart w:id="116" w:name="_Toc152042312"/>
      <w:bookmarkStart w:id="117" w:name="_Toc152045536"/>
      <w:bookmarkStart w:id="118" w:name="_Toc179632553"/>
      <w:bookmarkStart w:id="119" w:name="_Toc246996181"/>
      <w:bookmarkStart w:id="120" w:name="_Toc144974504"/>
      <w:r>
        <w:rPr>
          <w:rFonts w:hint="eastAsia" w:ascii="宋体" w:hAnsi="宋体"/>
          <w:color w:val="auto"/>
          <w:highlight w:val="none"/>
        </w:rPr>
        <w:t>1.6 保密</w:t>
      </w:r>
      <w:bookmarkEnd w:id="113"/>
      <w:bookmarkEnd w:id="114"/>
      <w:bookmarkEnd w:id="115"/>
      <w:bookmarkEnd w:id="116"/>
      <w:bookmarkEnd w:id="117"/>
      <w:bookmarkEnd w:id="118"/>
      <w:bookmarkEnd w:id="119"/>
      <w:bookmarkEnd w:id="120"/>
    </w:p>
    <w:p w14:paraId="7698C9B8">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2BD22CC0">
      <w:pPr>
        <w:pStyle w:val="10"/>
        <w:rPr>
          <w:rFonts w:ascii="宋体" w:hAnsi="宋体"/>
          <w:color w:val="auto"/>
          <w:highlight w:val="none"/>
        </w:rPr>
      </w:pPr>
      <w:bookmarkStart w:id="121" w:name="_Toc144974505"/>
      <w:bookmarkStart w:id="122" w:name="_Toc338840194"/>
      <w:bookmarkStart w:id="123" w:name="_Toc179632554"/>
      <w:bookmarkStart w:id="124" w:name="_Toc246996182"/>
      <w:bookmarkStart w:id="125" w:name="_Toc152042313"/>
      <w:bookmarkStart w:id="126" w:name="_Toc247085696"/>
      <w:bookmarkStart w:id="127" w:name="_Toc152045537"/>
      <w:bookmarkStart w:id="128" w:name="_Toc246996925"/>
      <w:r>
        <w:rPr>
          <w:rFonts w:hint="eastAsia" w:ascii="宋体" w:hAnsi="宋体"/>
          <w:color w:val="auto"/>
          <w:highlight w:val="none"/>
        </w:rPr>
        <w:t>1.7 语言</w:t>
      </w:r>
      <w:bookmarkEnd w:id="121"/>
      <w:r>
        <w:rPr>
          <w:rFonts w:hint="eastAsia" w:ascii="宋体" w:hAnsi="宋体"/>
          <w:color w:val="auto"/>
          <w:highlight w:val="none"/>
        </w:rPr>
        <w:t>文字</w:t>
      </w:r>
      <w:bookmarkEnd w:id="122"/>
      <w:bookmarkEnd w:id="123"/>
      <w:bookmarkEnd w:id="124"/>
      <w:bookmarkEnd w:id="125"/>
      <w:bookmarkEnd w:id="126"/>
      <w:bookmarkEnd w:id="127"/>
      <w:bookmarkEnd w:id="128"/>
    </w:p>
    <w:p w14:paraId="08048149">
      <w:pPr>
        <w:spacing w:line="400" w:lineRule="exact"/>
        <w:ind w:firstLine="420" w:firstLineChars="200"/>
        <w:rPr>
          <w:rFonts w:ascii="宋体" w:hAnsi="宋体"/>
          <w:color w:val="auto"/>
          <w:highlight w:val="none"/>
        </w:rPr>
      </w:pPr>
      <w:bookmarkStart w:id="129" w:name="_Toc246996183"/>
      <w:bookmarkStart w:id="130" w:name="_Toc247085697"/>
      <w:bookmarkStart w:id="131" w:name="_Toc179632555"/>
      <w:bookmarkStart w:id="132" w:name="_Toc144974506"/>
      <w:bookmarkStart w:id="133" w:name="_Toc152042314"/>
      <w:bookmarkStart w:id="134" w:name="_Toc246996926"/>
      <w:bookmarkStart w:id="135" w:name="_Toc152045538"/>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5A924BAE">
      <w:pPr>
        <w:pStyle w:val="10"/>
        <w:rPr>
          <w:rFonts w:ascii="宋体" w:hAnsi="宋体"/>
          <w:color w:val="auto"/>
          <w:highlight w:val="none"/>
        </w:rPr>
      </w:pPr>
      <w:bookmarkStart w:id="136" w:name="_Toc338840195"/>
      <w:r>
        <w:rPr>
          <w:rFonts w:hint="eastAsia" w:ascii="宋体" w:hAnsi="宋体"/>
          <w:color w:val="auto"/>
          <w:highlight w:val="none"/>
        </w:rPr>
        <w:t>1.8 计量单位</w:t>
      </w:r>
      <w:bookmarkEnd w:id="129"/>
      <w:bookmarkEnd w:id="130"/>
      <w:bookmarkEnd w:id="131"/>
      <w:bookmarkEnd w:id="132"/>
      <w:bookmarkEnd w:id="133"/>
      <w:bookmarkEnd w:id="134"/>
      <w:bookmarkEnd w:id="135"/>
      <w:bookmarkEnd w:id="136"/>
    </w:p>
    <w:p w14:paraId="6930CE6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2AF05CFA">
      <w:pPr>
        <w:pStyle w:val="10"/>
        <w:rPr>
          <w:rFonts w:ascii="宋体" w:hAnsi="宋体"/>
          <w:color w:val="auto"/>
          <w:highlight w:val="none"/>
        </w:rPr>
      </w:pPr>
      <w:bookmarkStart w:id="137" w:name="_Toc152042315"/>
      <w:bookmarkStart w:id="138" w:name="_Toc247513962"/>
      <w:bookmarkStart w:id="139" w:name="_Toc247592876"/>
      <w:bookmarkStart w:id="140" w:name="_Toc338840196"/>
      <w:bookmarkStart w:id="141" w:name="_Toc247527563"/>
      <w:bookmarkStart w:id="142" w:name="_Toc144974507"/>
      <w:bookmarkStart w:id="143" w:name="_Toc152045539"/>
      <w:r>
        <w:rPr>
          <w:rFonts w:hint="eastAsia" w:ascii="宋体" w:hAnsi="宋体"/>
          <w:color w:val="auto"/>
          <w:highlight w:val="none"/>
        </w:rPr>
        <w:t>1.9 踏勘现场</w:t>
      </w:r>
      <w:bookmarkEnd w:id="137"/>
      <w:bookmarkEnd w:id="138"/>
      <w:bookmarkEnd w:id="139"/>
      <w:bookmarkEnd w:id="140"/>
      <w:bookmarkEnd w:id="141"/>
      <w:bookmarkEnd w:id="142"/>
      <w:bookmarkEnd w:id="143"/>
    </w:p>
    <w:p w14:paraId="3E289297">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7C6CDCDD">
      <w:pPr>
        <w:spacing w:line="400" w:lineRule="exact"/>
        <w:ind w:firstLine="420" w:firstLineChars="200"/>
        <w:rPr>
          <w:rFonts w:ascii="宋体" w:hAnsi="宋体"/>
          <w:color w:val="auto"/>
          <w:highlight w:val="none"/>
        </w:rPr>
      </w:pPr>
      <w:r>
        <w:rPr>
          <w:rFonts w:hint="eastAsia" w:ascii="宋体" w:hAnsi="宋体"/>
          <w:color w:val="auto"/>
          <w:highlight w:val="none"/>
        </w:rPr>
        <w:t>1.9.2 供应商踏勘现场发生的费用自理。</w:t>
      </w:r>
    </w:p>
    <w:p w14:paraId="39936B1D">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754DF497">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7FD3DC8F">
      <w:pPr>
        <w:pStyle w:val="10"/>
        <w:rPr>
          <w:rFonts w:ascii="宋体" w:hAnsi="宋体"/>
          <w:color w:val="auto"/>
          <w:highlight w:val="none"/>
        </w:rPr>
      </w:pPr>
      <w:bookmarkStart w:id="144" w:name="_Toc338840197"/>
      <w:bookmarkStart w:id="145" w:name="_Toc152045540"/>
      <w:bookmarkStart w:id="146" w:name="_Toc152042316"/>
      <w:bookmarkStart w:id="147" w:name="_Toc144974508"/>
      <w:bookmarkStart w:id="148" w:name="_Toc247513963"/>
      <w:bookmarkStart w:id="149" w:name="_Toc247527564"/>
      <w:bookmarkStart w:id="150" w:name="_Toc247592877"/>
      <w:r>
        <w:rPr>
          <w:rFonts w:hint="eastAsia" w:ascii="宋体" w:hAnsi="宋体"/>
          <w:color w:val="auto"/>
          <w:highlight w:val="none"/>
        </w:rPr>
        <w:t>1.10 投标预备会</w:t>
      </w:r>
      <w:bookmarkEnd w:id="144"/>
      <w:bookmarkEnd w:id="145"/>
      <w:bookmarkEnd w:id="146"/>
      <w:bookmarkEnd w:id="147"/>
      <w:bookmarkEnd w:id="148"/>
      <w:bookmarkEnd w:id="149"/>
      <w:bookmarkEnd w:id="150"/>
    </w:p>
    <w:p w14:paraId="56EA74CA">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3448E050">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5C14A2EE">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7E8E374B">
      <w:pPr>
        <w:pStyle w:val="10"/>
        <w:rPr>
          <w:rFonts w:ascii="宋体" w:hAnsi="宋体"/>
          <w:color w:val="auto"/>
          <w:highlight w:val="none"/>
        </w:rPr>
      </w:pPr>
      <w:bookmarkStart w:id="151" w:name="_Toc338840198"/>
      <w:r>
        <w:rPr>
          <w:rFonts w:hint="eastAsia" w:ascii="宋体" w:hAnsi="宋体"/>
          <w:color w:val="auto"/>
          <w:highlight w:val="none"/>
        </w:rPr>
        <w:t>1.11 响应和偏差</w:t>
      </w:r>
      <w:bookmarkEnd w:id="151"/>
    </w:p>
    <w:p w14:paraId="53063189">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EF93E8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5CE40E3F">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737F4BDB">
      <w:pPr>
        <w:pStyle w:val="9"/>
        <w:rPr>
          <w:rFonts w:ascii="宋体" w:hAnsi="宋体" w:eastAsia="宋体"/>
          <w:color w:val="auto"/>
          <w:highlight w:val="none"/>
        </w:rPr>
      </w:pPr>
      <w:bookmarkStart w:id="152" w:name="_Toc246996930"/>
      <w:bookmarkStart w:id="153" w:name="_Toc346523403"/>
      <w:bookmarkStart w:id="154" w:name="_Toc9338"/>
      <w:bookmarkStart w:id="155" w:name="_Toc346523466"/>
      <w:bookmarkStart w:id="156" w:name="_Toc152045542"/>
      <w:bookmarkStart w:id="157" w:name="_Toc338840199"/>
      <w:bookmarkStart w:id="158" w:name="_Toc25958"/>
      <w:bookmarkStart w:id="159" w:name="_Toc152042318"/>
      <w:bookmarkStart w:id="160" w:name="_Toc22322"/>
      <w:bookmarkStart w:id="161" w:name="_Toc338840482"/>
      <w:bookmarkStart w:id="162" w:name="_Toc338840443"/>
      <w:bookmarkStart w:id="163" w:name="_Toc494526402"/>
      <w:bookmarkStart w:id="164" w:name="_Toc247085701"/>
      <w:bookmarkStart w:id="165" w:name="_Toc494093430"/>
      <w:bookmarkStart w:id="166" w:name="_Toc246996187"/>
      <w:bookmarkStart w:id="167" w:name="_Toc179632560"/>
      <w:bookmarkStart w:id="168" w:name="_Toc28300"/>
      <w:bookmarkStart w:id="169" w:name="_Toc144974510"/>
      <w:r>
        <w:rPr>
          <w:rFonts w:hint="eastAsia" w:ascii="宋体" w:hAnsi="宋体" w:eastAsia="宋体"/>
          <w:color w:val="auto"/>
          <w:highlight w:val="none"/>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E19367A">
      <w:pPr>
        <w:pStyle w:val="10"/>
        <w:rPr>
          <w:rFonts w:ascii="宋体" w:hAnsi="宋体"/>
          <w:color w:val="auto"/>
          <w:highlight w:val="none"/>
        </w:rPr>
      </w:pPr>
      <w:bookmarkStart w:id="170" w:name="_Toc144974511"/>
      <w:bookmarkStart w:id="171" w:name="_Toc152042319"/>
      <w:bookmarkStart w:id="172" w:name="_Toc179632561"/>
      <w:bookmarkStart w:id="173" w:name="_Toc246996188"/>
      <w:bookmarkStart w:id="174" w:name="_Toc338840200"/>
      <w:bookmarkStart w:id="175" w:name="_Toc246996931"/>
      <w:bookmarkStart w:id="176" w:name="_Toc152045543"/>
      <w:bookmarkStart w:id="177" w:name="_Toc247085702"/>
      <w:r>
        <w:rPr>
          <w:rFonts w:hint="eastAsia" w:ascii="宋体" w:hAnsi="宋体"/>
          <w:color w:val="auto"/>
          <w:highlight w:val="none"/>
        </w:rPr>
        <w:t>2.1 招标文件的组成</w:t>
      </w:r>
      <w:bookmarkEnd w:id="170"/>
      <w:bookmarkEnd w:id="171"/>
      <w:bookmarkEnd w:id="172"/>
      <w:bookmarkEnd w:id="173"/>
      <w:bookmarkEnd w:id="174"/>
      <w:bookmarkEnd w:id="175"/>
      <w:bookmarkEnd w:id="176"/>
      <w:bookmarkEnd w:id="177"/>
    </w:p>
    <w:p w14:paraId="7110064C">
      <w:pPr>
        <w:spacing w:line="400" w:lineRule="exact"/>
        <w:rPr>
          <w:rFonts w:ascii="宋体" w:hAnsi="宋体"/>
          <w:color w:val="auto"/>
          <w:highlight w:val="none"/>
        </w:rPr>
      </w:pPr>
      <w:r>
        <w:rPr>
          <w:rFonts w:hint="eastAsia" w:ascii="宋体" w:hAnsi="宋体"/>
          <w:color w:val="auto"/>
          <w:highlight w:val="none"/>
        </w:rPr>
        <w:t>　　2.1.1 本招标文件包括：</w:t>
      </w:r>
    </w:p>
    <w:p w14:paraId="4F7697A3">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2B0C2422">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70573DF7">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6B0DFEE4">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0713378D">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55F47707">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346AADC9">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7C71FAA6">
      <w:pPr>
        <w:spacing w:line="400" w:lineRule="exact"/>
        <w:ind w:firstLine="420" w:firstLineChars="200"/>
        <w:rPr>
          <w:rFonts w:ascii="宋体" w:hAnsi="宋体"/>
          <w:color w:val="auto"/>
          <w:highlight w:val="none"/>
        </w:rPr>
      </w:pPr>
      <w:r>
        <w:rPr>
          <w:rFonts w:hint="eastAsia" w:ascii="宋体" w:hAnsi="宋体"/>
          <w:color w:val="auto"/>
          <w:highlight w:val="none"/>
        </w:rPr>
        <w:t>2.1.2 根据本章第1.10款、第2.2款和第2.3款对招标文件所作的澄清、修改，构成招标文件的组成部分。</w:t>
      </w:r>
    </w:p>
    <w:p w14:paraId="38C5EAFB">
      <w:pPr>
        <w:pStyle w:val="10"/>
        <w:rPr>
          <w:rFonts w:ascii="宋体" w:hAnsi="宋体"/>
          <w:color w:val="auto"/>
          <w:highlight w:val="none"/>
        </w:rPr>
      </w:pPr>
      <w:bookmarkStart w:id="178" w:name="_Toc246996932"/>
      <w:bookmarkStart w:id="179" w:name="_Toc179632562"/>
      <w:bookmarkStart w:id="180" w:name="_Toc338840201"/>
      <w:bookmarkStart w:id="181" w:name="_Toc246996189"/>
      <w:bookmarkStart w:id="182" w:name="_Toc144974512"/>
      <w:bookmarkStart w:id="183" w:name="_Toc152042320"/>
      <w:bookmarkStart w:id="184" w:name="_Toc152045544"/>
      <w:bookmarkStart w:id="185" w:name="_Toc247085703"/>
      <w:r>
        <w:rPr>
          <w:rFonts w:hint="eastAsia" w:ascii="宋体" w:hAnsi="宋体"/>
          <w:color w:val="auto"/>
          <w:highlight w:val="none"/>
        </w:rPr>
        <w:t>2.2 招标文件的澄清</w:t>
      </w:r>
      <w:bookmarkEnd w:id="178"/>
      <w:bookmarkEnd w:id="179"/>
      <w:bookmarkEnd w:id="180"/>
      <w:bookmarkEnd w:id="181"/>
      <w:bookmarkEnd w:id="182"/>
      <w:bookmarkEnd w:id="183"/>
      <w:bookmarkEnd w:id="184"/>
      <w:bookmarkEnd w:id="185"/>
      <w:r>
        <w:rPr>
          <w:rFonts w:hint="eastAsia" w:ascii="宋体" w:hAnsi="宋体"/>
          <w:color w:val="auto"/>
          <w:highlight w:val="none"/>
        </w:rPr>
        <w:t xml:space="preserve">和修改 </w:t>
      </w:r>
    </w:p>
    <w:p w14:paraId="2FFBC276">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02189C7">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76011067">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1D369979">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006656AD">
      <w:pPr>
        <w:pStyle w:val="9"/>
        <w:rPr>
          <w:rFonts w:ascii="宋体" w:hAnsi="宋体" w:eastAsia="宋体"/>
          <w:color w:val="auto"/>
          <w:highlight w:val="none"/>
        </w:rPr>
      </w:pPr>
      <w:bookmarkStart w:id="186" w:name="_Toc152045546"/>
      <w:bookmarkStart w:id="187" w:name="_Toc8262"/>
      <w:bookmarkStart w:id="188" w:name="_Toc179632564"/>
      <w:bookmarkStart w:id="189" w:name="_Toc144974514"/>
      <w:bookmarkStart w:id="190" w:name="_Toc494526403"/>
      <w:bookmarkStart w:id="191" w:name="_Toc338840444"/>
      <w:bookmarkStart w:id="192" w:name="_Toc346523467"/>
      <w:bookmarkStart w:id="193" w:name="_Toc14285"/>
      <w:bookmarkStart w:id="194" w:name="_Toc494093431"/>
      <w:bookmarkStart w:id="195" w:name="_Toc246996191"/>
      <w:bookmarkStart w:id="196" w:name="_Toc346523404"/>
      <w:bookmarkStart w:id="197" w:name="_Toc338840483"/>
      <w:bookmarkStart w:id="198" w:name="_Toc9061"/>
      <w:bookmarkStart w:id="199" w:name="_Toc246996934"/>
      <w:bookmarkStart w:id="200" w:name="_Toc247085705"/>
      <w:bookmarkStart w:id="201" w:name="_Toc338840203"/>
      <w:bookmarkStart w:id="202" w:name="_Toc10395"/>
      <w:bookmarkStart w:id="203" w:name="_Toc152042322"/>
      <w:r>
        <w:rPr>
          <w:rFonts w:hint="eastAsia" w:ascii="宋体" w:hAnsi="宋体" w:eastAsia="宋体"/>
          <w:color w:val="auto"/>
          <w:highlight w:val="none"/>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45F57A8A">
      <w:pPr>
        <w:pStyle w:val="10"/>
        <w:rPr>
          <w:rFonts w:ascii="宋体" w:hAnsi="宋体"/>
          <w:color w:val="auto"/>
          <w:highlight w:val="none"/>
        </w:rPr>
      </w:pPr>
      <w:bookmarkStart w:id="204" w:name="_Toc247085706"/>
      <w:bookmarkStart w:id="205" w:name="_Toc246996935"/>
      <w:bookmarkStart w:id="206" w:name="_Toc152042323"/>
      <w:bookmarkStart w:id="207" w:name="_Toc338840204"/>
      <w:bookmarkStart w:id="208" w:name="_Toc152045547"/>
      <w:bookmarkStart w:id="209" w:name="_Toc144974515"/>
      <w:bookmarkStart w:id="210" w:name="_Toc246996192"/>
      <w:bookmarkStart w:id="211" w:name="_Toc179632565"/>
      <w:r>
        <w:rPr>
          <w:rFonts w:hint="eastAsia" w:ascii="宋体" w:hAnsi="宋体"/>
          <w:color w:val="auto"/>
          <w:highlight w:val="none"/>
        </w:rPr>
        <w:t>3.1 投标文件的组成</w:t>
      </w:r>
      <w:bookmarkEnd w:id="204"/>
      <w:bookmarkEnd w:id="205"/>
      <w:bookmarkEnd w:id="206"/>
      <w:bookmarkEnd w:id="207"/>
      <w:bookmarkEnd w:id="208"/>
      <w:bookmarkEnd w:id="209"/>
      <w:bookmarkEnd w:id="210"/>
      <w:bookmarkEnd w:id="211"/>
    </w:p>
    <w:p w14:paraId="771167DD">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05199027">
      <w:pPr>
        <w:pStyle w:val="10"/>
        <w:rPr>
          <w:rFonts w:ascii="宋体" w:hAnsi="宋体"/>
          <w:color w:val="auto"/>
          <w:sz w:val="21"/>
          <w:szCs w:val="21"/>
          <w:highlight w:val="none"/>
        </w:rPr>
      </w:pPr>
      <w:bookmarkStart w:id="212" w:name="_Toc246996936"/>
      <w:bookmarkStart w:id="213" w:name="_Toc247085707"/>
      <w:bookmarkStart w:id="214" w:name="_Toc144974516"/>
      <w:bookmarkStart w:id="215" w:name="_Toc179632566"/>
      <w:bookmarkStart w:id="216" w:name="_Toc152042324"/>
      <w:bookmarkStart w:id="217" w:name="_Toc152045548"/>
      <w:bookmarkStart w:id="218" w:name="_Toc246996193"/>
      <w:bookmarkStart w:id="219" w:name="_Toc338840205"/>
      <w:r>
        <w:rPr>
          <w:rFonts w:hint="eastAsia" w:ascii="宋体" w:hAnsi="宋体"/>
          <w:color w:val="auto"/>
          <w:highlight w:val="none"/>
        </w:rPr>
        <w:t>3.2 投标报价</w:t>
      </w:r>
      <w:bookmarkEnd w:id="212"/>
      <w:bookmarkEnd w:id="213"/>
      <w:bookmarkEnd w:id="214"/>
      <w:bookmarkEnd w:id="215"/>
      <w:bookmarkEnd w:id="216"/>
      <w:bookmarkEnd w:id="217"/>
      <w:bookmarkEnd w:id="218"/>
      <w:bookmarkEnd w:id="219"/>
    </w:p>
    <w:p w14:paraId="0EBD634D">
      <w:pPr>
        <w:spacing w:line="400" w:lineRule="exact"/>
        <w:ind w:firstLine="420" w:firstLineChars="200"/>
        <w:rPr>
          <w:rFonts w:ascii="宋体" w:hAnsi="宋体"/>
          <w:color w:val="auto"/>
          <w:highlight w:val="none"/>
        </w:rPr>
      </w:pPr>
      <w:r>
        <w:rPr>
          <w:rFonts w:hint="eastAsia" w:ascii="宋体" w:hAnsi="宋体"/>
          <w:color w:val="auto"/>
          <w:highlight w:val="none"/>
        </w:rPr>
        <w:t>3.2.1 报价范围：见供应商须知前附表。</w:t>
      </w:r>
    </w:p>
    <w:p w14:paraId="05589C78">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0" w:name="_Toc152042325"/>
      <w:bookmarkStart w:id="221" w:name="_Toc179632567"/>
      <w:bookmarkStart w:id="222" w:name="_Toc144974517"/>
      <w:bookmarkStart w:id="223" w:name="_Toc152045549"/>
      <w:r>
        <w:rPr>
          <w:rFonts w:hint="eastAsia" w:ascii="宋体" w:hAnsi="宋体"/>
          <w:color w:val="auto"/>
          <w:kern w:val="0"/>
          <w:szCs w:val="21"/>
          <w:highlight w:val="none"/>
        </w:rPr>
        <w:t>。</w:t>
      </w:r>
    </w:p>
    <w:p w14:paraId="698AA381">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2D979DB8">
      <w:pPr>
        <w:spacing w:line="400" w:lineRule="exact"/>
        <w:ind w:firstLine="420" w:firstLineChars="200"/>
        <w:rPr>
          <w:rFonts w:ascii="宋体" w:hAnsi="宋体"/>
          <w:color w:val="auto"/>
          <w:highlight w:val="none"/>
        </w:rPr>
      </w:pPr>
      <w:r>
        <w:rPr>
          <w:rFonts w:hint="eastAsia" w:ascii="宋体" w:hAnsi="宋体"/>
          <w:color w:val="auto"/>
          <w:highlight w:val="none"/>
        </w:rPr>
        <w:t>3.2.4 报价币种：见供应商须知前附表。</w:t>
      </w:r>
    </w:p>
    <w:p w14:paraId="49118498">
      <w:pPr>
        <w:pStyle w:val="10"/>
        <w:rPr>
          <w:rFonts w:ascii="宋体" w:hAnsi="宋体"/>
          <w:color w:val="auto"/>
          <w:highlight w:val="none"/>
        </w:rPr>
      </w:pPr>
      <w:bookmarkStart w:id="224" w:name="_Toc338840206"/>
      <w:bookmarkStart w:id="225" w:name="_Toc246996937"/>
      <w:bookmarkStart w:id="226" w:name="_Toc246996194"/>
      <w:bookmarkStart w:id="227" w:name="_Toc247085708"/>
      <w:r>
        <w:rPr>
          <w:rFonts w:hint="eastAsia" w:ascii="宋体" w:hAnsi="宋体"/>
          <w:color w:val="auto"/>
          <w:highlight w:val="none"/>
        </w:rPr>
        <w:t>3.3 投标有效期</w:t>
      </w:r>
      <w:bookmarkEnd w:id="220"/>
      <w:bookmarkEnd w:id="221"/>
      <w:bookmarkEnd w:id="222"/>
      <w:bookmarkEnd w:id="223"/>
      <w:bookmarkEnd w:id="224"/>
      <w:bookmarkEnd w:id="225"/>
      <w:bookmarkEnd w:id="226"/>
      <w:bookmarkEnd w:id="227"/>
    </w:p>
    <w:p w14:paraId="15B260BF">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7369D4EF">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42141DB2">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2073F28C">
      <w:pPr>
        <w:pStyle w:val="10"/>
        <w:rPr>
          <w:rFonts w:ascii="宋体" w:hAnsi="宋体"/>
          <w:color w:val="auto"/>
          <w:highlight w:val="none"/>
        </w:rPr>
      </w:pPr>
      <w:bookmarkStart w:id="228" w:name="_Toc179632568"/>
      <w:bookmarkStart w:id="229" w:name="_Toc152045550"/>
      <w:bookmarkStart w:id="230" w:name="_Toc246996195"/>
      <w:bookmarkStart w:id="231" w:name="_Toc247085709"/>
      <w:bookmarkStart w:id="232" w:name="_Toc246996938"/>
      <w:bookmarkStart w:id="233" w:name="_Toc152042326"/>
      <w:bookmarkStart w:id="234" w:name="_Toc144974518"/>
      <w:bookmarkStart w:id="235" w:name="_Toc338840207"/>
      <w:r>
        <w:rPr>
          <w:rFonts w:hint="eastAsia" w:ascii="宋体" w:hAnsi="宋体"/>
          <w:color w:val="auto"/>
          <w:highlight w:val="none"/>
        </w:rPr>
        <w:t xml:space="preserve"> </w:t>
      </w:r>
      <w:bookmarkEnd w:id="228"/>
      <w:bookmarkEnd w:id="229"/>
      <w:bookmarkEnd w:id="230"/>
      <w:bookmarkEnd w:id="231"/>
      <w:bookmarkEnd w:id="232"/>
      <w:bookmarkEnd w:id="233"/>
      <w:bookmarkEnd w:id="234"/>
      <w:bookmarkEnd w:id="235"/>
      <w:r>
        <w:rPr>
          <w:rFonts w:hint="eastAsia" w:ascii="宋体" w:hAnsi="宋体"/>
          <w:color w:val="auto"/>
          <w:highlight w:val="none"/>
        </w:rPr>
        <w:t>3.4 投标保证金</w:t>
      </w:r>
    </w:p>
    <w:p w14:paraId="2770D68E">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36B2AF94">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1DE109D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3A6B23B5">
      <w:pPr>
        <w:spacing w:line="400" w:lineRule="exact"/>
        <w:ind w:firstLine="420" w:firstLineChars="200"/>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D92D05">
      <w:pPr>
        <w:spacing w:line="400" w:lineRule="exact"/>
        <w:ind w:firstLine="718" w:firstLineChars="342"/>
        <w:rPr>
          <w:rFonts w:ascii="宋体" w:hAnsi="宋体"/>
          <w:color w:val="auto"/>
          <w:highlight w:val="none"/>
        </w:rPr>
      </w:pPr>
      <w:r>
        <w:rPr>
          <w:rFonts w:hint="eastAsia" w:ascii="宋体" w:hAnsi="宋体"/>
          <w:color w:val="auto"/>
          <w:highlight w:val="none"/>
        </w:rPr>
        <w:t>（1）供应商在规定的投标有效期内撤销或修改其投标文件；</w:t>
      </w:r>
    </w:p>
    <w:p w14:paraId="7C2CAD6F">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6A09C1A">
      <w:pPr>
        <w:spacing w:line="400" w:lineRule="exact"/>
        <w:ind w:firstLine="718" w:firstLineChars="342"/>
        <w:rPr>
          <w:rFonts w:ascii="宋体" w:hAnsi="宋体"/>
          <w:color w:val="auto"/>
          <w:highlight w:val="none"/>
        </w:rPr>
      </w:pPr>
      <w:r>
        <w:rPr>
          <w:rFonts w:hint="eastAsia" w:ascii="宋体" w:hAnsi="宋体"/>
          <w:color w:val="auto"/>
          <w:highlight w:val="none"/>
        </w:rPr>
        <w:t>（3）提供虚假资料或存在违法违规行为的。</w:t>
      </w:r>
    </w:p>
    <w:p w14:paraId="05F9F306">
      <w:pPr>
        <w:pStyle w:val="10"/>
        <w:rPr>
          <w:rFonts w:ascii="宋体" w:hAnsi="宋体"/>
          <w:color w:val="auto"/>
          <w:highlight w:val="none"/>
        </w:rPr>
      </w:pPr>
      <w:bookmarkStart w:id="236" w:name="_Toc152045552"/>
      <w:bookmarkStart w:id="237" w:name="_Toc144974520"/>
      <w:bookmarkStart w:id="238" w:name="_Toc338840208"/>
      <w:bookmarkStart w:id="239" w:name="_Toc179632570"/>
      <w:bookmarkStart w:id="240" w:name="_Toc247085710"/>
      <w:bookmarkStart w:id="241" w:name="_Toc246996939"/>
      <w:bookmarkStart w:id="242" w:name="_Toc246996196"/>
      <w:bookmarkStart w:id="243" w:name="_Toc152042328"/>
      <w:r>
        <w:rPr>
          <w:rFonts w:hint="eastAsia" w:ascii="宋体" w:hAnsi="宋体"/>
          <w:color w:val="auto"/>
          <w:highlight w:val="none"/>
        </w:rPr>
        <w:t>3.5 资格审查资料</w:t>
      </w:r>
      <w:bookmarkEnd w:id="236"/>
      <w:bookmarkEnd w:id="237"/>
      <w:bookmarkEnd w:id="238"/>
      <w:bookmarkEnd w:id="239"/>
      <w:bookmarkEnd w:id="240"/>
      <w:bookmarkEnd w:id="241"/>
      <w:bookmarkEnd w:id="242"/>
      <w:bookmarkEnd w:id="243"/>
    </w:p>
    <w:p w14:paraId="2BD01B7F">
      <w:pPr>
        <w:spacing w:line="400" w:lineRule="exact"/>
        <w:ind w:firstLine="420" w:firstLineChars="200"/>
        <w:rPr>
          <w:rFonts w:ascii="宋体" w:hAnsi="宋体"/>
          <w:color w:val="auto"/>
          <w:highlight w:val="none"/>
        </w:rPr>
      </w:pPr>
      <w:r>
        <w:rPr>
          <w:rFonts w:hint="eastAsia" w:ascii="宋体" w:hAnsi="宋体"/>
          <w:color w:val="auto"/>
          <w:highlight w:val="none"/>
        </w:rPr>
        <w:t>3.5.1 资格要求：见供应商须知前附表。</w:t>
      </w:r>
    </w:p>
    <w:p w14:paraId="4878FF5E">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45BE37A2">
      <w:pPr>
        <w:pStyle w:val="10"/>
        <w:rPr>
          <w:rFonts w:ascii="宋体" w:hAnsi="宋体"/>
          <w:color w:val="auto"/>
          <w:highlight w:val="none"/>
        </w:rPr>
      </w:pPr>
      <w:bookmarkStart w:id="244" w:name="_Toc338840209"/>
      <w:bookmarkStart w:id="245" w:name="_Toc179632571"/>
      <w:bookmarkStart w:id="246" w:name="_Toc246996940"/>
      <w:bookmarkStart w:id="247" w:name="_Toc152045553"/>
      <w:bookmarkStart w:id="248" w:name="_Toc246996197"/>
      <w:bookmarkStart w:id="249" w:name="_Toc247085711"/>
      <w:bookmarkStart w:id="250" w:name="_Toc144974521"/>
      <w:bookmarkStart w:id="251" w:name="_Toc152042329"/>
      <w:r>
        <w:rPr>
          <w:rFonts w:hint="eastAsia" w:ascii="宋体" w:hAnsi="宋体"/>
          <w:color w:val="auto"/>
          <w:highlight w:val="none"/>
        </w:rPr>
        <w:t>3.6投标文件的编制</w:t>
      </w:r>
      <w:bookmarkEnd w:id="244"/>
    </w:p>
    <w:p w14:paraId="78DDB7E0">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29605AE4">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19B764A3">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，按招标文件要求在相应位置加盖电子印章。签字或盖章的具体要求见供应商须知前附表。</w:t>
      </w:r>
    </w:p>
    <w:bookmarkEnd w:id="245"/>
    <w:bookmarkEnd w:id="246"/>
    <w:bookmarkEnd w:id="247"/>
    <w:bookmarkEnd w:id="248"/>
    <w:bookmarkEnd w:id="249"/>
    <w:bookmarkEnd w:id="250"/>
    <w:bookmarkEnd w:id="251"/>
    <w:p w14:paraId="155A30B5">
      <w:pPr>
        <w:pStyle w:val="9"/>
        <w:rPr>
          <w:rFonts w:ascii="宋体" w:hAnsi="宋体" w:eastAsia="宋体"/>
          <w:color w:val="auto"/>
          <w:highlight w:val="none"/>
        </w:rPr>
      </w:pPr>
      <w:bookmarkStart w:id="252" w:name="_Toc247085713"/>
      <w:bookmarkStart w:id="253" w:name="_Toc338840210"/>
      <w:bookmarkStart w:id="254" w:name="_Toc338840445"/>
      <w:bookmarkStart w:id="255" w:name="_Toc8915"/>
      <w:bookmarkStart w:id="256" w:name="_Toc494093432"/>
      <w:bookmarkStart w:id="257" w:name="_Toc346523468"/>
      <w:bookmarkStart w:id="258" w:name="_Toc144974523"/>
      <w:bookmarkStart w:id="259" w:name="_Toc246996942"/>
      <w:bookmarkStart w:id="260" w:name="_Toc152045555"/>
      <w:bookmarkStart w:id="261" w:name="_Toc2826"/>
      <w:bookmarkStart w:id="262" w:name="_Toc494526404"/>
      <w:bookmarkStart w:id="263" w:name="_Toc14743"/>
      <w:bookmarkStart w:id="264" w:name="_Toc338840484"/>
      <w:bookmarkStart w:id="265" w:name="_Toc246996199"/>
      <w:bookmarkStart w:id="266" w:name="_Toc346523405"/>
      <w:bookmarkStart w:id="267" w:name="_Toc26446"/>
      <w:bookmarkStart w:id="268" w:name="_Toc179632573"/>
      <w:bookmarkStart w:id="269" w:name="_Toc152042331"/>
      <w:r>
        <w:rPr>
          <w:rFonts w:hint="eastAsia" w:ascii="宋体" w:hAnsi="宋体" w:eastAsia="宋体"/>
          <w:color w:val="auto"/>
          <w:highlight w:val="none"/>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6AB3A15">
      <w:pPr>
        <w:pStyle w:val="10"/>
        <w:rPr>
          <w:rFonts w:ascii="宋体" w:hAnsi="宋体"/>
          <w:color w:val="auto"/>
          <w:highlight w:val="none"/>
        </w:rPr>
      </w:pPr>
      <w:bookmarkStart w:id="270" w:name="_Toc338840211"/>
      <w:bookmarkStart w:id="271" w:name="_Toc152042332"/>
      <w:bookmarkStart w:id="272" w:name="_Toc152045556"/>
      <w:bookmarkStart w:id="273" w:name="_Toc247085714"/>
      <w:bookmarkStart w:id="274" w:name="_Toc144974524"/>
      <w:bookmarkStart w:id="275" w:name="_Toc246996943"/>
      <w:bookmarkStart w:id="276" w:name="_Toc179632574"/>
      <w:bookmarkStart w:id="277" w:name="_Toc246996200"/>
      <w:r>
        <w:rPr>
          <w:rFonts w:hint="eastAsia" w:ascii="宋体" w:hAnsi="宋体"/>
          <w:color w:val="auto"/>
          <w:highlight w:val="none"/>
        </w:rPr>
        <w:t>4.1 投标文件的加密</w:t>
      </w:r>
      <w:bookmarkEnd w:id="270"/>
      <w:bookmarkEnd w:id="271"/>
      <w:bookmarkEnd w:id="272"/>
      <w:bookmarkEnd w:id="273"/>
      <w:bookmarkEnd w:id="274"/>
      <w:bookmarkEnd w:id="275"/>
      <w:bookmarkEnd w:id="276"/>
      <w:bookmarkEnd w:id="277"/>
    </w:p>
    <w:p w14:paraId="38F3ED8D">
      <w:pPr>
        <w:spacing w:line="400" w:lineRule="exact"/>
        <w:ind w:firstLine="420" w:firstLineChars="200"/>
        <w:rPr>
          <w:rFonts w:ascii="宋体" w:hAnsi="宋体"/>
          <w:color w:val="auto"/>
          <w:highlight w:val="none"/>
        </w:rPr>
      </w:pPr>
      <w:bookmarkStart w:id="278" w:name="_Toc246996201"/>
      <w:bookmarkStart w:id="279" w:name="_Toc246996944"/>
      <w:bookmarkStart w:id="280" w:name="_Toc152045557"/>
      <w:bookmarkStart w:id="281" w:name="_Toc179632575"/>
      <w:bookmarkStart w:id="282" w:name="_Toc152042333"/>
      <w:bookmarkStart w:id="283" w:name="_Toc247085715"/>
      <w:bookmarkStart w:id="284" w:name="_Toc14497452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767CE18E">
      <w:pPr>
        <w:pStyle w:val="10"/>
        <w:rPr>
          <w:rFonts w:ascii="宋体" w:hAnsi="宋体"/>
          <w:color w:val="auto"/>
          <w:highlight w:val="none"/>
        </w:rPr>
      </w:pPr>
      <w:bookmarkStart w:id="285" w:name="_Toc338840212"/>
      <w:r>
        <w:rPr>
          <w:rFonts w:hint="eastAsia" w:ascii="宋体" w:hAnsi="宋体"/>
          <w:color w:val="auto"/>
          <w:highlight w:val="none"/>
        </w:rPr>
        <w:t>4.2 投标文件的递交</w:t>
      </w:r>
      <w:bookmarkEnd w:id="278"/>
      <w:bookmarkEnd w:id="279"/>
      <w:bookmarkEnd w:id="280"/>
      <w:bookmarkEnd w:id="281"/>
      <w:bookmarkEnd w:id="282"/>
      <w:bookmarkEnd w:id="283"/>
      <w:bookmarkEnd w:id="284"/>
      <w:bookmarkEnd w:id="285"/>
    </w:p>
    <w:p w14:paraId="3CAD0B22">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523F1DC2">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787262A3">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49A2B543">
      <w:pPr>
        <w:pStyle w:val="10"/>
        <w:rPr>
          <w:rFonts w:ascii="宋体" w:hAnsi="宋体"/>
          <w:color w:val="auto"/>
          <w:highlight w:val="none"/>
        </w:rPr>
      </w:pPr>
      <w:bookmarkStart w:id="286" w:name="_Toc152042334"/>
      <w:bookmarkStart w:id="287" w:name="_Toc179632576"/>
      <w:bookmarkStart w:id="288" w:name="_Toc246996202"/>
      <w:bookmarkStart w:id="289" w:name="_Toc144974526"/>
      <w:bookmarkStart w:id="290" w:name="_Toc247085716"/>
      <w:bookmarkStart w:id="291" w:name="_Toc246996945"/>
      <w:bookmarkStart w:id="292" w:name="_Toc152045558"/>
      <w:bookmarkStart w:id="293" w:name="_Toc338840213"/>
      <w:r>
        <w:rPr>
          <w:rFonts w:hint="eastAsia" w:ascii="宋体" w:hAnsi="宋体"/>
          <w:color w:val="auto"/>
          <w:highlight w:val="none"/>
        </w:rPr>
        <w:t>4.3 投标文件的修改与撤回</w:t>
      </w:r>
      <w:bookmarkEnd w:id="286"/>
      <w:bookmarkEnd w:id="287"/>
      <w:bookmarkEnd w:id="288"/>
      <w:bookmarkEnd w:id="289"/>
      <w:bookmarkEnd w:id="290"/>
      <w:bookmarkEnd w:id="291"/>
      <w:bookmarkEnd w:id="292"/>
      <w:bookmarkEnd w:id="293"/>
    </w:p>
    <w:p w14:paraId="0B4F33F1">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4EFEC492">
      <w:pPr>
        <w:pStyle w:val="9"/>
        <w:rPr>
          <w:rFonts w:ascii="宋体" w:hAnsi="宋体" w:eastAsia="宋体"/>
          <w:color w:val="auto"/>
          <w:highlight w:val="none"/>
        </w:rPr>
      </w:pPr>
      <w:bookmarkStart w:id="294" w:name="_Toc346523469"/>
      <w:bookmarkStart w:id="295" w:name="_Toc144974527"/>
      <w:bookmarkStart w:id="296" w:name="_Toc19059"/>
      <w:bookmarkStart w:id="297" w:name="_Toc246996203"/>
      <w:bookmarkStart w:id="298" w:name="_Toc246996946"/>
      <w:bookmarkStart w:id="299" w:name="_Toc346523406"/>
      <w:bookmarkStart w:id="300" w:name="_Toc338840446"/>
      <w:bookmarkStart w:id="301" w:name="_Toc20438"/>
      <w:bookmarkStart w:id="302" w:name="_Toc338840214"/>
      <w:bookmarkStart w:id="303" w:name="_Toc22635"/>
      <w:bookmarkStart w:id="304" w:name="_Toc152045559"/>
      <w:bookmarkStart w:id="305" w:name="_Toc247085717"/>
      <w:bookmarkStart w:id="306" w:name="_Toc494526405"/>
      <w:bookmarkStart w:id="307" w:name="_Toc494093433"/>
      <w:bookmarkStart w:id="308" w:name="_Toc338840485"/>
      <w:bookmarkStart w:id="309" w:name="_Toc179632577"/>
      <w:bookmarkStart w:id="310" w:name="_Toc152042335"/>
      <w:bookmarkStart w:id="311" w:name="_Toc11800"/>
      <w:r>
        <w:rPr>
          <w:rFonts w:hint="eastAsia" w:ascii="宋体" w:hAnsi="宋体" w:eastAsia="宋体"/>
          <w:color w:val="auto"/>
          <w:highlight w:val="none"/>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3E155DA0">
      <w:pPr>
        <w:pStyle w:val="10"/>
        <w:rPr>
          <w:rFonts w:ascii="宋体" w:hAnsi="宋体"/>
          <w:color w:val="auto"/>
          <w:highlight w:val="none"/>
        </w:rPr>
      </w:pPr>
      <w:r>
        <w:rPr>
          <w:rFonts w:hint="eastAsia" w:ascii="宋体" w:hAnsi="宋体"/>
          <w:color w:val="auto"/>
          <w:highlight w:val="none"/>
        </w:rPr>
        <w:t>5.1 投标截止及开标时间、地点</w:t>
      </w:r>
    </w:p>
    <w:p w14:paraId="0E3B3233">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59215DC9">
      <w:pPr>
        <w:pStyle w:val="10"/>
        <w:rPr>
          <w:rFonts w:ascii="宋体" w:hAnsi="宋体"/>
          <w:color w:val="auto"/>
          <w:highlight w:val="none"/>
        </w:rPr>
      </w:pPr>
      <w:bookmarkStart w:id="312" w:name="_Toc246996948"/>
      <w:bookmarkStart w:id="313" w:name="_Toc246996205"/>
      <w:bookmarkStart w:id="314" w:name="_Toc144974529"/>
      <w:bookmarkStart w:id="315" w:name="_Toc152042337"/>
      <w:bookmarkStart w:id="316" w:name="_Toc152045561"/>
      <w:bookmarkStart w:id="317" w:name="_Toc338840216"/>
      <w:bookmarkStart w:id="318" w:name="_Toc247085719"/>
      <w:bookmarkStart w:id="319" w:name="_Toc179632579"/>
      <w:r>
        <w:rPr>
          <w:rFonts w:hint="eastAsia" w:ascii="宋体" w:hAnsi="宋体"/>
          <w:color w:val="auto"/>
          <w:highlight w:val="none"/>
        </w:rPr>
        <w:t>5.2 开标程序</w:t>
      </w:r>
      <w:bookmarkEnd w:id="312"/>
      <w:bookmarkEnd w:id="313"/>
      <w:bookmarkEnd w:id="314"/>
      <w:bookmarkEnd w:id="315"/>
      <w:bookmarkEnd w:id="316"/>
      <w:bookmarkEnd w:id="317"/>
      <w:bookmarkEnd w:id="318"/>
      <w:bookmarkEnd w:id="319"/>
    </w:p>
    <w:p w14:paraId="0B6438EB">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32D50A70">
      <w:pPr>
        <w:pStyle w:val="10"/>
        <w:rPr>
          <w:rFonts w:ascii="宋体" w:hAnsi="宋体"/>
          <w:color w:val="auto"/>
          <w:highlight w:val="none"/>
        </w:rPr>
      </w:pPr>
      <w:bookmarkStart w:id="320" w:name="_Toc338840217"/>
      <w:r>
        <w:rPr>
          <w:rFonts w:hint="eastAsia" w:ascii="宋体" w:hAnsi="宋体"/>
          <w:color w:val="auto"/>
          <w:highlight w:val="none"/>
        </w:rPr>
        <w:t>5.3 开标异议</w:t>
      </w:r>
      <w:bookmarkEnd w:id="320"/>
    </w:p>
    <w:p w14:paraId="2D84ED94">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7CF78032">
      <w:pPr>
        <w:pStyle w:val="9"/>
        <w:rPr>
          <w:rFonts w:ascii="宋体" w:hAnsi="宋体" w:eastAsia="宋体"/>
          <w:color w:val="auto"/>
          <w:highlight w:val="none"/>
        </w:rPr>
      </w:pPr>
      <w:bookmarkStart w:id="321" w:name="_Toc23925"/>
      <w:bookmarkStart w:id="322" w:name="_Toc246996949"/>
      <w:bookmarkStart w:id="323" w:name="_Toc346523470"/>
      <w:bookmarkStart w:id="324" w:name="_Toc494526406"/>
      <w:bookmarkStart w:id="325" w:name="_Toc25260"/>
      <w:bookmarkStart w:id="326" w:name="_Toc246996206"/>
      <w:bookmarkStart w:id="327" w:name="_Toc152042338"/>
      <w:bookmarkStart w:id="328" w:name="_Toc152045562"/>
      <w:bookmarkStart w:id="329" w:name="_Toc23221"/>
      <w:bookmarkStart w:id="330" w:name="_Toc179632580"/>
      <w:bookmarkStart w:id="331" w:name="_Toc338840486"/>
      <w:bookmarkStart w:id="332" w:name="_Toc247085720"/>
      <w:bookmarkStart w:id="333" w:name="_Toc338840218"/>
      <w:bookmarkStart w:id="334" w:name="_Toc338840447"/>
      <w:bookmarkStart w:id="335" w:name="_Toc15053"/>
      <w:bookmarkStart w:id="336" w:name="_Toc346523407"/>
      <w:bookmarkStart w:id="337" w:name="_Toc494093434"/>
      <w:bookmarkStart w:id="338" w:name="_Toc144974530"/>
      <w:r>
        <w:rPr>
          <w:rFonts w:hint="eastAsia" w:ascii="宋体" w:hAnsi="宋体" w:eastAsia="宋体"/>
          <w:color w:val="auto"/>
          <w:highlight w:val="none"/>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76EACE27">
      <w:pPr>
        <w:pStyle w:val="10"/>
        <w:rPr>
          <w:rFonts w:ascii="宋体" w:hAnsi="宋体"/>
          <w:color w:val="auto"/>
          <w:highlight w:val="none"/>
        </w:rPr>
      </w:pPr>
      <w:bookmarkStart w:id="339" w:name="_Toc246996207"/>
      <w:bookmarkStart w:id="340" w:name="_Toc179632581"/>
      <w:bookmarkStart w:id="341" w:name="_Toc144974531"/>
      <w:bookmarkStart w:id="342" w:name="_Toc152045563"/>
      <w:bookmarkStart w:id="343" w:name="_Toc152042339"/>
      <w:bookmarkStart w:id="344" w:name="_Toc247085721"/>
      <w:bookmarkStart w:id="345" w:name="_Toc246996950"/>
      <w:bookmarkStart w:id="346" w:name="_Toc338840219"/>
      <w:r>
        <w:rPr>
          <w:rFonts w:hint="eastAsia" w:ascii="宋体" w:hAnsi="宋体"/>
          <w:color w:val="auto"/>
          <w:highlight w:val="none"/>
        </w:rPr>
        <w:t>6.1 评标委员会</w:t>
      </w:r>
      <w:bookmarkEnd w:id="339"/>
      <w:bookmarkEnd w:id="340"/>
      <w:bookmarkEnd w:id="341"/>
      <w:bookmarkEnd w:id="342"/>
      <w:bookmarkEnd w:id="343"/>
      <w:bookmarkEnd w:id="344"/>
      <w:bookmarkEnd w:id="345"/>
      <w:bookmarkEnd w:id="346"/>
    </w:p>
    <w:p w14:paraId="5E8C4E2C">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507FC885">
      <w:pPr>
        <w:spacing w:line="400" w:lineRule="exact"/>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14:paraId="6C9813A6">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5F9E7A21">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47BB1081">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1B146BAB">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5218EBD">
      <w:pPr>
        <w:spacing w:line="400" w:lineRule="exact"/>
        <w:ind w:left="420" w:firstLine="420" w:firstLineChars="200"/>
        <w:rPr>
          <w:rFonts w:ascii="宋体" w:hAnsi="宋体"/>
          <w:color w:val="auto"/>
          <w:highlight w:val="none"/>
        </w:rPr>
      </w:pPr>
      <w:r>
        <w:rPr>
          <w:rFonts w:hint="eastAsia" w:ascii="宋体" w:hAnsi="宋体"/>
          <w:color w:val="auto"/>
          <w:highlight w:val="none"/>
        </w:rPr>
        <w:t>（5）与供应商有其他利害关系。</w:t>
      </w:r>
    </w:p>
    <w:p w14:paraId="7ED2599E">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10B3A30F">
      <w:pPr>
        <w:pStyle w:val="10"/>
        <w:rPr>
          <w:rFonts w:ascii="宋体" w:hAnsi="宋体"/>
          <w:color w:val="auto"/>
          <w:highlight w:val="none"/>
        </w:rPr>
      </w:pPr>
      <w:bookmarkStart w:id="347" w:name="_Toc247085722"/>
      <w:bookmarkStart w:id="348" w:name="_Toc144974532"/>
      <w:bookmarkStart w:id="349" w:name="_Toc152042340"/>
      <w:bookmarkStart w:id="350" w:name="_Toc246996951"/>
      <w:bookmarkStart w:id="351" w:name="_Toc152045564"/>
      <w:bookmarkStart w:id="352" w:name="_Toc179632582"/>
      <w:bookmarkStart w:id="353" w:name="_Toc338840220"/>
      <w:bookmarkStart w:id="354" w:name="_Toc246996208"/>
      <w:r>
        <w:rPr>
          <w:rFonts w:hint="eastAsia" w:ascii="宋体" w:hAnsi="宋体"/>
          <w:color w:val="auto"/>
          <w:highlight w:val="none"/>
        </w:rPr>
        <w:t>6.2 评标原则</w:t>
      </w:r>
      <w:bookmarkEnd w:id="347"/>
      <w:bookmarkEnd w:id="348"/>
      <w:bookmarkEnd w:id="349"/>
      <w:bookmarkEnd w:id="350"/>
      <w:bookmarkEnd w:id="351"/>
      <w:bookmarkEnd w:id="352"/>
      <w:bookmarkEnd w:id="353"/>
      <w:bookmarkEnd w:id="354"/>
    </w:p>
    <w:p w14:paraId="548D6098">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CE35629">
      <w:pPr>
        <w:pStyle w:val="10"/>
        <w:rPr>
          <w:rFonts w:ascii="宋体" w:hAnsi="宋体"/>
          <w:color w:val="auto"/>
          <w:highlight w:val="none"/>
        </w:rPr>
      </w:pPr>
      <w:bookmarkStart w:id="355" w:name="_Toc247085723"/>
      <w:bookmarkStart w:id="356" w:name="_Toc144974533"/>
      <w:bookmarkStart w:id="357" w:name="_Toc152042341"/>
      <w:bookmarkStart w:id="358" w:name="_Toc246996209"/>
      <w:bookmarkStart w:id="359" w:name="_Toc338840221"/>
      <w:bookmarkStart w:id="360" w:name="_Toc179632583"/>
      <w:bookmarkStart w:id="361" w:name="_Toc246996952"/>
      <w:bookmarkStart w:id="362" w:name="_Toc152045565"/>
      <w:r>
        <w:rPr>
          <w:rFonts w:hint="eastAsia" w:ascii="宋体" w:hAnsi="宋体"/>
          <w:color w:val="auto"/>
          <w:highlight w:val="none"/>
        </w:rPr>
        <w:t>6.3 评标</w:t>
      </w:r>
      <w:bookmarkEnd w:id="355"/>
      <w:bookmarkEnd w:id="356"/>
      <w:bookmarkEnd w:id="357"/>
      <w:bookmarkEnd w:id="358"/>
      <w:bookmarkEnd w:id="359"/>
      <w:bookmarkEnd w:id="360"/>
      <w:bookmarkEnd w:id="361"/>
      <w:bookmarkEnd w:id="362"/>
    </w:p>
    <w:p w14:paraId="74758FDE">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61AC47E1">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79BD74A9">
      <w:pPr>
        <w:pStyle w:val="9"/>
        <w:rPr>
          <w:rFonts w:ascii="宋体" w:hAnsi="宋体" w:eastAsia="宋体"/>
          <w:color w:val="auto"/>
          <w:highlight w:val="none"/>
        </w:rPr>
      </w:pPr>
      <w:bookmarkStart w:id="363" w:name="_Toc152042342"/>
      <w:bookmarkStart w:id="364" w:name="_Toc152045566"/>
      <w:bookmarkStart w:id="365" w:name="_Toc338840487"/>
      <w:bookmarkStart w:id="366" w:name="_Toc494093435"/>
      <w:bookmarkStart w:id="367" w:name="_Toc144974534"/>
      <w:bookmarkStart w:id="368" w:name="_Toc7858"/>
      <w:bookmarkStart w:id="369" w:name="_Toc346523408"/>
      <w:bookmarkStart w:id="370" w:name="_Toc247085724"/>
      <w:bookmarkStart w:id="371" w:name="_Toc3710"/>
      <w:bookmarkStart w:id="372" w:name="_Toc338840222"/>
      <w:bookmarkStart w:id="373" w:name="_Toc346523471"/>
      <w:bookmarkStart w:id="374" w:name="_Toc246996953"/>
      <w:bookmarkStart w:id="375" w:name="_Toc338840448"/>
      <w:bookmarkStart w:id="376" w:name="_Toc246996210"/>
      <w:bookmarkStart w:id="377" w:name="_Toc30344"/>
      <w:bookmarkStart w:id="378" w:name="_Toc494526407"/>
      <w:bookmarkStart w:id="379" w:name="_Toc11962"/>
      <w:bookmarkStart w:id="380" w:name="_Toc179632584"/>
      <w:r>
        <w:rPr>
          <w:rFonts w:hint="eastAsia" w:ascii="宋体" w:hAnsi="宋体" w:eastAsia="宋体"/>
          <w:color w:val="auto"/>
          <w:highlight w:val="none"/>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49263EBF">
      <w:pPr>
        <w:pStyle w:val="10"/>
        <w:rPr>
          <w:rFonts w:ascii="宋体" w:hAnsi="宋体"/>
          <w:color w:val="auto"/>
          <w:highlight w:val="none"/>
        </w:rPr>
      </w:pPr>
      <w:bookmarkStart w:id="381" w:name="_Toc179632585"/>
      <w:bookmarkStart w:id="382" w:name="_Toc144974535"/>
      <w:bookmarkStart w:id="383" w:name="_Toc246996954"/>
      <w:bookmarkStart w:id="384" w:name="_Toc152045567"/>
      <w:bookmarkStart w:id="385" w:name="_Toc338840223"/>
      <w:bookmarkStart w:id="386" w:name="_Toc247085725"/>
      <w:bookmarkStart w:id="387" w:name="_Toc246996211"/>
      <w:bookmarkStart w:id="388" w:name="_Toc152042343"/>
      <w:r>
        <w:rPr>
          <w:rFonts w:hint="eastAsia" w:ascii="宋体" w:hAnsi="宋体"/>
          <w:color w:val="auto"/>
          <w:highlight w:val="none"/>
        </w:rPr>
        <w:t>7.1 定标方式</w:t>
      </w:r>
      <w:bookmarkEnd w:id="381"/>
      <w:bookmarkEnd w:id="382"/>
      <w:bookmarkEnd w:id="383"/>
      <w:bookmarkEnd w:id="384"/>
      <w:bookmarkEnd w:id="385"/>
      <w:bookmarkEnd w:id="386"/>
      <w:bookmarkEnd w:id="387"/>
      <w:bookmarkEnd w:id="388"/>
    </w:p>
    <w:p w14:paraId="5C9A5160">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6CABA079">
      <w:pPr>
        <w:pStyle w:val="10"/>
        <w:rPr>
          <w:rFonts w:ascii="宋体" w:hAnsi="宋体"/>
          <w:color w:val="auto"/>
          <w:highlight w:val="none"/>
        </w:rPr>
      </w:pPr>
      <w:bookmarkStart w:id="389" w:name="_Toc338840224"/>
      <w:r>
        <w:rPr>
          <w:rFonts w:hint="eastAsia" w:ascii="宋体" w:hAnsi="宋体"/>
          <w:color w:val="auto"/>
          <w:highlight w:val="none"/>
        </w:rPr>
        <w:t>7.2 中标人公布</w:t>
      </w:r>
      <w:bookmarkEnd w:id="389"/>
      <w:r>
        <w:rPr>
          <w:rFonts w:hint="eastAsia" w:ascii="宋体" w:hAnsi="宋体"/>
          <w:color w:val="auto"/>
          <w:highlight w:val="none"/>
        </w:rPr>
        <w:t>媒介</w:t>
      </w:r>
    </w:p>
    <w:p w14:paraId="2B81780B">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5020F43F">
      <w:pPr>
        <w:pStyle w:val="10"/>
        <w:rPr>
          <w:rFonts w:ascii="宋体" w:hAnsi="宋体"/>
          <w:color w:val="auto"/>
          <w:highlight w:val="none"/>
        </w:rPr>
      </w:pPr>
      <w:bookmarkStart w:id="390" w:name="_Toc144974536"/>
      <w:bookmarkStart w:id="391" w:name="_Toc246996212"/>
      <w:bookmarkStart w:id="392" w:name="_Toc152042344"/>
      <w:bookmarkStart w:id="393" w:name="_Toc246996955"/>
      <w:bookmarkStart w:id="394" w:name="_Toc152045568"/>
      <w:bookmarkStart w:id="395" w:name="_Toc247085726"/>
      <w:bookmarkStart w:id="396" w:name="_Toc179632586"/>
      <w:bookmarkStart w:id="397" w:name="_Toc338840225"/>
      <w:r>
        <w:rPr>
          <w:rFonts w:hint="eastAsia" w:ascii="宋体" w:hAnsi="宋体"/>
          <w:color w:val="auto"/>
          <w:highlight w:val="none"/>
        </w:rPr>
        <w:t>7.3 中标通知</w:t>
      </w:r>
      <w:bookmarkEnd w:id="390"/>
      <w:bookmarkEnd w:id="391"/>
      <w:bookmarkEnd w:id="392"/>
      <w:bookmarkEnd w:id="393"/>
      <w:bookmarkEnd w:id="394"/>
      <w:bookmarkEnd w:id="395"/>
      <w:bookmarkEnd w:id="396"/>
      <w:bookmarkEnd w:id="397"/>
    </w:p>
    <w:p w14:paraId="5138654B">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42249E84">
      <w:pPr>
        <w:pStyle w:val="10"/>
        <w:rPr>
          <w:rFonts w:ascii="宋体" w:hAnsi="宋体"/>
          <w:color w:val="auto"/>
          <w:highlight w:val="none"/>
        </w:rPr>
      </w:pPr>
      <w:bookmarkStart w:id="398" w:name="_Toc247085727"/>
      <w:bookmarkStart w:id="399" w:name="_Toc152045569"/>
      <w:bookmarkStart w:id="400" w:name="_Toc246996213"/>
      <w:bookmarkStart w:id="401" w:name="_Toc246996956"/>
      <w:bookmarkStart w:id="402" w:name="_Toc152042345"/>
      <w:bookmarkStart w:id="403" w:name="_Toc338840226"/>
      <w:bookmarkStart w:id="404" w:name="_Toc144974537"/>
      <w:bookmarkStart w:id="405" w:name="_Toc179632587"/>
      <w:r>
        <w:rPr>
          <w:rFonts w:hint="eastAsia" w:ascii="宋体" w:hAnsi="宋体"/>
          <w:color w:val="auto"/>
          <w:highlight w:val="none"/>
        </w:rPr>
        <w:t>7.4 履约担保</w:t>
      </w:r>
      <w:bookmarkEnd w:id="398"/>
      <w:bookmarkEnd w:id="399"/>
      <w:bookmarkEnd w:id="400"/>
      <w:bookmarkEnd w:id="401"/>
      <w:bookmarkEnd w:id="402"/>
      <w:bookmarkEnd w:id="403"/>
      <w:bookmarkEnd w:id="404"/>
      <w:bookmarkEnd w:id="405"/>
    </w:p>
    <w:p w14:paraId="253F802E">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384FF128">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6DEE370A">
      <w:pPr>
        <w:pStyle w:val="10"/>
        <w:rPr>
          <w:rFonts w:ascii="宋体" w:hAnsi="宋体"/>
          <w:color w:val="auto"/>
          <w:highlight w:val="none"/>
        </w:rPr>
      </w:pPr>
      <w:bookmarkStart w:id="406" w:name="_Toc152042346"/>
      <w:bookmarkStart w:id="407" w:name="_Toc179632588"/>
      <w:bookmarkStart w:id="408" w:name="_Toc246996957"/>
      <w:bookmarkStart w:id="409" w:name="_Toc247085728"/>
      <w:bookmarkStart w:id="410" w:name="_Toc246996214"/>
      <w:bookmarkStart w:id="411" w:name="_Toc144974538"/>
      <w:bookmarkStart w:id="412" w:name="_Toc338840227"/>
      <w:bookmarkStart w:id="413" w:name="_Toc152045570"/>
      <w:r>
        <w:rPr>
          <w:rFonts w:hint="eastAsia" w:ascii="宋体" w:hAnsi="宋体"/>
          <w:color w:val="auto"/>
          <w:highlight w:val="none"/>
        </w:rPr>
        <w:t>7.5 签订合同</w:t>
      </w:r>
      <w:bookmarkEnd w:id="406"/>
      <w:bookmarkEnd w:id="407"/>
      <w:bookmarkEnd w:id="408"/>
      <w:bookmarkEnd w:id="409"/>
      <w:bookmarkEnd w:id="410"/>
      <w:bookmarkEnd w:id="411"/>
      <w:bookmarkEnd w:id="412"/>
      <w:bookmarkEnd w:id="413"/>
    </w:p>
    <w:p w14:paraId="4344B8FD">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0B9DA49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741E75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25ABCAFF">
      <w:pPr>
        <w:pStyle w:val="9"/>
        <w:rPr>
          <w:rFonts w:ascii="宋体" w:hAnsi="宋体" w:eastAsia="宋体"/>
          <w:color w:val="auto"/>
          <w:highlight w:val="none"/>
        </w:rPr>
      </w:pPr>
      <w:bookmarkStart w:id="414" w:name="_Toc494093436"/>
      <w:bookmarkStart w:id="415" w:name="_Toc338840228"/>
      <w:bookmarkStart w:id="416" w:name="_Toc346523472"/>
      <w:bookmarkStart w:id="417" w:name="_Toc346523409"/>
      <w:bookmarkStart w:id="418" w:name="_Toc21421"/>
      <w:bookmarkStart w:id="419" w:name="_Toc19232"/>
      <w:bookmarkStart w:id="420" w:name="_Toc4153"/>
      <w:bookmarkStart w:id="421" w:name="_Toc494526408"/>
      <w:bookmarkStart w:id="422" w:name="_Toc338840488"/>
      <w:bookmarkStart w:id="423" w:name="_Toc338840449"/>
      <w:bookmarkStart w:id="424" w:name="_Toc1612"/>
      <w:r>
        <w:rPr>
          <w:rFonts w:hint="eastAsia" w:ascii="宋体" w:hAnsi="宋体" w:eastAsia="宋体"/>
          <w:color w:val="auto"/>
          <w:highlight w:val="none"/>
        </w:rPr>
        <w:t>8. 纪律和监督</w:t>
      </w:r>
      <w:bookmarkEnd w:id="414"/>
      <w:bookmarkEnd w:id="415"/>
      <w:bookmarkEnd w:id="416"/>
      <w:bookmarkEnd w:id="417"/>
      <w:bookmarkEnd w:id="418"/>
      <w:bookmarkEnd w:id="419"/>
      <w:bookmarkEnd w:id="420"/>
      <w:bookmarkEnd w:id="421"/>
      <w:bookmarkEnd w:id="422"/>
      <w:bookmarkEnd w:id="423"/>
      <w:bookmarkEnd w:id="424"/>
    </w:p>
    <w:p w14:paraId="36569774">
      <w:pPr>
        <w:pStyle w:val="10"/>
        <w:rPr>
          <w:rFonts w:ascii="宋体" w:hAnsi="宋体"/>
          <w:color w:val="auto"/>
          <w:highlight w:val="none"/>
        </w:rPr>
      </w:pPr>
      <w:bookmarkStart w:id="425" w:name="_Toc246996962"/>
      <w:bookmarkStart w:id="426" w:name="_Toc179632593"/>
      <w:bookmarkStart w:id="427" w:name="_Toc144974543"/>
      <w:bookmarkStart w:id="428" w:name="_Toc152042351"/>
      <w:bookmarkStart w:id="429" w:name="_Toc296590983"/>
      <w:bookmarkStart w:id="430" w:name="_Toc246996219"/>
      <w:bookmarkStart w:id="431" w:name="_Toc152045575"/>
      <w:bookmarkStart w:id="432" w:name="_Toc247085733"/>
      <w:bookmarkStart w:id="433" w:name="_Toc338840229"/>
      <w:r>
        <w:rPr>
          <w:rFonts w:hint="eastAsia" w:ascii="宋体" w:hAnsi="宋体"/>
          <w:color w:val="auto"/>
          <w:highlight w:val="none"/>
        </w:rPr>
        <w:t>8.1 对采购人的纪律要求</w:t>
      </w:r>
      <w:bookmarkEnd w:id="425"/>
      <w:bookmarkEnd w:id="426"/>
      <w:bookmarkEnd w:id="427"/>
      <w:bookmarkEnd w:id="428"/>
      <w:bookmarkEnd w:id="429"/>
      <w:bookmarkEnd w:id="430"/>
      <w:bookmarkEnd w:id="431"/>
      <w:bookmarkEnd w:id="432"/>
      <w:bookmarkEnd w:id="433"/>
    </w:p>
    <w:p w14:paraId="156272C1">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48EA3C7">
      <w:pPr>
        <w:pStyle w:val="10"/>
        <w:rPr>
          <w:rFonts w:ascii="宋体" w:hAnsi="宋体"/>
          <w:color w:val="auto"/>
          <w:highlight w:val="none"/>
        </w:rPr>
      </w:pPr>
      <w:bookmarkStart w:id="434" w:name="_Toc246996220"/>
      <w:bookmarkStart w:id="435" w:name="_Toc152042352"/>
      <w:bookmarkStart w:id="436" w:name="_Toc247085734"/>
      <w:bookmarkStart w:id="437" w:name="_Toc179632594"/>
      <w:bookmarkStart w:id="438" w:name="_Toc152045576"/>
      <w:bookmarkStart w:id="439" w:name="_Toc246996963"/>
      <w:bookmarkStart w:id="440" w:name="_Toc338840230"/>
      <w:bookmarkStart w:id="441" w:name="_Toc144974544"/>
      <w:r>
        <w:rPr>
          <w:rFonts w:hint="eastAsia" w:ascii="宋体" w:hAnsi="宋体"/>
          <w:color w:val="auto"/>
          <w:highlight w:val="none"/>
        </w:rPr>
        <w:t>8.2 对供应商的纪律要求</w:t>
      </w:r>
      <w:bookmarkEnd w:id="434"/>
      <w:bookmarkEnd w:id="435"/>
      <w:bookmarkEnd w:id="436"/>
      <w:bookmarkEnd w:id="437"/>
      <w:bookmarkEnd w:id="438"/>
      <w:bookmarkEnd w:id="439"/>
      <w:bookmarkEnd w:id="440"/>
      <w:bookmarkEnd w:id="441"/>
    </w:p>
    <w:p w14:paraId="6B0F61A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10A5C45F">
      <w:pPr>
        <w:pStyle w:val="10"/>
        <w:rPr>
          <w:rFonts w:ascii="宋体" w:hAnsi="宋体"/>
          <w:color w:val="auto"/>
          <w:highlight w:val="none"/>
        </w:rPr>
      </w:pPr>
      <w:bookmarkStart w:id="442" w:name="_Toc152045577"/>
      <w:bookmarkStart w:id="443" w:name="_Toc247085735"/>
      <w:bookmarkStart w:id="444" w:name="_Toc144974545"/>
      <w:bookmarkStart w:id="445" w:name="_Toc338840231"/>
      <w:bookmarkStart w:id="446" w:name="_Toc179632595"/>
      <w:bookmarkStart w:id="447" w:name="_Toc246996221"/>
      <w:bookmarkStart w:id="448" w:name="_Toc246996964"/>
      <w:bookmarkStart w:id="449" w:name="_Toc152042353"/>
      <w:r>
        <w:rPr>
          <w:rFonts w:hint="eastAsia" w:ascii="宋体" w:hAnsi="宋体"/>
          <w:color w:val="auto"/>
          <w:highlight w:val="none"/>
        </w:rPr>
        <w:t>8.3 对评标委员会成员的纪律要求</w:t>
      </w:r>
      <w:bookmarkEnd w:id="442"/>
      <w:bookmarkEnd w:id="443"/>
      <w:bookmarkEnd w:id="444"/>
      <w:bookmarkEnd w:id="445"/>
      <w:bookmarkEnd w:id="446"/>
      <w:bookmarkEnd w:id="447"/>
      <w:bookmarkEnd w:id="448"/>
      <w:bookmarkEnd w:id="449"/>
    </w:p>
    <w:p w14:paraId="6136E1E1">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3D020DB6">
      <w:pPr>
        <w:pStyle w:val="10"/>
        <w:rPr>
          <w:rFonts w:ascii="宋体" w:hAnsi="宋体"/>
          <w:color w:val="auto"/>
          <w:highlight w:val="none"/>
        </w:rPr>
      </w:pPr>
      <w:bookmarkStart w:id="450" w:name="_Toc152042354"/>
      <w:bookmarkStart w:id="451" w:name="_Toc338840232"/>
      <w:bookmarkStart w:id="452" w:name="_Toc247085736"/>
      <w:bookmarkStart w:id="453" w:name="_Toc246996965"/>
      <w:bookmarkStart w:id="454" w:name="_Toc152045578"/>
      <w:bookmarkStart w:id="455" w:name="_Toc246996222"/>
      <w:bookmarkStart w:id="456" w:name="_Toc179632596"/>
      <w:bookmarkStart w:id="457" w:name="_Toc144974546"/>
      <w:r>
        <w:rPr>
          <w:rFonts w:hint="eastAsia" w:ascii="宋体" w:hAnsi="宋体"/>
          <w:color w:val="auto"/>
          <w:highlight w:val="none"/>
        </w:rPr>
        <w:t>8.4 对有关招投标工作人员的纪律要求</w:t>
      </w:r>
      <w:bookmarkEnd w:id="450"/>
      <w:bookmarkEnd w:id="451"/>
      <w:bookmarkEnd w:id="452"/>
      <w:bookmarkEnd w:id="453"/>
      <w:bookmarkEnd w:id="454"/>
      <w:bookmarkEnd w:id="455"/>
      <w:bookmarkEnd w:id="456"/>
    </w:p>
    <w:p w14:paraId="3F0B76C5">
      <w:pPr>
        <w:spacing w:line="400" w:lineRule="exact"/>
        <w:ind w:firstLine="420" w:firstLineChars="200"/>
        <w:rPr>
          <w:rFonts w:ascii="宋体" w:hAnsi="宋体"/>
          <w:color w:val="auto"/>
          <w:highlight w:val="none"/>
        </w:rPr>
      </w:pPr>
      <w:bookmarkStart w:id="458"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14:paraId="1718F0B6">
      <w:pPr>
        <w:pStyle w:val="10"/>
        <w:rPr>
          <w:rFonts w:ascii="宋体" w:hAnsi="宋体"/>
          <w:color w:val="auto"/>
          <w:highlight w:val="none"/>
        </w:rPr>
      </w:pPr>
      <w:bookmarkStart w:id="459" w:name="_Toc338840233"/>
      <w:bookmarkStart w:id="460" w:name="_Toc246996223"/>
      <w:bookmarkStart w:id="461" w:name="_Toc179632597"/>
      <w:bookmarkStart w:id="462" w:name="_Toc152045579"/>
      <w:bookmarkStart w:id="463" w:name="_Toc247085737"/>
      <w:bookmarkStart w:id="464" w:name="_Toc152042356"/>
      <w:bookmarkStart w:id="465" w:name="_Toc246996966"/>
      <w:r>
        <w:rPr>
          <w:rFonts w:hint="eastAsia" w:ascii="宋体" w:hAnsi="宋体"/>
          <w:color w:val="auto"/>
          <w:highlight w:val="none"/>
        </w:rPr>
        <w:t>8.5 质疑</w:t>
      </w:r>
      <w:bookmarkEnd w:id="459"/>
    </w:p>
    <w:p w14:paraId="19DDB5A1">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2EAE2508">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79B594C">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0EE80D13">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349EB7E">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7A30A1E2">
      <w:pPr>
        <w:pStyle w:val="10"/>
        <w:rPr>
          <w:rFonts w:ascii="宋体" w:hAnsi="宋体"/>
          <w:color w:val="auto"/>
          <w:highlight w:val="none"/>
        </w:rPr>
      </w:pPr>
      <w:bookmarkStart w:id="466" w:name="_Toc338840234"/>
      <w:r>
        <w:rPr>
          <w:rFonts w:hint="eastAsia" w:ascii="宋体" w:hAnsi="宋体"/>
          <w:color w:val="auto"/>
          <w:highlight w:val="none"/>
        </w:rPr>
        <w:t>8.6 投诉</w:t>
      </w:r>
      <w:bookmarkEnd w:id="457"/>
      <w:bookmarkEnd w:id="460"/>
      <w:bookmarkEnd w:id="461"/>
      <w:bookmarkEnd w:id="462"/>
      <w:bookmarkEnd w:id="463"/>
      <w:bookmarkEnd w:id="464"/>
      <w:bookmarkEnd w:id="465"/>
      <w:bookmarkEnd w:id="466"/>
    </w:p>
    <w:p w14:paraId="3F694108">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67" w:name="_Toc419645322"/>
    </w:p>
    <w:p w14:paraId="7E76C8DB">
      <w:pPr>
        <w:pStyle w:val="9"/>
        <w:rPr>
          <w:rFonts w:ascii="宋体" w:hAnsi="宋体" w:eastAsia="宋体"/>
          <w:color w:val="auto"/>
          <w:highlight w:val="none"/>
        </w:rPr>
      </w:pPr>
      <w:bookmarkStart w:id="468" w:name="_Toc10773"/>
      <w:bookmarkStart w:id="469" w:name="_Toc31310"/>
      <w:bookmarkStart w:id="470" w:name="_Toc17117"/>
      <w:bookmarkStart w:id="471" w:name="_Toc6099"/>
      <w:r>
        <w:rPr>
          <w:rFonts w:hint="eastAsia" w:ascii="宋体" w:hAnsi="宋体" w:eastAsia="宋体"/>
          <w:color w:val="auto"/>
          <w:highlight w:val="none"/>
        </w:rPr>
        <w:t>9. 关于中小企业、监狱企业、残疾人福利性单位投标的</w:t>
      </w:r>
      <w:bookmarkEnd w:id="467"/>
      <w:bookmarkStart w:id="472" w:name="_Toc419645323"/>
      <w:r>
        <w:rPr>
          <w:rFonts w:hint="eastAsia" w:ascii="宋体" w:hAnsi="宋体" w:eastAsia="宋体"/>
          <w:color w:val="auto"/>
          <w:highlight w:val="none"/>
        </w:rPr>
        <w:t>说明</w:t>
      </w:r>
      <w:bookmarkEnd w:id="468"/>
      <w:bookmarkEnd w:id="469"/>
      <w:bookmarkEnd w:id="470"/>
      <w:bookmarkEnd w:id="471"/>
    </w:p>
    <w:p w14:paraId="22F2CF0D">
      <w:pPr>
        <w:pStyle w:val="10"/>
        <w:rPr>
          <w:rFonts w:ascii="宋体" w:hAnsi="宋体"/>
          <w:color w:val="auto"/>
          <w:highlight w:val="none"/>
        </w:rPr>
      </w:pPr>
      <w:r>
        <w:rPr>
          <w:rFonts w:hint="eastAsia" w:ascii="宋体" w:hAnsi="宋体"/>
          <w:color w:val="auto"/>
          <w:highlight w:val="none"/>
        </w:rPr>
        <w:t xml:space="preserve">9.1 </w:t>
      </w:r>
      <w:bookmarkEnd w:id="472"/>
      <w:r>
        <w:rPr>
          <w:rFonts w:hint="eastAsia" w:ascii="宋体" w:hAnsi="宋体"/>
          <w:color w:val="auto"/>
          <w:highlight w:val="none"/>
        </w:rPr>
        <w:t>含义</w:t>
      </w:r>
    </w:p>
    <w:p w14:paraId="58BA22D7">
      <w:pPr>
        <w:spacing w:line="400" w:lineRule="exact"/>
        <w:ind w:firstLine="420" w:firstLineChars="200"/>
        <w:rPr>
          <w:rFonts w:ascii="宋体" w:hAnsi="宋体"/>
          <w:color w:val="auto"/>
          <w:highlight w:val="none"/>
        </w:rPr>
      </w:pPr>
      <w:r>
        <w:rPr>
          <w:rFonts w:hint="eastAsia" w:ascii="宋体" w:hAnsi="宋体"/>
          <w:color w:val="auto"/>
          <w:highlight w:val="none"/>
        </w:rPr>
        <w:t>9.1.1中小企业。符合国务院有关部门制定的中小企业划型标准</w:t>
      </w:r>
      <w:bookmarkStart w:id="473" w:name="_Toc419645324"/>
      <w:r>
        <w:rPr>
          <w:rFonts w:hint="eastAsia" w:ascii="宋体" w:hAnsi="宋体"/>
          <w:color w:val="auto"/>
          <w:highlight w:val="none"/>
        </w:rPr>
        <w:t>，提供本企业制造的货物、承担的工程或者服务，或者提供其他中小企业制造的货物。</w:t>
      </w:r>
    </w:p>
    <w:p w14:paraId="2C57660A">
      <w:pPr>
        <w:spacing w:line="400" w:lineRule="exact"/>
        <w:ind w:firstLine="420" w:firstLineChars="200"/>
        <w:rPr>
          <w:rFonts w:ascii="宋体" w:hAnsi="宋体"/>
          <w:color w:val="auto"/>
          <w:highlight w:val="none"/>
        </w:rPr>
      </w:pPr>
      <w:r>
        <w:rPr>
          <w:rFonts w:hint="eastAsia" w:ascii="宋体" w:hAnsi="宋体"/>
          <w:color w:val="auto"/>
          <w:highlight w:val="none"/>
        </w:rPr>
        <w:t>9.1.2监狱企业。监狱企业参加政府采购活动时，应当提供由省级以上监狱管理局、戒毒管理局（含新疆生产建设兵团）出具的属于监狱企业的证明文件，才可享受相关政策。</w:t>
      </w:r>
      <w:r>
        <w:rPr>
          <w:rFonts w:hint="eastAsia" w:ascii="宋体" w:hAnsi="宋体"/>
          <w:color w:val="auto"/>
          <w:highlight w:val="none"/>
        </w:rPr>
        <w:br w:type="textWrapping"/>
      </w:r>
      <w:r>
        <w:rPr>
          <w:rFonts w:hint="eastAsia" w:ascii="宋体" w:hAnsi="宋体"/>
          <w:color w:val="auto"/>
          <w:highlight w:val="none"/>
        </w:rPr>
        <w:t>　　在政府采购活动中监狱企业视同小型、微型企业并适用其相关规定，提供本企业制造的货物、承担的工程或服务，享受预留份额、评审中价格扣除等政府采购促进中小企业发展的政府采购政策。</w:t>
      </w:r>
    </w:p>
    <w:p w14:paraId="20C7FAC0">
      <w:pPr>
        <w:spacing w:line="400" w:lineRule="exact"/>
        <w:ind w:firstLine="420" w:firstLineChars="200"/>
        <w:rPr>
          <w:rFonts w:ascii="宋体" w:hAnsi="宋体"/>
          <w:color w:val="auto"/>
          <w:highlight w:val="none"/>
        </w:rPr>
      </w:pPr>
      <w:r>
        <w:rPr>
          <w:rFonts w:hint="eastAsia" w:ascii="宋体" w:hAnsi="宋体"/>
          <w:color w:val="auto"/>
          <w:highlight w:val="none"/>
        </w:rPr>
        <w:t>9.1.3残疾人福利性单位。</w:t>
      </w:r>
    </w:p>
    <w:p w14:paraId="687D0550">
      <w:pPr>
        <w:spacing w:line="400" w:lineRule="exact"/>
        <w:ind w:firstLine="420" w:firstLineChars="200"/>
        <w:rPr>
          <w:rFonts w:ascii="宋体" w:hAnsi="宋体"/>
          <w:color w:val="auto"/>
          <w:highlight w:val="none"/>
        </w:rPr>
      </w:pPr>
      <w:r>
        <w:rPr>
          <w:rFonts w:hint="eastAsia" w:ascii="宋体" w:hAnsi="宋体"/>
          <w:color w:val="auto"/>
          <w:highlight w:val="none"/>
        </w:rPr>
        <w:t>9.1.3.1享受政府采购支持政策的残疾人福利性单位应当同时满足以下条件：</w:t>
      </w:r>
    </w:p>
    <w:p w14:paraId="6379D02F">
      <w:pPr>
        <w:spacing w:line="400" w:lineRule="exact"/>
        <w:ind w:firstLine="420" w:firstLineChars="200"/>
        <w:rPr>
          <w:rFonts w:ascii="宋体" w:hAnsi="宋体"/>
          <w:color w:val="auto"/>
          <w:highlight w:val="none"/>
        </w:rPr>
      </w:pPr>
      <w:r>
        <w:rPr>
          <w:rFonts w:hint="eastAsia" w:ascii="宋体" w:hAnsi="宋体"/>
          <w:color w:val="auto"/>
          <w:highlight w:val="none"/>
        </w:rPr>
        <w:t>　　（一）安置的残疾人占本单位在职职工人数的比例不低于25%（含25%），并且安置的残疾人人数不少于10人（含10人）；</w:t>
      </w:r>
    </w:p>
    <w:p w14:paraId="6E35F940">
      <w:pPr>
        <w:spacing w:line="400" w:lineRule="exact"/>
        <w:ind w:firstLine="420" w:firstLineChars="200"/>
        <w:rPr>
          <w:rFonts w:ascii="宋体" w:hAnsi="宋体"/>
          <w:color w:val="auto"/>
          <w:highlight w:val="none"/>
        </w:rPr>
      </w:pPr>
      <w:r>
        <w:rPr>
          <w:rFonts w:hint="eastAsia" w:ascii="宋体" w:hAnsi="宋体"/>
          <w:color w:val="auto"/>
          <w:highlight w:val="none"/>
        </w:rPr>
        <w:t>　　（二）依法与安置的每位残疾人签订了一年以上（含一年）的劳动合同或服务协议；</w:t>
      </w:r>
    </w:p>
    <w:p w14:paraId="13869903">
      <w:pPr>
        <w:spacing w:line="400" w:lineRule="exact"/>
        <w:ind w:firstLine="420" w:firstLineChars="200"/>
        <w:rPr>
          <w:rFonts w:ascii="宋体" w:hAnsi="宋体"/>
          <w:color w:val="auto"/>
          <w:highlight w:val="none"/>
        </w:rPr>
      </w:pPr>
      <w:r>
        <w:rPr>
          <w:rFonts w:hint="eastAsia" w:ascii="宋体" w:hAnsi="宋体"/>
          <w:color w:val="auto"/>
          <w:highlight w:val="none"/>
        </w:rPr>
        <w:t>　　（三）为安置的每位残疾人按月足额缴纳了基本养老保险、基本医疗保险、失业保险、工伤保险和生育保险等社会保险费；</w:t>
      </w:r>
    </w:p>
    <w:p w14:paraId="228EC023">
      <w:pPr>
        <w:spacing w:line="400" w:lineRule="exact"/>
        <w:ind w:firstLine="420" w:firstLineChars="200"/>
        <w:rPr>
          <w:rFonts w:ascii="宋体" w:hAnsi="宋体"/>
          <w:color w:val="auto"/>
          <w:highlight w:val="none"/>
        </w:rPr>
      </w:pPr>
      <w:r>
        <w:rPr>
          <w:rFonts w:hint="eastAsia" w:ascii="宋体" w:hAnsi="宋体"/>
          <w:color w:val="auto"/>
          <w:highlight w:val="none"/>
        </w:rPr>
        <w:t>　　（四）通过银行等金融机构向安置的每位残疾人，按月支付了不低于单位所在区县适用的经省级人民政府批准的月最低工资标准的工资；</w:t>
      </w:r>
    </w:p>
    <w:p w14:paraId="3DC7102D">
      <w:pPr>
        <w:spacing w:line="400" w:lineRule="exact"/>
        <w:ind w:firstLine="420" w:firstLineChars="200"/>
        <w:rPr>
          <w:rFonts w:ascii="宋体" w:hAnsi="宋体"/>
          <w:color w:val="auto"/>
          <w:highlight w:val="none"/>
        </w:rPr>
      </w:pPr>
      <w:r>
        <w:rPr>
          <w:rFonts w:hint="eastAsia" w:ascii="宋体" w:hAnsi="宋体"/>
          <w:color w:val="auto"/>
          <w:highlight w:val="none"/>
        </w:rPr>
        <w:t>　　（五）提供本单位制造的货物、承担的工程或者服务（以下简称产品），或者提供其他残疾人福利性单位制造的货物（不包括使用非残疾人福利性单位注册商标的货物）。</w:t>
      </w:r>
    </w:p>
    <w:p w14:paraId="4360666A">
      <w:pPr>
        <w:spacing w:line="400" w:lineRule="exact"/>
        <w:ind w:firstLine="420" w:firstLineChars="200"/>
        <w:rPr>
          <w:rFonts w:ascii="宋体" w:hAnsi="宋体"/>
          <w:color w:val="auto"/>
          <w:highlight w:val="none"/>
        </w:rPr>
      </w:pPr>
      <w:r>
        <w:rPr>
          <w:rFonts w:hint="eastAsia" w:ascii="宋体" w:hAnsi="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F0DCD3D">
      <w:pPr>
        <w:spacing w:line="400" w:lineRule="exact"/>
        <w:ind w:firstLine="420" w:firstLineChars="200"/>
        <w:rPr>
          <w:rFonts w:ascii="宋体" w:hAnsi="宋体"/>
          <w:color w:val="auto"/>
          <w:highlight w:val="none"/>
        </w:rPr>
      </w:pPr>
      <w:r>
        <w:rPr>
          <w:rFonts w:hint="eastAsia" w:ascii="宋体" w:hAnsi="宋体"/>
          <w:color w:val="auto"/>
          <w:highlight w:val="none"/>
        </w:rPr>
        <w:t>9.1.3.2、符合条件的残疾人福利性单位在参加政府采购活动时，应当提供规定的《残疾人福利性单位声明函》（见附件），并对声明的真实性负责。</w:t>
      </w:r>
    </w:p>
    <w:p w14:paraId="638B63CA">
      <w:pPr>
        <w:spacing w:line="400" w:lineRule="exact"/>
        <w:ind w:firstLine="420" w:firstLineChars="200"/>
        <w:rPr>
          <w:rFonts w:ascii="宋体" w:hAnsi="宋体"/>
          <w:color w:val="auto"/>
          <w:highlight w:val="none"/>
        </w:rPr>
      </w:pPr>
      <w:r>
        <w:rPr>
          <w:rFonts w:hint="eastAsia" w:ascii="宋体" w:hAnsi="宋体"/>
          <w:color w:val="auto"/>
          <w:highlight w:val="none"/>
        </w:rPr>
        <w:t>供应商提供的《残疾人福利性单位声明函》与事实不符的，依照《政府采购法》第七十七条第一款和招标文件规定追究法律责任。</w:t>
      </w:r>
    </w:p>
    <w:p w14:paraId="0293C1FD">
      <w:pPr>
        <w:spacing w:line="400" w:lineRule="exact"/>
        <w:ind w:firstLine="420" w:firstLineChars="200"/>
        <w:rPr>
          <w:rFonts w:ascii="宋体" w:hAnsi="宋体"/>
          <w:color w:val="auto"/>
          <w:highlight w:val="none"/>
        </w:rPr>
      </w:pPr>
      <w:r>
        <w:rPr>
          <w:rFonts w:hint="eastAsia" w:ascii="宋体" w:hAnsi="宋体"/>
          <w:color w:val="auto"/>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14:paraId="6CD3A7AD">
      <w:pPr>
        <w:rPr>
          <w:rFonts w:ascii="宋体" w:hAnsi="宋体"/>
          <w:color w:val="auto"/>
          <w:highlight w:val="none"/>
        </w:rPr>
      </w:pPr>
      <w:r>
        <w:rPr>
          <w:rFonts w:hint="eastAsia" w:ascii="宋体" w:hAnsi="宋体"/>
          <w:color w:val="auto"/>
          <w:highlight w:val="none"/>
        </w:rPr>
        <w:t>　　9.1.4 中标、成交结果公告同时公告其小微企业、监狱企业、残疾人福利性单位的证明材料及相关资料，接受社会监督。</w:t>
      </w:r>
    </w:p>
    <w:p w14:paraId="4589F2FA">
      <w:pPr>
        <w:pStyle w:val="10"/>
        <w:rPr>
          <w:rFonts w:ascii="宋体" w:hAnsi="宋体"/>
          <w:color w:val="auto"/>
          <w:highlight w:val="none"/>
        </w:rPr>
      </w:pPr>
      <w:r>
        <w:rPr>
          <w:rFonts w:hint="eastAsia" w:ascii="宋体" w:hAnsi="宋体"/>
          <w:color w:val="auto"/>
          <w:highlight w:val="none"/>
        </w:rPr>
        <w:t>9.2价格扣除</w:t>
      </w:r>
    </w:p>
    <w:p w14:paraId="04AFF7B2">
      <w:pPr>
        <w:spacing w:line="400" w:lineRule="exact"/>
        <w:ind w:firstLine="420" w:firstLineChars="200"/>
        <w:rPr>
          <w:rFonts w:ascii="宋体" w:hAnsi="宋体"/>
          <w:color w:val="auto"/>
          <w:highlight w:val="none"/>
        </w:rPr>
      </w:pPr>
      <w:r>
        <w:rPr>
          <w:rFonts w:hint="eastAsia" w:ascii="宋体" w:hAnsi="宋体"/>
          <w:color w:val="auto"/>
          <w:highlight w:val="none"/>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14:paraId="58C5ED53">
      <w:pPr>
        <w:spacing w:line="400" w:lineRule="exact"/>
        <w:ind w:firstLine="420" w:firstLineChars="200"/>
        <w:rPr>
          <w:rFonts w:ascii="宋体" w:hAnsi="宋体"/>
          <w:color w:val="auto"/>
          <w:highlight w:val="none"/>
        </w:rPr>
      </w:pPr>
      <w:r>
        <w:rPr>
          <w:rFonts w:hint="eastAsia" w:ascii="宋体" w:hAnsi="宋体"/>
          <w:color w:val="auto"/>
          <w:highlight w:val="none"/>
        </w:rPr>
        <w:t>在货物采购项目中，供应商提供的货物既有中小企业制造货物，也有大型企业制造货物的，不享受本办法规定的中小企业扶持政策。</w:t>
      </w:r>
    </w:p>
    <w:p w14:paraId="39856A62">
      <w:pPr>
        <w:spacing w:line="400" w:lineRule="exact"/>
        <w:ind w:firstLine="420" w:firstLineChars="200"/>
        <w:rPr>
          <w:rFonts w:ascii="宋体" w:hAnsi="宋体"/>
          <w:color w:val="auto"/>
          <w:highlight w:val="none"/>
        </w:rPr>
      </w:pPr>
      <w:r>
        <w:rPr>
          <w:rFonts w:hint="eastAsia" w:ascii="宋体" w:hAnsi="宋体"/>
          <w:color w:val="auto"/>
          <w:highlight w:val="none"/>
        </w:rPr>
        <w:t>以联合体形式参加政府采购活动，联合体各方均为中小企业的，联合体视同中小企业。其中，联合体各方均为小微企业的，联合体视同小微企业。</w:t>
      </w:r>
    </w:p>
    <w:p w14:paraId="37195910">
      <w:pPr>
        <w:spacing w:line="400" w:lineRule="exact"/>
        <w:ind w:firstLine="420" w:firstLineChars="200"/>
        <w:rPr>
          <w:rFonts w:ascii="宋体" w:hAnsi="宋体"/>
          <w:color w:val="auto"/>
          <w:highlight w:val="none"/>
        </w:rPr>
      </w:pPr>
      <w:r>
        <w:rPr>
          <w:rFonts w:hint="eastAsia" w:ascii="宋体" w:hAnsi="宋体"/>
          <w:color w:val="auto"/>
          <w:highlight w:val="none"/>
        </w:rPr>
        <w:t>9.2.2供应商属于监狱企业并以该身份投标，按要求提供《监狱企业证明》，视同小型、微型企业，对该企业生产的货物、提供的工程或服务在评审时给予价格扣除。</w:t>
      </w:r>
    </w:p>
    <w:p w14:paraId="43EFE4E7">
      <w:pPr>
        <w:spacing w:line="400" w:lineRule="exact"/>
        <w:ind w:firstLine="420" w:firstLineChars="200"/>
        <w:rPr>
          <w:rFonts w:ascii="宋体" w:hAnsi="宋体"/>
          <w:color w:val="auto"/>
          <w:highlight w:val="none"/>
        </w:rPr>
      </w:pPr>
      <w:r>
        <w:rPr>
          <w:rFonts w:hint="eastAsia" w:ascii="宋体" w:hAnsi="宋体"/>
          <w:color w:val="auto"/>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14:paraId="6F155A72">
      <w:pPr>
        <w:spacing w:line="400" w:lineRule="exact"/>
        <w:ind w:firstLine="420" w:firstLineChars="200"/>
        <w:rPr>
          <w:rFonts w:ascii="宋体" w:hAnsi="宋体"/>
          <w:color w:val="auto"/>
          <w:highlight w:val="none"/>
        </w:rPr>
      </w:pPr>
      <w:r>
        <w:rPr>
          <w:rFonts w:hint="eastAsia" w:ascii="宋体" w:hAnsi="宋体"/>
          <w:color w:val="auto"/>
          <w:highlight w:val="none"/>
        </w:rPr>
        <w:t>供应商对其提供的资料真实性自行负责，如有虚假，列入财政部“政府采购严重违法失信行为信息记录”，若为中标人者其中标资格将被取消。</w:t>
      </w:r>
    </w:p>
    <w:p w14:paraId="7F5FF44B">
      <w:pPr>
        <w:pStyle w:val="10"/>
        <w:rPr>
          <w:rFonts w:ascii="宋体" w:hAnsi="宋体"/>
          <w:color w:val="auto"/>
          <w:highlight w:val="none"/>
        </w:rPr>
      </w:pPr>
      <w:r>
        <w:rPr>
          <w:rFonts w:hint="eastAsia" w:ascii="宋体" w:hAnsi="宋体"/>
          <w:color w:val="auto"/>
          <w:highlight w:val="none"/>
        </w:rPr>
        <w:t>9.3</w:t>
      </w:r>
      <w:bookmarkEnd w:id="473"/>
      <w:r>
        <w:rPr>
          <w:rFonts w:hint="eastAsia" w:ascii="宋体" w:hAnsi="宋体"/>
          <w:color w:val="auto"/>
          <w:highlight w:val="none"/>
        </w:rPr>
        <w:t>中小企业划型标准（国家政策和标准如有调整时以最新为准）</w:t>
      </w:r>
    </w:p>
    <w:p w14:paraId="7878F57B">
      <w:pPr>
        <w:spacing w:line="400" w:lineRule="exact"/>
        <w:rPr>
          <w:rFonts w:ascii="宋体" w:hAnsi="宋体" w:cs="宋体"/>
          <w:color w:val="auto"/>
          <w:highlight w:val="none"/>
        </w:rPr>
      </w:pPr>
      <w:bookmarkStart w:id="474" w:name="_Toc6557"/>
      <w:bookmarkStart w:id="475" w:name="_Hlk161150004"/>
      <w:bookmarkStart w:id="476" w:name="_Toc338840450"/>
      <w:bookmarkStart w:id="477" w:name="_Toc179632598"/>
      <w:bookmarkStart w:id="478" w:name="_Toc338840235"/>
      <w:bookmarkStart w:id="479" w:name="_Toc246996224"/>
      <w:bookmarkStart w:id="480" w:name="_Toc247085738"/>
      <w:bookmarkStart w:id="481" w:name="_Toc346523473"/>
      <w:bookmarkStart w:id="482" w:name="_Toc30779"/>
      <w:bookmarkStart w:id="483" w:name="_Toc246996967"/>
      <w:bookmarkStart w:id="484" w:name="_Toc346523410"/>
      <w:bookmarkStart w:id="485" w:name="_Toc5690"/>
      <w:bookmarkStart w:id="486" w:name="_Toc338840489"/>
      <w:bookmarkStart w:id="487" w:name="_Toc152042357"/>
      <w:bookmarkStart w:id="488" w:name="_Toc16148"/>
      <w:bookmarkStart w:id="489" w:name="_Toc152045580"/>
      <w:bookmarkStart w:id="490" w:name="_Toc144974547"/>
      <w:r>
        <w:rPr>
          <w:rFonts w:hint="eastAsia" w:ascii="宋体" w:hAnsi="宋体" w:cs="宋体"/>
          <w:color w:val="auto"/>
          <w:highlight w:val="none"/>
        </w:rPr>
        <w:t>中小企业划型标准规定</w:t>
      </w:r>
      <w:bookmarkEnd w:id="474"/>
      <w:r>
        <w:rPr>
          <w:rFonts w:hint="eastAsia" w:ascii="宋体" w:hAnsi="宋体" w:cs="宋体"/>
          <w:color w:val="auto"/>
          <w:highlight w:val="none"/>
        </w:rPr>
        <w:t>（工信部联企业〔2011〕300号）</w:t>
      </w:r>
      <w:bookmarkEnd w:id="475"/>
      <w:r>
        <w:rPr>
          <w:rFonts w:hint="eastAsia" w:ascii="宋体" w:hAnsi="宋体" w:cs="宋体"/>
          <w:color w:val="auto"/>
          <w:highlight w:val="none"/>
        </w:rPr>
        <w:t>： </w:t>
      </w:r>
    </w:p>
    <w:p w14:paraId="116EA127">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一、根据《中华人民共和国中小企业促进法》和《国务院关于进一步促进中小企业发展的若干意见》(国发〔2009〕36号)，制定本规定。</w:t>
      </w:r>
    </w:p>
    <w:p w14:paraId="0F202574">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二、中小企业划分为中型、小型、微型三种类型，具体标准根据企业从业人员、营业收入、资产总额等指标，结合行业特点制定。</w:t>
      </w:r>
    </w:p>
    <w:p w14:paraId="322F99BA">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BF96FC4">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四、各行业划型标准为：</w:t>
      </w:r>
    </w:p>
    <w:p w14:paraId="51FE872E">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65AF8ED1">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2F0D83">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3553337">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0681EFC">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75113E7">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7F57791">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32E5D6A">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011F35E">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840059">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58C923">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16B9571">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7299E4">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F35FBE2">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E22750D">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A3E302A">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452700C9">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五、企业类型的划分以统计部门的统计数据为依据。</w:t>
      </w:r>
    </w:p>
    <w:p w14:paraId="699FBEF2">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六、本规定适用于在中华人民共和国境内依法设立的各类所有制和各种组织形式的企业。个体工商户和本规定以外的行业，参照本规定进行划型。</w:t>
      </w:r>
    </w:p>
    <w:p w14:paraId="2D217C0E">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C15A31D">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八、本规定由工业和信息化部、国家统计局会同有关部门根据《国民经济行业分类》修订情况和企业发展变化情况适时修订。</w:t>
      </w:r>
    </w:p>
    <w:p w14:paraId="3DB2975F">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九、本规定由工业和信息化部、国家统计局会同有关部门负责解释。</w:t>
      </w:r>
    </w:p>
    <w:p w14:paraId="2D62FB6F">
      <w:pPr>
        <w:spacing w:line="400" w:lineRule="exact"/>
        <w:ind w:firstLine="420" w:firstLineChars="200"/>
        <w:rPr>
          <w:rFonts w:ascii="宋体" w:hAnsi="宋体" w:cs="宋体"/>
          <w:color w:val="auto"/>
          <w:highlight w:val="none"/>
        </w:rPr>
      </w:pPr>
      <w:r>
        <w:rPr>
          <w:rFonts w:hint="eastAsia" w:ascii="宋体" w:hAnsi="宋体" w:cs="宋体"/>
          <w:color w:val="auto"/>
          <w:highlight w:val="none"/>
        </w:rPr>
        <w:t>十、本规定自发布之日起执行，原国家经贸委、原国家计委、财政部和国家统计局2003年颁布的《中小企业标准暂行规定》同时废止。</w:t>
      </w:r>
    </w:p>
    <w:p w14:paraId="4D15EB86">
      <w:pPr>
        <w:pStyle w:val="9"/>
        <w:rPr>
          <w:rFonts w:ascii="宋体" w:hAnsi="宋体" w:eastAsia="宋体"/>
          <w:color w:val="auto"/>
          <w:highlight w:val="none"/>
        </w:rPr>
      </w:pPr>
      <w:bookmarkStart w:id="491" w:name="_Toc615"/>
      <w:r>
        <w:rPr>
          <w:rFonts w:hint="eastAsia" w:ascii="宋体" w:hAnsi="宋体" w:eastAsia="宋体"/>
          <w:color w:val="auto"/>
          <w:highlight w:val="none"/>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1CECEA3F">
      <w:pPr>
        <w:spacing w:line="400" w:lineRule="exact"/>
        <w:ind w:firstLine="420" w:firstLineChars="200"/>
        <w:rPr>
          <w:rFonts w:ascii="宋体" w:hAnsi="宋体"/>
          <w:color w:val="auto"/>
          <w:highlight w:val="none"/>
        </w:rPr>
      </w:pPr>
      <w:r>
        <w:rPr>
          <w:rFonts w:hint="eastAsia" w:ascii="宋体" w:hAnsi="宋体"/>
          <w:color w:val="auto"/>
          <w:highlight w:val="none"/>
        </w:rPr>
        <w:t>需要补充的其他内容：见供应商须知前附表。</w:t>
      </w:r>
    </w:p>
    <w:p w14:paraId="69502E85">
      <w:pPr>
        <w:pStyle w:val="9"/>
        <w:rPr>
          <w:rFonts w:ascii="宋体" w:hAnsi="宋体" w:eastAsia="宋体"/>
          <w:color w:val="auto"/>
          <w:highlight w:val="none"/>
        </w:rPr>
      </w:pPr>
      <w:bookmarkStart w:id="492" w:name="_Toc23287"/>
      <w:bookmarkStart w:id="493" w:name="_Toc494093437"/>
      <w:bookmarkStart w:id="494" w:name="_Toc16122"/>
      <w:bookmarkStart w:id="495" w:name="_Toc13623"/>
      <w:bookmarkStart w:id="496" w:name="_Toc29712"/>
      <w:bookmarkStart w:id="497" w:name="_Toc338840451"/>
      <w:bookmarkStart w:id="498" w:name="_Toc494526409"/>
      <w:bookmarkStart w:id="499" w:name="_Toc346523474"/>
      <w:bookmarkStart w:id="500" w:name="_Toc346523411"/>
      <w:bookmarkStart w:id="501" w:name="_Toc338840236"/>
      <w:bookmarkStart w:id="502" w:name="_Toc338840490"/>
      <w:r>
        <w:rPr>
          <w:rFonts w:hint="eastAsia" w:ascii="宋体" w:hAnsi="宋体" w:eastAsia="宋体"/>
          <w:color w:val="auto"/>
          <w:highlight w:val="none"/>
        </w:rPr>
        <w:t>11．电子招标投标</w:t>
      </w:r>
      <w:bookmarkEnd w:id="492"/>
      <w:bookmarkEnd w:id="493"/>
      <w:bookmarkEnd w:id="494"/>
      <w:bookmarkEnd w:id="495"/>
      <w:bookmarkEnd w:id="496"/>
      <w:bookmarkEnd w:id="497"/>
      <w:bookmarkEnd w:id="498"/>
      <w:bookmarkEnd w:id="499"/>
      <w:bookmarkEnd w:id="500"/>
      <w:bookmarkEnd w:id="501"/>
      <w:bookmarkEnd w:id="502"/>
    </w:p>
    <w:p w14:paraId="009DE060">
      <w:pPr>
        <w:spacing w:line="400" w:lineRule="exact"/>
        <w:ind w:firstLine="420" w:firstLineChars="200"/>
        <w:rPr>
          <w:rFonts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73DBD76E">
      <w:pPr>
        <w:pStyle w:val="8"/>
        <w:jc w:val="center"/>
        <w:rPr>
          <w:rFonts w:ascii="宋体" w:hAnsi="宋体"/>
          <w:b w:val="0"/>
          <w:bCs w:val="0"/>
          <w:color w:val="auto"/>
          <w:highlight w:val="none"/>
        </w:rPr>
      </w:pPr>
      <w:bookmarkStart w:id="503" w:name="_Toc494526410"/>
      <w:bookmarkStart w:id="504" w:name="_Toc338840237"/>
      <w:bookmarkStart w:id="505" w:name="_Toc179632616"/>
      <w:bookmarkStart w:id="506" w:name="_Toc246996241"/>
      <w:bookmarkStart w:id="507" w:name="_Toc247085756"/>
      <w:bookmarkStart w:id="508" w:name="_Toc338840491"/>
      <w:bookmarkStart w:id="509" w:name="_Toc494093438"/>
      <w:bookmarkStart w:id="510" w:name="_Toc346523412"/>
      <w:bookmarkStart w:id="511" w:name="_Toc152045598"/>
      <w:bookmarkStart w:id="512" w:name="_Toc338840452"/>
      <w:bookmarkStart w:id="513" w:name="_Toc144974565"/>
      <w:bookmarkStart w:id="514" w:name="_Toc152042375"/>
      <w:bookmarkStart w:id="515" w:name="_Toc346523475"/>
      <w:bookmarkStart w:id="516" w:name="_Toc246996984"/>
      <w:r>
        <w:rPr>
          <w:rFonts w:hint="eastAsia" w:ascii="宋体" w:hAnsi="宋体"/>
          <w:color w:val="auto"/>
          <w:highlight w:val="none"/>
        </w:rPr>
        <w:br w:type="page"/>
      </w:r>
      <w:bookmarkStart w:id="517" w:name="_Toc24747"/>
      <w:r>
        <w:rPr>
          <w:rFonts w:hint="eastAsia" w:ascii="宋体" w:hAnsi="宋体"/>
          <w:b w:val="0"/>
          <w:bCs w:val="0"/>
          <w:color w:val="auto"/>
          <w:highlight w:val="none"/>
        </w:rPr>
        <w:t>第三章 评标办法</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Start w:id="518" w:name="_Toc246996985"/>
      <w:bookmarkStart w:id="519" w:name="_Toc144974566"/>
      <w:bookmarkStart w:id="520" w:name="_Toc247085757"/>
      <w:bookmarkStart w:id="521" w:name="_Toc246996242"/>
      <w:bookmarkStart w:id="522" w:name="_Toc152045599"/>
      <w:bookmarkStart w:id="523" w:name="_Toc152042376"/>
      <w:bookmarkStart w:id="524" w:name="_Toc179632617"/>
    </w:p>
    <w:bookmarkEnd w:id="517"/>
    <w:p w14:paraId="4096EAB1">
      <w:pPr>
        <w:pStyle w:val="9"/>
        <w:rPr>
          <w:rFonts w:ascii="宋体" w:hAnsi="宋体" w:eastAsia="宋体"/>
          <w:color w:val="auto"/>
          <w:highlight w:val="none"/>
        </w:rPr>
      </w:pPr>
      <w:bookmarkStart w:id="525" w:name="_Toc3628"/>
      <w:bookmarkStart w:id="526" w:name="_Toc346523476"/>
      <w:bookmarkStart w:id="527" w:name="_Toc494526411"/>
      <w:bookmarkStart w:id="528" w:name="_Toc31260"/>
      <w:bookmarkStart w:id="529" w:name="_Toc346523413"/>
      <w:bookmarkStart w:id="530" w:name="_Toc338840238"/>
      <w:bookmarkStart w:id="531" w:name="_Toc32258"/>
      <w:bookmarkStart w:id="532" w:name="_Toc452"/>
      <w:bookmarkStart w:id="533" w:name="_Toc338840453"/>
      <w:bookmarkStart w:id="534" w:name="_Toc338840492"/>
      <w:bookmarkStart w:id="535" w:name="_Toc494093439"/>
      <w:r>
        <w:rPr>
          <w:rFonts w:hint="eastAsia" w:ascii="宋体" w:hAnsi="宋体" w:eastAsia="宋体"/>
          <w:color w:val="auto"/>
          <w:highlight w:val="none"/>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4AC527CF">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6DB1E2D6">
      <w:pPr>
        <w:ind w:left="833" w:leftChars="228" w:hanging="354" w:hangingChars="147"/>
        <w:rPr>
          <w:rFonts w:ascii="宋体" w:hAnsi="宋体"/>
          <w:b/>
          <w:color w:val="auto"/>
          <w:sz w:val="24"/>
          <w:highlight w:val="none"/>
        </w:rPr>
      </w:pPr>
      <w:r>
        <w:rPr>
          <w:rFonts w:hint="eastAsia" w:ascii="宋体" w:hAnsi="宋体"/>
          <w:b/>
          <w:color w:val="auto"/>
          <w:sz w:val="24"/>
          <w:highlight w:val="none"/>
        </w:rPr>
        <w:t>2、评标办法前附表中涉及到的有关内容均应体现在投标文件中。</w:t>
      </w:r>
    </w:p>
    <w:p w14:paraId="7CD92B48">
      <w:pPr>
        <w:ind w:left="787" w:leftChars="228" w:hanging="308" w:hangingChars="147"/>
        <w:rPr>
          <w:rFonts w:ascii="宋体" w:hAnsi="宋体"/>
          <w:color w:val="auto"/>
          <w:highlight w:val="none"/>
        </w:rPr>
      </w:pPr>
    </w:p>
    <w:tbl>
      <w:tblPr>
        <w:tblStyle w:val="3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440"/>
        <w:gridCol w:w="5580"/>
      </w:tblGrid>
      <w:tr w14:paraId="4BFED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7F8D4619">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4C676F22">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1B52C93">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47AD10B7">
            <w:pPr>
              <w:tabs>
                <w:tab w:val="left" w:pos="72"/>
              </w:tabs>
              <w:spacing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（资格审查、符合性审查不满足者为无效投标）</w:t>
            </w:r>
          </w:p>
          <w:p w14:paraId="5A05CE9E">
            <w:pPr>
              <w:tabs>
                <w:tab w:val="left" w:pos="72"/>
              </w:tabs>
              <w:spacing w:line="400" w:lineRule="exact"/>
              <w:ind w:firstLine="422" w:firstLineChars="200"/>
              <w:rPr>
                <w:rFonts w:hint="eastAsia" w:ascii="宋体" w:hAnsi="宋体"/>
                <w:b/>
                <w:color w:val="auto"/>
                <w:szCs w:val="21"/>
                <w:highlight w:val="none"/>
              </w:rPr>
            </w:pPr>
            <w:r>
              <w:rPr>
                <w:rFonts w:hint="eastAsia" w:ascii="宋体" w:hAnsi="宋体"/>
                <w:b/>
                <w:color w:val="auto"/>
                <w:szCs w:val="21"/>
                <w:highlight w:val="none"/>
              </w:rPr>
              <w:t>3、各投标人的最后总得分保留至小数点后两位（第三位四舍五入）。</w:t>
            </w:r>
          </w:p>
          <w:p w14:paraId="7616ADBE">
            <w:pPr>
              <w:tabs>
                <w:tab w:val="left" w:pos="252"/>
              </w:tabs>
              <w:spacing w:line="400" w:lineRule="exact"/>
              <w:ind w:firstLine="422" w:firstLineChars="200"/>
              <w:jc w:val="left"/>
            </w:pP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w:t>
            </w:r>
            <w:r>
              <w:rPr>
                <w:rFonts w:hint="eastAsia" w:ascii="宋体" w:hAnsi="宋体"/>
                <w:b/>
                <w:color w:val="auto"/>
                <w:szCs w:val="21"/>
                <w:highlight w:val="none"/>
              </w:rPr>
              <w:t>推荐中标候选人。按得分由高到低顺序推荐中标候选人。得分相同者按投标报价由低到高排序。报价也相同者用随机抽取法确定排序。</w:t>
            </w:r>
          </w:p>
        </w:tc>
      </w:tr>
      <w:tr w14:paraId="70B505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2F6FFAB1">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20A0552E">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4DB5C67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26ADD84F">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03C872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14:paraId="0CCEB0CD">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6F67113">
            <w:pPr>
              <w:spacing w:line="320" w:lineRule="exact"/>
              <w:jc w:val="center"/>
              <w:rPr>
                <w:rFonts w:ascii="宋体" w:hAnsi="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7B398C66">
            <w:pPr>
              <w:tabs>
                <w:tab w:val="left" w:pos="252"/>
              </w:tabs>
              <w:spacing w:line="40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5ACF99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791F518A">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01C7CB88">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440" w:type="dxa"/>
            <w:tcBorders>
              <w:top w:val="single" w:color="auto" w:sz="4" w:space="0"/>
              <w:left w:val="single" w:color="auto" w:sz="4" w:space="0"/>
              <w:bottom w:val="single" w:color="auto" w:sz="4" w:space="0"/>
              <w:right w:val="single" w:color="auto" w:sz="4" w:space="0"/>
            </w:tcBorders>
            <w:vAlign w:val="center"/>
          </w:tcPr>
          <w:p w14:paraId="68BD9294">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580" w:type="dxa"/>
            <w:tcBorders>
              <w:top w:val="single" w:color="auto" w:sz="4" w:space="0"/>
              <w:left w:val="single" w:color="auto" w:sz="4" w:space="0"/>
              <w:bottom w:val="single" w:color="auto" w:sz="4" w:space="0"/>
              <w:right w:val="single" w:color="auto" w:sz="4" w:space="0"/>
            </w:tcBorders>
            <w:vAlign w:val="center"/>
          </w:tcPr>
          <w:p w14:paraId="7138EF5B">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4D92D6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C217B2A">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9E5813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440" w:type="dxa"/>
            <w:tcBorders>
              <w:top w:val="single" w:color="auto" w:sz="4" w:space="0"/>
              <w:left w:val="single" w:color="auto" w:sz="4" w:space="0"/>
              <w:bottom w:val="single" w:color="auto" w:sz="4" w:space="0"/>
              <w:right w:val="single" w:color="auto" w:sz="4" w:space="0"/>
            </w:tcBorders>
            <w:vAlign w:val="center"/>
          </w:tcPr>
          <w:p w14:paraId="23ECF9F7">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580" w:type="dxa"/>
            <w:tcBorders>
              <w:top w:val="single" w:color="auto" w:sz="4" w:space="0"/>
              <w:left w:val="single" w:color="auto" w:sz="4" w:space="0"/>
              <w:bottom w:val="single" w:color="auto" w:sz="4" w:space="0"/>
              <w:right w:val="single" w:color="auto" w:sz="4" w:space="0"/>
            </w:tcBorders>
            <w:vAlign w:val="center"/>
          </w:tcPr>
          <w:p w14:paraId="129BFFCE">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3B843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6302F4A5">
            <w:pPr>
              <w:spacing w:line="440" w:lineRule="exact"/>
              <w:jc w:val="center"/>
              <w:rPr>
                <w:rFonts w:ascii="宋体" w:hAnsi="宋体"/>
                <w:color w:val="auto"/>
                <w:szCs w:val="21"/>
                <w:highlight w:val="none"/>
              </w:rPr>
            </w:pPr>
          </w:p>
          <w:p w14:paraId="08A6123C">
            <w:pPr>
              <w:spacing w:line="440" w:lineRule="exact"/>
              <w:jc w:val="center"/>
              <w:rPr>
                <w:rFonts w:ascii="宋体" w:hAnsi="宋体"/>
                <w:color w:val="auto"/>
                <w:szCs w:val="21"/>
                <w:highlight w:val="none"/>
              </w:rPr>
            </w:pPr>
          </w:p>
          <w:p w14:paraId="52BBB6CB">
            <w:pPr>
              <w:spacing w:line="440" w:lineRule="exact"/>
              <w:jc w:val="center"/>
              <w:rPr>
                <w:rFonts w:ascii="宋体" w:hAnsi="宋体"/>
                <w:color w:val="auto"/>
                <w:szCs w:val="21"/>
                <w:highlight w:val="none"/>
              </w:rPr>
            </w:pPr>
          </w:p>
          <w:p w14:paraId="7A0BFA48">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140687DD">
            <w:pPr>
              <w:spacing w:line="440" w:lineRule="exact"/>
              <w:jc w:val="center"/>
              <w:rPr>
                <w:rFonts w:ascii="宋体" w:hAnsi="宋体"/>
                <w:color w:val="auto"/>
                <w:szCs w:val="21"/>
                <w:highlight w:val="none"/>
              </w:rPr>
            </w:pPr>
          </w:p>
          <w:p w14:paraId="07818C54">
            <w:pPr>
              <w:spacing w:line="440" w:lineRule="exact"/>
              <w:jc w:val="center"/>
              <w:rPr>
                <w:rFonts w:ascii="宋体" w:hAnsi="宋体"/>
                <w:color w:val="auto"/>
                <w:szCs w:val="21"/>
                <w:highlight w:val="none"/>
              </w:rPr>
            </w:pPr>
          </w:p>
          <w:p w14:paraId="55A95408">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422E61F8">
            <w:pPr>
              <w:spacing w:line="440" w:lineRule="exact"/>
              <w:jc w:val="center"/>
              <w:rPr>
                <w:rFonts w:ascii="宋体" w:hAnsi="宋体"/>
                <w:color w:val="auto"/>
                <w:szCs w:val="21"/>
                <w:highlight w:val="none"/>
              </w:rPr>
            </w:pPr>
          </w:p>
          <w:p w14:paraId="5050FD67">
            <w:pPr>
              <w:spacing w:line="440" w:lineRule="exact"/>
              <w:jc w:val="center"/>
              <w:rPr>
                <w:rFonts w:ascii="宋体" w:hAnsi="宋体"/>
                <w:color w:val="auto"/>
                <w:szCs w:val="21"/>
                <w:highlight w:val="none"/>
              </w:rPr>
            </w:pPr>
          </w:p>
          <w:p w14:paraId="7F05411F">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193C3293">
            <w:pPr>
              <w:spacing w:line="440" w:lineRule="exact"/>
              <w:jc w:val="center"/>
              <w:rPr>
                <w:rFonts w:ascii="宋体" w:hAnsi="宋体"/>
                <w:color w:val="auto"/>
                <w:szCs w:val="21"/>
                <w:highlight w:val="none"/>
              </w:rPr>
            </w:pPr>
          </w:p>
          <w:p w14:paraId="113CECA8">
            <w:pPr>
              <w:spacing w:line="440" w:lineRule="exact"/>
              <w:jc w:val="center"/>
              <w:rPr>
                <w:rFonts w:ascii="宋体" w:hAnsi="宋体"/>
                <w:color w:val="auto"/>
                <w:szCs w:val="21"/>
                <w:highlight w:val="none"/>
              </w:rPr>
            </w:pPr>
          </w:p>
          <w:p w14:paraId="2F9C1926">
            <w:pPr>
              <w:spacing w:line="440" w:lineRule="exact"/>
              <w:jc w:val="center"/>
              <w:rPr>
                <w:rFonts w:ascii="宋体" w:hAnsi="宋体"/>
                <w:color w:val="auto"/>
                <w:szCs w:val="21"/>
                <w:highlight w:val="none"/>
              </w:rPr>
            </w:pPr>
          </w:p>
          <w:p w14:paraId="6838FBD0">
            <w:pPr>
              <w:spacing w:line="440" w:lineRule="exact"/>
              <w:jc w:val="center"/>
              <w:rPr>
                <w:rFonts w:ascii="宋体" w:hAnsi="宋体"/>
                <w:color w:val="auto"/>
                <w:szCs w:val="21"/>
                <w:highlight w:val="none"/>
              </w:rPr>
            </w:pPr>
          </w:p>
          <w:p w14:paraId="6660FBB0">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0E2E4385">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580" w:type="dxa"/>
            <w:tcBorders>
              <w:top w:val="single" w:color="auto" w:sz="4" w:space="0"/>
              <w:left w:val="single" w:color="auto" w:sz="4" w:space="0"/>
              <w:bottom w:val="single" w:color="auto" w:sz="4" w:space="0"/>
              <w:right w:val="single" w:color="auto" w:sz="4" w:space="0"/>
            </w:tcBorders>
            <w:vAlign w:val="center"/>
          </w:tcPr>
          <w:p w14:paraId="09BF78BE">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2C902D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737BD19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BBE7F76">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1DCA566A">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580" w:type="dxa"/>
            <w:tcBorders>
              <w:top w:val="single" w:color="auto" w:sz="4" w:space="0"/>
              <w:left w:val="single" w:color="auto" w:sz="4" w:space="0"/>
              <w:bottom w:val="single" w:color="auto" w:sz="4" w:space="0"/>
              <w:right w:val="single" w:color="auto" w:sz="4" w:space="0"/>
            </w:tcBorders>
            <w:vAlign w:val="center"/>
          </w:tcPr>
          <w:p w14:paraId="2859FCD6">
            <w:pPr>
              <w:spacing w:line="440" w:lineRule="atLeast"/>
              <w:rPr>
                <w:rFonts w:ascii="宋体" w:hAnsi="宋体"/>
                <w:color w:val="auto"/>
                <w:szCs w:val="21"/>
                <w:highlight w:val="none"/>
              </w:rPr>
            </w:pPr>
            <w:r>
              <w:rPr>
                <w:rFonts w:hint="eastAsia" w:ascii="宋体" w:hAnsi="宋体"/>
                <w:color w:val="auto"/>
                <w:szCs w:val="21"/>
                <w:highlight w:val="none"/>
              </w:rPr>
              <w:t>投标函、法定代表人资格证明（或授权委托书）按投标文件格式要求签字、盖章</w:t>
            </w:r>
          </w:p>
        </w:tc>
      </w:tr>
      <w:tr w14:paraId="6E73D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720" w:type="dxa"/>
            <w:vMerge w:val="continue"/>
            <w:tcBorders>
              <w:right w:val="single" w:color="auto" w:sz="4" w:space="0"/>
            </w:tcBorders>
            <w:vAlign w:val="center"/>
          </w:tcPr>
          <w:p w14:paraId="5462785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8C82926">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337A2930">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580" w:type="dxa"/>
            <w:tcBorders>
              <w:top w:val="single" w:color="auto" w:sz="4" w:space="0"/>
              <w:left w:val="single" w:color="auto" w:sz="4" w:space="0"/>
              <w:bottom w:val="single" w:color="auto" w:sz="4" w:space="0"/>
              <w:right w:val="single" w:color="auto" w:sz="4" w:space="0"/>
            </w:tcBorders>
            <w:vAlign w:val="center"/>
          </w:tcPr>
          <w:p w14:paraId="2CECD46C">
            <w:pPr>
              <w:spacing w:line="440" w:lineRule="atLeast"/>
              <w:rPr>
                <w:color w:val="auto"/>
                <w:highlight w:val="none"/>
              </w:rPr>
            </w:pPr>
            <w:r>
              <w:rPr>
                <w:rFonts w:hint="eastAsia"/>
                <w:color w:val="auto"/>
                <w:highlight w:val="none"/>
              </w:rPr>
              <w:t>1、投标函中只能有一个有效投标报价（招标文件另有要求者除外）。</w:t>
            </w:r>
          </w:p>
          <w:p w14:paraId="0EBF51DE">
            <w:pPr>
              <w:spacing w:line="440" w:lineRule="atLeast"/>
              <w:rPr>
                <w:color w:val="auto"/>
                <w:highlight w:val="none"/>
              </w:rPr>
            </w:pPr>
            <w:r>
              <w:rPr>
                <w:rFonts w:hint="eastAsia"/>
                <w:color w:val="auto"/>
                <w:highlight w:val="none"/>
              </w:rPr>
              <w:t>2、设有最高限价者不得高于最高限价。</w:t>
            </w:r>
          </w:p>
          <w:p w14:paraId="649DABB9">
            <w:pPr>
              <w:spacing w:line="440" w:lineRule="atLeast"/>
              <w:rPr>
                <w:color w:val="auto"/>
                <w:highlight w:val="none"/>
              </w:rPr>
            </w:pPr>
            <w:r>
              <w:rPr>
                <w:rFonts w:hint="eastAsia"/>
                <w:color w:val="auto"/>
                <w:highlight w:val="none"/>
              </w:rPr>
              <w:t>3、明显低价。评标委员会认为供应商的报价明显低于其他通过符合性审查供应商的报价，有可能影响产品质量或者不能诚信履约的，应当通过电子交易系统向该供应商提出，供应商在30分钟内（另有约定者按约定）通过该系统提供书面说明，必要时提交相关证明材料；供应商不能证明其报价合理性的，评标委员会应当将其作为无效投标。</w:t>
            </w:r>
          </w:p>
        </w:tc>
      </w:tr>
      <w:tr w14:paraId="16069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4902F78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A2450A6">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14:paraId="5E254183">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580" w:type="dxa"/>
            <w:tcBorders>
              <w:top w:val="single" w:color="auto" w:sz="4" w:space="0"/>
              <w:left w:val="single" w:color="auto" w:sz="4" w:space="0"/>
              <w:right w:val="single" w:color="auto" w:sz="4" w:space="0"/>
            </w:tcBorders>
            <w:vAlign w:val="center"/>
          </w:tcPr>
          <w:p w14:paraId="20E68A8F">
            <w:pPr>
              <w:spacing w:line="440" w:lineRule="atLeast"/>
              <w:rPr>
                <w:rFonts w:ascii="宋体" w:hAnsi="宋体"/>
                <w:color w:val="auto"/>
                <w:szCs w:val="21"/>
                <w:highlight w:val="none"/>
              </w:rPr>
            </w:pPr>
            <w:r>
              <w:rPr>
                <w:rFonts w:hint="eastAsia" w:ascii="宋体" w:hAnsi="宋体"/>
                <w:color w:val="auto"/>
                <w:szCs w:val="21"/>
                <w:highlight w:val="none"/>
              </w:rPr>
              <w:t>不多于"供应商须知前附表"规定的时间。(查看投标函)</w:t>
            </w:r>
          </w:p>
        </w:tc>
      </w:tr>
      <w:tr w14:paraId="3AFF93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792F7CC">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1BFA197">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right w:val="single" w:color="auto" w:sz="4" w:space="0"/>
            </w:tcBorders>
            <w:vAlign w:val="center"/>
          </w:tcPr>
          <w:p w14:paraId="5DAE6193">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580" w:type="dxa"/>
            <w:tcBorders>
              <w:top w:val="single" w:color="auto" w:sz="4" w:space="0"/>
              <w:left w:val="single" w:color="auto" w:sz="4" w:space="0"/>
              <w:right w:val="single" w:color="auto" w:sz="4" w:space="0"/>
            </w:tcBorders>
            <w:vAlign w:val="center"/>
          </w:tcPr>
          <w:p w14:paraId="4889F197">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14:paraId="52748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23860C3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01ADB6A">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0C25A924">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580" w:type="dxa"/>
            <w:tcBorders>
              <w:top w:val="single" w:color="auto" w:sz="4" w:space="0"/>
              <w:left w:val="single" w:color="auto" w:sz="4" w:space="0"/>
              <w:bottom w:val="single" w:color="auto" w:sz="4" w:space="0"/>
              <w:right w:val="single" w:color="auto" w:sz="4" w:space="0"/>
            </w:tcBorders>
            <w:vAlign w:val="center"/>
          </w:tcPr>
          <w:p w14:paraId="368202F5">
            <w:pPr>
              <w:spacing w:line="440" w:lineRule="atLeast"/>
              <w:rPr>
                <w:rFonts w:ascii="宋体" w:hAnsi="宋体"/>
                <w:color w:val="auto"/>
                <w:szCs w:val="21"/>
                <w:highlight w:val="none"/>
              </w:rPr>
            </w:pPr>
            <w:r>
              <w:rPr>
                <w:rFonts w:hint="eastAsia" w:ascii="宋体" w:hAnsi="宋体"/>
                <w:color w:val="auto"/>
                <w:szCs w:val="21"/>
                <w:highlight w:val="none"/>
              </w:rPr>
              <w:t>不得少于“供应商须知前附表”规定的时间。(查看投标函)</w:t>
            </w:r>
          </w:p>
        </w:tc>
      </w:tr>
      <w:tr w14:paraId="1FC1E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2B1A1616">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F36E784">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7130ED5B">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580" w:type="dxa"/>
            <w:tcBorders>
              <w:top w:val="single" w:color="auto" w:sz="4" w:space="0"/>
              <w:left w:val="single" w:color="auto" w:sz="4" w:space="0"/>
              <w:bottom w:val="single" w:color="auto" w:sz="4" w:space="0"/>
              <w:right w:val="single" w:color="auto" w:sz="4" w:space="0"/>
            </w:tcBorders>
            <w:vAlign w:val="center"/>
          </w:tcPr>
          <w:p w14:paraId="573BF88E">
            <w:pPr>
              <w:spacing w:line="440" w:lineRule="atLeast"/>
              <w:rPr>
                <w:rFonts w:ascii="宋体" w:hAnsi="宋体"/>
                <w:color w:val="auto"/>
                <w:szCs w:val="21"/>
                <w:highlight w:val="none"/>
              </w:rPr>
            </w:pPr>
            <w:r>
              <w:rPr>
                <w:rFonts w:hint="eastAsia" w:ascii="宋体" w:hAnsi="宋体"/>
                <w:color w:val="auto"/>
                <w:szCs w:val="21"/>
                <w:highlight w:val="none"/>
              </w:rPr>
              <w:t>响应“供应商须知前附表”要求(查看投标函)</w:t>
            </w:r>
          </w:p>
        </w:tc>
      </w:tr>
      <w:tr w14:paraId="5C695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2B6C39F6">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4A8EF02">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50D92416">
            <w:pPr>
              <w:spacing w:line="440" w:lineRule="exact"/>
              <w:jc w:val="center"/>
              <w:rPr>
                <w:rFonts w:hint="eastAsia" w:ascii="宋体" w:hAnsi="宋体"/>
                <w:color w:val="auto"/>
                <w:szCs w:val="21"/>
                <w:highlight w:val="none"/>
              </w:rPr>
            </w:pPr>
            <w:r>
              <w:rPr>
                <w:rFonts w:hint="eastAsia" w:ascii="宋体" w:hAnsi="宋体"/>
                <w:color w:val="auto"/>
                <w:szCs w:val="21"/>
                <w:highlight w:val="none"/>
                <w:lang w:val="en-US" w:eastAsia="zh-CN"/>
              </w:rPr>
              <w:t>强制采购产品</w:t>
            </w:r>
          </w:p>
        </w:tc>
        <w:tc>
          <w:tcPr>
            <w:tcW w:w="5580" w:type="dxa"/>
            <w:tcBorders>
              <w:top w:val="single" w:color="auto" w:sz="4" w:space="0"/>
              <w:left w:val="single" w:color="auto" w:sz="4" w:space="0"/>
              <w:bottom w:val="single" w:color="auto" w:sz="4" w:space="0"/>
              <w:right w:val="single" w:color="auto" w:sz="4" w:space="0"/>
            </w:tcBorders>
            <w:vAlign w:val="center"/>
          </w:tcPr>
          <w:p w14:paraId="73B590C6">
            <w:pPr>
              <w:spacing w:line="440" w:lineRule="exact"/>
              <w:jc w:val="left"/>
              <w:rPr>
                <w:rFonts w:hint="eastAsia" w:ascii="宋体" w:hAnsi="宋体"/>
                <w:color w:val="auto"/>
                <w:szCs w:val="21"/>
                <w:highlight w:val="none"/>
              </w:rPr>
            </w:pPr>
            <w:r>
              <w:rPr>
                <w:rFonts w:hint="eastAsia" w:ascii="宋体" w:hAnsi="宋体"/>
                <w:color w:val="auto"/>
                <w:szCs w:val="21"/>
                <w:highlight w:val="none"/>
                <w:lang w:val="en-US" w:eastAsia="zh-CN"/>
              </w:rPr>
              <w:t>按要求提供承诺函。</w:t>
            </w:r>
          </w:p>
        </w:tc>
      </w:tr>
      <w:tr w14:paraId="64351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0AE2E2A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2F6E1CF">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4EBC655B">
            <w:pPr>
              <w:spacing w:line="440" w:lineRule="exact"/>
              <w:jc w:val="center"/>
              <w:rPr>
                <w:rFonts w:ascii="宋体" w:hAnsi="宋体"/>
                <w:color w:val="auto"/>
                <w:szCs w:val="21"/>
                <w:highlight w:val="none"/>
              </w:rPr>
            </w:pPr>
            <w:r>
              <w:rPr>
                <w:rFonts w:hint="eastAsia" w:ascii="宋体" w:hAnsi="宋体"/>
                <w:color w:val="auto"/>
                <w:szCs w:val="21"/>
                <w:highlight w:val="none"/>
              </w:rPr>
              <w:t>硬件特征码</w:t>
            </w:r>
          </w:p>
        </w:tc>
        <w:tc>
          <w:tcPr>
            <w:tcW w:w="5580" w:type="dxa"/>
            <w:tcBorders>
              <w:top w:val="single" w:color="auto" w:sz="4" w:space="0"/>
              <w:left w:val="single" w:color="auto" w:sz="4" w:space="0"/>
              <w:bottom w:val="single" w:color="auto" w:sz="4" w:space="0"/>
              <w:right w:val="single" w:color="auto" w:sz="4" w:space="0"/>
            </w:tcBorders>
            <w:vAlign w:val="center"/>
          </w:tcPr>
          <w:p w14:paraId="5A7279B2">
            <w:pPr>
              <w:spacing w:line="440" w:lineRule="atLeast"/>
              <w:rPr>
                <w:rFonts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2FBFDF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6FCD8498">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9490DC6">
            <w:pPr>
              <w:spacing w:line="440" w:lineRule="exact"/>
              <w:jc w:val="center"/>
              <w:rPr>
                <w:rFonts w:ascii="宋体" w:hAnsi="宋体"/>
                <w:color w:val="auto"/>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3F89D65">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580" w:type="dxa"/>
            <w:tcBorders>
              <w:top w:val="single" w:color="auto" w:sz="4" w:space="0"/>
              <w:left w:val="single" w:color="auto" w:sz="4" w:space="0"/>
              <w:bottom w:val="single" w:color="auto" w:sz="4" w:space="0"/>
              <w:right w:val="single" w:color="auto" w:sz="4" w:space="0"/>
            </w:tcBorders>
            <w:vAlign w:val="center"/>
          </w:tcPr>
          <w:p w14:paraId="2ECA9322">
            <w:pPr>
              <w:spacing w:line="440" w:lineRule="exact"/>
              <w:jc w:val="left"/>
              <w:rPr>
                <w:color w:val="auto"/>
                <w:highlight w:val="none"/>
              </w:rPr>
            </w:pPr>
            <w:r>
              <w:rPr>
                <w:rFonts w:hint="eastAsia"/>
                <w:color w:val="auto"/>
                <w:highlight w:val="none"/>
              </w:rPr>
              <w:t>不存在本章“附件Ａ　无效投标条件”所列情形。</w:t>
            </w:r>
          </w:p>
        </w:tc>
      </w:tr>
      <w:tr w14:paraId="7A6C34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3A8B36B2">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2AEC92C7">
      <w:pPr>
        <w:spacing w:line="440" w:lineRule="exact"/>
        <w:rPr>
          <w:rFonts w:ascii="宋体" w:hAnsi="宋体"/>
          <w:b/>
          <w:bCs/>
          <w:color w:val="auto"/>
          <w:highlight w:val="none"/>
        </w:rPr>
      </w:pPr>
    </w:p>
    <w:p w14:paraId="76C32407">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7DEE6F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7ABC654">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1F56D84E">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3868F39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104D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F1E14E0">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4CAAFF5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3B0127F6">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26DF5CF3">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30</w:t>
            </w:r>
            <w:r>
              <w:rPr>
                <w:rFonts w:hint="eastAsia" w:ascii="宋体" w:hAnsi="宋体"/>
                <w:color w:val="auto"/>
                <w:highlight w:val="none"/>
                <w:u w:val="single"/>
              </w:rPr>
              <w:t xml:space="preserve"> </w:t>
            </w:r>
            <w:r>
              <w:rPr>
                <w:rFonts w:hint="eastAsia" w:ascii="宋体" w:hAnsi="宋体"/>
                <w:color w:val="auto"/>
                <w:highlight w:val="none"/>
              </w:rPr>
              <w:t>分</w:t>
            </w:r>
          </w:p>
          <w:p w14:paraId="6C61B388">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28</w:t>
            </w:r>
            <w:r>
              <w:rPr>
                <w:rFonts w:hint="eastAsia" w:ascii="宋体" w:hAnsi="宋体"/>
                <w:color w:val="auto"/>
                <w:highlight w:val="none"/>
                <w:u w:val="single"/>
              </w:rPr>
              <w:t xml:space="preserve">  </w:t>
            </w:r>
            <w:r>
              <w:rPr>
                <w:rFonts w:hint="eastAsia" w:ascii="宋体" w:hAnsi="宋体"/>
                <w:color w:val="auto"/>
                <w:highlight w:val="none"/>
              </w:rPr>
              <w:t>分</w:t>
            </w:r>
          </w:p>
          <w:p w14:paraId="7E14E9FC">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42</w:t>
            </w:r>
            <w:r>
              <w:rPr>
                <w:rFonts w:hint="eastAsia" w:ascii="宋体" w:hAnsi="宋体"/>
                <w:color w:val="auto"/>
                <w:highlight w:val="none"/>
                <w:u w:val="single"/>
              </w:rPr>
              <w:t xml:space="preserve">  </w:t>
            </w:r>
            <w:r>
              <w:rPr>
                <w:rFonts w:hint="eastAsia" w:ascii="宋体" w:hAnsi="宋体"/>
                <w:color w:val="auto"/>
                <w:highlight w:val="none"/>
              </w:rPr>
              <w:t>分</w:t>
            </w:r>
          </w:p>
        </w:tc>
      </w:tr>
      <w:tr w14:paraId="05F2AD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587D1E3C">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7E8DD810">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445B5B37">
            <w:pPr>
              <w:numPr>
                <w:ilvl w:val="0"/>
                <w:numId w:val="5"/>
              </w:numPr>
              <w:ind w:firstLine="420" w:firstLineChars="200"/>
              <w:rPr>
                <w:color w:val="auto"/>
                <w:highlight w:val="none"/>
              </w:rPr>
            </w:pPr>
            <w:r>
              <w:rPr>
                <w:rFonts w:hint="eastAsia"/>
                <w:color w:val="auto"/>
                <w:highlight w:val="none"/>
              </w:rPr>
              <w:t>价格分采用低价优先法计算，即满足项目需求且投标报价最低的有效投标报价为评标基准价，其价格分为满分。</w:t>
            </w:r>
          </w:p>
          <w:p w14:paraId="5AB23414">
            <w:pPr>
              <w:spacing w:line="440" w:lineRule="exact"/>
              <w:rPr>
                <w:color w:val="auto"/>
                <w:highlight w:val="none"/>
              </w:rPr>
            </w:pPr>
            <w:r>
              <w:rPr>
                <w:rFonts w:hint="eastAsia"/>
                <w:color w:val="auto"/>
                <w:highlight w:val="none"/>
              </w:rPr>
              <w:t>投标报价得分＝（评标基准价/投标报价）×价格分值</w:t>
            </w:r>
          </w:p>
          <w:p w14:paraId="1F48FC99">
            <w:pPr>
              <w:ind w:firstLine="210" w:firstLineChars="100"/>
              <w:rPr>
                <w:color w:val="auto"/>
                <w:highlight w:val="none"/>
              </w:rPr>
            </w:pPr>
            <w:r>
              <w:rPr>
                <w:rFonts w:hint="eastAsia"/>
                <w:color w:val="auto"/>
                <w:highlight w:val="none"/>
              </w:rPr>
              <w:t>（公式中的评标基准价、投标报价，涉及价格扣除时指扣除后价格）</w:t>
            </w:r>
          </w:p>
          <w:p w14:paraId="3E8F5C31">
            <w:pPr>
              <w:numPr>
                <w:ilvl w:val="0"/>
                <w:numId w:val="5"/>
              </w:numPr>
              <w:ind w:firstLine="420" w:firstLineChars="200"/>
              <w:rPr>
                <w:color w:val="auto"/>
                <w:highlight w:val="none"/>
              </w:rPr>
            </w:pPr>
            <w:r>
              <w:rPr>
                <w:rFonts w:hint="eastAsia"/>
                <w:color w:val="auto"/>
                <w:highlight w:val="none"/>
              </w:rPr>
              <w:t>非专门</w:t>
            </w:r>
            <w:r>
              <w:rPr>
                <w:rFonts w:hint="eastAsia"/>
                <w:color w:val="auto"/>
                <w:highlight w:val="none"/>
                <w:lang w:val="en-US" w:eastAsia="zh-CN"/>
              </w:rPr>
              <w:t>面向</w:t>
            </w:r>
            <w:r>
              <w:rPr>
                <w:rFonts w:hint="eastAsia"/>
                <w:color w:val="auto"/>
                <w:highlight w:val="none"/>
              </w:rPr>
              <w:t>小企业采购</w:t>
            </w:r>
            <w:r>
              <w:rPr>
                <w:rFonts w:hint="eastAsia"/>
                <w:color w:val="auto"/>
                <w:highlight w:val="none"/>
                <w:lang w:val="en-US" w:eastAsia="zh-CN"/>
              </w:rPr>
              <w:t>项目</w:t>
            </w:r>
            <w:r>
              <w:rPr>
                <w:rFonts w:hint="eastAsia"/>
                <w:color w:val="auto"/>
                <w:highlight w:val="none"/>
              </w:rPr>
              <w:t>，小型、微型企业按要求提供《中小企业声明函》[若为货物类采购项目，其全部标的(产品)应均为小型、微型企业生产，并在声明函中分别列明与“投标内容及报价明细表”中对应的每一标的(产品)及其生产制造商情况]，符合要求者在评标时给予20%价格扣除，符合要求的监狱企业、残疾人福利性单位视同小型、微型企业，多重身份者不重复计算。</w:t>
            </w:r>
          </w:p>
        </w:tc>
      </w:tr>
      <w:tr w14:paraId="4176F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1A514203">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04F79754">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5FA0C049">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0387D2BC">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4ED725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7C28E064">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7FA582F5">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391991C2">
            <w:pPr>
              <w:spacing w:line="440" w:lineRule="exact"/>
              <w:jc w:val="center"/>
              <w:rPr>
                <w:rFonts w:ascii="宋体" w:hAnsi="宋体"/>
                <w:color w:val="auto"/>
                <w:highlight w:val="none"/>
              </w:rPr>
            </w:pPr>
            <w:r>
              <w:rPr>
                <w:rFonts w:hint="eastAsia" w:ascii="宋体" w:hAnsi="宋体"/>
                <w:color w:val="auto"/>
                <w:highlight w:val="none"/>
              </w:rPr>
              <w:t>企业业绩</w:t>
            </w:r>
          </w:p>
        </w:tc>
        <w:tc>
          <w:tcPr>
            <w:tcW w:w="701" w:type="dxa"/>
            <w:tcBorders>
              <w:top w:val="single" w:color="auto" w:sz="4" w:space="0"/>
              <w:left w:val="single" w:color="auto" w:sz="4" w:space="0"/>
              <w:bottom w:val="single" w:color="auto" w:sz="4" w:space="0"/>
              <w:right w:val="single" w:color="auto" w:sz="4" w:space="0"/>
            </w:tcBorders>
            <w:vAlign w:val="center"/>
          </w:tcPr>
          <w:p w14:paraId="2EE89105">
            <w:pPr>
              <w:spacing w:line="440" w:lineRule="exact"/>
              <w:jc w:val="center"/>
              <w:rPr>
                <w:rFonts w:ascii="宋体" w:hAnsi="宋体"/>
                <w:color w:val="auto"/>
                <w:highlight w:val="none"/>
              </w:rPr>
            </w:pPr>
            <w:r>
              <w:rPr>
                <w:rFonts w:hint="eastAsia" w:ascii="宋体" w:hAnsi="宋体"/>
                <w:color w:val="auto"/>
                <w:highlight w:val="none"/>
                <w:lang w:val="en-US" w:eastAsia="zh-CN"/>
              </w:rPr>
              <w:t>3分</w:t>
            </w:r>
          </w:p>
        </w:tc>
        <w:tc>
          <w:tcPr>
            <w:tcW w:w="4736" w:type="dxa"/>
            <w:tcBorders>
              <w:top w:val="single" w:color="auto" w:sz="4" w:space="0"/>
              <w:left w:val="single" w:color="auto" w:sz="4" w:space="0"/>
              <w:bottom w:val="single" w:color="auto" w:sz="4" w:space="0"/>
              <w:right w:val="single" w:color="auto" w:sz="4" w:space="0"/>
            </w:tcBorders>
            <w:vAlign w:val="center"/>
          </w:tcPr>
          <w:p w14:paraId="3C9A1E24">
            <w:pPr>
              <w:spacing w:line="440" w:lineRule="exact"/>
              <w:jc w:val="left"/>
              <w:rPr>
                <w:rFonts w:hint="eastAsia" w:ascii="宋体" w:hAnsi="宋体"/>
                <w:color w:val="auto"/>
                <w:szCs w:val="21"/>
                <w:highlight w:val="none"/>
              </w:rPr>
            </w:pPr>
            <w:r>
              <w:rPr>
                <w:rFonts w:hint="eastAsia" w:ascii="宋体" w:hAnsi="宋体"/>
                <w:color w:val="auto"/>
                <w:szCs w:val="21"/>
                <w:highlight w:val="none"/>
              </w:rPr>
              <w:t xml:space="preserve">    202</w:t>
            </w:r>
            <w:r>
              <w:rPr>
                <w:rFonts w:hint="eastAsia" w:ascii="宋体" w:hAnsi="宋体"/>
                <w:color w:val="auto"/>
                <w:szCs w:val="21"/>
                <w:highlight w:val="none"/>
                <w:lang w:val="en-US" w:eastAsia="zh-CN"/>
              </w:rPr>
              <w:t>2</w:t>
            </w:r>
            <w:r>
              <w:rPr>
                <w:rFonts w:hint="eastAsia" w:ascii="宋体" w:hAnsi="宋体"/>
                <w:color w:val="auto"/>
                <w:szCs w:val="21"/>
                <w:highlight w:val="none"/>
              </w:rPr>
              <w:t>年1月1日以来（签订日期）相同或类似项目业绩合同（须同时提供合同和对应的中标通知书原件扫描件，中标通知书上有公共资源交易部门盖章或提供法定网站中标公告网页截图）。</w:t>
            </w:r>
          </w:p>
          <w:p w14:paraId="4FA1326D">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lang w:val="en-US" w:eastAsia="zh-CN"/>
              </w:rPr>
              <w:t>1.5</w:t>
            </w:r>
            <w:r>
              <w:rPr>
                <w:rFonts w:hint="eastAsia" w:ascii="宋体" w:hAnsi="宋体"/>
                <w:color w:val="auto"/>
                <w:szCs w:val="21"/>
                <w:highlight w:val="none"/>
              </w:rPr>
              <w:t>分。</w:t>
            </w:r>
          </w:p>
        </w:tc>
      </w:tr>
      <w:tr w14:paraId="7E223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70046D21">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45A3E091">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1FD91122">
            <w:pPr>
              <w:spacing w:line="440" w:lineRule="exact"/>
              <w:jc w:val="center"/>
              <w:rPr>
                <w:rFonts w:ascii="宋体" w:hAnsi="宋体"/>
                <w:color w:val="auto"/>
                <w:highlight w:val="none"/>
              </w:rPr>
            </w:pPr>
            <w:r>
              <w:rPr>
                <w:rFonts w:hint="eastAsia" w:ascii="宋体" w:hAnsi="宋体"/>
                <w:color w:val="auto"/>
                <w:highlight w:val="none"/>
              </w:rPr>
              <w:t>企业实力</w:t>
            </w:r>
          </w:p>
        </w:tc>
        <w:tc>
          <w:tcPr>
            <w:tcW w:w="701" w:type="dxa"/>
            <w:tcBorders>
              <w:top w:val="single" w:color="auto" w:sz="4" w:space="0"/>
              <w:left w:val="single" w:color="auto" w:sz="4" w:space="0"/>
              <w:bottom w:val="single" w:color="auto" w:sz="4" w:space="0"/>
              <w:right w:val="single" w:color="auto" w:sz="4" w:space="0"/>
            </w:tcBorders>
            <w:vAlign w:val="center"/>
          </w:tcPr>
          <w:p w14:paraId="1049E6D0">
            <w:pPr>
              <w:spacing w:line="440" w:lineRule="exact"/>
              <w:jc w:val="center"/>
              <w:rPr>
                <w:rFonts w:ascii="宋体" w:hAnsi="宋体"/>
                <w:color w:val="auto"/>
                <w:highlight w:val="none"/>
              </w:rPr>
            </w:pPr>
            <w:r>
              <w:rPr>
                <w:rFonts w:hint="eastAsia" w:ascii="宋体" w:hAnsi="宋体"/>
                <w:color w:val="auto"/>
                <w:highlight w:val="none"/>
                <w:lang w:val="en-US" w:eastAsia="zh-CN"/>
              </w:rPr>
              <w:t>10分</w:t>
            </w:r>
          </w:p>
        </w:tc>
        <w:tc>
          <w:tcPr>
            <w:tcW w:w="4736" w:type="dxa"/>
            <w:tcBorders>
              <w:top w:val="single" w:color="auto" w:sz="4" w:space="0"/>
              <w:left w:val="single" w:color="auto" w:sz="4" w:space="0"/>
              <w:bottom w:val="single" w:color="auto" w:sz="4" w:space="0"/>
              <w:right w:val="single" w:color="auto" w:sz="4" w:space="0"/>
            </w:tcBorders>
            <w:vAlign w:val="center"/>
          </w:tcPr>
          <w:p w14:paraId="7E904815">
            <w:pPr>
              <w:numPr>
                <w:ilvl w:val="0"/>
                <w:numId w:val="6"/>
              </w:numPr>
              <w:spacing w:line="440" w:lineRule="exact"/>
              <w:ind w:firstLine="420" w:firstLineChars="200"/>
              <w:jc w:val="left"/>
              <w:rPr>
                <w:rFonts w:hint="eastAsia"/>
                <w:color w:val="auto"/>
                <w:highlight w:val="none"/>
              </w:rPr>
            </w:pPr>
            <w:r>
              <w:rPr>
                <w:rFonts w:hint="eastAsia"/>
                <w:color w:val="auto"/>
                <w:highlight w:val="none"/>
              </w:rPr>
              <w:t>投标人具有有效的ISO9001质量管理体系认证</w:t>
            </w:r>
            <w:r>
              <w:rPr>
                <w:rFonts w:hint="eastAsia"/>
                <w:color w:val="auto"/>
                <w:highlight w:val="none"/>
                <w:lang w:eastAsia="zh-CN"/>
              </w:rPr>
              <w:t>，</w:t>
            </w:r>
            <w:r>
              <w:rPr>
                <w:rFonts w:hint="eastAsia"/>
                <w:color w:val="auto"/>
                <w:highlight w:val="none"/>
                <w:lang w:val="en-US" w:eastAsia="zh-CN"/>
              </w:rPr>
              <w:t>得2分；</w:t>
            </w:r>
          </w:p>
          <w:p w14:paraId="0E3A17A5">
            <w:pPr>
              <w:numPr>
                <w:ilvl w:val="0"/>
                <w:numId w:val="6"/>
              </w:numPr>
              <w:spacing w:line="440" w:lineRule="exact"/>
              <w:ind w:firstLine="420" w:firstLineChars="200"/>
              <w:jc w:val="left"/>
              <w:rPr>
                <w:rFonts w:hint="eastAsia"/>
                <w:color w:val="auto"/>
                <w:highlight w:val="none"/>
              </w:rPr>
            </w:pPr>
            <w:r>
              <w:rPr>
                <w:rFonts w:hint="eastAsia"/>
                <w:color w:val="auto"/>
                <w:highlight w:val="none"/>
              </w:rPr>
              <w:t>投标人具有有效的ISO14001环境管理体系认证</w:t>
            </w:r>
            <w:r>
              <w:rPr>
                <w:rFonts w:hint="eastAsia"/>
                <w:color w:val="auto"/>
                <w:highlight w:val="none"/>
                <w:lang w:eastAsia="zh-CN"/>
              </w:rPr>
              <w:t>，</w:t>
            </w:r>
            <w:r>
              <w:rPr>
                <w:rFonts w:hint="eastAsia"/>
                <w:color w:val="auto"/>
                <w:highlight w:val="none"/>
                <w:lang w:val="en-US" w:eastAsia="zh-CN"/>
              </w:rPr>
              <w:t>得2分；</w:t>
            </w:r>
          </w:p>
          <w:p w14:paraId="2B1083B5">
            <w:pPr>
              <w:numPr>
                <w:ilvl w:val="0"/>
                <w:numId w:val="6"/>
              </w:numPr>
              <w:spacing w:line="440" w:lineRule="exact"/>
              <w:ind w:firstLine="420" w:firstLineChars="200"/>
              <w:jc w:val="left"/>
              <w:rPr>
                <w:rFonts w:hint="eastAsia"/>
                <w:color w:val="auto"/>
                <w:highlight w:val="none"/>
              </w:rPr>
            </w:pPr>
            <w:r>
              <w:rPr>
                <w:rFonts w:hint="eastAsia"/>
                <w:color w:val="auto"/>
                <w:highlight w:val="none"/>
              </w:rPr>
              <w:t>投标人具有有效的ISO45001职业健康安全管理体系认证</w:t>
            </w:r>
            <w:r>
              <w:rPr>
                <w:rFonts w:hint="eastAsia"/>
                <w:color w:val="auto"/>
                <w:highlight w:val="none"/>
                <w:lang w:eastAsia="zh-CN"/>
              </w:rPr>
              <w:t>，</w:t>
            </w:r>
            <w:r>
              <w:rPr>
                <w:rFonts w:hint="eastAsia"/>
                <w:color w:val="auto"/>
                <w:highlight w:val="none"/>
                <w:lang w:val="en-US" w:eastAsia="zh-CN"/>
              </w:rPr>
              <w:t>得2分；</w:t>
            </w:r>
          </w:p>
          <w:p w14:paraId="0CA0C48F">
            <w:pPr>
              <w:spacing w:line="44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4</w:t>
            </w:r>
            <w:r>
              <w:rPr>
                <w:rFonts w:hint="eastAsia" w:ascii="宋体" w:hAnsi="宋体"/>
                <w:color w:val="auto"/>
                <w:szCs w:val="21"/>
                <w:highlight w:val="none"/>
              </w:rPr>
              <w:t>、投标人具有有效的ISO27001信息安全管理体系认证证书</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得2分</w:t>
            </w:r>
          </w:p>
          <w:p w14:paraId="15FC524D">
            <w:pPr>
              <w:spacing w:line="44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5</w:t>
            </w:r>
            <w:r>
              <w:rPr>
                <w:rFonts w:hint="eastAsia" w:ascii="宋体" w:hAnsi="宋体"/>
                <w:color w:val="auto"/>
                <w:szCs w:val="21"/>
                <w:highlight w:val="none"/>
              </w:rPr>
              <w:t>、投标人具有有效的信息安全服务资质认证证书（CCRC），且证书包含信息系统安全集成服务资质</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得2分。</w:t>
            </w:r>
          </w:p>
          <w:p w14:paraId="7B01C6BE">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评审标准：每项提供有效的证书原件扫描件和“全国认证认可信息公共服务平台”对应证书信息网络截图</w:t>
            </w:r>
            <w:r>
              <w:rPr>
                <w:rFonts w:hint="eastAsia" w:ascii="宋体" w:hAnsi="宋体"/>
                <w:color w:val="auto"/>
                <w:szCs w:val="21"/>
                <w:highlight w:val="none"/>
                <w:lang w:eastAsia="zh-CN"/>
              </w:rPr>
              <w:t>。</w:t>
            </w:r>
          </w:p>
        </w:tc>
      </w:tr>
      <w:tr w14:paraId="0E6F31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13BFDC5B">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7538AD14">
            <w:pPr>
              <w:spacing w:line="440" w:lineRule="exact"/>
              <w:jc w:val="center"/>
              <w:rPr>
                <w:rFonts w:ascii="宋体" w:hAnsi="宋体"/>
                <w:color w:val="auto"/>
                <w:highlight w:val="none"/>
              </w:rPr>
            </w:pPr>
          </w:p>
        </w:tc>
        <w:tc>
          <w:tcPr>
            <w:tcW w:w="1583" w:type="dxa"/>
            <w:vMerge w:val="restart"/>
            <w:tcBorders>
              <w:top w:val="single" w:color="auto" w:sz="4" w:space="0"/>
              <w:left w:val="single" w:color="auto" w:sz="4" w:space="0"/>
              <w:right w:val="single" w:color="auto" w:sz="4" w:space="0"/>
            </w:tcBorders>
            <w:vAlign w:val="center"/>
          </w:tcPr>
          <w:p w14:paraId="7DD19ED8">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tc>
        <w:tc>
          <w:tcPr>
            <w:tcW w:w="701" w:type="dxa"/>
            <w:tcBorders>
              <w:top w:val="single" w:color="auto" w:sz="4" w:space="0"/>
              <w:left w:val="single" w:color="auto" w:sz="4" w:space="0"/>
              <w:bottom w:val="single" w:color="auto" w:sz="4" w:space="0"/>
              <w:right w:val="single" w:color="auto" w:sz="4" w:space="0"/>
            </w:tcBorders>
            <w:vAlign w:val="center"/>
          </w:tcPr>
          <w:p w14:paraId="5853CC95">
            <w:pPr>
              <w:spacing w:line="440" w:lineRule="exact"/>
              <w:jc w:val="center"/>
              <w:rPr>
                <w:rFonts w:ascii="宋体" w:hAnsi="宋体"/>
                <w:color w:val="auto"/>
                <w:highlight w:val="none"/>
              </w:rPr>
            </w:pPr>
            <w:r>
              <w:rPr>
                <w:rFonts w:hint="eastAsia" w:ascii="宋体" w:hAnsi="宋体"/>
                <w:color w:val="auto"/>
                <w:highlight w:val="none"/>
                <w:lang w:val="en-US" w:eastAsia="zh-CN"/>
              </w:rPr>
              <w:t>8分</w:t>
            </w:r>
          </w:p>
        </w:tc>
        <w:tc>
          <w:tcPr>
            <w:tcW w:w="4736" w:type="dxa"/>
            <w:tcBorders>
              <w:top w:val="single" w:color="auto" w:sz="4" w:space="0"/>
              <w:left w:val="single" w:color="auto" w:sz="4" w:space="0"/>
              <w:bottom w:val="single" w:color="auto" w:sz="4" w:space="0"/>
              <w:right w:val="single" w:color="auto" w:sz="4" w:space="0"/>
            </w:tcBorders>
            <w:vAlign w:val="center"/>
          </w:tcPr>
          <w:p w14:paraId="7607634D">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结合“第五章招标内容及商务技术要求  二、总体要求”内容，编制质保期内和质保期外售后服务方案（内容、形式、标准），包括但不限于以下内容：</w:t>
            </w:r>
            <w:r>
              <w:rPr>
                <w:rFonts w:hint="eastAsia" w:ascii="宋体" w:hAnsi="宋体"/>
                <w:color w:val="auto"/>
                <w:szCs w:val="21"/>
                <w:highlight w:val="none"/>
                <w:lang w:val="en-US" w:eastAsia="zh-CN"/>
              </w:rPr>
              <w:t>质量保证期内（含承诺的延长期）售后服务团队、</w:t>
            </w:r>
            <w:r>
              <w:rPr>
                <w:rFonts w:hint="eastAsia" w:ascii="宋体" w:hAnsi="宋体"/>
                <w:color w:val="auto"/>
                <w:szCs w:val="21"/>
                <w:highlight w:val="none"/>
              </w:rPr>
              <w:t>免费安装调试、免费上门服务、免费人员培训、故障响应时间、维护周期以及其他可能延伸的服务内容。</w:t>
            </w:r>
          </w:p>
          <w:p w14:paraId="29328BA2">
            <w:pPr>
              <w:pStyle w:val="2"/>
              <w:rPr>
                <w:rFonts w:hint="eastAsia"/>
                <w:color w:val="auto"/>
                <w:highlight w:val="none"/>
                <w:lang w:val="en-US" w:eastAsia="zh-CN"/>
              </w:rPr>
            </w:pPr>
            <w:r>
              <w:rPr>
                <w:rFonts w:hint="eastAsia" w:ascii="宋体" w:hAnsi="宋体"/>
                <w:color w:val="auto"/>
                <w:szCs w:val="21"/>
                <w:highlight w:val="none"/>
                <w:lang w:val="en-US" w:eastAsia="zh-CN"/>
              </w:rPr>
              <w:t>评审标准：</w:t>
            </w:r>
          </w:p>
          <w:p w14:paraId="69BF014B">
            <w:pPr>
              <w:spacing w:line="440" w:lineRule="exact"/>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售后服务团队配备人员力量强，</w:t>
            </w:r>
            <w:r>
              <w:rPr>
                <w:rFonts w:hint="eastAsia" w:ascii="宋体" w:hAnsi="宋体"/>
                <w:color w:val="auto"/>
                <w:szCs w:val="21"/>
                <w:highlight w:val="none"/>
              </w:rPr>
              <w:t>服务方案内容充实、全面、科学、合理，有针对性，可行性强，能充分满足采购人的服务需求。得</w:t>
            </w:r>
            <w:r>
              <w:rPr>
                <w:rFonts w:hint="eastAsia" w:ascii="宋体" w:hAnsi="宋体"/>
                <w:color w:val="auto"/>
                <w:szCs w:val="21"/>
                <w:highlight w:val="none"/>
                <w:lang w:val="en-US" w:eastAsia="zh-CN"/>
              </w:rPr>
              <w:t>8</w:t>
            </w:r>
            <w:r>
              <w:rPr>
                <w:rFonts w:hint="eastAsia" w:ascii="宋体" w:hAnsi="宋体"/>
                <w:color w:val="auto"/>
                <w:szCs w:val="21"/>
                <w:highlight w:val="none"/>
              </w:rPr>
              <w:t>分。</w:t>
            </w:r>
          </w:p>
          <w:p w14:paraId="6F906BC2">
            <w:pPr>
              <w:spacing w:line="440" w:lineRule="exact"/>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售后服务团队完备，</w:t>
            </w:r>
            <w:r>
              <w:rPr>
                <w:rFonts w:hint="eastAsia" w:ascii="宋体" w:hAnsi="宋体"/>
                <w:color w:val="auto"/>
                <w:szCs w:val="21"/>
                <w:highlight w:val="none"/>
              </w:rPr>
              <w:t>服务方案合理可行，内容较为全面，能满足项目服务需求。得</w:t>
            </w:r>
            <w:r>
              <w:rPr>
                <w:rFonts w:hint="eastAsia" w:ascii="宋体" w:hAnsi="宋体"/>
                <w:color w:val="auto"/>
                <w:szCs w:val="21"/>
                <w:highlight w:val="none"/>
                <w:lang w:val="en-US" w:eastAsia="zh-CN"/>
              </w:rPr>
              <w:t>6</w:t>
            </w:r>
            <w:r>
              <w:rPr>
                <w:rFonts w:hint="eastAsia" w:ascii="宋体" w:hAnsi="宋体"/>
                <w:color w:val="auto"/>
                <w:szCs w:val="21"/>
                <w:highlight w:val="none"/>
              </w:rPr>
              <w:t>分。</w:t>
            </w:r>
          </w:p>
          <w:p w14:paraId="60371B50">
            <w:pPr>
              <w:spacing w:line="440" w:lineRule="exact"/>
              <w:jc w:val="left"/>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售后服务团队能满足要求，</w:t>
            </w:r>
            <w:r>
              <w:rPr>
                <w:rFonts w:hint="eastAsia" w:ascii="宋体" w:hAnsi="宋体"/>
                <w:color w:val="auto"/>
                <w:szCs w:val="21"/>
                <w:highlight w:val="none"/>
              </w:rPr>
              <w:t>方案完整，内容简单，针对性不强。得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02D64799">
            <w:pPr>
              <w:spacing w:line="440" w:lineRule="exact"/>
              <w:jc w:val="left"/>
              <w:rPr>
                <w:rFonts w:ascii="宋体" w:hAnsi="宋体"/>
                <w:color w:val="auto"/>
                <w:szCs w:val="21"/>
                <w:highlight w:val="none"/>
                <w:u w:val="single"/>
              </w:rPr>
            </w:pPr>
            <w:r>
              <w:rPr>
                <w:rFonts w:hint="eastAsia" w:ascii="宋体" w:hAnsi="宋体"/>
                <w:color w:val="auto"/>
                <w:szCs w:val="21"/>
                <w:highlight w:val="none"/>
              </w:rPr>
              <w:t>4、方案不完善，内容缺乏，可行性不强。得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tc>
      </w:tr>
      <w:tr w14:paraId="39C4B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1BED381F">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495881BF">
            <w:pPr>
              <w:spacing w:line="440" w:lineRule="exact"/>
              <w:jc w:val="center"/>
              <w:rPr>
                <w:rFonts w:ascii="宋体" w:hAnsi="宋体"/>
                <w:color w:val="auto"/>
                <w:highlight w:val="none"/>
              </w:rPr>
            </w:pPr>
          </w:p>
        </w:tc>
        <w:tc>
          <w:tcPr>
            <w:tcW w:w="1583" w:type="dxa"/>
            <w:vMerge w:val="continue"/>
            <w:tcBorders>
              <w:left w:val="single" w:color="auto" w:sz="4" w:space="0"/>
              <w:right w:val="single" w:color="auto" w:sz="4" w:space="0"/>
            </w:tcBorders>
            <w:vAlign w:val="center"/>
          </w:tcPr>
          <w:p w14:paraId="574EEDB7">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14:paraId="04F6FFD7">
            <w:pPr>
              <w:spacing w:line="440" w:lineRule="exact"/>
              <w:jc w:val="center"/>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分</w:t>
            </w:r>
          </w:p>
        </w:tc>
        <w:tc>
          <w:tcPr>
            <w:tcW w:w="4736" w:type="dxa"/>
            <w:tcBorders>
              <w:top w:val="single" w:color="auto" w:sz="4" w:space="0"/>
              <w:left w:val="single" w:color="auto" w:sz="4" w:space="0"/>
              <w:bottom w:val="single" w:color="auto" w:sz="4" w:space="0"/>
              <w:right w:val="single" w:color="auto" w:sz="4" w:space="0"/>
            </w:tcBorders>
            <w:vAlign w:val="center"/>
          </w:tcPr>
          <w:p w14:paraId="3124A723">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延长质量保证期承诺。</w:t>
            </w:r>
          </w:p>
          <w:p w14:paraId="382F12DC">
            <w:pPr>
              <w:spacing w:line="440" w:lineRule="exact"/>
              <w:jc w:val="left"/>
              <w:rPr>
                <w:rFonts w:ascii="宋体" w:hAnsi="宋体"/>
                <w:color w:val="auto"/>
                <w:szCs w:val="21"/>
                <w:highlight w:val="none"/>
              </w:rPr>
            </w:pPr>
            <w:r>
              <w:rPr>
                <w:rFonts w:hint="eastAsia" w:ascii="宋体" w:hAnsi="宋体"/>
                <w:color w:val="auto"/>
                <w:szCs w:val="21"/>
                <w:highlight w:val="none"/>
              </w:rPr>
              <w:t>评审标准：在响应2年质量保证期要求的基础上</w:t>
            </w:r>
            <w:r>
              <w:rPr>
                <w:rFonts w:hint="eastAsia" w:ascii="宋体" w:hAnsi="宋体"/>
                <w:color w:val="auto"/>
                <w:szCs w:val="21"/>
                <w:highlight w:val="none"/>
                <w:lang w:val="en-US" w:eastAsia="zh-CN"/>
              </w:rPr>
              <w:t>每</w:t>
            </w:r>
            <w:r>
              <w:rPr>
                <w:rFonts w:hint="eastAsia" w:ascii="宋体" w:hAnsi="宋体"/>
                <w:color w:val="auto"/>
                <w:szCs w:val="21"/>
                <w:highlight w:val="none"/>
              </w:rPr>
              <w:t>延长1年得</w:t>
            </w:r>
            <w:r>
              <w:rPr>
                <w:rFonts w:hint="eastAsia" w:ascii="宋体" w:hAnsi="宋体"/>
                <w:color w:val="auto"/>
                <w:szCs w:val="21"/>
                <w:highlight w:val="none"/>
                <w:lang w:val="en-US" w:eastAsia="zh-CN"/>
              </w:rPr>
              <w:t>1</w:t>
            </w:r>
            <w:r>
              <w:rPr>
                <w:rFonts w:hint="eastAsia" w:ascii="宋体" w:hAnsi="宋体"/>
                <w:color w:val="auto"/>
                <w:szCs w:val="21"/>
                <w:highlight w:val="none"/>
              </w:rPr>
              <w:t>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最高3分</w:t>
            </w:r>
            <w:r>
              <w:rPr>
                <w:rFonts w:hint="eastAsia" w:ascii="宋体" w:hAnsi="宋体"/>
                <w:color w:val="auto"/>
                <w:szCs w:val="21"/>
                <w:highlight w:val="none"/>
              </w:rPr>
              <w:t>。</w:t>
            </w:r>
          </w:p>
        </w:tc>
      </w:tr>
      <w:tr w14:paraId="66414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DDCA7F9">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3FE7E78B">
            <w:pPr>
              <w:spacing w:line="440" w:lineRule="exact"/>
              <w:jc w:val="center"/>
              <w:rPr>
                <w:rFonts w:ascii="宋体" w:hAnsi="宋体"/>
                <w:color w:val="auto"/>
                <w:highlight w:val="none"/>
              </w:rPr>
            </w:pPr>
          </w:p>
        </w:tc>
        <w:tc>
          <w:tcPr>
            <w:tcW w:w="1583" w:type="dxa"/>
            <w:vMerge w:val="continue"/>
            <w:tcBorders>
              <w:left w:val="single" w:color="auto" w:sz="4" w:space="0"/>
              <w:bottom w:val="single" w:color="auto" w:sz="4" w:space="0"/>
              <w:right w:val="single" w:color="auto" w:sz="4" w:space="0"/>
            </w:tcBorders>
            <w:vAlign w:val="center"/>
          </w:tcPr>
          <w:p w14:paraId="64D9B6C0">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058880DE">
            <w:pPr>
              <w:spacing w:line="440" w:lineRule="exac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rPr>
              <w:t>2分</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5476B4EC">
            <w:pPr>
              <w:spacing w:line="440" w:lineRule="exact"/>
              <w:ind w:firstLine="420" w:firstLineChars="200"/>
              <w:jc w:val="left"/>
              <w:rPr>
                <w:rFonts w:hint="eastAsia" w:ascii="宋体" w:hAnsi="宋体" w:eastAsia="宋体" w:cs="Times New Roman"/>
                <w:color w:val="auto"/>
                <w:kern w:val="2"/>
                <w:sz w:val="21"/>
                <w:szCs w:val="21"/>
                <w:highlight w:val="none"/>
                <w:u w:val="single"/>
                <w:lang w:val="en-US" w:eastAsia="zh-CN" w:bidi="ar-SA"/>
              </w:rPr>
            </w:pPr>
            <w:r>
              <w:rPr>
                <w:rFonts w:hint="eastAsia" w:ascii="宋体" w:hAnsi="宋体"/>
                <w:color w:val="auto"/>
                <w:szCs w:val="21"/>
                <w:highlight w:val="none"/>
                <w:lang w:eastAsia="zh-CN"/>
              </w:rPr>
              <w:t>项目负责人</w:t>
            </w:r>
            <w:r>
              <w:rPr>
                <w:rFonts w:hint="eastAsia" w:ascii="宋体" w:hAnsi="宋体"/>
                <w:color w:val="auto"/>
                <w:szCs w:val="21"/>
                <w:highlight w:val="none"/>
              </w:rPr>
              <w:t>和技术负责人在项目施工安装期间，承诺能够履行职责并出具勤勉尽责承诺书，内容包括但不限于以下内容：具备完成本项目施工的专业能力和经验、每月常驻工地不少于25天等（格式自拟，需有个人签字及单位盖章），每份承诺得1分，满分为2分。</w:t>
            </w:r>
          </w:p>
        </w:tc>
      </w:tr>
      <w:tr w14:paraId="796841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5609CF41">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765850A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5966EA2F">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优先采购</w:t>
            </w:r>
          </w:p>
        </w:tc>
        <w:tc>
          <w:tcPr>
            <w:tcW w:w="701" w:type="dxa"/>
            <w:tcBorders>
              <w:top w:val="single" w:color="auto" w:sz="4" w:space="0"/>
              <w:left w:val="single" w:color="auto" w:sz="4" w:space="0"/>
              <w:bottom w:val="single" w:color="auto" w:sz="4" w:space="0"/>
              <w:right w:val="single" w:color="auto" w:sz="4" w:space="0"/>
            </w:tcBorders>
            <w:vAlign w:val="center"/>
          </w:tcPr>
          <w:p w14:paraId="60E968D5">
            <w:pPr>
              <w:spacing w:line="440" w:lineRule="exact"/>
              <w:jc w:val="left"/>
              <w:rPr>
                <w:rFonts w:ascii="宋体" w:hAnsi="宋体"/>
                <w:color w:val="auto"/>
                <w:highlight w:val="none"/>
              </w:rPr>
            </w:pPr>
            <w:r>
              <w:rPr>
                <w:rFonts w:hint="eastAsia" w:ascii="宋体" w:hAnsi="宋体"/>
                <w:color w:val="auto"/>
                <w:szCs w:val="21"/>
                <w:highlight w:val="none"/>
                <w:lang w:val="en-US" w:eastAsia="zh-CN"/>
              </w:rPr>
              <w:t>2分</w:t>
            </w:r>
          </w:p>
        </w:tc>
        <w:tc>
          <w:tcPr>
            <w:tcW w:w="4736" w:type="dxa"/>
            <w:tcBorders>
              <w:top w:val="single" w:color="auto" w:sz="4" w:space="0"/>
              <w:left w:val="single" w:color="auto" w:sz="4" w:space="0"/>
              <w:bottom w:val="single" w:color="auto" w:sz="4" w:space="0"/>
              <w:right w:val="single" w:color="auto" w:sz="4" w:space="0"/>
            </w:tcBorders>
            <w:vAlign w:val="center"/>
          </w:tcPr>
          <w:p w14:paraId="05B784F8">
            <w:pPr>
              <w:spacing w:line="44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lang w:eastAsia="zh-CN"/>
              </w:rPr>
              <w:t>投标人所投产品为节能、环保优先采购产品，</w:t>
            </w:r>
            <w:r>
              <w:rPr>
                <w:rFonts w:hint="eastAsia" w:ascii="宋体" w:hAnsi="宋体"/>
                <w:color w:val="auto"/>
                <w:szCs w:val="21"/>
                <w:highlight w:val="none"/>
                <w:lang w:val="en-US" w:eastAsia="zh-CN"/>
              </w:rPr>
              <w:t>并提供</w:t>
            </w:r>
            <w:r>
              <w:rPr>
                <w:rFonts w:hint="eastAsia" w:ascii="宋体" w:hAnsi="宋体"/>
                <w:color w:val="auto"/>
                <w:szCs w:val="21"/>
                <w:highlight w:val="none"/>
                <w:lang w:eastAsia="zh-CN"/>
              </w:rPr>
              <w:t>节能、环保认证证书</w:t>
            </w:r>
            <w:r>
              <w:rPr>
                <w:rFonts w:hint="eastAsia" w:ascii="宋体" w:hAnsi="宋体"/>
                <w:color w:val="auto"/>
                <w:szCs w:val="21"/>
                <w:highlight w:val="none"/>
                <w:lang w:val="en-US" w:eastAsia="zh-CN"/>
              </w:rPr>
              <w:t>原件扫描件</w:t>
            </w:r>
            <w:r>
              <w:rPr>
                <w:rFonts w:hint="eastAsia" w:ascii="宋体" w:hAnsi="宋体"/>
                <w:color w:val="auto"/>
                <w:szCs w:val="21"/>
                <w:highlight w:val="none"/>
                <w:lang w:eastAsia="zh-CN"/>
              </w:rPr>
              <w:t>。</w:t>
            </w:r>
          </w:p>
          <w:p w14:paraId="5C36DBC8">
            <w:pPr>
              <w:spacing w:line="440" w:lineRule="exact"/>
              <w:ind w:left="360"/>
              <w:rPr>
                <w:rFonts w:hint="eastAsia" w:ascii="宋体" w:hAnsi="宋体"/>
                <w:color w:val="auto"/>
                <w:szCs w:val="21"/>
                <w:highlight w:val="none"/>
              </w:rPr>
            </w:pPr>
            <w:r>
              <w:rPr>
                <w:rFonts w:hint="eastAsia" w:ascii="宋体" w:hAnsi="宋体"/>
                <w:color w:val="auto"/>
                <w:szCs w:val="21"/>
                <w:highlight w:val="none"/>
              </w:rPr>
              <w:t>评审标准：</w:t>
            </w:r>
          </w:p>
          <w:p w14:paraId="0E9EB6BE">
            <w:pPr>
              <w:spacing w:line="440" w:lineRule="exact"/>
              <w:ind w:firstLine="420" w:firstLineChars="200"/>
              <w:jc w:val="left"/>
              <w:rPr>
                <w:rFonts w:hint="eastAsia" w:ascii="宋体" w:hAnsi="宋体"/>
                <w:color w:val="auto"/>
                <w:szCs w:val="21"/>
                <w:highlight w:val="none"/>
                <w:lang w:eastAsia="zh-CN"/>
              </w:rPr>
            </w:pPr>
            <w:r>
              <w:rPr>
                <w:rFonts w:hint="eastAsia" w:ascii="宋体" w:hAnsi="宋体"/>
                <w:color w:val="auto"/>
                <w:szCs w:val="21"/>
                <w:highlight w:val="none"/>
                <w:lang w:eastAsia="zh-CN"/>
              </w:rPr>
              <w:t>每提供一项加0.5分，最多加2分。</w:t>
            </w:r>
          </w:p>
          <w:p w14:paraId="05E0168D">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lang w:eastAsia="zh-CN"/>
              </w:rPr>
              <w:t>注：强制采购产品不加分。</w:t>
            </w:r>
          </w:p>
        </w:tc>
      </w:tr>
      <w:tr w14:paraId="628619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5F65748B">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01C82C05">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73468D2B">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5F0E62D1">
            <w:pPr>
              <w:spacing w:line="440" w:lineRule="exact"/>
              <w:jc w:val="center"/>
              <w:rPr>
                <w:rFonts w:ascii="宋体" w:hAnsi="宋体"/>
                <w:color w:val="auto"/>
                <w:highlight w:val="none"/>
              </w:rPr>
            </w:pPr>
            <w:r>
              <w:rPr>
                <w:rFonts w:hint="eastAsia" w:ascii="宋体" w:hAnsi="宋体"/>
                <w:color w:val="auto"/>
                <w:highlight w:val="none"/>
              </w:rPr>
              <w:t>2</w:t>
            </w:r>
            <w:r>
              <w:rPr>
                <w:rFonts w:hint="eastAsia" w:ascii="宋体" w:hAnsi="宋体"/>
                <w:color w:val="auto"/>
                <w:highlight w:val="none"/>
                <w:lang w:val="en-US" w:eastAsia="zh-CN"/>
              </w:rPr>
              <w:t>6</w:t>
            </w:r>
            <w:r>
              <w:rPr>
                <w:rFonts w:hint="eastAsia" w:ascii="宋体" w:hAnsi="宋体"/>
                <w:color w:val="auto"/>
                <w:highlight w:val="none"/>
              </w:rPr>
              <w:t>分</w:t>
            </w:r>
          </w:p>
        </w:tc>
        <w:tc>
          <w:tcPr>
            <w:tcW w:w="4736" w:type="dxa"/>
            <w:tcBorders>
              <w:top w:val="single" w:color="auto" w:sz="4" w:space="0"/>
              <w:left w:val="single" w:color="auto" w:sz="4" w:space="0"/>
              <w:right w:val="single" w:color="auto" w:sz="4" w:space="0"/>
            </w:tcBorders>
            <w:vAlign w:val="center"/>
          </w:tcPr>
          <w:p w14:paraId="011498DE">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根据投标文件中“投标内容及报价明细表”中投标产品技术内容并参考有关技术支持资料评审。</w:t>
            </w:r>
          </w:p>
          <w:p w14:paraId="52032EE4">
            <w:pPr>
              <w:spacing w:line="440" w:lineRule="exact"/>
              <w:ind w:left="360"/>
              <w:rPr>
                <w:rFonts w:hint="eastAsia" w:ascii="宋体" w:hAnsi="宋体"/>
                <w:color w:val="auto"/>
                <w:szCs w:val="21"/>
                <w:highlight w:val="none"/>
              </w:rPr>
            </w:pPr>
            <w:r>
              <w:rPr>
                <w:rFonts w:hint="eastAsia" w:ascii="宋体" w:hAnsi="宋体"/>
                <w:color w:val="auto"/>
                <w:szCs w:val="21"/>
                <w:highlight w:val="none"/>
              </w:rPr>
              <w:t>评审标准：</w:t>
            </w:r>
          </w:p>
          <w:p w14:paraId="615C8DF9">
            <w:pPr>
              <w:spacing w:line="440" w:lineRule="exact"/>
              <w:ind w:firstLine="420" w:firstLineChars="200"/>
              <w:rPr>
                <w:rFonts w:hint="eastAsia" w:ascii="宋体" w:hAnsi="宋体"/>
                <w:color w:val="auto"/>
                <w:szCs w:val="21"/>
                <w:highlight w:val="none"/>
              </w:rPr>
            </w:pPr>
            <w:r>
              <w:rPr>
                <w:rFonts w:hint="eastAsia" w:ascii="Calibri" w:hAnsi="Calibri" w:cs="Calibri"/>
                <w:color w:val="auto"/>
                <w:szCs w:val="21"/>
                <w:highlight w:val="none"/>
              </w:rPr>
              <w:t>1、</w:t>
            </w:r>
            <w:r>
              <w:rPr>
                <w:rFonts w:hint="eastAsia" w:ascii="宋体" w:hAnsi="宋体"/>
                <w:color w:val="auto"/>
                <w:szCs w:val="21"/>
                <w:highlight w:val="none"/>
              </w:rPr>
              <w:t>技术指标均满足项目需求，得满分。</w:t>
            </w:r>
          </w:p>
          <w:p w14:paraId="02051196">
            <w:pPr>
              <w:tabs>
                <w:tab w:val="left" w:pos="0"/>
                <w:tab w:val="left" w:pos="417"/>
              </w:tabs>
              <w:spacing w:line="440" w:lineRule="exact"/>
              <w:ind w:firstLine="420" w:firstLineChars="200"/>
              <w:rPr>
                <w:rFonts w:hint="eastAsia" w:ascii="宋体" w:hAnsi="宋体"/>
                <w:color w:val="auto"/>
                <w:szCs w:val="21"/>
                <w:highlight w:val="none"/>
              </w:rPr>
            </w:pPr>
            <w:r>
              <w:rPr>
                <w:rFonts w:hint="eastAsia" w:ascii="Calibri" w:hAnsi="Calibri" w:cs="Calibri"/>
                <w:color w:val="auto"/>
                <w:szCs w:val="21"/>
                <w:highlight w:val="none"/>
              </w:rPr>
              <w:t>2、</w:t>
            </w:r>
            <w:r>
              <w:rPr>
                <w:rFonts w:hint="eastAsia" w:ascii="宋体" w:hAnsi="宋体"/>
                <w:color w:val="auto"/>
                <w:szCs w:val="21"/>
                <w:highlight w:val="none"/>
              </w:rPr>
              <w:t>一般技术指标不满足要求，每出现一项扣</w:t>
            </w:r>
            <w:r>
              <w:rPr>
                <w:rFonts w:hint="eastAsia" w:ascii="宋体" w:hAnsi="宋体"/>
                <w:color w:val="auto"/>
                <w:szCs w:val="21"/>
                <w:highlight w:val="none"/>
                <w:u w:val="single"/>
              </w:rPr>
              <w:t xml:space="preserve"> 0.5 </w:t>
            </w:r>
            <w:r>
              <w:rPr>
                <w:rFonts w:hint="eastAsia" w:ascii="宋体" w:hAnsi="宋体"/>
                <w:color w:val="auto"/>
                <w:szCs w:val="21"/>
                <w:highlight w:val="none"/>
              </w:rPr>
              <w:t>分；</w:t>
            </w:r>
          </w:p>
          <w:p w14:paraId="1EC7BC4E">
            <w:pPr>
              <w:pStyle w:val="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pPr>
            <w:r>
              <w:rPr>
                <w:rFonts w:hint="eastAsia" w:ascii="Calibri" w:hAnsi="Calibri" w:cs="Calibri"/>
                <w:color w:val="auto"/>
                <w:szCs w:val="21"/>
                <w:highlight w:val="none"/>
              </w:rPr>
              <w:t>3、招标文件中</w:t>
            </w:r>
            <w:r>
              <w:rPr>
                <w:rFonts w:hint="eastAsia" w:ascii="Calibri" w:hAnsi="Calibri" w:cs="Calibri"/>
                <w:color w:val="auto"/>
                <w:szCs w:val="21"/>
                <w:highlight w:val="none"/>
                <w:lang w:val="en-US" w:eastAsia="zh-CN"/>
              </w:rPr>
              <w:t>加</w:t>
            </w:r>
            <w:r>
              <w:rPr>
                <w:rFonts w:hint="eastAsia" w:ascii="宋体" w:hAnsi="宋体"/>
                <w:color w:val="auto"/>
                <w:szCs w:val="21"/>
                <w:highlight w:val="none"/>
              </w:rPr>
              <w:t>“</w:t>
            </w:r>
            <w:r>
              <w:rPr>
                <w:rStyle w:val="56"/>
                <w:rFonts w:hint="default"/>
                <w:color w:val="auto"/>
                <w:sz w:val="21"/>
                <w:szCs w:val="21"/>
                <w:highlight w:val="none"/>
              </w:rPr>
              <w:t>★</w:t>
            </w:r>
            <w:r>
              <w:rPr>
                <w:rFonts w:hint="eastAsia" w:ascii="宋体" w:hAnsi="宋体"/>
                <w:color w:val="auto"/>
                <w:szCs w:val="21"/>
                <w:highlight w:val="none"/>
              </w:rPr>
              <w:t>”的主要技术指标不满足要求，每出现一项扣</w:t>
            </w:r>
            <w:r>
              <w:rPr>
                <w:rFonts w:hint="eastAsia" w:ascii="宋体" w:hAnsi="宋体"/>
                <w:color w:val="auto"/>
                <w:szCs w:val="21"/>
                <w:highlight w:val="none"/>
                <w:u w:val="single"/>
              </w:rPr>
              <w:t>　1　</w:t>
            </w:r>
            <w:r>
              <w:rPr>
                <w:rFonts w:hint="eastAsia" w:ascii="宋体" w:hAnsi="宋体"/>
                <w:color w:val="auto"/>
                <w:szCs w:val="21"/>
                <w:highlight w:val="none"/>
              </w:rPr>
              <w:t xml:space="preserve">分。 </w:t>
            </w:r>
          </w:p>
        </w:tc>
      </w:tr>
      <w:tr w14:paraId="5F841C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50FFA5A9">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1CC7DFB8">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4B8B67D9">
            <w:pPr>
              <w:spacing w:line="440" w:lineRule="exact"/>
              <w:jc w:val="center"/>
              <w:rPr>
                <w:rFonts w:ascii="宋体" w:hAnsi="宋体"/>
                <w:color w:val="auto"/>
                <w:highlight w:val="none"/>
              </w:rPr>
            </w:pPr>
            <w:r>
              <w:rPr>
                <w:rFonts w:hint="eastAsia" w:ascii="宋体" w:hAnsi="宋体"/>
                <w:color w:val="auto"/>
                <w:szCs w:val="21"/>
                <w:highlight w:val="none"/>
              </w:rPr>
              <w:t>技术人员力量</w:t>
            </w:r>
          </w:p>
        </w:tc>
        <w:tc>
          <w:tcPr>
            <w:tcW w:w="701" w:type="dxa"/>
            <w:tcBorders>
              <w:top w:val="single" w:color="auto" w:sz="4" w:space="0"/>
              <w:left w:val="single" w:color="auto" w:sz="4" w:space="0"/>
              <w:right w:val="single" w:color="auto" w:sz="4" w:space="0"/>
            </w:tcBorders>
            <w:vAlign w:val="center"/>
          </w:tcPr>
          <w:p w14:paraId="46599789">
            <w:pPr>
              <w:spacing w:line="440" w:lineRule="exact"/>
              <w:jc w:val="center"/>
              <w:rPr>
                <w:rFonts w:ascii="宋体" w:hAnsi="宋体"/>
                <w:color w:val="auto"/>
                <w:highlight w:val="none"/>
              </w:rPr>
            </w:pPr>
            <w:r>
              <w:rPr>
                <w:rFonts w:hint="eastAsia" w:ascii="宋体" w:hAnsi="宋体"/>
                <w:color w:val="auto"/>
                <w:highlight w:val="none"/>
              </w:rPr>
              <w:t>6分</w:t>
            </w:r>
          </w:p>
        </w:tc>
        <w:tc>
          <w:tcPr>
            <w:tcW w:w="4736" w:type="dxa"/>
            <w:tcBorders>
              <w:top w:val="single" w:color="auto" w:sz="4" w:space="0"/>
              <w:left w:val="single" w:color="auto" w:sz="4" w:space="0"/>
              <w:right w:val="single" w:color="auto" w:sz="4" w:space="0"/>
            </w:tcBorders>
            <w:vAlign w:val="center"/>
          </w:tcPr>
          <w:p w14:paraId="58AE19F0">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投标人拟派项目人员（除</w:t>
            </w:r>
            <w:r>
              <w:rPr>
                <w:rFonts w:hint="eastAsia" w:ascii="Calibri" w:hAnsi="Calibri" w:cs="Calibri"/>
                <w:color w:val="auto"/>
                <w:szCs w:val="21"/>
                <w:highlight w:val="none"/>
                <w:lang w:eastAsia="zh-CN"/>
              </w:rPr>
              <w:t>项目负责人</w:t>
            </w:r>
            <w:r>
              <w:rPr>
                <w:rFonts w:hint="eastAsia" w:ascii="Calibri" w:hAnsi="Calibri" w:cs="Calibri"/>
                <w:color w:val="auto"/>
                <w:szCs w:val="21"/>
                <w:highlight w:val="none"/>
              </w:rPr>
              <w:t>）：</w:t>
            </w:r>
          </w:p>
          <w:p w14:paraId="00044051">
            <w:pPr>
              <w:spacing w:line="440" w:lineRule="exact"/>
              <w:ind w:firstLine="420" w:firstLineChars="200"/>
              <w:jc w:val="left"/>
              <w:rPr>
                <w:rFonts w:hint="eastAsia" w:ascii="Calibri" w:hAnsi="Calibri" w:cs="Calibri"/>
                <w:color w:val="auto"/>
                <w:szCs w:val="21"/>
                <w:highlight w:val="none"/>
              </w:rPr>
            </w:pPr>
            <w:r>
              <w:rPr>
                <w:rFonts w:hint="eastAsia" w:ascii="Calibri" w:hAnsi="Calibri" w:cs="Calibri"/>
                <w:color w:val="auto"/>
                <w:szCs w:val="21"/>
                <w:highlight w:val="none"/>
              </w:rPr>
              <w:t>具有信息安全保障</w:t>
            </w:r>
            <w:r>
              <w:rPr>
                <w:rFonts w:hint="eastAsia" w:ascii="Calibri" w:hAnsi="Calibri" w:cs="Calibri"/>
                <w:color w:val="auto"/>
                <w:szCs w:val="21"/>
                <w:highlight w:val="none"/>
                <w:lang w:val="en-US" w:eastAsia="zh-CN"/>
              </w:rPr>
              <w:t>或信息系统项目管理相关证书的</w:t>
            </w:r>
            <w:r>
              <w:rPr>
                <w:rFonts w:hint="eastAsia" w:ascii="Calibri" w:hAnsi="Calibri" w:cs="Calibri"/>
                <w:color w:val="auto"/>
                <w:szCs w:val="21"/>
                <w:highlight w:val="none"/>
              </w:rPr>
              <w:t>得</w:t>
            </w: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分；</w:t>
            </w:r>
          </w:p>
          <w:p w14:paraId="4B41E962">
            <w:pPr>
              <w:pStyle w:val="2"/>
              <w:ind w:firstLine="420"/>
              <w:rPr>
                <w:rFonts w:hint="eastAsia" w:ascii="Calibri" w:hAnsi="Calibri" w:cs="Calibri"/>
                <w:color w:val="auto"/>
                <w:szCs w:val="21"/>
                <w:highlight w:val="none"/>
              </w:rPr>
            </w:pPr>
            <w:r>
              <w:rPr>
                <w:rFonts w:hint="eastAsia" w:ascii="Calibri" w:hAnsi="Calibri" w:cs="Calibri"/>
                <w:color w:val="auto"/>
                <w:szCs w:val="21"/>
                <w:highlight w:val="none"/>
              </w:rPr>
              <w:t>具有智能化系统</w:t>
            </w:r>
            <w:r>
              <w:rPr>
                <w:rFonts w:hint="eastAsia" w:ascii="Calibri" w:hAnsi="Calibri" w:cs="Calibri"/>
                <w:color w:val="auto"/>
                <w:szCs w:val="21"/>
                <w:highlight w:val="none"/>
                <w:lang w:val="en-US" w:eastAsia="zh-CN"/>
              </w:rPr>
              <w:t>或系统集成相关证书的</w:t>
            </w:r>
            <w:r>
              <w:rPr>
                <w:rFonts w:hint="eastAsia" w:ascii="Calibri" w:hAnsi="Calibri" w:cs="Calibri"/>
                <w:color w:val="auto"/>
                <w:szCs w:val="21"/>
                <w:highlight w:val="none"/>
              </w:rPr>
              <w:t>得</w:t>
            </w: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分；</w:t>
            </w:r>
          </w:p>
          <w:p w14:paraId="27905901">
            <w:pPr>
              <w:pStyle w:val="2"/>
              <w:ind w:firstLine="420"/>
              <w:rPr>
                <w:rFonts w:hint="eastAsia" w:ascii="Calibri" w:hAnsi="Calibri" w:cs="Calibri"/>
                <w:color w:val="auto"/>
                <w:szCs w:val="21"/>
                <w:highlight w:val="none"/>
              </w:rPr>
            </w:pPr>
            <w:r>
              <w:rPr>
                <w:rFonts w:hint="eastAsia" w:ascii="Calibri" w:hAnsi="Calibri" w:cs="Calibri"/>
                <w:color w:val="auto"/>
                <w:szCs w:val="21"/>
                <w:highlight w:val="none"/>
              </w:rPr>
              <w:t>具有中级及以上电气</w:t>
            </w:r>
            <w:r>
              <w:rPr>
                <w:rFonts w:hint="eastAsia" w:ascii="Calibri" w:hAnsi="Calibri" w:cs="Calibri"/>
                <w:color w:val="auto"/>
                <w:szCs w:val="21"/>
                <w:highlight w:val="none"/>
                <w:lang w:val="en-US" w:eastAsia="zh-CN"/>
              </w:rPr>
              <w:t>或机电</w:t>
            </w:r>
            <w:r>
              <w:rPr>
                <w:rFonts w:hint="eastAsia" w:ascii="Calibri" w:hAnsi="Calibri" w:cs="Calibri"/>
                <w:color w:val="auto"/>
                <w:szCs w:val="21"/>
                <w:highlight w:val="none"/>
              </w:rPr>
              <w:t>相关专业证书</w:t>
            </w:r>
            <w:r>
              <w:rPr>
                <w:rFonts w:hint="eastAsia" w:ascii="Calibri" w:hAnsi="Calibri" w:cs="Calibri"/>
                <w:color w:val="auto"/>
                <w:szCs w:val="21"/>
                <w:highlight w:val="none"/>
                <w:lang w:val="en-US" w:eastAsia="zh-CN"/>
              </w:rPr>
              <w:t>的</w:t>
            </w:r>
            <w:r>
              <w:rPr>
                <w:rFonts w:hint="eastAsia" w:ascii="Calibri" w:hAnsi="Calibri" w:cs="Calibri"/>
                <w:color w:val="auto"/>
                <w:szCs w:val="21"/>
                <w:highlight w:val="none"/>
              </w:rPr>
              <w:t>得</w:t>
            </w: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分。</w:t>
            </w:r>
          </w:p>
          <w:p w14:paraId="69170CF9">
            <w:pPr>
              <w:spacing w:line="440" w:lineRule="exact"/>
              <w:ind w:firstLine="420" w:firstLineChars="200"/>
              <w:jc w:val="left"/>
              <w:rPr>
                <w:rFonts w:ascii="宋体" w:hAnsi="宋体"/>
                <w:color w:val="auto"/>
                <w:szCs w:val="21"/>
                <w:highlight w:val="none"/>
              </w:rPr>
            </w:pPr>
            <w:r>
              <w:rPr>
                <w:rFonts w:hint="eastAsia" w:ascii="Calibri" w:hAnsi="Calibri" w:cs="Calibri"/>
                <w:color w:val="auto"/>
                <w:szCs w:val="21"/>
                <w:highlight w:val="none"/>
              </w:rPr>
              <w:t>评审标准：上述每项证书最高得</w:t>
            </w: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分，每人只计算一个证书，同时提供距开标不超过半年任意一次投标人为上述人员交纳社保证明材料。</w:t>
            </w:r>
          </w:p>
        </w:tc>
      </w:tr>
      <w:tr w14:paraId="43B9BC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5D17F4BA">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114A16BF">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4A9E2A98">
            <w:pPr>
              <w:spacing w:line="440" w:lineRule="exact"/>
              <w:jc w:val="center"/>
              <w:rPr>
                <w:rFonts w:hint="eastAsia" w:ascii="宋体" w:hAnsi="宋体"/>
                <w:color w:val="auto"/>
                <w:highlight w:val="none"/>
                <w:lang w:val="en-US" w:eastAsia="zh-CN"/>
              </w:rPr>
            </w:pPr>
            <w:r>
              <w:rPr>
                <w:rFonts w:hint="eastAsia" w:ascii="宋体" w:hAnsi="宋体"/>
                <w:color w:val="auto"/>
                <w:highlight w:val="none"/>
              </w:rPr>
              <w:t>项目</w:t>
            </w:r>
            <w:r>
              <w:rPr>
                <w:rFonts w:hint="eastAsia" w:ascii="宋体" w:hAnsi="宋体"/>
                <w:color w:val="auto"/>
                <w:highlight w:val="none"/>
                <w:lang w:val="en-US" w:eastAsia="zh-CN"/>
              </w:rPr>
              <w:t>负责人</w:t>
            </w:r>
          </w:p>
          <w:p w14:paraId="517AFA02">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经验</w:t>
            </w:r>
          </w:p>
          <w:p w14:paraId="20500C2F">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right w:val="single" w:color="auto" w:sz="4" w:space="0"/>
            </w:tcBorders>
            <w:vAlign w:val="center"/>
          </w:tcPr>
          <w:p w14:paraId="3FE7B1AC">
            <w:pPr>
              <w:spacing w:line="440" w:lineRule="exact"/>
              <w:jc w:val="center"/>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分</w:t>
            </w:r>
          </w:p>
        </w:tc>
        <w:tc>
          <w:tcPr>
            <w:tcW w:w="4736" w:type="dxa"/>
            <w:tcBorders>
              <w:top w:val="single" w:color="auto" w:sz="4" w:space="0"/>
              <w:left w:val="single" w:color="auto" w:sz="4" w:space="0"/>
              <w:right w:val="single" w:color="auto" w:sz="4" w:space="0"/>
            </w:tcBorders>
            <w:vAlign w:val="center"/>
          </w:tcPr>
          <w:p w14:paraId="242A8BBE">
            <w:pPr>
              <w:spacing w:line="440" w:lineRule="exact"/>
              <w:ind w:firstLine="420" w:firstLineChars="200"/>
              <w:jc w:val="left"/>
              <w:rPr>
                <w:rFonts w:hint="default" w:ascii="宋体" w:hAnsi="宋体" w:eastAsia="宋体" w:cs="Times New Roman"/>
                <w:color w:val="auto"/>
                <w:szCs w:val="21"/>
                <w:highlight w:val="none"/>
                <w:lang w:val="en-US" w:eastAsia="zh-CN"/>
              </w:rPr>
            </w:pPr>
            <w:r>
              <w:rPr>
                <w:rFonts w:hint="default" w:ascii="宋体" w:hAnsi="宋体" w:eastAsia="宋体" w:cs="Times New Roman"/>
                <w:color w:val="auto"/>
                <w:szCs w:val="21"/>
                <w:highlight w:val="none"/>
                <w:lang w:val="en-US" w:eastAsia="zh-CN"/>
              </w:rPr>
              <w:t>项目负责人具有行政主管部门颁发的相应管理本项目的中级及以上专业技术资格证书。（提供</w:t>
            </w:r>
            <w:r>
              <w:rPr>
                <w:rFonts w:hint="eastAsia" w:ascii="宋体" w:hAnsi="宋体" w:eastAsia="宋体" w:cs="Times New Roman"/>
                <w:color w:val="auto"/>
                <w:szCs w:val="21"/>
                <w:highlight w:val="none"/>
                <w:lang w:val="en-US" w:eastAsia="zh-CN"/>
              </w:rPr>
              <w:t>资格证书</w:t>
            </w:r>
            <w:r>
              <w:rPr>
                <w:rFonts w:hint="default" w:ascii="宋体" w:hAnsi="宋体" w:eastAsia="宋体" w:cs="Times New Roman"/>
                <w:color w:val="auto"/>
                <w:szCs w:val="21"/>
                <w:highlight w:val="none"/>
                <w:lang w:val="en-US" w:eastAsia="zh-CN"/>
              </w:rPr>
              <w:t>原件扫描件，提供</w:t>
            </w:r>
            <w:r>
              <w:rPr>
                <w:rFonts w:hint="eastAsia" w:ascii="宋体" w:hAnsi="宋体" w:eastAsia="宋体" w:cs="Times New Roman"/>
                <w:color w:val="auto"/>
                <w:szCs w:val="21"/>
                <w:highlight w:val="none"/>
                <w:lang w:val="en-US" w:eastAsia="zh-CN"/>
              </w:rPr>
              <w:t>与供应商签订的</w:t>
            </w:r>
            <w:r>
              <w:rPr>
                <w:rFonts w:hint="default" w:ascii="宋体" w:hAnsi="宋体" w:eastAsia="宋体" w:cs="Times New Roman"/>
                <w:color w:val="auto"/>
                <w:szCs w:val="21"/>
                <w:highlight w:val="none"/>
                <w:lang w:val="en-US" w:eastAsia="zh-CN"/>
              </w:rPr>
              <w:t>劳动合同原件扫描件，距开标不超过半年任意2次</w:t>
            </w:r>
            <w:r>
              <w:rPr>
                <w:rFonts w:hint="eastAsia" w:ascii="宋体" w:hAnsi="宋体" w:eastAsia="宋体" w:cs="Times New Roman"/>
                <w:color w:val="auto"/>
                <w:szCs w:val="21"/>
                <w:highlight w:val="none"/>
                <w:lang w:val="en-US" w:eastAsia="zh-CN"/>
              </w:rPr>
              <w:t>供应商</w:t>
            </w:r>
            <w:r>
              <w:rPr>
                <w:rFonts w:hint="default" w:ascii="宋体" w:hAnsi="宋体" w:eastAsia="宋体" w:cs="Times New Roman"/>
                <w:color w:val="auto"/>
                <w:szCs w:val="21"/>
                <w:highlight w:val="none"/>
                <w:lang w:val="en-US" w:eastAsia="zh-CN"/>
              </w:rPr>
              <w:t>为其缴纳</w:t>
            </w:r>
            <w:r>
              <w:rPr>
                <w:rFonts w:hint="eastAsia" w:ascii="宋体" w:hAnsi="宋体" w:eastAsia="宋体" w:cs="Times New Roman"/>
                <w:color w:val="auto"/>
                <w:szCs w:val="21"/>
                <w:highlight w:val="none"/>
                <w:lang w:val="en-US" w:eastAsia="zh-CN"/>
              </w:rPr>
              <w:t>养老等</w:t>
            </w:r>
            <w:r>
              <w:rPr>
                <w:rFonts w:hint="default" w:ascii="宋体" w:hAnsi="宋体" w:eastAsia="宋体" w:cs="Times New Roman"/>
                <w:color w:val="auto"/>
                <w:szCs w:val="21"/>
                <w:highlight w:val="none"/>
                <w:lang w:val="en-US" w:eastAsia="zh-CN"/>
              </w:rPr>
              <w:t>社会保险的缴纳凭据或清单或社保部门证明。上述证</w:t>
            </w:r>
            <w:r>
              <w:rPr>
                <w:rFonts w:hint="eastAsia" w:ascii="宋体" w:hAnsi="宋体" w:eastAsia="宋体" w:cs="Times New Roman"/>
                <w:color w:val="auto"/>
                <w:szCs w:val="21"/>
                <w:highlight w:val="none"/>
                <w:lang w:val="en-US" w:eastAsia="zh-CN"/>
              </w:rPr>
              <w:t>明材料</w:t>
            </w:r>
            <w:r>
              <w:rPr>
                <w:rFonts w:hint="default" w:ascii="宋体" w:hAnsi="宋体" w:eastAsia="宋体" w:cs="Times New Roman"/>
                <w:color w:val="auto"/>
                <w:szCs w:val="21"/>
                <w:highlight w:val="none"/>
                <w:lang w:val="en-US" w:eastAsia="zh-CN"/>
              </w:rPr>
              <w:t>不齐全者此项不得分</w:t>
            </w:r>
            <w:r>
              <w:rPr>
                <w:rFonts w:hint="eastAsia" w:ascii="宋体" w:hAnsi="宋体" w:eastAsia="宋体" w:cs="Times New Roman"/>
                <w:color w:val="auto"/>
                <w:szCs w:val="21"/>
                <w:highlight w:val="none"/>
                <w:lang w:val="en-US" w:eastAsia="zh-CN"/>
              </w:rPr>
              <w:t>。</w:t>
            </w:r>
            <w:r>
              <w:rPr>
                <w:rFonts w:hint="default" w:ascii="宋体" w:hAnsi="宋体" w:eastAsia="宋体" w:cs="Times New Roman"/>
                <w:color w:val="auto"/>
                <w:szCs w:val="21"/>
                <w:highlight w:val="none"/>
                <w:lang w:val="en-US" w:eastAsia="zh-CN"/>
              </w:rPr>
              <w:t>）</w:t>
            </w:r>
          </w:p>
          <w:p w14:paraId="0571D836">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eastAsia="zh-CN"/>
              </w:rPr>
              <w:t>项目负责人</w:t>
            </w:r>
            <w:r>
              <w:rPr>
                <w:rFonts w:hint="eastAsia" w:ascii="宋体" w:hAnsi="宋体"/>
                <w:color w:val="auto"/>
                <w:szCs w:val="21"/>
                <w:highlight w:val="none"/>
              </w:rPr>
              <w:t>202</w:t>
            </w:r>
            <w:r>
              <w:rPr>
                <w:rFonts w:hint="eastAsia" w:ascii="宋体" w:hAnsi="宋体"/>
                <w:color w:val="auto"/>
                <w:szCs w:val="21"/>
                <w:highlight w:val="none"/>
                <w:lang w:val="en-US" w:eastAsia="zh-CN"/>
              </w:rPr>
              <w:t>1</w:t>
            </w:r>
            <w:r>
              <w:rPr>
                <w:rFonts w:hint="eastAsia" w:ascii="宋体" w:hAnsi="宋体"/>
                <w:color w:val="auto"/>
                <w:szCs w:val="21"/>
                <w:highlight w:val="none"/>
              </w:rPr>
              <w:t>年1月1日以来（签订日期）相同或类似项目</w:t>
            </w:r>
            <w:r>
              <w:rPr>
                <w:rFonts w:hint="eastAsia" w:ascii="宋体" w:hAnsi="宋体"/>
                <w:color w:val="auto"/>
                <w:szCs w:val="21"/>
                <w:highlight w:val="none"/>
                <w:lang w:val="en-US" w:eastAsia="zh-CN"/>
              </w:rPr>
              <w:t>经验</w:t>
            </w:r>
            <w:r>
              <w:rPr>
                <w:rFonts w:hint="eastAsia" w:ascii="宋体" w:hAnsi="宋体"/>
                <w:color w:val="auto"/>
                <w:szCs w:val="21"/>
                <w:highlight w:val="none"/>
              </w:rPr>
              <w:t>合同(提供项目合同原件扫描件</w:t>
            </w:r>
            <w:r>
              <w:rPr>
                <w:rFonts w:hint="eastAsia" w:ascii="宋体" w:hAnsi="宋体"/>
                <w:color w:val="auto"/>
                <w:szCs w:val="21"/>
                <w:highlight w:val="none"/>
                <w:lang w:eastAsia="zh-CN"/>
              </w:rPr>
              <w:t>。项目负责人</w:t>
            </w:r>
            <w:r>
              <w:rPr>
                <w:rFonts w:hint="eastAsia" w:ascii="宋体" w:hAnsi="宋体"/>
                <w:color w:val="auto"/>
                <w:szCs w:val="21"/>
                <w:highlight w:val="none"/>
                <w:lang w:val="en-US" w:eastAsia="zh-CN"/>
              </w:rPr>
              <w:t>合同</w:t>
            </w:r>
            <w:r>
              <w:rPr>
                <w:rFonts w:hint="eastAsia" w:ascii="宋体" w:hAnsi="宋体"/>
                <w:color w:val="auto"/>
                <w:szCs w:val="21"/>
                <w:highlight w:val="none"/>
              </w:rPr>
              <w:t>与企业业绩</w:t>
            </w:r>
            <w:r>
              <w:rPr>
                <w:rFonts w:hint="eastAsia" w:ascii="宋体" w:hAnsi="宋体"/>
                <w:color w:val="auto"/>
                <w:szCs w:val="21"/>
                <w:highlight w:val="none"/>
                <w:lang w:val="en-US" w:eastAsia="zh-CN"/>
              </w:rPr>
              <w:t>合同</w:t>
            </w:r>
            <w:r>
              <w:rPr>
                <w:rFonts w:hint="eastAsia" w:ascii="宋体" w:hAnsi="宋体"/>
                <w:color w:val="auto"/>
                <w:szCs w:val="21"/>
                <w:highlight w:val="none"/>
              </w:rPr>
              <w:t>不重复计分)。</w:t>
            </w:r>
          </w:p>
          <w:p w14:paraId="6722BF41">
            <w:pPr>
              <w:spacing w:line="440" w:lineRule="exact"/>
              <w:ind w:firstLine="420" w:firstLineChars="200"/>
              <w:jc w:val="left"/>
              <w:rPr>
                <w:rFonts w:ascii="Calibri" w:hAnsi="Calibri" w:cs="Calibri"/>
                <w:color w:val="auto"/>
                <w:szCs w:val="21"/>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lang w:val="en-US" w:eastAsia="zh-CN"/>
              </w:rPr>
              <w:t>1.5</w:t>
            </w:r>
            <w:r>
              <w:rPr>
                <w:rFonts w:hint="eastAsia" w:ascii="宋体" w:hAnsi="宋体"/>
                <w:color w:val="auto"/>
                <w:szCs w:val="21"/>
                <w:highlight w:val="none"/>
              </w:rPr>
              <w:t>分。</w:t>
            </w:r>
          </w:p>
        </w:tc>
      </w:tr>
      <w:tr w14:paraId="4B912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2C3F8E8A">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6D759DEC">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3FEF4B92">
            <w:pPr>
              <w:spacing w:line="440" w:lineRule="exact"/>
              <w:jc w:val="center"/>
              <w:rPr>
                <w:rFonts w:ascii="宋体" w:hAnsi="宋体"/>
                <w:color w:val="auto"/>
                <w:szCs w:val="21"/>
                <w:highlight w:val="none"/>
              </w:rPr>
            </w:pPr>
            <w:r>
              <w:rPr>
                <w:rFonts w:hint="eastAsia" w:ascii="宋体" w:hAnsi="宋体"/>
                <w:color w:val="auto"/>
                <w:szCs w:val="21"/>
                <w:highlight w:val="none"/>
              </w:rPr>
              <w:t>项目实施方案</w:t>
            </w:r>
          </w:p>
        </w:tc>
        <w:tc>
          <w:tcPr>
            <w:tcW w:w="701" w:type="dxa"/>
            <w:tcBorders>
              <w:top w:val="single" w:color="auto" w:sz="4" w:space="0"/>
              <w:left w:val="single" w:color="auto" w:sz="4" w:space="0"/>
              <w:right w:val="single" w:color="auto" w:sz="4" w:space="0"/>
            </w:tcBorders>
            <w:vAlign w:val="center"/>
          </w:tcPr>
          <w:p w14:paraId="602B946A">
            <w:pPr>
              <w:spacing w:line="440" w:lineRule="exact"/>
              <w:jc w:val="center"/>
              <w:rPr>
                <w:rFonts w:ascii="宋体" w:hAnsi="宋体"/>
                <w:color w:val="auto"/>
                <w:szCs w:val="21"/>
                <w:highlight w:val="none"/>
              </w:rPr>
            </w:pPr>
            <w:r>
              <w:rPr>
                <w:rFonts w:hint="eastAsia" w:ascii="宋体" w:hAnsi="宋体"/>
                <w:color w:val="auto"/>
                <w:highlight w:val="none"/>
                <w:lang w:val="en-US" w:eastAsia="zh-CN"/>
              </w:rPr>
              <w:t>7分</w:t>
            </w:r>
          </w:p>
        </w:tc>
        <w:tc>
          <w:tcPr>
            <w:tcW w:w="4736" w:type="dxa"/>
            <w:tcBorders>
              <w:top w:val="single" w:color="auto" w:sz="4" w:space="0"/>
              <w:left w:val="single" w:color="auto" w:sz="4" w:space="0"/>
              <w:right w:val="single" w:color="auto" w:sz="4" w:space="0"/>
            </w:tcBorders>
            <w:vAlign w:val="center"/>
          </w:tcPr>
          <w:p w14:paraId="38478DCD">
            <w:pPr>
              <w:spacing w:line="440" w:lineRule="exact"/>
              <w:ind w:firstLine="420" w:firstLineChars="200"/>
              <w:rPr>
                <w:rFonts w:hint="eastAsia"/>
                <w:color w:val="auto"/>
                <w:highlight w:val="none"/>
              </w:rPr>
            </w:pPr>
            <w:r>
              <w:rPr>
                <w:rFonts w:hint="eastAsia"/>
                <w:color w:val="auto"/>
                <w:highlight w:val="none"/>
              </w:rPr>
              <w:t>根据项目需求和特点，结合“第五章招标内容及商务技术要求 三、项目建设目标”内容，结合以往工作经验和本项目建设目标设计和部署的意图，编制项目实施方案。方案内容应包含但不限于以下内容：项目总体安排、施工内容、拟投入人员、拟投入器械、设备原材料管理措施、成品和半成品保护管理措施、安装调试方案、项目验收方案、项目实施进度计划、项目质量保障措施、安全文明施工保障措施、环保施工保障措施、突发事件应急预案等。</w:t>
            </w:r>
          </w:p>
          <w:p w14:paraId="65BCA0D9">
            <w:pPr>
              <w:spacing w:line="440" w:lineRule="exact"/>
              <w:ind w:firstLine="420" w:firstLineChars="200"/>
              <w:rPr>
                <w:rFonts w:hint="eastAsia"/>
                <w:color w:val="auto"/>
                <w:highlight w:val="none"/>
              </w:rPr>
            </w:pPr>
            <w:r>
              <w:rPr>
                <w:rFonts w:hint="eastAsia"/>
                <w:color w:val="auto"/>
                <w:highlight w:val="none"/>
              </w:rPr>
              <w:t>评审标准：</w:t>
            </w:r>
          </w:p>
          <w:p w14:paraId="70558C1B">
            <w:pPr>
              <w:spacing w:line="440" w:lineRule="exact"/>
              <w:ind w:firstLine="420" w:firstLineChars="200"/>
              <w:rPr>
                <w:color w:val="auto"/>
                <w:highlight w:val="none"/>
              </w:rPr>
            </w:pPr>
            <w:r>
              <w:rPr>
                <w:rFonts w:hint="eastAsia"/>
                <w:color w:val="auto"/>
                <w:highlight w:val="none"/>
              </w:rPr>
              <w:t>1、方案内容完善、全面、科学合理，针对性、可行性强，且能充分满足采购人采购需求的得</w:t>
            </w:r>
            <w:r>
              <w:rPr>
                <w:rFonts w:hint="eastAsia"/>
                <w:color w:val="auto"/>
                <w:highlight w:val="none"/>
                <w:lang w:val="en-US" w:eastAsia="zh-CN"/>
              </w:rPr>
              <w:t>7</w:t>
            </w:r>
            <w:r>
              <w:rPr>
                <w:rFonts w:hint="eastAsia"/>
                <w:color w:val="auto"/>
                <w:highlight w:val="none"/>
              </w:rPr>
              <w:t>分</w:t>
            </w:r>
            <w:r>
              <w:rPr>
                <w:color w:val="auto"/>
                <w:highlight w:val="none"/>
              </w:rPr>
              <w:t>；</w:t>
            </w:r>
          </w:p>
          <w:p w14:paraId="39594586">
            <w:pPr>
              <w:spacing w:line="440" w:lineRule="exact"/>
              <w:ind w:firstLine="420" w:firstLineChars="200"/>
              <w:rPr>
                <w:rFonts w:hint="eastAsia"/>
                <w:color w:val="auto"/>
                <w:highlight w:val="none"/>
              </w:rPr>
            </w:pPr>
            <w:r>
              <w:rPr>
                <w:rFonts w:hint="eastAsia"/>
                <w:color w:val="auto"/>
                <w:highlight w:val="none"/>
              </w:rPr>
              <w:t>2、方案内容基本完善、合理，有针对性、可行性，基本满足采购人服务需求的得</w:t>
            </w:r>
            <w:r>
              <w:rPr>
                <w:rFonts w:hint="eastAsia"/>
                <w:color w:val="auto"/>
                <w:highlight w:val="none"/>
                <w:lang w:val="en-US" w:eastAsia="zh-CN"/>
              </w:rPr>
              <w:t>5</w:t>
            </w:r>
            <w:r>
              <w:rPr>
                <w:rFonts w:hint="eastAsia"/>
                <w:color w:val="auto"/>
                <w:highlight w:val="none"/>
              </w:rPr>
              <w:t xml:space="preserve">分； </w:t>
            </w:r>
          </w:p>
          <w:p w14:paraId="47A96A69">
            <w:pPr>
              <w:spacing w:line="440" w:lineRule="exact"/>
              <w:ind w:firstLine="420" w:firstLineChars="200"/>
              <w:rPr>
                <w:rFonts w:hint="eastAsia"/>
                <w:color w:val="auto"/>
                <w:highlight w:val="none"/>
              </w:rPr>
            </w:pPr>
            <w:r>
              <w:rPr>
                <w:rFonts w:hint="eastAsia"/>
                <w:color w:val="auto"/>
                <w:highlight w:val="none"/>
              </w:rPr>
              <w:t>3、方案内容简单，针对性、可行性不强，得</w:t>
            </w:r>
            <w:r>
              <w:rPr>
                <w:rFonts w:hint="eastAsia"/>
                <w:color w:val="auto"/>
                <w:highlight w:val="none"/>
                <w:lang w:val="en-US" w:eastAsia="zh-CN"/>
              </w:rPr>
              <w:t>3</w:t>
            </w:r>
            <w:r>
              <w:rPr>
                <w:rFonts w:hint="eastAsia"/>
                <w:color w:val="auto"/>
                <w:highlight w:val="none"/>
              </w:rPr>
              <w:t>分。</w:t>
            </w:r>
          </w:p>
          <w:p w14:paraId="189C4CB9">
            <w:pPr>
              <w:spacing w:line="440" w:lineRule="exact"/>
              <w:ind w:firstLine="420" w:firstLineChars="200"/>
              <w:rPr>
                <w:rFonts w:ascii="宋体" w:hAnsi="宋体"/>
                <w:color w:val="auto"/>
                <w:szCs w:val="21"/>
                <w:highlight w:val="none"/>
              </w:rPr>
            </w:pPr>
            <w:r>
              <w:rPr>
                <w:rFonts w:hint="eastAsia"/>
                <w:color w:val="auto"/>
                <w:highlight w:val="none"/>
              </w:rPr>
              <w:t>4、方案内容过于简单或缺项，缺乏合理性，得1分。</w:t>
            </w:r>
          </w:p>
        </w:tc>
      </w:tr>
      <w:tr w14:paraId="5B65C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29719D99">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3DB63F66">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4361803E">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56AAE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6A65EF3E">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5E05ECD4">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2AB3566">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3D4B4DEE">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756D6381">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31D6C2B8">
      <w:pPr>
        <w:spacing w:line="400" w:lineRule="exact"/>
        <w:rPr>
          <w:rFonts w:ascii="宋体" w:hAnsi="宋体"/>
          <w:color w:val="auto"/>
          <w:highlight w:val="none"/>
        </w:rPr>
      </w:pPr>
    </w:p>
    <w:p w14:paraId="75EB958F">
      <w:pPr>
        <w:spacing w:line="400" w:lineRule="exact"/>
        <w:rPr>
          <w:rFonts w:ascii="宋体" w:hAnsi="宋体"/>
          <w:color w:val="auto"/>
          <w:highlight w:val="none"/>
        </w:rPr>
      </w:pPr>
    </w:p>
    <w:p w14:paraId="57C4010B">
      <w:pPr>
        <w:pStyle w:val="9"/>
        <w:rPr>
          <w:rFonts w:ascii="宋体" w:hAnsi="宋体" w:eastAsia="宋体"/>
          <w:color w:val="auto"/>
          <w:highlight w:val="none"/>
        </w:rPr>
      </w:pPr>
      <w:bookmarkStart w:id="536" w:name="_Toc152042377"/>
      <w:bookmarkStart w:id="537" w:name="_Toc494526412"/>
      <w:bookmarkStart w:id="538" w:name="_Toc338840239"/>
      <w:bookmarkStart w:id="539" w:name="_Toc494093440"/>
      <w:bookmarkStart w:id="540" w:name="_Toc338840493"/>
      <w:bookmarkStart w:id="541" w:name="_Toc338840454"/>
      <w:bookmarkStart w:id="542" w:name="_Toc152045600"/>
      <w:bookmarkStart w:id="543" w:name="_Toc179632618"/>
      <w:bookmarkStart w:id="544" w:name="_Toc346523477"/>
      <w:bookmarkStart w:id="545" w:name="_Toc144974567"/>
      <w:bookmarkStart w:id="546" w:name="_Toc246996243"/>
      <w:bookmarkStart w:id="547" w:name="_Toc247085758"/>
      <w:bookmarkStart w:id="548" w:name="_Toc246996986"/>
      <w:bookmarkStart w:id="549" w:name="_Toc346523414"/>
      <w:r>
        <w:rPr>
          <w:rFonts w:hint="eastAsia" w:ascii="宋体" w:hAnsi="宋体" w:eastAsia="宋体"/>
          <w:color w:val="auto"/>
          <w:highlight w:val="none"/>
        </w:rPr>
        <w:br w:type="page"/>
      </w:r>
      <w:bookmarkStart w:id="550" w:name="_Toc9899"/>
      <w:bookmarkStart w:id="551" w:name="_Toc25996"/>
      <w:bookmarkStart w:id="552" w:name="_Toc30330"/>
      <w:bookmarkStart w:id="553" w:name="_Toc5999"/>
      <w:r>
        <w:rPr>
          <w:rFonts w:hint="eastAsia" w:ascii="宋体" w:hAnsi="宋体" w:eastAsia="宋体"/>
          <w:color w:val="auto"/>
          <w:highlight w:val="none"/>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1ED8F579">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22DB0053">
      <w:pPr>
        <w:pStyle w:val="9"/>
        <w:rPr>
          <w:rFonts w:ascii="宋体" w:hAnsi="宋体" w:eastAsia="宋体"/>
          <w:color w:val="auto"/>
          <w:highlight w:val="none"/>
        </w:rPr>
      </w:pPr>
      <w:bookmarkStart w:id="554" w:name="_Toc338840240"/>
      <w:bookmarkStart w:id="555" w:name="_Toc494093441"/>
      <w:bookmarkStart w:id="556" w:name="_Toc152042378"/>
      <w:bookmarkStart w:id="557" w:name="_Toc26043"/>
      <w:bookmarkStart w:id="558" w:name="_Toc346523415"/>
      <w:bookmarkStart w:id="559" w:name="_Toc346523478"/>
      <w:bookmarkStart w:id="560" w:name="_Toc338840494"/>
      <w:bookmarkStart w:id="561" w:name="_Toc5539"/>
      <w:bookmarkStart w:id="562" w:name="_Toc179632619"/>
      <w:bookmarkStart w:id="563" w:name="_Toc246996244"/>
      <w:bookmarkStart w:id="564" w:name="_Toc144974568"/>
      <w:bookmarkStart w:id="565" w:name="_Toc10387"/>
      <w:bookmarkStart w:id="566" w:name="_Toc246996987"/>
      <w:bookmarkStart w:id="567" w:name="_Toc494526413"/>
      <w:bookmarkStart w:id="568" w:name="_Toc25915"/>
      <w:bookmarkStart w:id="569" w:name="_Toc338840455"/>
      <w:bookmarkStart w:id="570" w:name="_Toc152045601"/>
      <w:bookmarkStart w:id="571" w:name="_Toc247085759"/>
      <w:r>
        <w:rPr>
          <w:rFonts w:hint="eastAsia" w:ascii="宋体" w:hAnsi="宋体" w:eastAsia="宋体"/>
          <w:color w:val="auto"/>
          <w:highlight w:val="none"/>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0357A5B9">
      <w:pPr>
        <w:pStyle w:val="10"/>
        <w:rPr>
          <w:rFonts w:ascii="宋体" w:hAnsi="宋体"/>
          <w:color w:val="auto"/>
          <w:highlight w:val="none"/>
        </w:rPr>
      </w:pPr>
      <w:bookmarkStart w:id="572" w:name="_Toc144974569"/>
      <w:bookmarkStart w:id="573" w:name="_Toc179632620"/>
      <w:bookmarkStart w:id="574" w:name="_Toc246996245"/>
      <w:bookmarkStart w:id="575" w:name="_Toc152045602"/>
      <w:bookmarkStart w:id="576" w:name="_Toc247085760"/>
      <w:bookmarkStart w:id="577" w:name="_Toc246996988"/>
      <w:bookmarkStart w:id="578" w:name="_Toc338840241"/>
      <w:bookmarkStart w:id="579" w:name="_Toc152042379"/>
      <w:r>
        <w:rPr>
          <w:rFonts w:hint="eastAsia" w:ascii="宋体" w:hAnsi="宋体"/>
          <w:color w:val="auto"/>
          <w:highlight w:val="none"/>
        </w:rPr>
        <w:t>2.1 初步评审标准</w:t>
      </w:r>
      <w:bookmarkEnd w:id="572"/>
      <w:bookmarkEnd w:id="573"/>
      <w:bookmarkEnd w:id="574"/>
      <w:bookmarkEnd w:id="575"/>
      <w:bookmarkEnd w:id="576"/>
      <w:bookmarkEnd w:id="577"/>
      <w:bookmarkEnd w:id="578"/>
      <w:bookmarkEnd w:id="579"/>
    </w:p>
    <w:p w14:paraId="32F67CCA">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5393359E">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B6FCA8">
      <w:pPr>
        <w:pStyle w:val="10"/>
        <w:rPr>
          <w:rFonts w:ascii="宋体" w:hAnsi="宋体"/>
          <w:color w:val="auto"/>
          <w:highlight w:val="none"/>
        </w:rPr>
      </w:pPr>
      <w:r>
        <w:rPr>
          <w:rFonts w:hint="eastAsia" w:ascii="宋体" w:hAnsi="宋体"/>
          <w:color w:val="auto"/>
          <w:highlight w:val="none"/>
        </w:rPr>
        <w:t>2.2 详细评审标准（分值构成和评分标准）</w:t>
      </w:r>
    </w:p>
    <w:p w14:paraId="0821F927">
      <w:pPr>
        <w:spacing w:line="400" w:lineRule="exact"/>
        <w:ind w:firstLine="420" w:firstLineChars="200"/>
        <w:rPr>
          <w:rFonts w:ascii="宋体" w:hAnsi="宋体"/>
          <w:color w:val="auto"/>
          <w:highlight w:val="none"/>
        </w:rPr>
      </w:pPr>
      <w:r>
        <w:rPr>
          <w:rFonts w:hint="eastAsia" w:ascii="宋体" w:hAnsi="宋体"/>
          <w:color w:val="auto"/>
          <w:highlight w:val="none"/>
        </w:rPr>
        <w:t>2.2.1分值构成：见评标办法前附表。</w:t>
      </w:r>
    </w:p>
    <w:p w14:paraId="2965E2C5">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4A4FBAB5">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6FEE3DBB">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01ED8C80">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623C9EED">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21FF5208">
      <w:pPr>
        <w:pStyle w:val="9"/>
        <w:rPr>
          <w:rFonts w:ascii="宋体" w:hAnsi="宋体" w:eastAsia="宋体"/>
          <w:color w:val="auto"/>
          <w:highlight w:val="none"/>
        </w:rPr>
      </w:pPr>
      <w:bookmarkStart w:id="580" w:name="_Toc346523416"/>
      <w:bookmarkStart w:id="581" w:name="_Toc338840456"/>
      <w:bookmarkStart w:id="582" w:name="_Toc246996247"/>
      <w:bookmarkStart w:id="583" w:name="_Toc152042381"/>
      <w:bookmarkStart w:id="584" w:name="_Toc338840495"/>
      <w:bookmarkStart w:id="585" w:name="_Toc152045604"/>
      <w:bookmarkStart w:id="586" w:name="_Toc22953"/>
      <w:bookmarkStart w:id="587" w:name="_Toc247085762"/>
      <w:bookmarkStart w:id="588" w:name="_Toc246996990"/>
      <w:bookmarkStart w:id="589" w:name="_Toc179632622"/>
      <w:bookmarkStart w:id="590" w:name="_Toc144974571"/>
      <w:bookmarkStart w:id="591" w:name="_Toc4794"/>
      <w:bookmarkStart w:id="592" w:name="_Toc494093442"/>
      <w:bookmarkStart w:id="593" w:name="_Toc30064"/>
      <w:bookmarkStart w:id="594" w:name="_Toc494526414"/>
      <w:bookmarkStart w:id="595" w:name="_Toc346523479"/>
      <w:bookmarkStart w:id="596" w:name="_Toc338840243"/>
      <w:bookmarkStart w:id="597" w:name="_Toc2541"/>
      <w:r>
        <w:rPr>
          <w:rFonts w:hint="eastAsia" w:ascii="宋体" w:hAnsi="宋体" w:eastAsia="宋体"/>
          <w:color w:val="auto"/>
          <w:highlight w:val="none"/>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05BB0362">
      <w:pPr>
        <w:pStyle w:val="10"/>
        <w:rPr>
          <w:rFonts w:ascii="宋体" w:hAnsi="宋体"/>
          <w:color w:val="auto"/>
          <w:highlight w:val="none"/>
        </w:rPr>
      </w:pPr>
      <w:bookmarkStart w:id="598" w:name="_Toc247085763"/>
      <w:bookmarkStart w:id="599" w:name="_Toc246996248"/>
      <w:bookmarkStart w:id="600" w:name="_Toc144974572"/>
      <w:bookmarkStart w:id="601" w:name="_Toc338840244"/>
      <w:bookmarkStart w:id="602" w:name="_Toc152042382"/>
      <w:bookmarkStart w:id="603" w:name="_Toc246996991"/>
      <w:bookmarkStart w:id="604" w:name="_Toc152045605"/>
      <w:bookmarkStart w:id="605" w:name="_Toc179632623"/>
      <w:r>
        <w:rPr>
          <w:rFonts w:hint="eastAsia" w:ascii="宋体" w:hAnsi="宋体"/>
          <w:color w:val="auto"/>
          <w:highlight w:val="none"/>
        </w:rPr>
        <w:t>3.1 初步评审</w:t>
      </w:r>
      <w:bookmarkEnd w:id="598"/>
      <w:bookmarkEnd w:id="599"/>
      <w:bookmarkEnd w:id="600"/>
      <w:bookmarkEnd w:id="601"/>
      <w:bookmarkEnd w:id="602"/>
      <w:bookmarkEnd w:id="603"/>
      <w:bookmarkEnd w:id="604"/>
      <w:bookmarkEnd w:id="605"/>
    </w:p>
    <w:p w14:paraId="728B203C">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3AE5FFB8">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2A6FD28E">
      <w:pPr>
        <w:spacing w:line="400" w:lineRule="exact"/>
        <w:ind w:firstLine="420" w:firstLineChars="200"/>
        <w:rPr>
          <w:rFonts w:ascii="宋体" w:hAnsi="宋体"/>
          <w:color w:val="auto"/>
          <w:highlight w:val="none"/>
        </w:rPr>
      </w:pPr>
      <w:r>
        <w:rPr>
          <w:rFonts w:hint="eastAsia" w:ascii="宋体" w:hAnsi="宋体"/>
          <w:color w:val="auto"/>
          <w:highlight w:val="none"/>
        </w:rPr>
        <w:t>3.1.3投标文件报价出现前后不一致的，按照下列规定修正：</w:t>
      </w:r>
    </w:p>
    <w:p w14:paraId="0F690709">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06C51936">
      <w:pPr>
        <w:spacing w:line="400" w:lineRule="exact"/>
        <w:ind w:firstLine="420" w:firstLineChars="200"/>
        <w:rPr>
          <w:rFonts w:ascii="宋体" w:hAnsi="宋体"/>
          <w:color w:val="auto"/>
          <w:highlight w:val="none"/>
        </w:rPr>
      </w:pPr>
      <w:r>
        <w:rPr>
          <w:rFonts w:hint="eastAsia" w:ascii="宋体" w:hAnsi="宋体"/>
          <w:color w:val="auto"/>
          <w:highlight w:val="none"/>
        </w:rPr>
        <w:t>　　（2）大写金额和小写金额不一致的，以大写金额为准；</w:t>
      </w:r>
    </w:p>
    <w:p w14:paraId="57C6C88F">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734570A1">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03416870">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33B5E078">
      <w:pPr>
        <w:pStyle w:val="10"/>
        <w:rPr>
          <w:rFonts w:ascii="宋体" w:hAnsi="宋体"/>
          <w:color w:val="auto"/>
          <w:highlight w:val="none"/>
        </w:rPr>
      </w:pPr>
      <w:bookmarkStart w:id="606" w:name="_Toc152042384"/>
      <w:bookmarkStart w:id="607" w:name="_Toc179632624"/>
      <w:bookmarkStart w:id="608" w:name="_Toc247085764"/>
      <w:bookmarkStart w:id="609" w:name="_Toc246996992"/>
      <w:bookmarkStart w:id="610" w:name="_Toc338840245"/>
      <w:bookmarkStart w:id="611" w:name="_Toc144974573"/>
      <w:bookmarkStart w:id="612" w:name="_Toc246996249"/>
      <w:bookmarkStart w:id="613" w:name="_Toc152045606"/>
      <w:r>
        <w:rPr>
          <w:rFonts w:hint="eastAsia" w:ascii="宋体" w:hAnsi="宋体"/>
          <w:color w:val="auto"/>
          <w:highlight w:val="none"/>
        </w:rPr>
        <w:t>3.2 详细评审</w:t>
      </w:r>
      <w:bookmarkEnd w:id="606"/>
      <w:bookmarkEnd w:id="607"/>
      <w:bookmarkEnd w:id="608"/>
      <w:bookmarkEnd w:id="609"/>
      <w:bookmarkEnd w:id="610"/>
      <w:bookmarkEnd w:id="611"/>
      <w:bookmarkEnd w:id="612"/>
      <w:bookmarkEnd w:id="613"/>
    </w:p>
    <w:p w14:paraId="4009AB68">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0E08000B">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713E1EBA">
      <w:pPr>
        <w:pStyle w:val="10"/>
        <w:rPr>
          <w:rFonts w:ascii="宋体" w:hAnsi="宋体"/>
          <w:color w:val="auto"/>
          <w:highlight w:val="none"/>
        </w:rPr>
      </w:pPr>
      <w:bookmarkStart w:id="614" w:name="_Toc144974575"/>
      <w:bookmarkStart w:id="615" w:name="_Toc247085765"/>
      <w:bookmarkStart w:id="616" w:name="_Toc152042385"/>
      <w:bookmarkStart w:id="617" w:name="_Toc179632625"/>
      <w:bookmarkStart w:id="618" w:name="_Toc152045607"/>
      <w:bookmarkStart w:id="619" w:name="_Toc338840246"/>
      <w:bookmarkStart w:id="620" w:name="_Toc246996993"/>
      <w:bookmarkStart w:id="621" w:name="_Toc246996250"/>
      <w:r>
        <w:rPr>
          <w:rFonts w:hint="eastAsia" w:ascii="宋体" w:hAnsi="宋体"/>
          <w:color w:val="auto"/>
          <w:highlight w:val="none"/>
        </w:rPr>
        <w:t>3.3 投标文件的澄清</w:t>
      </w:r>
      <w:bookmarkEnd w:id="614"/>
      <w:r>
        <w:rPr>
          <w:rFonts w:hint="eastAsia" w:ascii="宋体" w:hAnsi="宋体"/>
          <w:color w:val="auto"/>
          <w:highlight w:val="none"/>
        </w:rPr>
        <w:t>和补正</w:t>
      </w:r>
      <w:bookmarkEnd w:id="615"/>
      <w:bookmarkEnd w:id="616"/>
      <w:bookmarkEnd w:id="617"/>
      <w:bookmarkEnd w:id="618"/>
      <w:bookmarkEnd w:id="619"/>
      <w:bookmarkEnd w:id="620"/>
      <w:bookmarkEnd w:id="621"/>
    </w:p>
    <w:p w14:paraId="134B4789">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16E0FF04">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DFF1413">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4FB656ED">
      <w:pPr>
        <w:pStyle w:val="10"/>
        <w:rPr>
          <w:rFonts w:ascii="宋体" w:hAnsi="宋体"/>
          <w:color w:val="auto"/>
          <w:highlight w:val="none"/>
        </w:rPr>
      </w:pPr>
      <w:bookmarkStart w:id="622" w:name="_Toc144974576"/>
      <w:bookmarkStart w:id="623" w:name="_Toc179632626"/>
      <w:bookmarkStart w:id="624" w:name="_Toc246996251"/>
      <w:bookmarkStart w:id="625" w:name="_Toc152042386"/>
      <w:bookmarkStart w:id="626" w:name="_Toc247085766"/>
      <w:bookmarkStart w:id="627" w:name="_Toc152045608"/>
      <w:bookmarkStart w:id="628" w:name="_Toc338840247"/>
      <w:bookmarkStart w:id="629" w:name="_Toc246996994"/>
      <w:r>
        <w:rPr>
          <w:rFonts w:hint="eastAsia" w:ascii="宋体" w:hAnsi="宋体"/>
          <w:color w:val="auto"/>
          <w:highlight w:val="none"/>
        </w:rPr>
        <w:t>3.4 评标结果</w:t>
      </w:r>
      <w:bookmarkEnd w:id="622"/>
      <w:bookmarkEnd w:id="623"/>
      <w:bookmarkEnd w:id="624"/>
      <w:bookmarkEnd w:id="625"/>
      <w:bookmarkEnd w:id="626"/>
      <w:bookmarkEnd w:id="627"/>
      <w:bookmarkEnd w:id="628"/>
      <w:bookmarkEnd w:id="629"/>
    </w:p>
    <w:p w14:paraId="03D39538">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0F855CD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267B0405">
      <w:pPr>
        <w:spacing w:line="400" w:lineRule="exact"/>
        <w:rPr>
          <w:rFonts w:ascii="宋体" w:hAnsi="宋体"/>
          <w:color w:val="auto"/>
          <w:highlight w:val="none"/>
        </w:rPr>
      </w:pPr>
    </w:p>
    <w:p w14:paraId="5D88F4BC">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30" w:name="_Toc494526415"/>
      <w:bookmarkStart w:id="631" w:name="_Toc19784"/>
      <w:bookmarkStart w:id="632" w:name="_Toc338840497"/>
      <w:bookmarkStart w:id="633" w:name="_Toc346523418"/>
      <w:bookmarkStart w:id="634" w:name="_Toc494093443"/>
      <w:bookmarkStart w:id="635" w:name="_Toc27082"/>
      <w:bookmarkStart w:id="636" w:name="_Toc346523481"/>
      <w:bookmarkStart w:id="637" w:name="_Toc21307"/>
      <w:bookmarkStart w:id="638" w:name="_Toc19465"/>
      <w:bookmarkStart w:id="639" w:name="_Toc338840458"/>
      <w:bookmarkStart w:id="640" w:name="_Toc338840249"/>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30"/>
      <w:bookmarkEnd w:id="631"/>
      <w:bookmarkEnd w:id="632"/>
      <w:bookmarkEnd w:id="633"/>
      <w:bookmarkEnd w:id="634"/>
      <w:bookmarkEnd w:id="635"/>
      <w:bookmarkEnd w:id="636"/>
      <w:bookmarkEnd w:id="637"/>
      <w:bookmarkEnd w:id="638"/>
      <w:bookmarkEnd w:id="639"/>
      <w:bookmarkEnd w:id="640"/>
      <w:r>
        <w:rPr>
          <w:rFonts w:hint="eastAsia" w:ascii="宋体" w:hAnsi="宋体"/>
          <w:color w:val="auto"/>
          <w:sz w:val="24"/>
          <w:highlight w:val="none"/>
        </w:rPr>
        <w:t xml:space="preserve"> </w:t>
      </w:r>
    </w:p>
    <w:p w14:paraId="2B246ACF">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001B771">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1CB95B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71A3E0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2 、有下列情形之一，视为供应商串通投标，其投标无效：</w:t>
      </w:r>
    </w:p>
    <w:p w14:paraId="25C11E6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5177BF3C">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7F37DEB3">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02FF8175">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BF2838C">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A3CB9">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3644FA6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30C55729">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4、投标内容不符合采购标的种类和数量要求的。</w:t>
      </w:r>
    </w:p>
    <w:p w14:paraId="59540270">
      <w:pPr>
        <w:adjustRightInd w:val="0"/>
        <w:snapToGrid w:val="0"/>
        <w:spacing w:line="440" w:lineRule="exact"/>
        <w:ind w:left="420" w:leftChars="200"/>
        <w:rPr>
          <w:rFonts w:ascii="宋体" w:hAnsi="宋体"/>
          <w:color w:val="auto"/>
          <w:szCs w:val="21"/>
          <w:highlight w:val="none"/>
        </w:rPr>
      </w:pPr>
      <w:r>
        <w:rPr>
          <w:rFonts w:hint="eastAsia" w:ascii="宋体" w:hAnsi="宋体"/>
          <w:color w:val="auto"/>
          <w:szCs w:val="21"/>
          <w:highlight w:val="none"/>
        </w:rPr>
        <w:t>5、投标报价超过招标文件中规定的最高限价的。</w:t>
      </w:r>
    </w:p>
    <w:p w14:paraId="21A65919">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rPr>
        <w:t>6、提供虚假材料或伪造材料的。</w:t>
      </w:r>
    </w:p>
    <w:p w14:paraId="5BA1CEEC">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7、联合体投标者没有提交共同投标协议的。</w:t>
      </w:r>
    </w:p>
    <w:p w14:paraId="5F22D600">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8、采购人提供证据证明供应商在以往履行与采购人及其所属单位的采购合同时，发生过重大实质性违约且未及时采取合理补救措施的。</w:t>
      </w:r>
    </w:p>
    <w:p w14:paraId="72C15C6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9、其他不符合法律、法规规定的。</w:t>
      </w:r>
    </w:p>
    <w:p w14:paraId="6192BF63">
      <w:pPr>
        <w:adjustRightInd w:val="0"/>
        <w:snapToGrid w:val="0"/>
        <w:spacing w:line="440" w:lineRule="exact"/>
        <w:rPr>
          <w:rFonts w:ascii="宋体" w:hAnsi="宋体"/>
          <w:color w:val="auto"/>
          <w:szCs w:val="21"/>
          <w:highlight w:val="none"/>
        </w:rPr>
      </w:pPr>
    </w:p>
    <w:p w14:paraId="43E56258">
      <w:pPr>
        <w:adjustRightInd w:val="0"/>
        <w:snapToGrid w:val="0"/>
        <w:spacing w:line="440" w:lineRule="exact"/>
        <w:ind w:firstLine="420" w:firstLineChars="200"/>
        <w:rPr>
          <w:rFonts w:ascii="宋体" w:hAnsi="宋体"/>
          <w:b/>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b/>
          <w:color w:val="auto"/>
          <w:sz w:val="24"/>
          <w:highlight w:val="none"/>
        </w:rPr>
        <w:t>附件B：</w:t>
      </w:r>
    </w:p>
    <w:p w14:paraId="6ACE485D">
      <w:pPr>
        <w:spacing w:line="520" w:lineRule="exact"/>
        <w:jc w:val="center"/>
        <w:rPr>
          <w:b/>
          <w:color w:val="auto"/>
          <w:sz w:val="36"/>
          <w:szCs w:val="36"/>
          <w:highlight w:val="none"/>
        </w:rPr>
      </w:pPr>
      <w:r>
        <w:rPr>
          <w:rFonts w:hint="eastAsia"/>
          <w:b/>
          <w:color w:val="auto"/>
          <w:sz w:val="36"/>
          <w:szCs w:val="36"/>
          <w:highlight w:val="none"/>
        </w:rPr>
        <w:t>评标报告（样本）</w:t>
      </w:r>
    </w:p>
    <w:p w14:paraId="51939C42">
      <w:pPr>
        <w:spacing w:line="560" w:lineRule="exact"/>
        <w:jc w:val="center"/>
        <w:rPr>
          <w:rFonts w:ascii="仿宋_GB2312" w:eastAsia="仿宋_GB2312"/>
          <w:color w:val="auto"/>
          <w:sz w:val="24"/>
          <w:highlight w:val="none"/>
        </w:rPr>
      </w:pPr>
    </w:p>
    <w:p w14:paraId="799FA6B8">
      <w:pPr>
        <w:pStyle w:val="2"/>
        <w:spacing w:line="560" w:lineRule="exact"/>
        <w:ind w:firstLine="470" w:firstLineChars="196"/>
        <w:rPr>
          <w:rFonts w:ascii="仿宋_GB2312" w:eastAsia="仿宋_GB2312"/>
          <w:color w:val="auto"/>
          <w:sz w:val="24"/>
          <w:highlight w:val="none"/>
        </w:rPr>
      </w:pPr>
      <w:r>
        <w:rPr>
          <w:rFonts w:hint="eastAsia" w:ascii="仿宋_GB2312" w:eastAsia="仿宋_GB2312"/>
          <w:color w:val="auto"/>
          <w:sz w:val="24"/>
          <w:highlight w:val="none"/>
        </w:rPr>
        <w:t>一、基本情况。</w:t>
      </w:r>
    </w:p>
    <w:p w14:paraId="2B2D251F">
      <w:pPr>
        <w:pStyle w:val="2"/>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010CAFA8">
      <w:pPr>
        <w:pStyle w:val="2"/>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7CB79187">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017BB196">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56291F65">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44A31C04">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972103C">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69FACC71">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26CD212B">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214A0EE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1AA635BA">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155D69C8">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35D8B92A">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1516CCEC">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4455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43AE8F1E">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4480392F">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0A7AE18E">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评标价格</w:t>
            </w:r>
            <w:r>
              <w:rPr>
                <w:rFonts w:hint="eastAsia" w:ascii="仿宋_GB2312" w:eastAsia="仿宋_GB2312"/>
                <w:color w:val="auto"/>
                <w:sz w:val="22"/>
                <w:szCs w:val="22"/>
                <w:highlight w:val="none"/>
              </w:rPr>
              <w:t>（价格扣除后的价格）</w:t>
            </w:r>
          </w:p>
        </w:tc>
      </w:tr>
      <w:tr w14:paraId="41B02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4141BCFF">
            <w:pPr>
              <w:spacing w:line="560" w:lineRule="exact"/>
              <w:rPr>
                <w:rFonts w:ascii="仿宋_GB2312" w:eastAsia="仿宋_GB2312"/>
                <w:color w:val="auto"/>
                <w:sz w:val="24"/>
                <w:highlight w:val="none"/>
              </w:rPr>
            </w:pPr>
          </w:p>
        </w:tc>
        <w:tc>
          <w:tcPr>
            <w:tcW w:w="1503" w:type="dxa"/>
          </w:tcPr>
          <w:p w14:paraId="78A28FE7">
            <w:pPr>
              <w:spacing w:line="560" w:lineRule="exact"/>
              <w:rPr>
                <w:rFonts w:ascii="仿宋_GB2312" w:eastAsia="仿宋_GB2312"/>
                <w:color w:val="auto"/>
                <w:sz w:val="24"/>
                <w:highlight w:val="none"/>
              </w:rPr>
            </w:pPr>
          </w:p>
        </w:tc>
        <w:tc>
          <w:tcPr>
            <w:tcW w:w="2520" w:type="dxa"/>
          </w:tcPr>
          <w:p w14:paraId="5BEAB7DE">
            <w:pPr>
              <w:spacing w:line="560" w:lineRule="exact"/>
              <w:rPr>
                <w:rFonts w:ascii="仿宋_GB2312" w:eastAsia="仿宋_GB2312"/>
                <w:color w:val="auto"/>
                <w:sz w:val="24"/>
                <w:highlight w:val="none"/>
              </w:rPr>
            </w:pPr>
          </w:p>
        </w:tc>
      </w:tr>
      <w:tr w14:paraId="3246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24EA34E7">
            <w:pPr>
              <w:spacing w:line="560" w:lineRule="exact"/>
              <w:rPr>
                <w:rFonts w:ascii="仿宋_GB2312" w:eastAsia="仿宋_GB2312"/>
                <w:color w:val="auto"/>
                <w:sz w:val="24"/>
                <w:highlight w:val="none"/>
              </w:rPr>
            </w:pPr>
          </w:p>
        </w:tc>
        <w:tc>
          <w:tcPr>
            <w:tcW w:w="1503" w:type="dxa"/>
          </w:tcPr>
          <w:p w14:paraId="2E3B46E9">
            <w:pPr>
              <w:spacing w:line="560" w:lineRule="exact"/>
              <w:rPr>
                <w:rFonts w:ascii="仿宋_GB2312" w:eastAsia="仿宋_GB2312"/>
                <w:color w:val="auto"/>
                <w:sz w:val="24"/>
                <w:highlight w:val="none"/>
              </w:rPr>
            </w:pPr>
          </w:p>
        </w:tc>
        <w:tc>
          <w:tcPr>
            <w:tcW w:w="2520" w:type="dxa"/>
          </w:tcPr>
          <w:p w14:paraId="4224E113">
            <w:pPr>
              <w:spacing w:line="560" w:lineRule="exact"/>
              <w:rPr>
                <w:rFonts w:ascii="仿宋_GB2312" w:eastAsia="仿宋_GB2312"/>
                <w:color w:val="auto"/>
                <w:sz w:val="24"/>
                <w:highlight w:val="none"/>
              </w:rPr>
            </w:pPr>
          </w:p>
        </w:tc>
      </w:tr>
    </w:tbl>
    <w:p w14:paraId="240C7492">
      <w:pPr>
        <w:spacing w:line="560" w:lineRule="exact"/>
        <w:ind w:firstLine="482" w:firstLineChars="200"/>
        <w:rPr>
          <w:rFonts w:ascii="仿宋_GB2312" w:eastAsia="仿宋_GB2312"/>
          <w:b/>
          <w:color w:val="auto"/>
          <w:sz w:val="24"/>
          <w:highlight w:val="none"/>
        </w:rPr>
      </w:pPr>
    </w:p>
    <w:p w14:paraId="089A56A0">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506A3AB6">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2F28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58189A73">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0A14C49D">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3F5BB56A">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59B96DFB">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432B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6F882650">
            <w:pPr>
              <w:spacing w:line="560" w:lineRule="exact"/>
              <w:rPr>
                <w:rFonts w:ascii="仿宋_GB2312" w:eastAsia="仿宋_GB2312"/>
                <w:color w:val="auto"/>
                <w:sz w:val="24"/>
                <w:highlight w:val="none"/>
              </w:rPr>
            </w:pPr>
          </w:p>
        </w:tc>
        <w:tc>
          <w:tcPr>
            <w:tcW w:w="1193" w:type="dxa"/>
          </w:tcPr>
          <w:p w14:paraId="356BF839">
            <w:pPr>
              <w:spacing w:line="560" w:lineRule="exact"/>
              <w:rPr>
                <w:rFonts w:ascii="仿宋_GB2312" w:eastAsia="仿宋_GB2312"/>
                <w:color w:val="auto"/>
                <w:sz w:val="24"/>
                <w:highlight w:val="none"/>
              </w:rPr>
            </w:pPr>
          </w:p>
        </w:tc>
        <w:tc>
          <w:tcPr>
            <w:tcW w:w="1453" w:type="dxa"/>
          </w:tcPr>
          <w:p w14:paraId="44CEA140">
            <w:pPr>
              <w:spacing w:line="560" w:lineRule="exact"/>
              <w:rPr>
                <w:rFonts w:ascii="仿宋_GB2312" w:eastAsia="仿宋_GB2312"/>
                <w:color w:val="auto"/>
                <w:sz w:val="24"/>
                <w:highlight w:val="none"/>
              </w:rPr>
            </w:pPr>
          </w:p>
        </w:tc>
        <w:tc>
          <w:tcPr>
            <w:tcW w:w="2071" w:type="dxa"/>
          </w:tcPr>
          <w:p w14:paraId="722BDC4F">
            <w:pPr>
              <w:spacing w:line="560" w:lineRule="exact"/>
              <w:rPr>
                <w:rFonts w:ascii="仿宋_GB2312" w:eastAsia="仿宋_GB2312"/>
                <w:color w:val="auto"/>
                <w:sz w:val="24"/>
                <w:highlight w:val="none"/>
              </w:rPr>
            </w:pPr>
          </w:p>
        </w:tc>
      </w:tr>
      <w:tr w14:paraId="6DE4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243F3BDE">
            <w:pPr>
              <w:spacing w:line="560" w:lineRule="exact"/>
              <w:rPr>
                <w:rFonts w:ascii="仿宋_GB2312" w:eastAsia="仿宋_GB2312"/>
                <w:color w:val="auto"/>
                <w:sz w:val="24"/>
                <w:highlight w:val="none"/>
              </w:rPr>
            </w:pPr>
          </w:p>
        </w:tc>
        <w:tc>
          <w:tcPr>
            <w:tcW w:w="1193" w:type="dxa"/>
          </w:tcPr>
          <w:p w14:paraId="7C324F25">
            <w:pPr>
              <w:spacing w:line="560" w:lineRule="exact"/>
              <w:rPr>
                <w:rFonts w:ascii="仿宋_GB2312" w:eastAsia="仿宋_GB2312"/>
                <w:color w:val="auto"/>
                <w:sz w:val="24"/>
                <w:highlight w:val="none"/>
              </w:rPr>
            </w:pPr>
          </w:p>
        </w:tc>
        <w:tc>
          <w:tcPr>
            <w:tcW w:w="1453" w:type="dxa"/>
          </w:tcPr>
          <w:p w14:paraId="3565D8F8">
            <w:pPr>
              <w:spacing w:line="560" w:lineRule="exact"/>
              <w:rPr>
                <w:rFonts w:ascii="仿宋_GB2312" w:eastAsia="仿宋_GB2312"/>
                <w:color w:val="auto"/>
                <w:sz w:val="24"/>
                <w:highlight w:val="none"/>
              </w:rPr>
            </w:pPr>
          </w:p>
        </w:tc>
        <w:tc>
          <w:tcPr>
            <w:tcW w:w="2071" w:type="dxa"/>
          </w:tcPr>
          <w:p w14:paraId="1F97B4A7">
            <w:pPr>
              <w:spacing w:line="560" w:lineRule="exact"/>
              <w:rPr>
                <w:rFonts w:ascii="仿宋_GB2312" w:eastAsia="仿宋_GB2312"/>
                <w:color w:val="auto"/>
                <w:sz w:val="24"/>
                <w:highlight w:val="none"/>
              </w:rPr>
            </w:pPr>
          </w:p>
        </w:tc>
      </w:tr>
      <w:tr w14:paraId="4714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466EA9AD">
            <w:pPr>
              <w:spacing w:line="560" w:lineRule="exact"/>
              <w:rPr>
                <w:rFonts w:ascii="仿宋_GB2312" w:eastAsia="仿宋_GB2312"/>
                <w:color w:val="auto"/>
                <w:sz w:val="24"/>
                <w:highlight w:val="none"/>
              </w:rPr>
            </w:pPr>
          </w:p>
        </w:tc>
        <w:tc>
          <w:tcPr>
            <w:tcW w:w="1193" w:type="dxa"/>
          </w:tcPr>
          <w:p w14:paraId="43F78FDC">
            <w:pPr>
              <w:spacing w:line="560" w:lineRule="exact"/>
              <w:rPr>
                <w:rFonts w:ascii="仿宋_GB2312" w:eastAsia="仿宋_GB2312"/>
                <w:color w:val="auto"/>
                <w:sz w:val="24"/>
                <w:highlight w:val="none"/>
              </w:rPr>
            </w:pPr>
          </w:p>
        </w:tc>
        <w:tc>
          <w:tcPr>
            <w:tcW w:w="1453" w:type="dxa"/>
          </w:tcPr>
          <w:p w14:paraId="75122B5B">
            <w:pPr>
              <w:spacing w:line="560" w:lineRule="exact"/>
              <w:rPr>
                <w:rFonts w:ascii="仿宋_GB2312" w:eastAsia="仿宋_GB2312"/>
                <w:color w:val="auto"/>
                <w:sz w:val="24"/>
                <w:highlight w:val="none"/>
              </w:rPr>
            </w:pPr>
          </w:p>
        </w:tc>
        <w:tc>
          <w:tcPr>
            <w:tcW w:w="2071" w:type="dxa"/>
          </w:tcPr>
          <w:p w14:paraId="0EB5AC96">
            <w:pPr>
              <w:spacing w:line="560" w:lineRule="exact"/>
              <w:rPr>
                <w:rFonts w:ascii="仿宋_GB2312" w:eastAsia="仿宋_GB2312"/>
                <w:color w:val="auto"/>
                <w:sz w:val="24"/>
                <w:highlight w:val="none"/>
              </w:rPr>
            </w:pPr>
          </w:p>
        </w:tc>
      </w:tr>
      <w:tr w14:paraId="7E0EE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1C5EBD86">
            <w:pPr>
              <w:spacing w:line="560" w:lineRule="exact"/>
              <w:rPr>
                <w:rFonts w:ascii="仿宋_GB2312" w:eastAsia="仿宋_GB2312"/>
                <w:color w:val="auto"/>
                <w:sz w:val="24"/>
                <w:highlight w:val="none"/>
              </w:rPr>
            </w:pPr>
          </w:p>
        </w:tc>
        <w:tc>
          <w:tcPr>
            <w:tcW w:w="1193" w:type="dxa"/>
          </w:tcPr>
          <w:p w14:paraId="089E4FA1">
            <w:pPr>
              <w:spacing w:line="560" w:lineRule="exact"/>
              <w:rPr>
                <w:rFonts w:ascii="仿宋_GB2312" w:eastAsia="仿宋_GB2312"/>
                <w:color w:val="auto"/>
                <w:sz w:val="24"/>
                <w:highlight w:val="none"/>
              </w:rPr>
            </w:pPr>
          </w:p>
        </w:tc>
        <w:tc>
          <w:tcPr>
            <w:tcW w:w="1453" w:type="dxa"/>
          </w:tcPr>
          <w:p w14:paraId="1EAF069F">
            <w:pPr>
              <w:spacing w:line="560" w:lineRule="exact"/>
              <w:rPr>
                <w:rFonts w:ascii="仿宋_GB2312" w:eastAsia="仿宋_GB2312"/>
                <w:color w:val="auto"/>
                <w:sz w:val="24"/>
                <w:highlight w:val="none"/>
              </w:rPr>
            </w:pPr>
          </w:p>
        </w:tc>
        <w:tc>
          <w:tcPr>
            <w:tcW w:w="2071" w:type="dxa"/>
          </w:tcPr>
          <w:p w14:paraId="16F3BB06">
            <w:pPr>
              <w:spacing w:line="560" w:lineRule="exact"/>
              <w:rPr>
                <w:rFonts w:ascii="仿宋_GB2312" w:eastAsia="仿宋_GB2312"/>
                <w:color w:val="auto"/>
                <w:sz w:val="24"/>
                <w:highlight w:val="none"/>
              </w:rPr>
            </w:pPr>
          </w:p>
        </w:tc>
      </w:tr>
      <w:tr w14:paraId="6D0C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64B72B0">
            <w:pPr>
              <w:spacing w:line="560" w:lineRule="exact"/>
              <w:rPr>
                <w:rFonts w:ascii="仿宋_GB2312" w:eastAsia="仿宋_GB2312"/>
                <w:color w:val="auto"/>
                <w:sz w:val="24"/>
                <w:highlight w:val="none"/>
              </w:rPr>
            </w:pPr>
          </w:p>
        </w:tc>
        <w:tc>
          <w:tcPr>
            <w:tcW w:w="1193" w:type="dxa"/>
          </w:tcPr>
          <w:p w14:paraId="52D8A744">
            <w:pPr>
              <w:spacing w:line="560" w:lineRule="exact"/>
              <w:rPr>
                <w:rFonts w:ascii="仿宋_GB2312" w:eastAsia="仿宋_GB2312"/>
                <w:color w:val="auto"/>
                <w:sz w:val="24"/>
                <w:highlight w:val="none"/>
              </w:rPr>
            </w:pPr>
          </w:p>
        </w:tc>
        <w:tc>
          <w:tcPr>
            <w:tcW w:w="1453" w:type="dxa"/>
          </w:tcPr>
          <w:p w14:paraId="4FE395D8">
            <w:pPr>
              <w:spacing w:line="560" w:lineRule="exact"/>
              <w:rPr>
                <w:rFonts w:ascii="仿宋_GB2312" w:eastAsia="仿宋_GB2312"/>
                <w:color w:val="auto"/>
                <w:sz w:val="24"/>
                <w:highlight w:val="none"/>
              </w:rPr>
            </w:pPr>
          </w:p>
        </w:tc>
        <w:tc>
          <w:tcPr>
            <w:tcW w:w="2071" w:type="dxa"/>
          </w:tcPr>
          <w:p w14:paraId="1200E8D8">
            <w:pPr>
              <w:spacing w:line="560" w:lineRule="exact"/>
              <w:rPr>
                <w:rFonts w:ascii="仿宋_GB2312" w:eastAsia="仿宋_GB2312"/>
                <w:color w:val="auto"/>
                <w:sz w:val="24"/>
                <w:highlight w:val="none"/>
              </w:rPr>
            </w:pPr>
          </w:p>
        </w:tc>
      </w:tr>
    </w:tbl>
    <w:p w14:paraId="063FA914">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069FE10B">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42A4CE5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67BFA317">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4CB4CAFA">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6F357E8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3201497A">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28E44BA0">
      <w:pPr>
        <w:spacing w:line="560" w:lineRule="exact"/>
        <w:ind w:firstLine="600"/>
        <w:rPr>
          <w:rFonts w:ascii="仿宋_GB2312" w:eastAsia="仿宋_GB2312"/>
          <w:b/>
          <w:color w:val="auto"/>
          <w:sz w:val="24"/>
          <w:highlight w:val="none"/>
        </w:rPr>
      </w:pPr>
    </w:p>
    <w:p w14:paraId="5D13F041">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691E22B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76DF8FBF">
      <w:pPr>
        <w:pStyle w:val="2"/>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136DD57C">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C360BB7">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7B3093AE">
      <w:pPr>
        <w:pStyle w:val="8"/>
        <w:jc w:val="center"/>
        <w:rPr>
          <w:rFonts w:ascii="宋体" w:hAnsi="宋体"/>
          <w:color w:val="auto"/>
          <w:highlight w:val="none"/>
        </w:rPr>
      </w:pPr>
      <w:bookmarkStart w:id="641" w:name="_Toc494526416"/>
      <w:bookmarkStart w:id="642" w:name="_Toc9654"/>
      <w:bookmarkStart w:id="643" w:name="_Toc152042387"/>
      <w:bookmarkStart w:id="644" w:name="_Toc246996995"/>
      <w:bookmarkStart w:id="645" w:name="_Toc246996252"/>
      <w:bookmarkStart w:id="646" w:name="_Toc144974577"/>
      <w:bookmarkStart w:id="647" w:name="_Toc338840250"/>
      <w:bookmarkStart w:id="648" w:name="_Toc346523419"/>
      <w:bookmarkStart w:id="649" w:name="_Toc338840459"/>
      <w:bookmarkStart w:id="650" w:name="_Toc152045609"/>
      <w:bookmarkStart w:id="651" w:name="_Toc247085767"/>
      <w:bookmarkStart w:id="652" w:name="_Toc179632627"/>
      <w:bookmarkStart w:id="653" w:name="_Toc14959"/>
      <w:bookmarkStart w:id="654" w:name="_Toc346523482"/>
      <w:bookmarkStart w:id="655" w:name="_Toc22308"/>
      <w:bookmarkStart w:id="656" w:name="_Toc494093444"/>
      <w:bookmarkStart w:id="657" w:name="_Toc338840498"/>
      <w:bookmarkStart w:id="658" w:name="_Toc17369"/>
      <w:r>
        <w:rPr>
          <w:rFonts w:hint="eastAsia" w:ascii="宋体" w:hAnsi="宋体"/>
          <w:color w:val="auto"/>
          <w:highlight w:val="none"/>
        </w:rPr>
        <w:t>第四章 合同条款及格式</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Start w:id="659" w:name="_Toc152045769"/>
      <w:bookmarkStart w:id="660" w:name="_Toc246996338"/>
      <w:bookmarkStart w:id="661" w:name="_Toc247085853"/>
      <w:bookmarkStart w:id="662" w:name="_Toc144974831"/>
      <w:bookmarkStart w:id="663" w:name="_Toc246997081"/>
      <w:bookmarkStart w:id="664" w:name="_Toc152042551"/>
      <w:bookmarkStart w:id="665" w:name="_Toc179632787"/>
    </w:p>
    <w:p w14:paraId="0776A8BC">
      <w:pPr>
        <w:widowControl/>
        <w:ind w:firstLine="3058" w:firstLineChars="695"/>
        <w:rPr>
          <w:rFonts w:ascii="宋体" w:hAnsi="宋体"/>
          <w:bCs/>
          <w:color w:val="auto"/>
          <w:kern w:val="0"/>
          <w:sz w:val="44"/>
          <w:szCs w:val="44"/>
          <w:highlight w:val="none"/>
        </w:rPr>
      </w:pPr>
      <w:r>
        <w:rPr>
          <w:rFonts w:hint="eastAsia" w:ascii="宋体" w:hAnsi="宋体"/>
          <w:bCs/>
          <w:color w:val="auto"/>
          <w:kern w:val="0"/>
          <w:sz w:val="44"/>
          <w:szCs w:val="44"/>
          <w:highlight w:val="none"/>
        </w:rPr>
        <w:t>合同协议书</w:t>
      </w:r>
    </w:p>
    <w:tbl>
      <w:tblPr>
        <w:tblStyle w:val="36"/>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47675230">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114CB617">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w:t>
            </w:r>
            <w:r>
              <w:rPr>
                <w:rFonts w:ascii="宋体" w:hAnsi="宋体"/>
                <w:color w:val="auto"/>
                <w:kern w:val="0"/>
                <w:sz w:val="24"/>
                <w:highlight w:val="none"/>
              </w:rPr>
              <w:t> </w:t>
            </w:r>
            <w:r>
              <w:rPr>
                <w:rFonts w:hint="eastAsia" w:ascii="宋体" w:hAnsi="宋体"/>
                <w:color w:val="auto"/>
                <w:kern w:val="0"/>
                <w:sz w:val="24"/>
                <w:highlight w:val="none"/>
              </w:rPr>
              <w:t>本合同协议书格式条款作为双方签订合同的参考。双方为阐明各方的权利和义务，经协商可增加或减少条款。 但不得与招标文件、投标文件的实质性内容相背离。</w:t>
            </w:r>
          </w:p>
        </w:tc>
      </w:tr>
    </w:tbl>
    <w:p w14:paraId="70177C78">
      <w:pPr>
        <w:widowControl/>
        <w:spacing w:line="440" w:lineRule="exact"/>
        <w:rPr>
          <w:rFonts w:ascii="宋体" w:hAnsi="宋体"/>
          <w:color w:val="auto"/>
          <w:kern w:val="0"/>
          <w:szCs w:val="21"/>
          <w:highlight w:val="none"/>
        </w:rPr>
      </w:pPr>
    </w:p>
    <w:p w14:paraId="7A04E883">
      <w:pPr>
        <w:widowControl/>
        <w:spacing w:line="440" w:lineRule="exact"/>
        <w:rPr>
          <w:rFonts w:ascii="宋体" w:hAnsi="宋体"/>
          <w:color w:val="auto"/>
          <w:kern w:val="0"/>
          <w:szCs w:val="21"/>
          <w:highlight w:val="none"/>
        </w:rPr>
      </w:pPr>
    </w:p>
    <w:p w14:paraId="66D9E97B">
      <w:pPr>
        <w:widowControl/>
        <w:spacing w:line="440" w:lineRule="exact"/>
        <w:rPr>
          <w:rFonts w:ascii="宋体" w:hAnsi="宋体"/>
          <w:color w:val="auto"/>
          <w:kern w:val="0"/>
          <w:szCs w:val="21"/>
          <w:highlight w:val="none"/>
        </w:rPr>
      </w:pPr>
    </w:p>
    <w:p w14:paraId="161B6B16">
      <w:pPr>
        <w:widowControl/>
        <w:spacing w:line="440" w:lineRule="exact"/>
        <w:rPr>
          <w:rFonts w:ascii="宋体" w:hAnsi="宋体"/>
          <w:color w:val="auto"/>
          <w:kern w:val="0"/>
          <w:szCs w:val="21"/>
          <w:highlight w:val="none"/>
        </w:rPr>
      </w:pPr>
    </w:p>
    <w:p w14:paraId="086F599E">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710D3F7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5E4698B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54C093AB">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00AF2956">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6188C664">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66D47993">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49159868">
      <w:pPr>
        <w:widowControl/>
        <w:spacing w:line="440" w:lineRule="exact"/>
        <w:ind w:firstLine="422" w:firstLineChars="200"/>
        <w:jc w:val="left"/>
        <w:rPr>
          <w:rFonts w:ascii="宋体" w:hAnsi="宋体"/>
          <w:b/>
          <w:bCs/>
          <w:color w:val="auto"/>
          <w:kern w:val="0"/>
          <w:szCs w:val="21"/>
          <w:highlight w:val="none"/>
        </w:rPr>
      </w:pPr>
    </w:p>
    <w:p w14:paraId="19BDD84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3DE6A098">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第三条：合同文件的组成　　</w:t>
      </w:r>
    </w:p>
    <w:p w14:paraId="6977E15E">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323D592C">
      <w:pPr>
        <w:widowControl/>
        <w:numPr>
          <w:ilvl w:val="0"/>
          <w:numId w:val="7"/>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43590793">
      <w:pPr>
        <w:widowControl/>
        <w:numPr>
          <w:ilvl w:val="0"/>
          <w:numId w:val="7"/>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5D08739E">
      <w:pPr>
        <w:widowControl/>
        <w:numPr>
          <w:ilvl w:val="0"/>
          <w:numId w:val="7"/>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10AE8F2D">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55891EBF">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1EEE14AD">
      <w:pPr>
        <w:widowControl/>
        <w:numPr>
          <w:ilvl w:val="0"/>
          <w:numId w:val="7"/>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37DE5D9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71A59A8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60BECD98">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1E73D594">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第五条  质量保证</w:t>
      </w:r>
    </w:p>
    <w:p w14:paraId="4765D059">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5CD6208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3A51FC89">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第六条  包装要求</w:t>
      </w:r>
    </w:p>
    <w:p w14:paraId="79707E2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08214A0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B1BA30">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第七条  交付和验收</w:t>
      </w:r>
    </w:p>
    <w:p w14:paraId="587D2964">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33C67DCD">
      <w:pPr>
        <w:widowControl/>
        <w:spacing w:line="440" w:lineRule="exact"/>
        <w:ind w:firstLine="420" w:firstLineChars="200"/>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7E1762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7171ED1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0E8303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96E300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7E1C38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0472B7E4">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第八条  伴随服务及售后服务</w:t>
      </w:r>
    </w:p>
    <w:p w14:paraId="00AA399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6C7CB06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184489F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62EC7E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0AC25DD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2851A51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09215D2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682171A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54791D1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6C45C74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3A6EA3A9">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468A1E0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CE3A0E7">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第九条   履约保证金</w:t>
      </w:r>
    </w:p>
    <w:p w14:paraId="54F205F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79F90708">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第十条   货款支付</w:t>
      </w:r>
    </w:p>
    <w:p w14:paraId="70D3DBE9">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7DF10BF5">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06AB42E9">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48074A1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第十一条 违约责任</w:t>
      </w:r>
    </w:p>
    <w:p w14:paraId="12979FD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35799FE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4DD6DDD1">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16904C2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30D5BF0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450B135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1CF8382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216C1FAC">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0EBA8C6C">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第十三条 　不可抗力　　</w:t>
      </w:r>
    </w:p>
    <w:p w14:paraId="63D619A8">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3401659D">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2FB35920">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第十四条  争议的解决</w:t>
      </w:r>
    </w:p>
    <w:p w14:paraId="1650FF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5777A59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150F59FE">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第十五条   合同生效及其他</w:t>
      </w:r>
    </w:p>
    <w:p w14:paraId="251AB9C1">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0583A32A">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6476F18A">
      <w:pPr>
        <w:widowControl/>
        <w:spacing w:line="440" w:lineRule="exact"/>
        <w:rPr>
          <w:rFonts w:ascii="宋体" w:hAnsi="宋体"/>
          <w:b/>
          <w:bCs/>
          <w:color w:val="auto"/>
          <w:kern w:val="0"/>
          <w:szCs w:val="21"/>
          <w:highlight w:val="none"/>
        </w:rPr>
      </w:pPr>
    </w:p>
    <w:p w14:paraId="5C8CCE28">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9C9744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25FD9B68">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22E366B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23518CA8">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5EB010AF">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65F5669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7423D7FC">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59"/>
      <w:bookmarkEnd w:id="660"/>
      <w:bookmarkEnd w:id="661"/>
      <w:bookmarkEnd w:id="662"/>
      <w:bookmarkEnd w:id="663"/>
      <w:bookmarkEnd w:id="664"/>
      <w:bookmarkEnd w:id="665"/>
    </w:p>
    <w:p w14:paraId="77837682">
      <w:pPr>
        <w:widowControl/>
        <w:spacing w:line="360" w:lineRule="auto"/>
        <w:rPr>
          <w:rFonts w:ascii="宋体" w:hAnsi="宋体" w:cs="宋体"/>
          <w:color w:val="auto"/>
          <w:sz w:val="28"/>
          <w:szCs w:val="28"/>
          <w:highlight w:val="none"/>
        </w:rPr>
      </w:pPr>
      <w:r>
        <w:rPr>
          <w:color w:val="auto"/>
          <w:highlight w:val="none"/>
        </w:rPr>
        <w:br w:type="page"/>
      </w:r>
    </w:p>
    <w:p w14:paraId="4836B2DE">
      <w:pPr>
        <w:pStyle w:val="9"/>
        <w:jc w:val="center"/>
        <w:rPr>
          <w:rFonts w:ascii="宋体" w:hAnsi="宋体" w:eastAsia="宋体" w:cs="宋体"/>
          <w:color w:val="auto"/>
          <w:highlight w:val="none"/>
        </w:rPr>
      </w:pPr>
      <w:bookmarkStart w:id="666" w:name="_Toc30854"/>
      <w:r>
        <w:rPr>
          <w:rFonts w:hint="eastAsia" w:ascii="宋体" w:hAnsi="宋体" w:eastAsia="宋体" w:cs="宋体"/>
          <w:color w:val="auto"/>
          <w:highlight w:val="none"/>
        </w:rPr>
        <w:t>开封政府采购合同融资政策告知函</w:t>
      </w:r>
      <w:bookmarkEnd w:id="666"/>
    </w:p>
    <w:p w14:paraId="5057851A">
      <w:pPr>
        <w:widowControl/>
        <w:spacing w:line="360" w:lineRule="auto"/>
        <w:rPr>
          <w:rFonts w:ascii="宋体" w:hAnsi="宋体" w:cs="宋体"/>
          <w:color w:val="auto"/>
          <w:sz w:val="28"/>
          <w:szCs w:val="28"/>
          <w:highlight w:val="none"/>
        </w:rPr>
      </w:pPr>
    </w:p>
    <w:p w14:paraId="5B9C2CB3">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016926EB">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5DA1B77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480CBB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1F95061">
      <w:pPr>
        <w:pStyle w:val="5"/>
        <w:rPr>
          <w:color w:val="auto"/>
          <w:highlight w:val="none"/>
        </w:rPr>
      </w:pPr>
    </w:p>
    <w:p w14:paraId="1EC91FE4">
      <w:pPr>
        <w:widowControl/>
        <w:spacing w:line="440" w:lineRule="exact"/>
        <w:rPr>
          <w:rFonts w:ascii="宋体" w:hAnsi="宋体"/>
          <w:color w:val="auto"/>
          <w:kern w:val="0"/>
          <w:szCs w:val="21"/>
          <w:highlight w:val="none"/>
        </w:rPr>
      </w:pPr>
    </w:p>
    <w:p w14:paraId="549D382B">
      <w:pPr>
        <w:jc w:val="center"/>
        <w:rPr>
          <w:rFonts w:ascii="宋体" w:hAnsi="宋体"/>
          <w:color w:val="auto"/>
          <w:highlight w:val="none"/>
        </w:rPr>
      </w:pPr>
      <w:bookmarkStart w:id="667" w:name="_Toc247085855"/>
      <w:bookmarkStart w:id="668" w:name="_Toc144974834"/>
      <w:bookmarkStart w:id="669" w:name="_Toc179632789"/>
      <w:bookmarkStart w:id="670" w:name="_Toc152045772"/>
      <w:bookmarkStart w:id="671" w:name="_Toc246997083"/>
      <w:bookmarkStart w:id="672" w:name="_Toc246996340"/>
      <w:bookmarkStart w:id="673" w:name="_Toc152042554"/>
      <w:bookmarkStart w:id="674" w:name="_Toc338840499"/>
      <w:bookmarkStart w:id="675" w:name="_Toc338840251"/>
      <w:bookmarkStart w:id="676" w:name="_Toc338840460"/>
      <w:bookmarkStart w:id="677" w:name="_Toc346523420"/>
      <w:bookmarkStart w:id="678" w:name="_Toc346523483"/>
      <w:bookmarkStart w:id="679" w:name="_Toc494093445"/>
      <w:bookmarkStart w:id="680" w:name="_Toc494526417"/>
      <w:r>
        <w:rPr>
          <w:rFonts w:hint="eastAsia" w:ascii="宋体" w:hAnsi="宋体"/>
          <w:color w:val="auto"/>
          <w:highlight w:val="none"/>
        </w:rPr>
        <w:br w:type="page"/>
      </w:r>
    </w:p>
    <w:p w14:paraId="094F41DB">
      <w:pPr>
        <w:pStyle w:val="9"/>
        <w:jc w:val="center"/>
        <w:rPr>
          <w:rFonts w:ascii="宋体" w:hAnsi="宋体" w:eastAsia="宋体" w:cs="宋体"/>
          <w:color w:val="auto"/>
          <w:highlight w:val="none"/>
        </w:rPr>
      </w:pPr>
      <w:bookmarkStart w:id="681" w:name="_Toc6494"/>
      <w:r>
        <w:rPr>
          <w:rFonts w:hint="eastAsia" w:ascii="宋体" w:hAnsi="宋体" w:eastAsia="宋体" w:cs="宋体"/>
          <w:color w:val="auto"/>
          <w:highlight w:val="none"/>
        </w:rPr>
        <w:t>开封政府采购合同履约保函政策告知函</w:t>
      </w:r>
      <w:bookmarkEnd w:id="681"/>
    </w:p>
    <w:p w14:paraId="6038D339">
      <w:pPr>
        <w:pStyle w:val="5"/>
        <w:rPr>
          <w:color w:val="auto"/>
          <w:highlight w:val="none"/>
        </w:rPr>
      </w:pPr>
    </w:p>
    <w:p w14:paraId="66130C41">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5617983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3F0AB4B8">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006D2F03">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2F86E038">
      <w:pPr>
        <w:pStyle w:val="8"/>
        <w:jc w:val="center"/>
        <w:rPr>
          <w:rFonts w:ascii="宋体" w:hAnsi="宋体"/>
          <w:color w:val="auto"/>
          <w:highlight w:val="none"/>
        </w:rPr>
      </w:pPr>
      <w:r>
        <w:rPr>
          <w:rFonts w:hint="eastAsia" w:ascii="宋体" w:hAnsi="宋体"/>
          <w:color w:val="auto"/>
          <w:highlight w:val="none"/>
        </w:rPr>
        <w:br w:type="page"/>
      </w:r>
      <w:bookmarkStart w:id="682" w:name="_Toc14386"/>
      <w:bookmarkStart w:id="683" w:name="_Toc479"/>
      <w:bookmarkStart w:id="684" w:name="_Toc23041"/>
      <w:bookmarkStart w:id="685" w:name="_Toc9194"/>
      <w:r>
        <w:rPr>
          <w:rFonts w:hint="eastAsia" w:ascii="宋体" w:hAnsi="宋体"/>
          <w:color w:val="auto"/>
          <w:highlight w:val="none"/>
        </w:rPr>
        <w:t xml:space="preserve">第五章  </w:t>
      </w:r>
      <w:bookmarkEnd w:id="667"/>
      <w:bookmarkEnd w:id="668"/>
      <w:bookmarkEnd w:id="669"/>
      <w:bookmarkEnd w:id="670"/>
      <w:bookmarkEnd w:id="671"/>
      <w:bookmarkEnd w:id="672"/>
      <w:bookmarkEnd w:id="673"/>
      <w:r>
        <w:rPr>
          <w:rFonts w:hint="eastAsia" w:ascii="宋体" w:hAnsi="宋体"/>
          <w:color w:val="auto"/>
          <w:highlight w:val="none"/>
        </w:rPr>
        <w:t>招标内容及商务技术要求</w:t>
      </w:r>
      <w:bookmarkEnd w:id="674"/>
      <w:bookmarkEnd w:id="675"/>
      <w:bookmarkEnd w:id="676"/>
      <w:bookmarkEnd w:id="677"/>
      <w:bookmarkEnd w:id="678"/>
      <w:bookmarkEnd w:id="679"/>
      <w:bookmarkEnd w:id="680"/>
      <w:bookmarkEnd w:id="682"/>
      <w:bookmarkEnd w:id="683"/>
      <w:bookmarkEnd w:id="684"/>
      <w:bookmarkEnd w:id="685"/>
    </w:p>
    <w:p w14:paraId="4F4853EB">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417EA50C">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3CA9425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 xml:space="preserve">2.采购需求中的产品如涉及强制性国家标准时投标产品必须满足；有关要求与国家标准不一致时，按照较严格的标准执行；未明确要求者也不得低于国家标准。 </w:t>
      </w:r>
    </w:p>
    <w:p w14:paraId="0207571A">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应当获得相关认证（网络关键设备和网络安全专用产品可以是认证或检测），并在投标文件中提供有效认证证书或证明材料。签订合同应包含上述涉及的相关内容，采购人按照国家有关规定进行落实和验收。　</w:t>
      </w:r>
    </w:p>
    <w:p w14:paraId="34E7EEE5">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4.采购需求中如有计算机办公设备，必须预装正版操作系统软件。</w:t>
      </w:r>
    </w:p>
    <w:p w14:paraId="4929F60B">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772BB8B8">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63B9C7F1">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w:t>
      </w:r>
    </w:p>
    <w:p w14:paraId="4CD27E1A">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8.本项目采购和履行中形成的知识产权和其他权益归采购人所有（另有约定者除外）。</w:t>
      </w:r>
    </w:p>
    <w:p w14:paraId="5AFAACB1">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9.本采购项目为交钥匙项目，验收合格前所需的一切费用均包含在报价之中，采购人不承担成交价格以外的任何费用。</w:t>
      </w:r>
    </w:p>
    <w:p w14:paraId="5269E3A1">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一、项目概况总体要求</w:t>
      </w:r>
    </w:p>
    <w:p w14:paraId="6E3BF13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1.项目名称：开封市监狱改扩建项目信息化及安防设施建设工程项目</w:t>
      </w:r>
    </w:p>
    <w:p w14:paraId="42E4255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建设内容：开封市监狱改扩建项目信息化及安防设施建设工程项目所有系统，包括但不限于综合布线系统、计算机网络系统、信息安全系统、服务器及存储系统、机房工程、固话及通讯终端智能管理系统、会议系统、周界安防工程、视频监控系统、出入口管理系统、紧急报警系统、监听对讲系统、会见管理系统、亲情电话系统、无线对讲系统、指挥中心及分控中心等系统工程及智能安防集成平台和信息资源库建设，所有系统的深化设计、材料设备和技术服务的供货、运输、保险、装卸、储存保管、线路敷设、安装施工、 测试、检测、调试、系统集成、试运行、通过相关主管部门的验收、交付、培训、质保期服务、技术支持、售后保修及相关伴随服务。</w:t>
      </w:r>
    </w:p>
    <w:p w14:paraId="238CE90E">
      <w:pPr>
        <w:spacing w:line="360" w:lineRule="auto"/>
        <w:ind w:firstLine="643" w:firstLineChars="200"/>
        <w:rPr>
          <w:rFonts w:hint="eastAsia" w:ascii="宋体" w:hAnsi="宋体"/>
          <w:b/>
          <w:color w:val="auto"/>
          <w:sz w:val="32"/>
          <w:szCs w:val="32"/>
          <w:highlight w:val="none"/>
        </w:rPr>
      </w:pPr>
      <w:r>
        <w:rPr>
          <w:rFonts w:hint="eastAsia" w:ascii="宋体" w:hAnsi="宋体"/>
          <w:b/>
          <w:color w:val="auto"/>
          <w:sz w:val="32"/>
          <w:szCs w:val="32"/>
          <w:highlight w:val="none"/>
        </w:rPr>
        <w:t>二、总体要求</w:t>
      </w:r>
    </w:p>
    <w:p w14:paraId="66CE62F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本技术标准和要求与设计图纸、工程量清单、技术规格书、主要设备清单等互为补充，均是招标文件的组成部分，投标人应对以上文件详细阅读，不一致处以高标准为投标依据，其中工程量以设备清单数量为准，如有疑问，请及时提交澄清。本项目招标，为满足招标人的系统功能需求及最终建设目标，投标人应结合自身产品选型、招标人的业务功能需要和自身项目经验，在投标的工程量清单尾部补充自身认为的所需追加补充的设备，确保工程建设服务满足业主最终功能需求，投标人中标后不得再以工程量清单缺失不满足功能需求为由，要求招标人追加资金。</w:t>
      </w:r>
    </w:p>
    <w:p w14:paraId="664309E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技术招标书中的设备设施必须在现场条件中能够正常运行，如果受到影响，业主有权要求投标方改进或更换；投标方不能把现场条件作为设备设施的功能不能实现或性能降低（如寿命缩短、易生锈等）的理由，投标方所提供的产品不符合相应的标准和规范，发包方有权要求改正，由此发生的一切费用和延误由系统承包商自行承担。</w:t>
      </w:r>
    </w:p>
    <w:p w14:paraId="3A8DC0A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对于在设计图纸或工程量清单中没有显示出来而在本技术标准和要求与技术规格书和主要设备清单中提及的材料、设备和工作或者在本技术标准和要求与技术规格书和主要设备清单中没有提及而在设计图纸或工程量清单中显示出来的材料、设备和工作，都应包括在本承包合同内，由投标人供应和安装。通常没有明确说明，但可以推知而又是安装和运行设备所必需的软件、附属配件和工作，也应包括在本承包合同内，由投标人供应和安装。</w:t>
      </w:r>
    </w:p>
    <w:p w14:paraId="1E31578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2.招标文件中为简述货物的品质、基本性能而标示的品牌型号或指标与某产品相同的仅供投标人选择货物时在质量水平上的参考，投标人可提供品质相同的或优于同类产品的货物。</w:t>
      </w:r>
    </w:p>
    <w:p w14:paraId="314B8FD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3.本项目信息化和安防设施工程建设中智能安防管理平台、会议系统及其他需要与外行政机关（包括但不限于河南省监狱管理局、开封市政府财政局、司法局、大数据局等）连接对接的网络、软件等</w:t>
      </w:r>
      <w:r>
        <w:rPr>
          <w:rFonts w:hint="eastAsia" w:ascii="宋体" w:hAnsi="宋体"/>
          <w:color w:val="auto"/>
          <w:szCs w:val="21"/>
          <w:highlight w:val="none"/>
          <w:lang w:val="en-US" w:eastAsia="zh-CN"/>
        </w:rPr>
        <w:t>满足使用需求</w:t>
      </w:r>
      <w:r>
        <w:rPr>
          <w:rFonts w:hint="eastAsia" w:ascii="宋体" w:hAnsi="宋体"/>
          <w:color w:val="auto"/>
          <w:szCs w:val="21"/>
          <w:highlight w:val="none"/>
        </w:rPr>
        <w:t>，且具备良好的扩展性以便于将来规模增大及功能添加，其中监狱各分控中心统一管理平台与监狱指挥中心平台保持兼容一致。</w:t>
      </w:r>
    </w:p>
    <w:p w14:paraId="78C22B5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4.投标人应按工程进度提交本承包合同范围有关系统的深化、优化设计和施工图，供监理、设计和有关部门审批。有关图纸内容包括平面、立面和剖面图，除显示所有有关设备、管道、线路和附属配件的布置安排外，还需显示各附件的位置、施工土建配合要求、与其他机电系统的分界面和施工所需的大样详图等。施工图深度必须达到标准和规范要求。</w:t>
      </w:r>
    </w:p>
    <w:p w14:paraId="0714055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5.由于本项目各系统涉及软硬件的整合，故投标人所提供的一切设备必须具备认可的品质、稳定性与可靠性，提供符合标准和要求或提供质量更优的设备，以保证系统的完整及兼容性,招标人对产品具有最终选择权。</w:t>
      </w:r>
    </w:p>
    <w:p w14:paraId="69D9CD46">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6.不论本次招标清单内是否列出各独立系统控制管理软件，投标人须在投标清单中提供所有所投独立模块系统原厂正版控制管理软件。</w:t>
      </w:r>
    </w:p>
    <w:p w14:paraId="66C03F9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7.投标人须免费提供所投各独立模块系统（含主控设备）的可实现该系统所有功能的标准接口协议，方便实现该项目各模块对接、联动与平台集成等。</w:t>
      </w:r>
    </w:p>
    <w:p w14:paraId="511FA9C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8.在验收时发现投标人提供了不符合招标文件要求的产品，招标人有权要求投标人对不合格产品进行调换，费用由投标人自行承担。</w:t>
      </w:r>
    </w:p>
    <w:p w14:paraId="100B879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9.综合布线系统中各类线材、桥架、管材、辅材等均为估算值，实际施工过程中可能会有一定幅度的调整；清单中各部分内容在实施过程中均可能根据实际需要有所调整，均以实际实施和安装数量为准；</w:t>
      </w:r>
    </w:p>
    <w:p w14:paraId="2DD64AD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10.所有线材（除明确指出其他材质的外）均需满足国标纯铜（无氧铜）标准要求，国标包括但不限于材质含量、各方面尺寸数量（包括但不限于：长度、重量、截面积、直径等），提供厂家生产合格证明、检测报告、技术文档等材料。</w:t>
      </w:r>
    </w:p>
    <w:p w14:paraId="68A34B6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11.在完成安装、调试、检测后，须向业主提供检测报告、技术文档，验收的技术标准应达到制造(生产)厂商标明的技术指标，检测的标准依据国家有关规范和标准执行。</w:t>
      </w:r>
    </w:p>
    <w:p w14:paraId="1E75031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12.本项目将存在少部分利旧的系统和设备，利旧的系统和设备必须无缝融合到新建的信息化及安防工程中，利旧部分系统设备和线路的迁移及相关伴随服务所需费用完全包括在投标报价当中。</w:t>
      </w:r>
    </w:p>
    <w:p w14:paraId="22E4B06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13.本项目所要求的设备/系统中如果某些技术标准与国家所要求的标准不统一或有不兼容的地方，均以国家强制性标准或最新出台的标准为准。</w:t>
      </w:r>
    </w:p>
    <w:p w14:paraId="33138EE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14.招标人使用中标人中标的货物、技术、资料、服务或其他任何一部分时，享有无偿使用权。免受第三方提出的侵犯其专利权、著作权、商标权或其它知识产权的起诉。如果第三方提出侵权指控，中标人应承担由此而引起的一切法律责任和费用。</w:t>
      </w:r>
    </w:p>
    <w:p w14:paraId="7576783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15.招标文件中相关技术要求为满足采购人所需产品的最低要求，如有与某产品的指标或参数描述相同，并非特指，仅为招标货物质量、档次、水平的参照，评标以功能和性能为主。允许投标人以不低于采购文件要求的档次、技术、性能的产品参与投标。</w:t>
      </w:r>
    </w:p>
    <w:p w14:paraId="0A5819F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16.施工过程中产生的配合费、检测费由中标人承担。</w:t>
      </w:r>
    </w:p>
    <w:p w14:paraId="42D22A52">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17.安装、调试、验收要求：中标人应在项目实施前，需制定项目详细施工设计方案、绘制符合国家、行业相关标准的施工图纸，并通过项目设计方、监理方、采购人审核且签字盖章确认后，方可进行施工，审核确认周期包含 于项目建设总周期中，如果施工设计方案、施工图纸由于中标人原因导致项目设计方、采购方任何一 方未签字确认，造成工期延误，其损失由中标人承担。 </w:t>
      </w:r>
    </w:p>
    <w:p w14:paraId="19A6DDC0">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中标单位在进场前，在项目实施前要制订详细的施工组织设计，要对人员安排、工作阶段和流程 进行描述，严格按工期、质量、技术要求，制定出详尽工作方案，辅以规范图表。 </w:t>
      </w:r>
    </w:p>
    <w:p w14:paraId="26DCC2B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安装要求：安装前中标人需提供经采购人认可的第三方检测机构出具的检测报告或厂家出具的证明材料并加盖厂家公章（厂家证明文件可以是产品彩页或检测报告或厂家技术参数承诺函”），所有产品安装前均应在现场进行调试实验，安装的位置、角度等由发包方审核确定。设备检测在项目初步验收合格后的试运行阶段如有不合格的，针对本项目所造成的损失由中标人承担。调试要求：维保期内，当新应用系统上线或已有应用系统需要调整时，中标人需及时到现场提供技术支持。包括方案规划、系统调整、部署实施等，同时，在业务关键时期，安排工程师常驻用户现场。</w:t>
      </w:r>
    </w:p>
    <w:p w14:paraId="1509F24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验收要求：项目建设完工并经过试运行后，中标人递交竣工验收申请报告及验收执行大纲，采购人成立项目验收小组，根据《智能建筑工程质量验收规范》、《建筑电气工程施工质量验收规范》、《综合布线系统工程验收规范》以及与该项工程相关的国家标准、行业标准和地方法规文件等，开展验收工作。项目验收小组将对验收测试数据进行分析，作出合格、不合格结论，对需要返修、返工的工程 责成投标人按时整改，整改后再对系统进行全部或部分验收。</w:t>
      </w:r>
    </w:p>
    <w:p w14:paraId="3653F88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18.项目文档要求：投标人在项目建设开始和结束时应向用户提供下述技术文档：①提供项目施工方案、进度计划、货物到货计划、人员机具配备计划等；②产品安装、运行、使用、测试、诊断和维修的技术文件；③ 设备及软件产品配置计划（包括配置图和配件清单）；④所购设备及软件的安装指南、使用手册、许可证、介质；⑤测试及验收文档；⑥监理单位要求的其他文档。在试运行前二周，中标人需提交包括控制、操作和维护手册一式六份，以便于采购人和相关人员 能预先对将要运行的设备有所了解。至少应包括下列基本内容：</w:t>
      </w:r>
    </w:p>
    <w:p w14:paraId="79D8647B">
      <w:pPr>
        <w:spacing w:line="48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（1）所有设备规格和详细操作说明。 </w:t>
      </w:r>
    </w:p>
    <w:p w14:paraId="5B3450A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（2）主要部件常见故障说明，说明书应包括备件清单、操作和维修方法。</w:t>
      </w:r>
    </w:p>
    <w:p w14:paraId="4DBA095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（3）例行维修保养项目和期限的建议。</w:t>
      </w:r>
    </w:p>
    <w:p w14:paraId="55A23DF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（4）紧急安全措施的建议。 </w:t>
      </w:r>
    </w:p>
    <w:p w14:paraId="732FC2D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（5）紧急维修中心电话号码、地址，维修人员的电话号码。 </w:t>
      </w:r>
    </w:p>
    <w:p w14:paraId="2521228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（6）中标人应于验收后向采购人提供验收报告、技术文档的归纳、整理、提交，并提供完整的软、 硬件技术资料。 </w:t>
      </w:r>
    </w:p>
    <w:p w14:paraId="40DD4B1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（7）中标人应按要求提供竣工资料（含竣工图）。</w:t>
      </w:r>
    </w:p>
    <w:p w14:paraId="17C11C1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（8）视频宣传片（主要为本项目系统进行介绍）</w:t>
      </w:r>
    </w:p>
    <w:p w14:paraId="7CC70670">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19.售后服务及运行维护要求：项目应实现以下运维服务目标：建立规范有效的运维服务管理体系，通过对运维过程中人员、技术 和流程的标准化、规范化管理，满足系统运维工作需求。 投标人应提供满足设备不少于承诺的质保期内正常使用的备品备件。系统实现承诺的质保期内免费维修保修服务，提供系统终生维修保修服务。免费质保期内中标方负责所有因设备质量问题而产生 的费用。免费质保期从项目最终验收通过之日起计算。 中标人在提交竣工验收报告时，应出具质量保修书。质量保修书中应当明确项目的保修范围，保修 期限和保修责任等。 投标人应提供电话咨询服务。中标人或制造商应当为采购人提供技术援助电话，解答采购人在使用 中遇到的问题，及时为采购人提出解决问题的建议和办法。 响应时间：中标人应保持电话等通信联络畅通，保证能够即时接受到采购人通知，如由于中标人原 因导致通联不及时，致使中标人不能及时接收通知，延误维修，视为中标人违约，造成的采购人损失 均由中标人承担（含采购人采取其他方式进行维修产生的费用），同时采购人可追究中标人违约责任。 一般故障的，中标人接到采购人通知2小时内响应，4小时内赶到现场，8小时内修复，如未及时赶到现场，采购人可委托第三方进 行维修，由此产生的费用由中标人负责。对系统异常问题，接到采购人通知后，中标人须半小时内响应，1小时内给予技术支持，需要现场处理的2小时内到达现场处理，故障在检修4小时后无法解决的，应在6小时内提供不低于原设备性能的设备使采购人能够正常使用，保证系统的正常运作。由此产生的一切费用均由中标人承担；如维保期间，中标人未能按合同约定提供免费维保服务的，用户单位可以用社交软件（如微信、钉钉等）或书面通知等形式要求中标人立即纠正违约行为，中标人拒不纠正，每次采购人可扣除中标人质量保证金总额的20%，超过 2次后，采购人可追 究中标人违约责任。（投标人投标时提供承诺，格式自拟） 运行维护工作应保障各应用系统和基础设施 的安全、持续、可靠、有效地运行。承诺的质保期内，中标人负责对其提供的整个项目进行维修和维护，不再收取任何费用。在承诺的质保期内，应当定期对所供设备 系统运行情况进行检测，消除故障隐患，以保证设备的正常运行；如果制造商的产品技术升级，中标 人应及时通知采购人，如采购人有相应要求，中标人和制造商应对采购人购买的产品进行免费升级服务。质保服务方式均为中标人现场维修，由此产生的一切费用均由中标人承担。现场维护人员要服从采 购人管理和工作安排。 在项目设备交付到货安装使用后，采购人拥有相关软件系统的全部使用权，期限为长期，承建单位 和产品厂商不得以任何理由设置软件使用期、加密狗使用期限等方式影响用户正常使用。在安装投入 使用后，不管在免费维护期内和还是维护期满后，中标人和厂商都有义务保障应用系统的正常运行， 为采购人指定的业务系统免费提供准确可用系统接口，对因系统本身的质量和缺陷、漏洞等故障引起 的问题进行免费升级、维护和修复。 承诺的质保期满后中标人应同样提供电话咨询服务，并应承诺如采购人有要求，提供产品上门维护服务， 因设备故障需要更换设备的，收取费用不高于投标文件清单价格，更换零件的按合理的成本价收取零 件费并协助恢复正常使用。 监狱视频监控安全防护系统的建设覆盖范围广、涉及部门多，应用需求复杂、敏感性和安全性要求 较高，系统的投资大、技术复杂、建设周期较长，为了确保项目的顺利实施及运行，必须有科学的运 维方法。 备品备件及易损件：中标人或制造商售后服务中，维修使用的备品备件及易损件应为原厂配件，未经采购人同意不得使用非原厂配件。中标人应提供原厂标准的备品备件、易损件、消耗材料价格清单及折扣率。</w:t>
      </w:r>
    </w:p>
    <w:p w14:paraId="3EDADC4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20.人员培训要求</w:t>
      </w:r>
    </w:p>
    <w:p w14:paraId="49868C5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中标人将承担培训职责及所有培训费用，提供电子、纸质和发包方要求的其他培训资料，包括提供现场培训或其它方式的培训服务，要求分各个 系统对采购人指定的培训人员进行充分的指导，使培训人员能在熟练使用的同时，能对系统进行简单 而有效的维护工作，如硬件方面调试及维护的方法、故障诊断和排除；软件方面所以功能的详细介绍， 软件配置使用方法等。根据项目后期系统维护管理的需要，必须对业主方指定系统维护管理人员提供原厂技术培训，使系统管理人员能独立进行系统管理、故障处理、日常测试维护等工作。根据项目后 期系统使用操作的需要，必须对所有相关操作人员提供免费的现场和集中技术培训，使警察职工能够 正常熟练操作各项软件、设备，使现场操作人员能独立进行故障处理、日常操作等工作。</w:t>
      </w:r>
    </w:p>
    <w:p w14:paraId="0ED9959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21.合同履行地点：见供应商须知前附表</w:t>
      </w:r>
    </w:p>
    <w:p w14:paraId="0F4221D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22.合同履行期限：见供应商须知前附表</w:t>
      </w:r>
    </w:p>
    <w:p w14:paraId="501958E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23.质量要求：见供应商须知前附表</w:t>
      </w:r>
    </w:p>
    <w:p w14:paraId="145B2F1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24.质量保证期：见供应商须知前附表</w:t>
      </w:r>
    </w:p>
    <w:p w14:paraId="59BCC9E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25.付款方式：见供应商须知前附表</w:t>
      </w:r>
    </w:p>
    <w:p w14:paraId="606BCEA5">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三、项目建设目标</w:t>
      </w:r>
    </w:p>
    <w:p w14:paraId="6771EBF1">
      <w:pPr>
        <w:spacing w:line="480" w:lineRule="auto"/>
        <w:ind w:firstLine="420"/>
        <w:rPr>
          <w:rFonts w:hint="eastAsia" w:ascii="宋体" w:hAnsi="宋体"/>
          <w:b/>
          <w:bCs/>
          <w:color w:val="auto"/>
          <w:szCs w:val="21"/>
          <w:highlight w:val="none"/>
        </w:rPr>
      </w:pPr>
      <w:bookmarkStart w:id="686" w:name="_Toc47966507"/>
      <w:r>
        <w:rPr>
          <w:rFonts w:hint="eastAsia" w:ascii="宋体" w:hAnsi="宋体"/>
          <w:b/>
          <w:bCs/>
          <w:color w:val="auto"/>
          <w:szCs w:val="21"/>
          <w:highlight w:val="none"/>
        </w:rPr>
        <w:t>1.项目背景</w:t>
      </w:r>
      <w:bookmarkEnd w:id="686"/>
    </w:p>
    <w:p w14:paraId="102E694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项目坚持以习近平新时代中国特色社会主义思想为指导，全面落实司法部“数字法治、智慧司法”信息化体系建设战略部署和指挥中心工作有关要求，按照司法部下发的相关规范及武警“智慧磐石”工程建设规范的要求，切实提高监狱警察工作人员的综合素质和业务能力，推进新时代全省监狱系统指挥中心工作提质增效。</w:t>
      </w:r>
    </w:p>
    <w:p w14:paraId="0AE0774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本项目是在司法部大力推行智慧监狱建设的背景下进行的安防信息化建设，同时结合河南省监狱系统信息化建设规范及武警智慧磐石的要求进行系统配置。</w:t>
      </w:r>
    </w:p>
    <w:p w14:paraId="6FCF06B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开封市监狱改扩建项目为原地拆除改扩建项目，为了保证本项目的安全性，在项目的设计、施工及管理中，应注意加强保密管理工作。</w:t>
      </w:r>
    </w:p>
    <w:p w14:paraId="3CF74583">
      <w:pPr>
        <w:spacing w:line="480" w:lineRule="auto"/>
        <w:ind w:firstLine="420"/>
        <w:rPr>
          <w:bCs/>
          <w:color w:val="auto"/>
          <w:highlight w:val="none"/>
        </w:rPr>
      </w:pPr>
      <w:r>
        <w:rPr>
          <w:rFonts w:hint="eastAsia" w:ascii="宋体" w:hAnsi="宋体"/>
          <w:color w:val="auto"/>
          <w:szCs w:val="21"/>
          <w:highlight w:val="none"/>
        </w:rPr>
        <w:t>结合项目现状，本项目总体布局依据场地条件采用南北向布局。总平面布局如下图所示：</w:t>
      </w:r>
    </w:p>
    <w:p w14:paraId="0D51EA40">
      <w:pPr>
        <w:ind w:firstLine="630" w:firstLineChars="300"/>
        <w:jc w:val="center"/>
        <w:rPr>
          <w:bCs/>
          <w:color w:val="auto"/>
          <w:highlight w:val="none"/>
        </w:rPr>
      </w:pPr>
      <w:r>
        <w:rPr>
          <w:bCs/>
          <w:color w:val="auto"/>
          <w:highlight w:val="none"/>
        </w:rPr>
        <w:drawing>
          <wp:inline distT="0" distB="0" distL="114300" distR="114300">
            <wp:extent cx="3966210" cy="5466080"/>
            <wp:effectExtent l="0" t="0" r="15240" b="1270"/>
            <wp:docPr id="1" name="图片 1" descr="C:\Users\Administrato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1.jpg"/>
                    <pic:cNvPicPr>
                      <a:picLocks noChangeAspect="1"/>
                    </pic:cNvPicPr>
                  </pic:nvPicPr>
                  <pic:blipFill>
                    <a:blip r:embed="rId13"/>
                    <a:srcRect r="1125" b="3725"/>
                    <a:stretch>
                      <a:fillRect/>
                    </a:stretch>
                  </pic:blipFill>
                  <pic:spPr>
                    <a:xfrm>
                      <a:off x="0" y="0"/>
                      <a:ext cx="3966210" cy="5466080"/>
                    </a:xfrm>
                    <a:prstGeom prst="rect">
                      <a:avLst/>
                    </a:prstGeom>
                    <a:noFill/>
                    <a:ln>
                      <a:noFill/>
                    </a:ln>
                  </pic:spPr>
                </pic:pic>
              </a:graphicData>
            </a:graphic>
          </wp:inline>
        </w:drawing>
      </w:r>
    </w:p>
    <w:p w14:paraId="4E141A35">
      <w:pPr>
        <w:spacing w:line="480" w:lineRule="auto"/>
        <w:ind w:firstLine="420"/>
        <w:rPr>
          <w:rFonts w:hint="eastAsia" w:ascii="宋体" w:hAnsi="宋体"/>
          <w:color w:val="auto"/>
          <w:szCs w:val="21"/>
          <w:highlight w:val="none"/>
        </w:rPr>
      </w:pPr>
    </w:p>
    <w:p w14:paraId="3059A06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开封市监狱改扩建项目拟建总建筑面积39321㎡。监管区内新建1号监舍楼、2号习艺楼、3号习艺楼、4号会见教学综合楼、5号监狱大门、物流中心、约200米围墙、1个岗楼，并改造1栋罪犯伙房、约500米围墙、1个岗楼。其中1号监舍楼共5层，内含罪犯监舍、医院、罪犯生活及文娱用房和警察管理用房；2号、3号习艺楼各4层，内含劳动用房、技能培训用房和警察管理用房；4号会见教学综合楼共4层，内含会见、教学及培训用房、严管监区及禁闭室和警察管理用房；5号监狱大门共3层，含指挥中心、机房、人行、车行、会见通道、库房和警察管理用房；物流中心和罪犯伙房各2层。行政场区新建6号备勤综合楼、7号后勤服务楼及室外配套设施。其中6号备勤综合楼共9层，内含警察业务用房、公共用房、特殊业务用房、警察备勤用房、学习培训用房、配套设备用房；7号后勤服务楼共2层，内含会见登记通道、配电室、警察训练室、警察餐厅等。</w:t>
      </w:r>
    </w:p>
    <w:p w14:paraId="4C6539C9">
      <w:pPr>
        <w:spacing w:line="480" w:lineRule="auto"/>
        <w:ind w:firstLine="420"/>
        <w:rPr>
          <w:rFonts w:hint="eastAsia" w:ascii="宋体" w:hAnsi="宋体"/>
          <w:color w:val="auto"/>
          <w:szCs w:val="21"/>
          <w:highlight w:val="none"/>
        </w:rPr>
      </w:pPr>
      <w:r>
        <w:rPr>
          <w:rFonts w:hint="eastAsia" w:ascii="宋体" w:hAnsi="宋体"/>
          <w:b/>
          <w:bCs/>
          <w:color w:val="auto"/>
          <w:szCs w:val="21"/>
          <w:highlight w:val="none"/>
        </w:rPr>
        <w:t>技术规格书</w:t>
      </w:r>
    </w:p>
    <w:p w14:paraId="6F938EF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除非合同文件中另有特别注明，项目建设应符合中华人民共和国现行有效的国家、行业和上级行政机关制定或下发要求的规范、规程和标准。设计图纸和其他设计文件中的有关文字说明是本工程技术规范的组成。合同中约定的任何乙方应予遵照执行的国家、行业和上级行政机关制定或下发要求的规范、规程和标准都指他们各自的最新版本。如果在构成本工程规范和技术说明的任何内容与任何现行国家、行业和上级行政机关制定或下发要求的规范、规程和标准包括他们适用的修改之间出现相互矛盾之处或不一致的指示，乙方应按照其中要求最严格的标准执行。材料、施工工艺和本工程都应依照本工程规范和技术说明以及相关国家、行业和上级行政机关制定或下发要求的规范、规程和标准的最新版本；半成品材料必须符合国家、行业和上级行政机关制定或下发要求的规范、规程和标准要求，并出具出厂合格证和必要的证明文件；或把最新版本的要求当作对乙方工作的最起码要求，而执行更高的标准。</w:t>
      </w:r>
    </w:p>
    <w:p w14:paraId="4342D9C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设计标准和规范：</w:t>
      </w:r>
    </w:p>
    <w:p w14:paraId="18093D06">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（1）《司法行政信息化总体技术规范》（SF/T 0008-2017）；</w:t>
      </w:r>
    </w:p>
    <w:p w14:paraId="678C599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（2）《全国司法行政系统指挥中心建设技术规范》（SF/T 0009-2017）；</w:t>
      </w:r>
    </w:p>
    <w:p w14:paraId="08AD75F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（3）《全国司法行政视频会议系统建设管理规范》（SF/T 0010-2017）；</w:t>
      </w:r>
    </w:p>
    <w:p w14:paraId="0154B85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（4）《全国司法行政信息资源交换规范》(SF/T 0011-2017)；</w:t>
      </w:r>
    </w:p>
    <w:p w14:paraId="2BFA247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（5）《全国司法行政系统网络平台技术规范》（SF/T 0012-2017）；</w:t>
      </w:r>
    </w:p>
    <w:p w14:paraId="68474A50">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（6）《全国监狱信息化应用技术规范》（SF/T 0014-2017）；</w:t>
      </w:r>
    </w:p>
    <w:p w14:paraId="382E008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（7）《“十三五”全国司法行政信息化发展规划》(司发通[2017]75号)；</w:t>
      </w:r>
    </w:p>
    <w:p w14:paraId="1DC500C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（8）《智慧监狱 技术规范》（SF/T 0028-2018）；</w:t>
      </w:r>
    </w:p>
    <w:p w14:paraId="56923D42">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（9）《智能建筑设计标准》（GB 50314-2015）；</w:t>
      </w:r>
    </w:p>
    <w:p w14:paraId="07C334B0">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（10）《智能建筑工程质量验收规范》（GB 50339-2013）；</w:t>
      </w:r>
    </w:p>
    <w:p w14:paraId="26DCA7B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（11）《建筑设计防火规范》（GB 50016-2014）；</w:t>
      </w:r>
    </w:p>
    <w:p w14:paraId="0EFE6E2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（12）《绿色建筑评价标准》（GB/T 50378-2019）；</w:t>
      </w:r>
    </w:p>
    <w:p w14:paraId="672C199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（13）《综合布线系统工程设计规范》（GB 50311-2016）；</w:t>
      </w:r>
    </w:p>
    <w:p w14:paraId="49C652D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（14）《综合布线系统工程验收规范》（GB/T 50312-2016）；</w:t>
      </w:r>
    </w:p>
    <w:p w14:paraId="0E2AFA8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（15）《安全防范工程技术规范》（GB 50348-2018）；</w:t>
      </w:r>
    </w:p>
    <w:p w14:paraId="51B001B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（16）《出入口控制系统工程设计规范》（GB 50396-2007）；</w:t>
      </w:r>
    </w:p>
    <w:p w14:paraId="0BC47EC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（17）《入侵报警系统工程设计规范》（GB 50394-2007）；</w:t>
      </w:r>
    </w:p>
    <w:p w14:paraId="75D3B34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（18）《数据中心设计规范》（GB50174-2017）；</w:t>
      </w:r>
    </w:p>
    <w:p w14:paraId="5BC64031">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（19）《建筑物电子信息系统防雷技术规范》（ GB50343-2012）；</w:t>
      </w:r>
    </w:p>
    <w:p w14:paraId="289BB8B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（20）《建筑物防雷设计规范》（GB 50057-2010）；</w:t>
      </w:r>
    </w:p>
    <w:p w14:paraId="36D0ACA2">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（21）《信息技术安全技术 IT网络安全》(GB/T 25068-2012)；</w:t>
      </w:r>
    </w:p>
    <w:p w14:paraId="7EDB963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（22）《信息安全技术网络基础安全技术要求》(GB/T 20270-2006)；</w:t>
      </w:r>
    </w:p>
    <w:p w14:paraId="2D427178">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（23）《周界防范高压电网装置》(GB25287-2010)；</w:t>
      </w:r>
    </w:p>
    <w:p w14:paraId="678382C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（24）《安防人脸识别应用系统》第2部分：人脸图像数据(GA/T 922.2-2011)；</w:t>
      </w:r>
    </w:p>
    <w:p w14:paraId="0142B74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（25）《河南省监狱信息化建设技术规范（试行）》；</w:t>
      </w:r>
    </w:p>
    <w:p w14:paraId="138B56F6">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（26）国家计委、建设部发布的计价格[2002]10号文件，《工程勘察设计收费管理规定》的相关规定；</w:t>
      </w:r>
    </w:p>
    <w:p w14:paraId="607EF8E2">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（27）工信部规[2008]75号文件，关于发布《通信建设工程概算、预算编制办法》及相关定额的通知；</w:t>
      </w:r>
    </w:p>
    <w:p w14:paraId="4580CCC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（28）财政部财建[2016]504号“关于印发《基本建设项目建设成本管理规定》的通知”；</w:t>
      </w:r>
    </w:p>
    <w:p w14:paraId="6E0D870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（29）《国务院办公厅关于印发国家政务信息化项目建设管理办法的通知》（国办发〔2019〕57号）；</w:t>
      </w:r>
    </w:p>
    <w:p w14:paraId="5BB9DCF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（30）有关厂家的设备报价及其它有关工程中的设备报价。</w:t>
      </w:r>
    </w:p>
    <w:p w14:paraId="251FCC79">
      <w:pPr>
        <w:spacing w:line="480" w:lineRule="auto"/>
        <w:ind w:firstLine="420"/>
        <w:rPr>
          <w:rFonts w:hint="eastAsia" w:ascii="宋体" w:hAnsi="宋体"/>
          <w:color w:val="auto"/>
          <w:szCs w:val="21"/>
          <w:highlight w:val="none"/>
        </w:rPr>
      </w:pPr>
      <w:r>
        <w:rPr>
          <w:rFonts w:hint="eastAsia" w:ascii="宋体" w:hAnsi="宋体"/>
          <w:b/>
          <w:bCs/>
          <w:color w:val="auto"/>
          <w:szCs w:val="21"/>
          <w:highlight w:val="none"/>
        </w:rPr>
        <w:t>2.项目建设目标</w:t>
      </w:r>
    </w:p>
    <w:p w14:paraId="737D2D2B">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本项目建设目标为达到关押罪犯基本安全防范条件和基本实现狱务办公。</w:t>
      </w:r>
    </w:p>
    <w:p w14:paraId="78B2254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通过网络信息基础的建设，为开封市监狱的安防信息化设施提供基本的运行传输网络，实现与全省监狱系统的互联互通、资源共享；同时以技防手段为主要依托，构建以指挥中心为核心的全方位、多层次的监狱数字安全防范和指挥体系，显著提高开封市监狱的执法、安全防范等工作能力；以信息化为手段，完善信息标准体系，建立管理规范、应用广泛、操作简便的信息管理系统，从而促进执法规范化，显著提高监狱执法、罪犯改造等工作的信息技术应用能力。</w:t>
      </w:r>
    </w:p>
    <w:p w14:paraId="514E94B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项目的建设内容包括信息化工程，安防工程，指挥中心、联勤值班室及分控中心，统一管理平台及数据分析研判。本次项目建设目标主要从信息化、安防、指挥中心（含联勤值班室及分控中心）、统一管理平台等四个方面进行描述。</w:t>
      </w:r>
    </w:p>
    <w:p w14:paraId="0C772EF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信息化工程建设目标</w:t>
      </w:r>
    </w:p>
    <w:p w14:paraId="6510215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通过信息化工程的建设，开封市监狱将完成信息化网络传输和IT设施设备部署环境的基础建设，为后续的安防设施部署提供基本的传输载体支撑和环境场所支撑。通过信息处理、网络通讯、生物识别等先进技术将本监狱内的各种公文、图像及多媒体信息进行传输和处理，实现狱内信息采集数字化、信息传输网络化、信息管理智能化、信息分析集约化和信息培训经常化，最终实现本监狱更科学、公正、规范、安全、高效地履行刑罚执行职能的目的。</w:t>
      </w:r>
    </w:p>
    <w:p w14:paraId="25BCC0D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安防工程建设目标</w:t>
      </w:r>
    </w:p>
    <w:p w14:paraId="08B23F0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安防工程建设目标主要是以科技的手段降低工作强度，保证监狱安全，提高对罪犯的监督和改造效果。通过安防工程的建设，不断提高监管工作的科技含量，实现“向科技要警力”，促进监管工作的持续安全稳定。按照监狱监管工作的监管需求，构建监视、周界防范、报警、对讲等各类子系统为一体的多层次、全方位、立体化的监狱安防工程。</w:t>
      </w:r>
    </w:p>
    <w:p w14:paraId="59C490A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指挥中心及分控中心（含联勤值班室）建设目标</w:t>
      </w:r>
    </w:p>
    <w:p w14:paraId="112508C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指挥中心作为监狱的最高管控及管理中心，上联省监狱管理局指挥中心，下辖联勤值班室及各分控中心，具有对监狱各安防设施的最高管控权限，形成指挥中心、联勤值班室、各分控中心的分级架构体系。建设目标是建成一个布局合理、有现代感、功能完备、安全可靠、可持续发展、设施先进、绿色环保、投资合理的新型指挥中心、联勤值班室及分控中心，为监狱警察提供方便、快捷、舒适的工作环境和安全、高效的管理手段。</w:t>
      </w:r>
    </w:p>
    <w:p w14:paraId="3092CB0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统一管理平台目标</w:t>
      </w:r>
    </w:p>
    <w:p w14:paraId="5DF65A2D">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按照省局统一规划部署，落实本级建设内容，推动相关系统落地实施。其中，统一管理平台下的综合业务管理平台由省局统一规划建设；智能安防集成平台、通讯调度平台、指挥管理平台为监狱自身按照省局规划要求自行实施的建设内容（施工建设按照省局要求开展实施）。本期建设内容主要规划智能安防集成平台及本监狱自身的信息资源库。</w:t>
      </w:r>
    </w:p>
    <w:p w14:paraId="52D43DEB">
      <w:pPr>
        <w:spacing w:line="480" w:lineRule="auto"/>
        <w:ind w:firstLine="420"/>
        <w:rPr>
          <w:rFonts w:hint="eastAsia" w:ascii="宋体" w:hAnsi="宋体"/>
          <w:color w:val="auto"/>
          <w:szCs w:val="21"/>
          <w:highlight w:val="none"/>
        </w:rPr>
      </w:pPr>
      <w:r>
        <w:rPr>
          <w:rFonts w:hint="eastAsia" w:ascii="宋体" w:hAnsi="宋体"/>
          <w:b/>
          <w:bCs/>
          <w:color w:val="auto"/>
          <w:szCs w:val="21"/>
          <w:highlight w:val="none"/>
        </w:rPr>
        <w:t>3.项目建设内容</w:t>
      </w:r>
    </w:p>
    <w:p w14:paraId="661D6775">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本项目的建设内容主要包括信息化工程、安防工程、指挥中心及分控中心（含联勤值班室）、统一管理平台中的智能安防集成平台及配套信息资源库等。</w:t>
      </w:r>
    </w:p>
    <w:p w14:paraId="1F872F06">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其中，依据《智慧监狱 技术规范》，其中信息化工程、安防工程、指挥中心及分控中心（含联勤值班室）等部分建设是在省局指导下，开封市监狱自行规划建设；统一管理平台中综合业务管理平台由省局统一规划建设，智能安防集成平台、通讯调度平台、指挥管理平台为监狱自身按照省局规划要求自行实施的建设内容（施工建设按照省局要求开展实施）。</w:t>
      </w:r>
    </w:p>
    <w:p w14:paraId="5C9DB2C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信息化工程：</w:t>
      </w:r>
    </w:p>
    <w:p w14:paraId="6970F26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信息化工程主要包括综合布线系统、计算机网络系统、信息安全系统、服务器及存储系统、机房工程、固话及通讯终端智能管理系统、会议系统等。</w:t>
      </w:r>
    </w:p>
    <w:p w14:paraId="6CECA4C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安防工程：</w:t>
      </w:r>
    </w:p>
    <w:p w14:paraId="2BCAD8E4">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安防工程主要包括周界安防工程、视频监控系统、紧急报警系统、监听对讲系统、出入口管理系统、会见管理系统、亲情电话管理系统、无线对讲系统等。</w:t>
      </w:r>
    </w:p>
    <w:p w14:paraId="7BBAF5D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指挥中心及分控中心（含联勤值班室）：</w:t>
      </w:r>
    </w:p>
    <w:p w14:paraId="687D77DA">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本监狱指挥中心可上联本省监狱管理局指挥中心，从而形成指挥中心、联勤值班室和分控中心的分级管理架构体系。</w:t>
      </w:r>
    </w:p>
    <w:p w14:paraId="2C5295DE">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统一管理平台中的智能安防集成平台及配套信息资源库：</w:t>
      </w:r>
    </w:p>
    <w:p w14:paraId="3B41302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按照省局统一规划部署，落实本级建设内容，推动相关系统落地实施。其中，统一管理平台下的综合业务管理平台由省局统一规划建设；智能安防集成平台、通讯调度平台、指挥管理平台为监狱自身按照省局规划要求自行实施的建设内容（施工建设按照省局要求开展实施）。本期主要建设智能安防集成平台及本监狱信息资源库。</w:t>
      </w:r>
    </w:p>
    <w:p w14:paraId="5F6E9B04">
      <w:pPr>
        <w:pStyle w:val="2"/>
        <w:rPr>
          <w:rFonts w:hint="eastAsia" w:ascii="宋体" w:hAnsi="宋体"/>
          <w:color w:val="auto"/>
          <w:szCs w:val="21"/>
          <w:highlight w:val="none"/>
        </w:rPr>
      </w:pPr>
    </w:p>
    <w:p w14:paraId="5477C2F1">
      <w:pPr>
        <w:spacing w:line="480" w:lineRule="auto"/>
        <w:ind w:firstLine="420"/>
        <w:rPr>
          <w:rFonts w:hint="eastAsia" w:ascii="宋体" w:hAnsi="宋体"/>
          <w:color w:val="auto"/>
          <w:szCs w:val="21"/>
          <w:highlight w:val="none"/>
        </w:rPr>
      </w:pPr>
      <w:bookmarkStart w:id="687" w:name="_Toc14729"/>
      <w:bookmarkStart w:id="688" w:name="_Toc47966525"/>
      <w:r>
        <w:rPr>
          <w:rFonts w:hint="eastAsia" w:ascii="宋体" w:hAnsi="宋体"/>
          <w:b/>
          <w:bCs/>
          <w:color w:val="auto"/>
          <w:szCs w:val="21"/>
          <w:highlight w:val="none"/>
        </w:rPr>
        <w:t>4.各子系统工程</w:t>
      </w:r>
      <w:bookmarkEnd w:id="687"/>
      <w:bookmarkEnd w:id="688"/>
      <w:r>
        <w:rPr>
          <w:rFonts w:hint="eastAsia" w:ascii="宋体" w:hAnsi="宋体"/>
          <w:b/>
          <w:bCs/>
          <w:color w:val="auto"/>
          <w:szCs w:val="21"/>
          <w:highlight w:val="none"/>
        </w:rPr>
        <w:t>设计方案及要求</w:t>
      </w:r>
    </w:p>
    <w:p w14:paraId="4E16DF54">
      <w:pPr>
        <w:pStyle w:val="10"/>
        <w:spacing w:before="0" w:after="0" w:line="360" w:lineRule="auto"/>
        <w:ind w:firstLine="643" w:firstLineChars="200"/>
        <w:rPr>
          <w:color w:val="auto"/>
          <w:highlight w:val="none"/>
        </w:rPr>
      </w:pPr>
      <w:r>
        <w:rPr>
          <w:rFonts w:hint="eastAsia"/>
          <w:color w:val="auto"/>
          <w:highlight w:val="none"/>
        </w:rPr>
        <w:t>4.1综合布线系统</w:t>
      </w:r>
    </w:p>
    <w:p w14:paraId="1189254F">
      <w:pPr>
        <w:spacing w:line="360" w:lineRule="auto"/>
        <w:ind w:firstLine="420" w:firstLineChars="200"/>
        <w:rPr>
          <w:bCs/>
          <w:color w:val="auto"/>
          <w:highlight w:val="none"/>
        </w:rPr>
      </w:pPr>
      <w:r>
        <w:rPr>
          <w:rFonts w:hint="eastAsia"/>
          <w:bCs/>
          <w:color w:val="auto"/>
          <w:highlight w:val="none"/>
        </w:rPr>
        <w:t>综合布线系统是开封市监狱建筑物内或建筑群之间信息传输的物理通道，它由不同系列和规格的部件组成，其中包括：传输介质、连接设备（如配线架、连接器、适配器、模块、跳线）以及电气保护设备等。结合监狱行业的实际特点，考虑布线的完整性和线缆统计的便利性，将其余相关系统（视频监控系统、监听对讲系统、出入口管理系统、紧急报警系统等）内的信号线及所有电源线一并列入综合布线系统统一考虑。</w:t>
      </w:r>
    </w:p>
    <w:p w14:paraId="4F1D3455">
      <w:pPr>
        <w:spacing w:line="360" w:lineRule="auto"/>
        <w:ind w:firstLine="420" w:firstLineChars="200"/>
        <w:rPr>
          <w:color w:val="auto"/>
          <w:highlight w:val="none"/>
        </w:rPr>
      </w:pPr>
      <w:r>
        <w:rPr>
          <w:rFonts w:hint="eastAsia"/>
          <w:color w:val="auto"/>
          <w:highlight w:val="none"/>
        </w:rPr>
        <w:t>为保证系统的</w:t>
      </w:r>
      <w:r>
        <w:rPr>
          <w:color w:val="auto"/>
          <w:highlight w:val="none"/>
        </w:rPr>
        <w:t>整体性</w:t>
      </w:r>
      <w:r>
        <w:rPr>
          <w:rFonts w:hint="eastAsia"/>
          <w:color w:val="auto"/>
          <w:highlight w:val="none"/>
        </w:rPr>
        <w:t>，厂商提供的布线产品必须为端对端同一厂家产品，以便日后提供唯一厂家的产品及系统保证。招标人不接收无布线产品研发机构，不接收其产品全部或部分采用OEM方式与其他厂家合作的布线系统厂家产品。</w:t>
      </w:r>
    </w:p>
    <w:p w14:paraId="30D3228A">
      <w:pPr>
        <w:spacing w:line="360" w:lineRule="auto"/>
        <w:ind w:firstLine="420" w:firstLineChars="200"/>
        <w:rPr>
          <w:bCs/>
          <w:color w:val="auto"/>
          <w:highlight w:val="none"/>
        </w:rPr>
      </w:pPr>
    </w:p>
    <w:p w14:paraId="0C3C7FE6">
      <w:pPr>
        <w:pStyle w:val="11"/>
        <w:spacing w:before="0" w:after="0" w:line="360" w:lineRule="auto"/>
        <w:ind w:firstLine="562" w:firstLineChars="200"/>
        <w:rPr>
          <w:color w:val="auto"/>
          <w:highlight w:val="none"/>
        </w:rPr>
      </w:pPr>
      <w:r>
        <w:rPr>
          <w:rFonts w:hint="eastAsia"/>
          <w:color w:val="auto"/>
          <w:highlight w:val="none"/>
        </w:rPr>
        <w:t>设计方案</w:t>
      </w:r>
    </w:p>
    <w:p w14:paraId="7E5969E1">
      <w:pPr>
        <w:spacing w:line="360" w:lineRule="auto"/>
        <w:ind w:firstLine="420" w:firstLineChars="200"/>
        <w:rPr>
          <w:bCs/>
          <w:color w:val="auto"/>
          <w:highlight w:val="none"/>
        </w:rPr>
      </w:pPr>
      <w:r>
        <w:rPr>
          <w:rFonts w:hint="eastAsia"/>
          <w:bCs/>
          <w:color w:val="auto"/>
          <w:highlight w:val="none"/>
        </w:rPr>
        <w:t>综合布线系统设计方案包括五个方面的内容，分别是：建筑物子系统、设备间子系统、垂直子系统、水平子系统以及工作区子系统，具体如下图所示：</w:t>
      </w:r>
    </w:p>
    <w:p w14:paraId="3F59E905">
      <w:pPr>
        <w:spacing w:line="360" w:lineRule="auto"/>
        <w:ind w:firstLine="420" w:firstLineChars="200"/>
        <w:rPr>
          <w:bCs/>
          <w:color w:val="auto"/>
          <w:highlight w:val="none"/>
        </w:rPr>
      </w:pPr>
      <w:r>
        <w:rPr>
          <w:bCs/>
          <w:color w:val="auto"/>
          <w:highlight w:val="none"/>
        </w:rPr>
        <w:drawing>
          <wp:inline distT="0" distB="0" distL="114300" distR="114300">
            <wp:extent cx="5158740" cy="3581400"/>
            <wp:effectExtent l="0" t="0" r="3810" b="0"/>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14"/>
                    <a:stretch>
                      <a:fillRect/>
                    </a:stretch>
                  </pic:blipFill>
                  <pic:spPr>
                    <a:xfrm>
                      <a:off x="0" y="0"/>
                      <a:ext cx="5158740" cy="3581400"/>
                    </a:xfrm>
                    <a:prstGeom prst="rect">
                      <a:avLst/>
                    </a:prstGeom>
                    <a:noFill/>
                    <a:ln>
                      <a:noFill/>
                    </a:ln>
                  </pic:spPr>
                </pic:pic>
              </a:graphicData>
            </a:graphic>
          </wp:inline>
        </w:drawing>
      </w:r>
    </w:p>
    <w:p w14:paraId="043CF635">
      <w:pPr>
        <w:pStyle w:val="12"/>
        <w:tabs>
          <w:tab w:val="left" w:pos="864"/>
        </w:tabs>
        <w:spacing w:line="360" w:lineRule="auto"/>
        <w:ind w:left="0" w:firstLine="420" w:firstLineChars="200"/>
        <w:rPr>
          <w:color w:val="auto"/>
          <w:highlight w:val="none"/>
        </w:rPr>
      </w:pPr>
      <w:r>
        <w:rPr>
          <w:rFonts w:hint="eastAsia"/>
          <w:color w:val="auto"/>
          <w:highlight w:val="none"/>
        </w:rPr>
        <w:t>建筑物子系统设计</w:t>
      </w:r>
    </w:p>
    <w:p w14:paraId="54F01867">
      <w:pPr>
        <w:spacing w:line="360" w:lineRule="auto"/>
        <w:ind w:firstLine="420" w:firstLineChars="200"/>
        <w:rPr>
          <w:bCs/>
          <w:color w:val="auto"/>
          <w:highlight w:val="none"/>
        </w:rPr>
      </w:pPr>
      <w:r>
        <w:rPr>
          <w:rFonts w:hint="eastAsia"/>
          <w:bCs/>
          <w:color w:val="auto"/>
          <w:highlight w:val="none"/>
        </w:rPr>
        <w:t>建筑物子系统是整个综合布线系统的一部分。它提供建筑物间的干线光缆的路由。</w:t>
      </w:r>
    </w:p>
    <w:p w14:paraId="372C1DBD">
      <w:pPr>
        <w:spacing w:line="360" w:lineRule="auto"/>
        <w:ind w:firstLine="420" w:firstLineChars="200"/>
        <w:rPr>
          <w:bCs/>
          <w:color w:val="auto"/>
          <w:highlight w:val="none"/>
        </w:rPr>
      </w:pPr>
      <w:r>
        <w:rPr>
          <w:rFonts w:hint="eastAsia"/>
          <w:bCs/>
          <w:color w:val="auto"/>
          <w:highlight w:val="none"/>
        </w:rPr>
        <w:t>建筑物子系统的设计内容包括：建筑物之间路由的选择及走线方式、主干线缆类型的选型。</w:t>
      </w:r>
    </w:p>
    <w:p w14:paraId="08D1948C">
      <w:pPr>
        <w:spacing w:line="360" w:lineRule="auto"/>
        <w:ind w:firstLine="420" w:firstLineChars="200"/>
        <w:rPr>
          <w:bCs/>
          <w:color w:val="auto"/>
          <w:highlight w:val="none"/>
        </w:rPr>
      </w:pPr>
      <w:r>
        <w:rPr>
          <w:rFonts w:hint="eastAsia"/>
          <w:bCs/>
          <w:color w:val="auto"/>
          <w:highlight w:val="none"/>
        </w:rPr>
        <w:t>1、线缆路由的选择及走线方式</w:t>
      </w:r>
    </w:p>
    <w:p w14:paraId="0713BBB3">
      <w:pPr>
        <w:spacing w:line="360" w:lineRule="auto"/>
        <w:ind w:firstLine="420" w:firstLineChars="200"/>
        <w:rPr>
          <w:bCs/>
          <w:color w:val="auto"/>
          <w:highlight w:val="none"/>
        </w:rPr>
      </w:pPr>
      <w:r>
        <w:rPr>
          <w:rFonts w:hint="eastAsia"/>
          <w:bCs/>
          <w:color w:val="auto"/>
          <w:highlight w:val="none"/>
        </w:rPr>
        <w:t>在本次系统设计中，建筑物子系统线缆的一端端接于数据监狱内数据中心机房的主配线架上，另一端端接在建筑物汇聚设备间的分配线架上。</w:t>
      </w:r>
    </w:p>
    <w:p w14:paraId="7031474A">
      <w:pPr>
        <w:spacing w:line="360" w:lineRule="auto"/>
        <w:ind w:firstLine="420" w:firstLineChars="200"/>
        <w:rPr>
          <w:bCs/>
          <w:color w:val="auto"/>
          <w:highlight w:val="none"/>
        </w:rPr>
      </w:pPr>
      <w:r>
        <w:rPr>
          <w:rFonts w:hint="eastAsia"/>
          <w:bCs/>
          <w:color w:val="auto"/>
          <w:highlight w:val="none"/>
        </w:rPr>
        <w:t>其走线方式是：在室外部分以地埋管道（CPVC电气管）穿缆方式敷设。其中，地埋管道在与建筑物接近的部分，需要加金属弯管进行保护，每个建筑物的弱电系统入户均采用DN镀锌钢管预敷；在地埋管道穿越道路时也需加金属钢管保护。此外，管道井应保持清洁，做到及时清理落入的污物和抽排雨污。</w:t>
      </w:r>
    </w:p>
    <w:p w14:paraId="27D647A1">
      <w:pPr>
        <w:spacing w:line="360" w:lineRule="auto"/>
        <w:ind w:firstLine="420" w:firstLineChars="200"/>
        <w:rPr>
          <w:bCs/>
          <w:color w:val="auto"/>
          <w:highlight w:val="none"/>
        </w:rPr>
      </w:pPr>
      <w:r>
        <w:rPr>
          <w:rFonts w:hint="eastAsia"/>
          <w:bCs/>
          <w:color w:val="auto"/>
          <w:highlight w:val="none"/>
        </w:rPr>
        <w:t>2、主干线缆类型的确定</w:t>
      </w:r>
    </w:p>
    <w:p w14:paraId="2ECBE94A">
      <w:pPr>
        <w:spacing w:line="360" w:lineRule="auto"/>
        <w:ind w:firstLine="420" w:firstLineChars="200"/>
        <w:rPr>
          <w:bCs/>
          <w:color w:val="auto"/>
          <w:highlight w:val="none"/>
        </w:rPr>
      </w:pPr>
      <w:r>
        <w:rPr>
          <w:rFonts w:hint="eastAsia"/>
          <w:bCs/>
          <w:color w:val="auto"/>
          <w:highlight w:val="none"/>
        </w:rPr>
        <w:t>根据本工程的要求，建筑物子系统的主干线缆类型为光缆。</w:t>
      </w:r>
    </w:p>
    <w:p w14:paraId="54E395A7">
      <w:pPr>
        <w:spacing w:line="360" w:lineRule="auto"/>
        <w:ind w:firstLine="420" w:firstLineChars="200"/>
        <w:rPr>
          <w:bCs/>
          <w:color w:val="auto"/>
          <w:highlight w:val="none"/>
        </w:rPr>
      </w:pPr>
      <w:r>
        <w:rPr>
          <w:rFonts w:hint="eastAsia"/>
          <w:bCs/>
          <w:color w:val="auto"/>
          <w:highlight w:val="none"/>
        </w:rPr>
        <w:t>光缆主要用于数字信号、图像信号以及业务数据的传输，它具有频带宽、通信容量大、不受电磁干扰和静电干扰的影响等特点。在同一根光缆中，邻近各芯光纤之间几乎没有串扰，同时，光缆的保密性好、线径细、体积小、重量轻、衰耗小且误码率低，能较好的实现各类信号与数据在建筑物之间的传输。</w:t>
      </w:r>
    </w:p>
    <w:p w14:paraId="3FC23FEC">
      <w:pPr>
        <w:spacing w:line="360" w:lineRule="auto"/>
        <w:ind w:firstLine="420" w:firstLineChars="200"/>
        <w:rPr>
          <w:bCs/>
          <w:color w:val="auto"/>
          <w:highlight w:val="none"/>
        </w:rPr>
      </w:pPr>
      <w:r>
        <w:rPr>
          <w:rFonts w:hint="eastAsia"/>
          <w:bCs/>
          <w:color w:val="auto"/>
          <w:highlight w:val="none"/>
        </w:rPr>
        <w:t>本次设计的建筑物子系统主干光缆采用12芯与24芯室外单模光缆。</w:t>
      </w:r>
    </w:p>
    <w:p w14:paraId="0AAFC91B">
      <w:pPr>
        <w:pStyle w:val="12"/>
        <w:tabs>
          <w:tab w:val="left" w:pos="864"/>
        </w:tabs>
        <w:spacing w:line="360" w:lineRule="auto"/>
        <w:ind w:left="0" w:firstLine="420" w:firstLineChars="200"/>
        <w:rPr>
          <w:color w:val="auto"/>
          <w:highlight w:val="none"/>
        </w:rPr>
      </w:pPr>
      <w:r>
        <w:rPr>
          <w:rFonts w:hint="eastAsia"/>
          <w:color w:val="auto"/>
          <w:highlight w:val="none"/>
        </w:rPr>
        <w:t>设备间子系统设计</w:t>
      </w:r>
    </w:p>
    <w:p w14:paraId="31EC9978">
      <w:pPr>
        <w:spacing w:line="360" w:lineRule="auto"/>
        <w:ind w:firstLine="420" w:firstLineChars="200"/>
        <w:rPr>
          <w:bCs/>
          <w:color w:val="auto"/>
          <w:highlight w:val="none"/>
        </w:rPr>
      </w:pPr>
      <w:r>
        <w:rPr>
          <w:rFonts w:hint="eastAsia"/>
          <w:bCs/>
          <w:color w:val="auto"/>
          <w:highlight w:val="none"/>
        </w:rPr>
        <w:t>设备间子系统由设备间中的配线设备、跳线与适配器组成，它把中央主配线架与各种不同设备互连起来。</w:t>
      </w:r>
    </w:p>
    <w:p w14:paraId="5678E9B8">
      <w:pPr>
        <w:spacing w:line="360" w:lineRule="auto"/>
        <w:ind w:firstLine="420" w:firstLineChars="200"/>
        <w:rPr>
          <w:bCs/>
          <w:color w:val="auto"/>
          <w:highlight w:val="none"/>
        </w:rPr>
      </w:pPr>
      <w:r>
        <w:rPr>
          <w:rFonts w:hint="eastAsia"/>
          <w:bCs/>
          <w:color w:val="auto"/>
          <w:highlight w:val="none"/>
        </w:rPr>
        <w:t>开封市监狱狱内及行政区建筑物的一层弱电间设计为本建筑物的设备间。</w:t>
      </w:r>
    </w:p>
    <w:p w14:paraId="4B05A232">
      <w:pPr>
        <w:spacing w:line="360" w:lineRule="auto"/>
        <w:ind w:firstLine="420" w:firstLineChars="200"/>
        <w:rPr>
          <w:bCs/>
          <w:color w:val="auto"/>
          <w:highlight w:val="none"/>
        </w:rPr>
      </w:pPr>
      <w:r>
        <w:rPr>
          <w:rFonts w:hint="eastAsia"/>
          <w:bCs/>
          <w:color w:val="auto"/>
          <w:highlight w:val="none"/>
        </w:rPr>
        <w:t>设备间子系统的设计主要是指设备安装方式确定、配线架的选型及数量确定、设备间跳线种类的确定、设备间的环境要求等。</w:t>
      </w:r>
    </w:p>
    <w:p w14:paraId="2199AF41">
      <w:pPr>
        <w:spacing w:line="360" w:lineRule="auto"/>
        <w:ind w:firstLine="420" w:firstLineChars="200"/>
        <w:rPr>
          <w:bCs/>
          <w:color w:val="auto"/>
          <w:highlight w:val="none"/>
        </w:rPr>
      </w:pPr>
      <w:r>
        <w:rPr>
          <w:rFonts w:hint="eastAsia"/>
          <w:bCs/>
          <w:color w:val="auto"/>
          <w:highlight w:val="none"/>
        </w:rPr>
        <w:t>1、设备安装方式确定</w:t>
      </w:r>
    </w:p>
    <w:p w14:paraId="283A07F4">
      <w:pPr>
        <w:spacing w:line="360" w:lineRule="auto"/>
        <w:ind w:firstLine="420" w:firstLineChars="200"/>
        <w:rPr>
          <w:bCs/>
          <w:color w:val="auto"/>
          <w:highlight w:val="none"/>
        </w:rPr>
      </w:pPr>
      <w:r>
        <w:rPr>
          <w:rFonts w:hint="eastAsia"/>
          <w:bCs/>
          <w:color w:val="auto"/>
          <w:highlight w:val="none"/>
        </w:rPr>
        <w:t>设备间设备全部采用机柜安装，19英寸标准机柜，机柜高度根据建筑物实际情况选定，设备统一安装在机柜内，整齐美观、可靠性高、防尘、保密性好、安装规范等优点。</w:t>
      </w:r>
    </w:p>
    <w:p w14:paraId="585837BB">
      <w:pPr>
        <w:spacing w:line="360" w:lineRule="auto"/>
        <w:ind w:firstLine="420" w:firstLineChars="200"/>
        <w:rPr>
          <w:bCs/>
          <w:color w:val="auto"/>
          <w:highlight w:val="none"/>
        </w:rPr>
      </w:pPr>
      <w:r>
        <w:rPr>
          <w:rFonts w:hint="eastAsia"/>
          <w:bCs/>
          <w:color w:val="auto"/>
          <w:highlight w:val="none"/>
        </w:rPr>
        <w:t>2、配线架的选型及数量确定</w:t>
      </w:r>
    </w:p>
    <w:p w14:paraId="31A62997">
      <w:pPr>
        <w:spacing w:line="360" w:lineRule="auto"/>
        <w:ind w:firstLine="420" w:firstLineChars="200"/>
        <w:rPr>
          <w:bCs/>
          <w:color w:val="auto"/>
          <w:highlight w:val="none"/>
        </w:rPr>
      </w:pPr>
      <w:r>
        <w:rPr>
          <w:rFonts w:hint="eastAsia"/>
          <w:bCs/>
          <w:color w:val="auto"/>
          <w:highlight w:val="none"/>
        </w:rPr>
        <w:t>狱内各设备间根据光缆部署情况选用12芯或24芯单模光纤配线架，用于连接来自监狱大门数据中心机房的单模光缆，语音通讯选用110配线架，网络通讯选用24口数据配线架，视频监控等安防系统的数据线缆直接端接于网络交换机。</w:t>
      </w:r>
    </w:p>
    <w:p w14:paraId="7782F2AF">
      <w:pPr>
        <w:spacing w:line="360" w:lineRule="auto"/>
        <w:ind w:firstLine="420" w:firstLineChars="200"/>
        <w:rPr>
          <w:bCs/>
          <w:color w:val="auto"/>
          <w:highlight w:val="none"/>
        </w:rPr>
      </w:pPr>
      <w:r>
        <w:rPr>
          <w:rFonts w:hint="eastAsia"/>
          <w:bCs/>
          <w:color w:val="auto"/>
          <w:highlight w:val="none"/>
        </w:rPr>
        <w:t>3、设备间跳线种类的确定</w:t>
      </w:r>
    </w:p>
    <w:p w14:paraId="02C0973E">
      <w:pPr>
        <w:spacing w:line="360" w:lineRule="auto"/>
        <w:ind w:firstLine="420" w:firstLineChars="200"/>
        <w:rPr>
          <w:bCs/>
          <w:color w:val="auto"/>
          <w:highlight w:val="none"/>
        </w:rPr>
      </w:pPr>
      <w:r>
        <w:rPr>
          <w:rFonts w:hint="eastAsia"/>
          <w:bCs/>
          <w:color w:val="auto"/>
          <w:highlight w:val="none"/>
        </w:rPr>
        <w:t>数据跳线：用于连接设备间网络设备到网络配线架，采用3m的六类非屏蔽跳线。</w:t>
      </w:r>
    </w:p>
    <w:p w14:paraId="07A092FF">
      <w:pPr>
        <w:spacing w:line="360" w:lineRule="auto"/>
        <w:ind w:firstLine="420" w:firstLineChars="200"/>
        <w:rPr>
          <w:bCs/>
          <w:color w:val="auto"/>
          <w:highlight w:val="none"/>
        </w:rPr>
      </w:pPr>
      <w:r>
        <w:rPr>
          <w:rFonts w:hint="eastAsia"/>
          <w:bCs/>
          <w:color w:val="auto"/>
          <w:highlight w:val="none"/>
        </w:rPr>
        <w:t>光纤跳线：用于连接设备间网络设备到光纤配线架，采用SC-</w:t>
      </w:r>
      <w:r>
        <w:rPr>
          <w:bCs/>
          <w:color w:val="auto"/>
          <w:highlight w:val="none"/>
        </w:rPr>
        <w:t>LC</w:t>
      </w:r>
      <w:r>
        <w:rPr>
          <w:rFonts w:hint="eastAsia"/>
          <w:bCs/>
          <w:color w:val="auto"/>
          <w:highlight w:val="none"/>
        </w:rPr>
        <w:t>光纤跳线。</w:t>
      </w:r>
    </w:p>
    <w:p w14:paraId="749F4FFC">
      <w:pPr>
        <w:spacing w:line="360" w:lineRule="auto"/>
        <w:ind w:firstLine="420" w:firstLineChars="200"/>
        <w:rPr>
          <w:bCs/>
          <w:color w:val="auto"/>
          <w:highlight w:val="none"/>
        </w:rPr>
      </w:pPr>
      <w:r>
        <w:rPr>
          <w:rFonts w:hint="eastAsia"/>
          <w:bCs/>
          <w:color w:val="auto"/>
          <w:highlight w:val="none"/>
        </w:rPr>
        <w:t>4、设备间环境要求</w:t>
      </w:r>
    </w:p>
    <w:p w14:paraId="36EC1584">
      <w:pPr>
        <w:spacing w:line="360" w:lineRule="auto"/>
        <w:ind w:firstLine="420" w:firstLineChars="200"/>
        <w:rPr>
          <w:bCs/>
          <w:color w:val="auto"/>
          <w:highlight w:val="none"/>
        </w:rPr>
      </w:pPr>
      <w:r>
        <w:rPr>
          <w:rFonts w:hint="eastAsia"/>
          <w:bCs/>
          <w:color w:val="auto"/>
          <w:highlight w:val="none"/>
        </w:rPr>
        <w:t>设备间子系统是整个配线系统的中心单元，其环境条件的优劣将直接影响到各信息化系统的正常运行。设备间的设置应该满足以下要求：</w:t>
      </w:r>
    </w:p>
    <w:p w14:paraId="6DB59661">
      <w:pPr>
        <w:numPr>
          <w:ilvl w:val="0"/>
          <w:numId w:val="8"/>
        </w:numPr>
        <w:spacing w:line="360" w:lineRule="auto"/>
        <w:ind w:left="0" w:firstLine="420" w:firstLineChars="200"/>
        <w:rPr>
          <w:bCs/>
          <w:color w:val="auto"/>
          <w:highlight w:val="none"/>
        </w:rPr>
      </w:pPr>
      <w:r>
        <w:rPr>
          <w:rFonts w:hint="eastAsia"/>
          <w:bCs/>
          <w:color w:val="auto"/>
          <w:highlight w:val="none"/>
        </w:rPr>
        <w:t>设备间的位置应尽可能靠近建筑物电缆引入区和对外网络接口；</w:t>
      </w:r>
    </w:p>
    <w:p w14:paraId="4369D1E8">
      <w:pPr>
        <w:numPr>
          <w:ilvl w:val="0"/>
          <w:numId w:val="8"/>
        </w:numPr>
        <w:spacing w:line="360" w:lineRule="auto"/>
        <w:ind w:left="0" w:firstLine="420" w:firstLineChars="200"/>
        <w:rPr>
          <w:bCs/>
          <w:color w:val="auto"/>
          <w:highlight w:val="none"/>
        </w:rPr>
      </w:pPr>
      <w:r>
        <w:rPr>
          <w:rFonts w:hint="eastAsia"/>
          <w:bCs/>
          <w:color w:val="auto"/>
          <w:highlight w:val="none"/>
        </w:rPr>
        <w:t>室温应保持在10~30℃之间；</w:t>
      </w:r>
    </w:p>
    <w:p w14:paraId="16324E37">
      <w:pPr>
        <w:numPr>
          <w:ilvl w:val="0"/>
          <w:numId w:val="8"/>
        </w:numPr>
        <w:spacing w:line="360" w:lineRule="auto"/>
        <w:ind w:left="0" w:firstLine="420" w:firstLineChars="200"/>
        <w:rPr>
          <w:bCs/>
          <w:color w:val="auto"/>
          <w:highlight w:val="none"/>
        </w:rPr>
      </w:pPr>
      <w:r>
        <w:rPr>
          <w:rFonts w:hint="eastAsia"/>
          <w:bCs/>
          <w:color w:val="auto"/>
          <w:highlight w:val="none"/>
        </w:rPr>
        <w:t>相对湿度应保持20%~80%；</w:t>
      </w:r>
    </w:p>
    <w:p w14:paraId="167B6BB8">
      <w:pPr>
        <w:numPr>
          <w:ilvl w:val="0"/>
          <w:numId w:val="8"/>
        </w:numPr>
        <w:spacing w:line="360" w:lineRule="auto"/>
        <w:ind w:left="0" w:firstLine="420" w:firstLineChars="200"/>
        <w:rPr>
          <w:bCs/>
          <w:color w:val="auto"/>
          <w:highlight w:val="none"/>
        </w:rPr>
      </w:pPr>
      <w:r>
        <w:rPr>
          <w:rFonts w:hint="eastAsia"/>
          <w:bCs/>
          <w:color w:val="auto"/>
          <w:highlight w:val="none"/>
        </w:rPr>
        <w:t>应有良好的通风和防尘措施；</w:t>
      </w:r>
    </w:p>
    <w:p w14:paraId="026469F4">
      <w:pPr>
        <w:numPr>
          <w:ilvl w:val="0"/>
          <w:numId w:val="8"/>
        </w:numPr>
        <w:spacing w:line="360" w:lineRule="auto"/>
        <w:ind w:left="0" w:firstLine="420" w:firstLineChars="200"/>
        <w:rPr>
          <w:bCs/>
          <w:color w:val="auto"/>
          <w:highlight w:val="none"/>
        </w:rPr>
      </w:pPr>
      <w:r>
        <w:rPr>
          <w:rFonts w:hint="eastAsia"/>
          <w:bCs/>
          <w:color w:val="auto"/>
          <w:highlight w:val="none"/>
        </w:rPr>
        <w:t>设备间应有足够的空间用于安装设备；</w:t>
      </w:r>
    </w:p>
    <w:p w14:paraId="3273DA66">
      <w:pPr>
        <w:numPr>
          <w:ilvl w:val="0"/>
          <w:numId w:val="8"/>
        </w:numPr>
        <w:spacing w:line="360" w:lineRule="auto"/>
        <w:ind w:left="0" w:firstLine="420" w:firstLineChars="200"/>
        <w:rPr>
          <w:bCs/>
          <w:color w:val="auto"/>
          <w:highlight w:val="none"/>
        </w:rPr>
      </w:pPr>
      <w:r>
        <w:rPr>
          <w:rFonts w:hint="eastAsia"/>
          <w:bCs/>
          <w:color w:val="auto"/>
          <w:highlight w:val="none"/>
        </w:rPr>
        <w:t>室内照明不低于150Lux；</w:t>
      </w:r>
    </w:p>
    <w:p w14:paraId="4E2F3B4B">
      <w:pPr>
        <w:numPr>
          <w:ilvl w:val="0"/>
          <w:numId w:val="8"/>
        </w:numPr>
        <w:spacing w:line="360" w:lineRule="auto"/>
        <w:ind w:left="0" w:firstLine="420" w:firstLineChars="200"/>
        <w:rPr>
          <w:bCs/>
          <w:color w:val="auto"/>
          <w:highlight w:val="none"/>
        </w:rPr>
      </w:pPr>
      <w:r>
        <w:rPr>
          <w:rFonts w:hint="eastAsia"/>
          <w:bCs/>
          <w:color w:val="auto"/>
          <w:highlight w:val="none"/>
        </w:rPr>
        <w:t>地板载重量不小于500kg/每平方米；</w:t>
      </w:r>
    </w:p>
    <w:p w14:paraId="0DF4EB63">
      <w:pPr>
        <w:numPr>
          <w:ilvl w:val="0"/>
          <w:numId w:val="8"/>
        </w:numPr>
        <w:spacing w:line="360" w:lineRule="auto"/>
        <w:ind w:left="0" w:firstLine="420" w:firstLineChars="200"/>
        <w:rPr>
          <w:bCs/>
          <w:color w:val="auto"/>
          <w:highlight w:val="none"/>
        </w:rPr>
      </w:pPr>
      <w:r>
        <w:rPr>
          <w:rFonts w:hint="eastAsia"/>
          <w:bCs/>
          <w:color w:val="auto"/>
          <w:highlight w:val="none"/>
        </w:rPr>
        <w:t>室内应提供UPS电源配电盘以保证网络设备运行及维护的供电。每个电源插座的容量不小于2500W。</w:t>
      </w:r>
    </w:p>
    <w:p w14:paraId="19C4F4C4">
      <w:pPr>
        <w:spacing w:line="360" w:lineRule="auto"/>
        <w:ind w:firstLine="420" w:firstLineChars="200"/>
        <w:rPr>
          <w:bCs/>
          <w:color w:val="auto"/>
          <w:highlight w:val="none"/>
        </w:rPr>
      </w:pPr>
      <w:r>
        <w:rPr>
          <w:rFonts w:hint="eastAsia"/>
          <w:bCs/>
          <w:color w:val="auto"/>
          <w:highlight w:val="none"/>
        </w:rPr>
        <w:t>以上要求已提交土建设计院相关专业综合考虑，施工单位应在施工前核实环境条件后再进行施工。</w:t>
      </w:r>
    </w:p>
    <w:p w14:paraId="443328EF">
      <w:pPr>
        <w:pStyle w:val="12"/>
        <w:tabs>
          <w:tab w:val="left" w:pos="864"/>
        </w:tabs>
        <w:spacing w:line="360" w:lineRule="auto"/>
        <w:ind w:left="0" w:firstLine="420" w:firstLineChars="200"/>
        <w:rPr>
          <w:color w:val="auto"/>
          <w:highlight w:val="none"/>
        </w:rPr>
      </w:pPr>
      <w:r>
        <w:rPr>
          <w:rFonts w:hint="eastAsia"/>
          <w:color w:val="auto"/>
          <w:highlight w:val="none"/>
        </w:rPr>
        <w:t>垂直子系统设计</w:t>
      </w:r>
    </w:p>
    <w:p w14:paraId="0F6F4F08">
      <w:pPr>
        <w:spacing w:line="360" w:lineRule="auto"/>
        <w:ind w:firstLine="420" w:firstLineChars="200"/>
        <w:rPr>
          <w:bCs/>
          <w:color w:val="auto"/>
          <w:highlight w:val="none"/>
        </w:rPr>
      </w:pPr>
      <w:r>
        <w:rPr>
          <w:rFonts w:hint="eastAsia"/>
          <w:bCs/>
          <w:color w:val="auto"/>
          <w:highlight w:val="none"/>
        </w:rPr>
        <w:t>垂直子系统由设备间至各楼层配线间之间的干线光缆组成。</w:t>
      </w:r>
    </w:p>
    <w:p w14:paraId="6997F35D">
      <w:pPr>
        <w:spacing w:line="360" w:lineRule="auto"/>
        <w:ind w:firstLine="420" w:firstLineChars="200"/>
        <w:rPr>
          <w:bCs/>
          <w:color w:val="auto"/>
          <w:highlight w:val="none"/>
        </w:rPr>
      </w:pPr>
      <w:r>
        <w:rPr>
          <w:rFonts w:hint="eastAsia"/>
          <w:bCs/>
          <w:color w:val="auto"/>
          <w:highlight w:val="none"/>
        </w:rPr>
        <w:t>垂直子系统的设计内容包括：主干路由的选择及走线方式、主干线缆类型的确定。</w:t>
      </w:r>
    </w:p>
    <w:p w14:paraId="081A71A3">
      <w:pPr>
        <w:spacing w:line="360" w:lineRule="auto"/>
        <w:ind w:firstLine="420" w:firstLineChars="200"/>
        <w:rPr>
          <w:bCs/>
          <w:color w:val="auto"/>
          <w:highlight w:val="none"/>
        </w:rPr>
      </w:pPr>
      <w:r>
        <w:rPr>
          <w:rFonts w:hint="eastAsia"/>
          <w:bCs/>
          <w:color w:val="auto"/>
          <w:highlight w:val="none"/>
        </w:rPr>
        <w:t>1、线缆路由的选择及走线方式</w:t>
      </w:r>
    </w:p>
    <w:p w14:paraId="11933DD5">
      <w:pPr>
        <w:spacing w:line="360" w:lineRule="auto"/>
        <w:ind w:firstLine="420" w:firstLineChars="200"/>
        <w:rPr>
          <w:bCs/>
          <w:color w:val="auto"/>
          <w:highlight w:val="none"/>
        </w:rPr>
      </w:pPr>
      <w:r>
        <w:rPr>
          <w:rFonts w:hint="eastAsia"/>
          <w:bCs/>
          <w:color w:val="auto"/>
          <w:highlight w:val="none"/>
        </w:rPr>
        <w:t>在本次系统设计中，垂直子系统线缆的一端端接于建筑物设备间主配线架上，另一端端接在楼层配线间的各个管理分配线架上。</w:t>
      </w:r>
    </w:p>
    <w:p w14:paraId="5B67BACA">
      <w:pPr>
        <w:spacing w:line="360" w:lineRule="auto"/>
        <w:ind w:firstLine="420" w:firstLineChars="200"/>
        <w:rPr>
          <w:bCs/>
          <w:color w:val="auto"/>
          <w:highlight w:val="none"/>
        </w:rPr>
      </w:pPr>
      <w:r>
        <w:rPr>
          <w:rFonts w:hint="eastAsia"/>
          <w:bCs/>
          <w:color w:val="auto"/>
          <w:highlight w:val="none"/>
        </w:rPr>
        <w:t>其走线方式是：在建筑物内的弱电竖井内沿弱电桥架敷设。根据楼层的信息点数和其他系统的点数，垂直桥架选用300*100mm/200*100mm的金属桥架。</w:t>
      </w:r>
    </w:p>
    <w:p w14:paraId="1DF1E265">
      <w:pPr>
        <w:spacing w:line="360" w:lineRule="auto"/>
        <w:ind w:firstLine="420" w:firstLineChars="200"/>
        <w:rPr>
          <w:bCs/>
          <w:color w:val="auto"/>
          <w:highlight w:val="none"/>
        </w:rPr>
      </w:pPr>
      <w:r>
        <w:rPr>
          <w:rFonts w:hint="eastAsia"/>
          <w:bCs/>
          <w:color w:val="auto"/>
          <w:highlight w:val="none"/>
        </w:rPr>
        <w:t>2、线缆类型的确定</w:t>
      </w:r>
    </w:p>
    <w:p w14:paraId="1AD90863">
      <w:pPr>
        <w:spacing w:line="360" w:lineRule="auto"/>
        <w:ind w:firstLine="420" w:firstLineChars="200"/>
        <w:rPr>
          <w:bCs/>
          <w:color w:val="auto"/>
          <w:highlight w:val="none"/>
        </w:rPr>
      </w:pPr>
      <w:r>
        <w:rPr>
          <w:rFonts w:hint="eastAsia"/>
          <w:bCs/>
          <w:color w:val="auto"/>
          <w:highlight w:val="none"/>
        </w:rPr>
        <w:t>根据本工程的要求，垂直子系统的线缆包括：光缆及大对数电缆。</w:t>
      </w:r>
    </w:p>
    <w:p w14:paraId="31FC97C2">
      <w:pPr>
        <w:spacing w:line="360" w:lineRule="auto"/>
        <w:ind w:firstLine="420" w:firstLineChars="200"/>
        <w:rPr>
          <w:bCs/>
          <w:color w:val="auto"/>
          <w:highlight w:val="none"/>
        </w:rPr>
      </w:pPr>
      <w:r>
        <w:rPr>
          <w:rFonts w:hint="eastAsia"/>
          <w:bCs/>
          <w:color w:val="auto"/>
          <w:highlight w:val="none"/>
        </w:rPr>
        <w:t>光缆的用途详见“5.1.3.1建筑物子系统的设计”，大对数电缆主要用于语音信号的传输，本设计中垂直子系统光缆采用12芯室内多模光缆，大对数电缆选用25对大对数电缆。</w:t>
      </w:r>
    </w:p>
    <w:p w14:paraId="049DC92D">
      <w:pPr>
        <w:pStyle w:val="12"/>
        <w:tabs>
          <w:tab w:val="left" w:pos="864"/>
        </w:tabs>
        <w:spacing w:line="360" w:lineRule="auto"/>
        <w:ind w:left="0" w:firstLine="420" w:firstLineChars="200"/>
        <w:rPr>
          <w:color w:val="auto"/>
          <w:highlight w:val="none"/>
        </w:rPr>
      </w:pPr>
      <w:r>
        <w:rPr>
          <w:rFonts w:hint="eastAsia"/>
          <w:color w:val="auto"/>
          <w:highlight w:val="none"/>
        </w:rPr>
        <w:t>水平子系统设计</w:t>
      </w:r>
    </w:p>
    <w:p w14:paraId="2AAF3640">
      <w:pPr>
        <w:spacing w:line="360" w:lineRule="auto"/>
        <w:ind w:firstLine="420" w:firstLineChars="200"/>
        <w:rPr>
          <w:bCs/>
          <w:color w:val="auto"/>
          <w:highlight w:val="none"/>
        </w:rPr>
      </w:pPr>
      <w:r>
        <w:rPr>
          <w:rFonts w:hint="eastAsia"/>
          <w:bCs/>
          <w:color w:val="auto"/>
          <w:highlight w:val="none"/>
        </w:rPr>
        <w:t>水平子系统是整个综合布线系统的一部分，它的作用是将干线子系统线路延伸到用户工作区。</w:t>
      </w:r>
    </w:p>
    <w:p w14:paraId="01B37285">
      <w:pPr>
        <w:spacing w:line="360" w:lineRule="auto"/>
        <w:ind w:firstLine="420" w:firstLineChars="200"/>
        <w:rPr>
          <w:bCs/>
          <w:color w:val="auto"/>
          <w:highlight w:val="none"/>
        </w:rPr>
      </w:pPr>
      <w:r>
        <w:rPr>
          <w:rFonts w:hint="eastAsia"/>
          <w:bCs/>
          <w:color w:val="auto"/>
          <w:highlight w:val="none"/>
        </w:rPr>
        <w:t>水平子系统的设计要点主要包括：信息模块类型的选择、面板类型的选择、水平线缆类型的选择、水平线缆的走线方式等。</w:t>
      </w:r>
    </w:p>
    <w:p w14:paraId="27CCC5A0">
      <w:pPr>
        <w:spacing w:line="360" w:lineRule="auto"/>
        <w:ind w:firstLine="420" w:firstLineChars="200"/>
        <w:rPr>
          <w:bCs/>
          <w:color w:val="auto"/>
          <w:highlight w:val="none"/>
        </w:rPr>
      </w:pPr>
      <w:r>
        <w:rPr>
          <w:rFonts w:hint="eastAsia"/>
          <w:bCs/>
          <w:color w:val="auto"/>
          <w:highlight w:val="none"/>
        </w:rPr>
        <w:t>1、信息模块类型</w:t>
      </w:r>
    </w:p>
    <w:p w14:paraId="10A1986F">
      <w:pPr>
        <w:spacing w:line="360" w:lineRule="auto"/>
        <w:ind w:firstLine="420" w:firstLineChars="200"/>
        <w:rPr>
          <w:bCs/>
          <w:color w:val="auto"/>
          <w:highlight w:val="none"/>
        </w:rPr>
      </w:pPr>
      <w:r>
        <w:rPr>
          <w:rFonts w:hint="eastAsia"/>
          <w:bCs/>
          <w:color w:val="auto"/>
          <w:highlight w:val="none"/>
        </w:rPr>
        <w:t>铜缆模块采用六类非屏蔽数据模块。</w:t>
      </w:r>
    </w:p>
    <w:p w14:paraId="621FBDD3">
      <w:pPr>
        <w:spacing w:line="360" w:lineRule="auto"/>
        <w:ind w:firstLine="420" w:firstLineChars="200"/>
        <w:rPr>
          <w:bCs/>
          <w:color w:val="auto"/>
          <w:highlight w:val="none"/>
        </w:rPr>
      </w:pPr>
      <w:r>
        <w:rPr>
          <w:rFonts w:hint="eastAsia"/>
          <w:bCs/>
          <w:color w:val="auto"/>
          <w:highlight w:val="none"/>
        </w:rPr>
        <w:t>2、面板类型</w:t>
      </w:r>
    </w:p>
    <w:p w14:paraId="6F8CEB34">
      <w:pPr>
        <w:spacing w:line="360" w:lineRule="auto"/>
        <w:ind w:firstLine="420" w:firstLineChars="200"/>
        <w:rPr>
          <w:bCs/>
          <w:color w:val="auto"/>
          <w:highlight w:val="none"/>
        </w:rPr>
      </w:pPr>
      <w:r>
        <w:rPr>
          <w:rFonts w:hint="eastAsia"/>
          <w:bCs/>
          <w:color w:val="auto"/>
          <w:highlight w:val="none"/>
        </w:rPr>
        <w:t>信息插座面板类型为英制86面板，根据系统的实际情况，选择单孔及双孔形式，并带有图形、文字标识：语音点采用电话标识，数据点采用电脑标识。所有符合标准的模块均可以安装在该面板上。</w:t>
      </w:r>
    </w:p>
    <w:p w14:paraId="54FF7DE2">
      <w:pPr>
        <w:spacing w:line="360" w:lineRule="auto"/>
        <w:ind w:firstLine="420" w:firstLineChars="200"/>
        <w:rPr>
          <w:bCs/>
          <w:color w:val="auto"/>
          <w:highlight w:val="none"/>
        </w:rPr>
      </w:pPr>
      <w:r>
        <w:rPr>
          <w:rFonts w:hint="eastAsia"/>
          <w:bCs/>
          <w:color w:val="auto"/>
          <w:highlight w:val="none"/>
        </w:rPr>
        <w:t>标准信息座均为墙面暗装(特殊应用环境可考虑吊顶内、地面或明装方式)底边距地30厘米。为使用方便，要求每组信息座附近配备220V电源插座，以便为数据设备供电，强弱电插座的距离不小于20厘米。</w:t>
      </w:r>
    </w:p>
    <w:p w14:paraId="41C68DC1">
      <w:pPr>
        <w:spacing w:line="360" w:lineRule="auto"/>
        <w:ind w:firstLine="420" w:firstLineChars="200"/>
        <w:rPr>
          <w:bCs/>
          <w:color w:val="auto"/>
          <w:highlight w:val="none"/>
        </w:rPr>
      </w:pPr>
      <w:r>
        <w:rPr>
          <w:rFonts w:hint="eastAsia"/>
          <w:bCs/>
          <w:color w:val="auto"/>
          <w:highlight w:val="none"/>
        </w:rPr>
        <w:t>强电插座要求已提交土建设计院电气专业考虑，施工单位应在施工前核实电源设置情况后再进行施工。</w:t>
      </w:r>
    </w:p>
    <w:p w14:paraId="653A6F4D">
      <w:pPr>
        <w:spacing w:line="360" w:lineRule="auto"/>
        <w:ind w:firstLine="420" w:firstLineChars="200"/>
        <w:rPr>
          <w:bCs/>
          <w:color w:val="auto"/>
          <w:highlight w:val="none"/>
        </w:rPr>
      </w:pPr>
      <w:r>
        <w:rPr>
          <w:rFonts w:hint="eastAsia"/>
          <w:bCs/>
          <w:color w:val="auto"/>
          <w:highlight w:val="none"/>
        </w:rPr>
        <w:t>3、水平线缆类型的选择</w:t>
      </w:r>
    </w:p>
    <w:p w14:paraId="2A0956D9">
      <w:pPr>
        <w:spacing w:line="360" w:lineRule="auto"/>
        <w:ind w:firstLine="420" w:firstLineChars="200"/>
        <w:rPr>
          <w:bCs/>
          <w:color w:val="auto"/>
          <w:highlight w:val="none"/>
        </w:rPr>
      </w:pPr>
      <w:r>
        <w:rPr>
          <w:rFonts w:hint="eastAsia"/>
          <w:bCs/>
          <w:color w:val="auto"/>
          <w:highlight w:val="none"/>
        </w:rPr>
        <w:t>在本次设计中，水平线缆类型的选择主要包括：</w:t>
      </w:r>
    </w:p>
    <w:p w14:paraId="6EEE1F7A">
      <w:pPr>
        <w:numPr>
          <w:ilvl w:val="0"/>
          <w:numId w:val="9"/>
        </w:numPr>
        <w:spacing w:line="360" w:lineRule="auto"/>
        <w:ind w:left="0" w:firstLine="420" w:firstLineChars="200"/>
        <w:rPr>
          <w:bCs/>
          <w:color w:val="auto"/>
          <w:highlight w:val="none"/>
        </w:rPr>
      </w:pPr>
      <w:r>
        <w:rPr>
          <w:rFonts w:hint="eastAsia"/>
          <w:bCs/>
          <w:color w:val="auto"/>
          <w:highlight w:val="none"/>
        </w:rPr>
        <w:t>语音通信系统</w:t>
      </w:r>
    </w:p>
    <w:p w14:paraId="19B43771">
      <w:pPr>
        <w:spacing w:line="360" w:lineRule="auto"/>
        <w:ind w:firstLine="420" w:firstLineChars="200"/>
        <w:rPr>
          <w:bCs/>
          <w:color w:val="auto"/>
          <w:highlight w:val="none"/>
        </w:rPr>
      </w:pPr>
      <w:r>
        <w:rPr>
          <w:rFonts w:hint="eastAsia"/>
          <w:bCs/>
          <w:color w:val="auto"/>
          <w:highlight w:val="none"/>
        </w:rPr>
        <w:t>语音通信电缆选为六类非屏蔽双绞线。</w:t>
      </w:r>
    </w:p>
    <w:p w14:paraId="583D82B4">
      <w:pPr>
        <w:numPr>
          <w:ilvl w:val="0"/>
          <w:numId w:val="9"/>
        </w:numPr>
        <w:spacing w:line="360" w:lineRule="auto"/>
        <w:ind w:left="0" w:firstLine="420" w:firstLineChars="200"/>
        <w:rPr>
          <w:bCs/>
          <w:color w:val="auto"/>
          <w:highlight w:val="none"/>
        </w:rPr>
      </w:pPr>
      <w:r>
        <w:rPr>
          <w:rFonts w:hint="eastAsia"/>
          <w:bCs/>
          <w:color w:val="auto"/>
          <w:highlight w:val="none"/>
        </w:rPr>
        <w:t>网络通信系统</w:t>
      </w:r>
    </w:p>
    <w:p w14:paraId="1570D310">
      <w:pPr>
        <w:spacing w:line="360" w:lineRule="auto"/>
        <w:ind w:firstLine="420" w:firstLineChars="200"/>
        <w:rPr>
          <w:bCs/>
          <w:color w:val="auto"/>
          <w:highlight w:val="none"/>
        </w:rPr>
      </w:pPr>
      <w:r>
        <w:rPr>
          <w:rFonts w:hint="eastAsia"/>
          <w:bCs/>
          <w:color w:val="auto"/>
          <w:highlight w:val="none"/>
        </w:rPr>
        <w:t>网络通信选用六类非屏蔽双绞线。</w:t>
      </w:r>
    </w:p>
    <w:p w14:paraId="583A3CB5">
      <w:pPr>
        <w:spacing w:line="360" w:lineRule="auto"/>
        <w:ind w:firstLine="420" w:firstLineChars="200"/>
        <w:rPr>
          <w:bCs/>
          <w:color w:val="auto"/>
          <w:highlight w:val="none"/>
        </w:rPr>
      </w:pPr>
      <w:r>
        <w:rPr>
          <w:rFonts w:hint="eastAsia"/>
          <w:bCs/>
          <w:color w:val="auto"/>
          <w:highlight w:val="none"/>
        </w:rPr>
        <w:t>4、走线方式</w:t>
      </w:r>
    </w:p>
    <w:p w14:paraId="7789FD83">
      <w:pPr>
        <w:spacing w:line="360" w:lineRule="auto"/>
        <w:ind w:firstLine="420" w:firstLineChars="200"/>
        <w:rPr>
          <w:bCs/>
          <w:color w:val="auto"/>
          <w:highlight w:val="none"/>
        </w:rPr>
      </w:pPr>
      <w:r>
        <w:rPr>
          <w:rFonts w:hint="eastAsia"/>
          <w:bCs/>
          <w:color w:val="auto"/>
          <w:highlight w:val="none"/>
        </w:rPr>
        <w:t>水平线缆的走线方式取决于信息点的位置和水平桥架的安装方式，信息点为墙面型，水平桥架以在吊顶敷设为主。</w:t>
      </w:r>
    </w:p>
    <w:p w14:paraId="6C4795F9">
      <w:pPr>
        <w:spacing w:line="360" w:lineRule="auto"/>
        <w:ind w:firstLine="420" w:firstLineChars="200"/>
        <w:rPr>
          <w:bCs/>
          <w:color w:val="auto"/>
          <w:highlight w:val="none"/>
        </w:rPr>
      </w:pPr>
      <w:r>
        <w:rPr>
          <w:rFonts w:hint="eastAsia"/>
          <w:bCs/>
          <w:color w:val="auto"/>
          <w:highlight w:val="none"/>
        </w:rPr>
        <w:t>墙面信息点需在墙内预埋JDG镀锌管，穿1根线的管材的管径均为20mm，穿2－3根线的管材管径均为25mm；并在出线口处预埋固定暗盒。</w:t>
      </w:r>
    </w:p>
    <w:p w14:paraId="0F106316">
      <w:pPr>
        <w:spacing w:line="360" w:lineRule="auto"/>
        <w:ind w:firstLine="420" w:firstLineChars="200"/>
        <w:rPr>
          <w:bCs/>
          <w:color w:val="auto"/>
          <w:highlight w:val="none"/>
        </w:rPr>
      </w:pPr>
      <w:r>
        <w:rPr>
          <w:rFonts w:hint="eastAsia"/>
          <w:bCs/>
          <w:color w:val="auto"/>
          <w:highlight w:val="none"/>
        </w:rPr>
        <w:t>线缆沿金属管进入水平桥架并沿水平桥架进入楼层配线间。根据水平线缆的数量，各层水平桥架的尺寸选</w:t>
      </w:r>
      <w:r>
        <w:rPr>
          <w:bCs/>
          <w:color w:val="auto"/>
          <w:highlight w:val="none"/>
        </w:rPr>
        <w:t>300</w:t>
      </w:r>
      <w:r>
        <w:rPr>
          <w:rFonts w:hint="eastAsia"/>
          <w:bCs/>
          <w:color w:val="auto"/>
          <w:highlight w:val="none"/>
        </w:rPr>
        <w:t>x</w:t>
      </w:r>
      <w:r>
        <w:rPr>
          <w:bCs/>
          <w:color w:val="auto"/>
          <w:highlight w:val="none"/>
        </w:rPr>
        <w:t>1</w:t>
      </w:r>
      <w:r>
        <w:rPr>
          <w:rFonts w:hint="eastAsia"/>
          <w:bCs/>
          <w:color w:val="auto"/>
          <w:highlight w:val="none"/>
        </w:rPr>
        <w:t>00mm/</w:t>
      </w:r>
      <w:r>
        <w:rPr>
          <w:bCs/>
          <w:color w:val="auto"/>
          <w:highlight w:val="none"/>
        </w:rPr>
        <w:t>200</w:t>
      </w:r>
      <w:r>
        <w:rPr>
          <w:rFonts w:hint="eastAsia"/>
          <w:bCs/>
          <w:color w:val="auto"/>
          <w:highlight w:val="none"/>
        </w:rPr>
        <w:t>x</w:t>
      </w:r>
      <w:r>
        <w:rPr>
          <w:bCs/>
          <w:color w:val="auto"/>
          <w:highlight w:val="none"/>
        </w:rPr>
        <w:t>100</w:t>
      </w:r>
      <w:r>
        <w:rPr>
          <w:rFonts w:hint="eastAsia"/>
          <w:bCs/>
          <w:color w:val="auto"/>
          <w:highlight w:val="none"/>
        </w:rPr>
        <w:t>mm的金属桥架。</w:t>
      </w:r>
    </w:p>
    <w:p w14:paraId="5C0D897E">
      <w:pPr>
        <w:pStyle w:val="12"/>
        <w:tabs>
          <w:tab w:val="left" w:pos="864"/>
        </w:tabs>
        <w:spacing w:line="360" w:lineRule="auto"/>
        <w:ind w:left="0" w:firstLine="420" w:firstLineChars="200"/>
        <w:rPr>
          <w:color w:val="auto"/>
          <w:highlight w:val="none"/>
        </w:rPr>
      </w:pPr>
      <w:r>
        <w:rPr>
          <w:rFonts w:hint="eastAsia"/>
          <w:color w:val="auto"/>
          <w:highlight w:val="none"/>
        </w:rPr>
        <w:t>工作区子系统设计</w:t>
      </w:r>
    </w:p>
    <w:p w14:paraId="28CDE885">
      <w:pPr>
        <w:spacing w:line="360" w:lineRule="auto"/>
        <w:ind w:firstLine="420" w:firstLineChars="200"/>
        <w:rPr>
          <w:bCs/>
          <w:color w:val="auto"/>
          <w:highlight w:val="none"/>
        </w:rPr>
      </w:pPr>
      <w:r>
        <w:rPr>
          <w:rFonts w:hint="eastAsia"/>
          <w:bCs/>
          <w:color w:val="auto"/>
          <w:highlight w:val="none"/>
        </w:rPr>
        <w:t>工作区子系统由终端设备连接到信息插座的连线（或软线）组成，它包括装配软线、适配器和连接所需的扩展软线。在本项目中，工作区信息点按办公人员的数量及房间使用功能进行设置，根据实际需求设置一个双口信息插座，进行线路预留，预埋底盒并布线到位。</w:t>
      </w:r>
    </w:p>
    <w:p w14:paraId="74CBC96D">
      <w:pPr>
        <w:spacing w:line="360" w:lineRule="auto"/>
        <w:ind w:firstLine="420" w:firstLineChars="200"/>
        <w:rPr>
          <w:bCs/>
          <w:color w:val="auto"/>
          <w:highlight w:val="none"/>
        </w:rPr>
      </w:pPr>
      <w:r>
        <w:rPr>
          <w:rFonts w:hint="eastAsia"/>
          <w:bCs/>
          <w:color w:val="auto"/>
          <w:highlight w:val="none"/>
        </w:rPr>
        <w:t>在开封市监狱监管区建筑物仅设置电子狱务专网信息点；在开封市监狱行政区分别设置电子狱务专网与电子狱务外网信息点，且实现两类网络的物理隔离。</w:t>
      </w:r>
    </w:p>
    <w:p w14:paraId="2AA63B2C">
      <w:pPr>
        <w:spacing w:line="360" w:lineRule="auto"/>
        <w:ind w:firstLine="420" w:firstLineChars="200"/>
        <w:rPr>
          <w:bCs/>
          <w:color w:val="auto"/>
          <w:highlight w:val="none"/>
        </w:rPr>
      </w:pPr>
      <w:r>
        <w:rPr>
          <w:bCs/>
          <w:color w:val="auto"/>
          <w:highlight w:val="none"/>
        </w:rPr>
        <w:t>在各建筑物弱电间</w:t>
      </w:r>
      <w:r>
        <w:rPr>
          <w:rFonts w:hint="eastAsia"/>
          <w:bCs/>
          <w:color w:val="auto"/>
          <w:highlight w:val="none"/>
        </w:rPr>
        <w:t>，</w:t>
      </w:r>
      <w:r>
        <w:rPr>
          <w:bCs/>
          <w:color w:val="auto"/>
          <w:highlight w:val="none"/>
        </w:rPr>
        <w:t>各交换机预留</w:t>
      </w:r>
      <w:r>
        <w:rPr>
          <w:rFonts w:hint="eastAsia"/>
          <w:bCs/>
          <w:color w:val="auto"/>
          <w:highlight w:val="none"/>
        </w:rPr>
        <w:t>10%端口数量，用于后期设备网络接入及智能消防管理接入；在综合备勤楼办公室和狱侦科的办公室各预留1个涉密信息点，在监狱大门二楼东边的装备器材室留2个执法记录仪采集终端的信息点；在每个监舍预留一根网线作为后期扩展音频线使用。</w:t>
      </w:r>
    </w:p>
    <w:p w14:paraId="38A156AB">
      <w:pPr>
        <w:spacing w:line="360" w:lineRule="auto"/>
        <w:ind w:firstLine="420" w:firstLineChars="200"/>
        <w:rPr>
          <w:bCs/>
          <w:color w:val="auto"/>
          <w:highlight w:val="none"/>
        </w:rPr>
      </w:pPr>
      <w:r>
        <w:rPr>
          <w:rFonts w:hint="eastAsia"/>
          <w:bCs/>
          <w:color w:val="auto"/>
          <w:highlight w:val="none"/>
        </w:rPr>
        <w:t>本系统可实现如下功能：</w:t>
      </w:r>
    </w:p>
    <w:p w14:paraId="42A0070D">
      <w:pPr>
        <w:numPr>
          <w:ilvl w:val="0"/>
          <w:numId w:val="10"/>
        </w:numPr>
        <w:spacing w:line="360" w:lineRule="auto"/>
        <w:ind w:left="0" w:firstLine="420" w:firstLineChars="200"/>
        <w:rPr>
          <w:bCs/>
          <w:color w:val="auto"/>
          <w:highlight w:val="none"/>
        </w:rPr>
      </w:pPr>
      <w:r>
        <w:rPr>
          <w:rFonts w:hint="eastAsia" w:ascii="仿宋_GB2312" w:eastAsia="仿宋_GB2312"/>
          <w:bCs/>
          <w:color w:val="auto"/>
          <w:highlight w:val="none"/>
        </w:rPr>
        <w:t>本系统是数据信息流交换共享传输的通道，支持语音、数据、图像、多媒体业务等信息的传输</w:t>
      </w:r>
      <w:r>
        <w:rPr>
          <w:rFonts w:hint="eastAsia" w:eastAsia="仿宋_GB2312"/>
          <w:bCs/>
          <w:color w:val="auto"/>
          <w:highlight w:val="none"/>
        </w:rPr>
        <w:t>。</w:t>
      </w:r>
    </w:p>
    <w:p w14:paraId="16047CB0">
      <w:pPr>
        <w:numPr>
          <w:ilvl w:val="0"/>
          <w:numId w:val="10"/>
        </w:numPr>
        <w:spacing w:line="360" w:lineRule="auto"/>
        <w:ind w:left="0" w:firstLine="420" w:firstLineChars="200"/>
        <w:rPr>
          <w:bCs/>
          <w:color w:val="auto"/>
          <w:highlight w:val="none"/>
        </w:rPr>
      </w:pPr>
      <w:r>
        <w:rPr>
          <w:rFonts w:hint="eastAsia" w:ascii="仿宋_GB2312" w:eastAsia="仿宋_GB2312"/>
          <w:bCs/>
          <w:color w:val="auto"/>
          <w:highlight w:val="none"/>
        </w:rPr>
        <w:t>采用开放式体系结构，支持所有通信协议，符合现行国际标准，支持各类媒体设备接入</w:t>
      </w:r>
      <w:r>
        <w:rPr>
          <w:rFonts w:hint="eastAsia" w:eastAsia="仿宋_GB2312"/>
          <w:bCs/>
          <w:color w:val="auto"/>
          <w:highlight w:val="none"/>
        </w:rPr>
        <w:t>。</w:t>
      </w:r>
    </w:p>
    <w:p w14:paraId="66E7B7B0">
      <w:pPr>
        <w:pStyle w:val="11"/>
        <w:spacing w:before="0" w:after="0" w:line="360" w:lineRule="auto"/>
        <w:ind w:firstLine="562" w:firstLineChars="200"/>
        <w:rPr>
          <w:color w:val="auto"/>
          <w:highlight w:val="none"/>
        </w:rPr>
      </w:pPr>
      <w:r>
        <w:rPr>
          <w:rFonts w:hint="eastAsia"/>
          <w:color w:val="auto"/>
          <w:highlight w:val="none"/>
        </w:rPr>
        <w:t>部署方案</w:t>
      </w:r>
    </w:p>
    <w:p w14:paraId="2754C25C">
      <w:pPr>
        <w:spacing w:line="360" w:lineRule="auto"/>
        <w:ind w:firstLine="420" w:firstLineChars="200"/>
        <w:rPr>
          <w:bCs/>
          <w:color w:val="auto"/>
          <w:highlight w:val="none"/>
        </w:rPr>
      </w:pPr>
      <w:r>
        <w:rPr>
          <w:rFonts w:hint="eastAsia"/>
          <w:bCs/>
          <w:color w:val="auto"/>
          <w:highlight w:val="none"/>
        </w:rPr>
        <w:t>开封市监狱的综合布线系统的逻辑</w:t>
      </w:r>
      <w:r>
        <w:rPr>
          <w:bCs/>
          <w:color w:val="auto"/>
          <w:highlight w:val="none"/>
        </w:rPr>
        <w:t>节点图如下</w:t>
      </w:r>
      <w:r>
        <w:rPr>
          <w:rFonts w:hint="eastAsia"/>
          <w:bCs/>
          <w:color w:val="auto"/>
          <w:highlight w:val="none"/>
        </w:rPr>
        <w:t>图</w:t>
      </w:r>
      <w:r>
        <w:rPr>
          <w:bCs/>
          <w:color w:val="auto"/>
          <w:highlight w:val="none"/>
        </w:rPr>
        <w:t>所示：</w:t>
      </w:r>
    </w:p>
    <w:p w14:paraId="7DD01E3E">
      <w:pPr>
        <w:spacing w:line="360" w:lineRule="auto"/>
        <w:ind w:firstLine="420" w:firstLineChars="200"/>
        <w:jc w:val="left"/>
        <w:rPr>
          <w:bCs/>
          <w:color w:val="auto"/>
          <w:highlight w:val="none"/>
        </w:rPr>
      </w:pPr>
      <w:r>
        <w:rPr>
          <w:color w:val="auto"/>
          <w:highlight w:val="none"/>
        </w:rPr>
        <w:object>
          <v:shape id="_x0000_i1025" o:spt="75" type="#_x0000_t75" style="height:270pt;width:411pt;" o:ole="t" filled="f" o:preferrelative="t" stroked="f" coordsize="21600,21600">
            <v:path/>
            <v:fill on="f" focussize="0,0"/>
            <v:stroke on="f"/>
            <v:imagedata r:id="rId16" cropleft="1668f" croptop="4271f" cropright="9775f" cropbottom="2628f" embosscolor="#FFFFFF" o:title=""/>
            <o:lock v:ext="edit" grouping="f" rotation="f" text="f" aspectratio="t"/>
            <w10:wrap type="none"/>
            <w10:anchorlock/>
          </v:shape>
          <o:OLEObject Type="Embed" ProgID="Visio.Drawing.15" ShapeID="_x0000_i1025" DrawAspect="Content" ObjectID="_1468075725" r:id="rId15">
            <o:LockedField>false</o:LockedField>
          </o:OLEObject>
        </w:object>
      </w:r>
    </w:p>
    <w:p w14:paraId="1B241A8D">
      <w:pPr>
        <w:spacing w:line="360" w:lineRule="auto"/>
        <w:ind w:firstLine="420" w:firstLineChars="200"/>
        <w:jc w:val="left"/>
        <w:rPr>
          <w:bCs/>
          <w:color w:val="auto"/>
          <w:highlight w:val="none"/>
        </w:rPr>
      </w:pPr>
      <w:r>
        <w:rPr>
          <w:rFonts w:hint="eastAsia"/>
          <w:bCs/>
          <w:color w:val="auto"/>
          <w:highlight w:val="none"/>
        </w:rPr>
        <w:t>具体光缆设置如下：</w:t>
      </w:r>
    </w:p>
    <w:p w14:paraId="643612B0">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）到监舍楼采用</w:t>
      </w:r>
      <w:r>
        <w:rPr>
          <w:bCs/>
          <w:color w:val="auto"/>
          <w:highlight w:val="none"/>
        </w:rPr>
        <w:t>2根24芯</w:t>
      </w:r>
      <w:r>
        <w:rPr>
          <w:rFonts w:hint="eastAsia"/>
          <w:bCs/>
          <w:color w:val="auto"/>
          <w:highlight w:val="none"/>
        </w:rPr>
        <w:t>（电子狱务专网用）、1根12芯（远程会诊）</w:t>
      </w:r>
      <w:r>
        <w:rPr>
          <w:bCs/>
          <w:color w:val="auto"/>
          <w:highlight w:val="none"/>
        </w:rPr>
        <w:t>室外单模光缆，以保证链路的贯通。</w:t>
      </w:r>
    </w:p>
    <w:p w14:paraId="1B791FF1">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）到各习艺楼各采用</w:t>
      </w:r>
      <w:r>
        <w:rPr>
          <w:bCs/>
          <w:color w:val="auto"/>
          <w:highlight w:val="none"/>
        </w:rPr>
        <w:t>2根</w:t>
      </w:r>
      <w:r>
        <w:rPr>
          <w:rFonts w:hint="eastAsia"/>
          <w:bCs/>
          <w:color w:val="auto"/>
          <w:highlight w:val="none"/>
        </w:rPr>
        <w:t>12</w:t>
      </w:r>
      <w:r>
        <w:rPr>
          <w:bCs/>
          <w:color w:val="auto"/>
          <w:highlight w:val="none"/>
        </w:rPr>
        <w:t>芯</w:t>
      </w:r>
      <w:r>
        <w:rPr>
          <w:rFonts w:hint="eastAsia"/>
          <w:bCs/>
          <w:color w:val="auto"/>
          <w:highlight w:val="none"/>
        </w:rPr>
        <w:t>（电子狱务专网用）</w:t>
      </w:r>
      <w:r>
        <w:rPr>
          <w:bCs/>
          <w:color w:val="auto"/>
          <w:highlight w:val="none"/>
        </w:rPr>
        <w:t>室外单模光缆，以保证链路的贯通。</w:t>
      </w:r>
    </w:p>
    <w:p w14:paraId="4BB12B95">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）到会见教学楼采用</w:t>
      </w:r>
      <w:r>
        <w:rPr>
          <w:bCs/>
          <w:color w:val="auto"/>
          <w:highlight w:val="none"/>
        </w:rPr>
        <w:t>2根</w:t>
      </w:r>
      <w:r>
        <w:rPr>
          <w:rFonts w:hint="eastAsia"/>
          <w:bCs/>
          <w:color w:val="auto"/>
          <w:highlight w:val="none"/>
        </w:rPr>
        <w:t>12</w:t>
      </w:r>
      <w:r>
        <w:rPr>
          <w:bCs/>
          <w:color w:val="auto"/>
          <w:highlight w:val="none"/>
        </w:rPr>
        <w:t>芯</w:t>
      </w:r>
      <w:r>
        <w:rPr>
          <w:rFonts w:hint="eastAsia"/>
          <w:bCs/>
          <w:color w:val="auto"/>
          <w:highlight w:val="none"/>
        </w:rPr>
        <w:t>（电子狱务外网用）和2根24芯（电子狱务专网用）</w:t>
      </w:r>
      <w:r>
        <w:rPr>
          <w:bCs/>
          <w:color w:val="auto"/>
          <w:highlight w:val="none"/>
        </w:rPr>
        <w:t>室外单模光缆，以保证链路的贯通。</w:t>
      </w:r>
    </w:p>
    <w:p w14:paraId="63574F53">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）到备勤综合楼网络机房采用4</w:t>
      </w:r>
      <w:r>
        <w:rPr>
          <w:bCs/>
          <w:color w:val="auto"/>
          <w:highlight w:val="none"/>
        </w:rPr>
        <w:t>根</w:t>
      </w:r>
      <w:r>
        <w:rPr>
          <w:rFonts w:hint="eastAsia"/>
          <w:bCs/>
          <w:color w:val="auto"/>
          <w:highlight w:val="none"/>
        </w:rPr>
        <w:t>24芯（电子狱务专网、外网各用2根）</w:t>
      </w:r>
      <w:r>
        <w:rPr>
          <w:bCs/>
          <w:color w:val="auto"/>
          <w:highlight w:val="none"/>
        </w:rPr>
        <w:t>室外单模光缆，以保证链路的贯通。</w:t>
      </w:r>
    </w:p>
    <w:p w14:paraId="4A35174A">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）到罪犯伙房及物流安检中心分别采用2</w:t>
      </w:r>
      <w:r>
        <w:rPr>
          <w:bCs/>
          <w:color w:val="auto"/>
          <w:highlight w:val="none"/>
        </w:rPr>
        <w:t>根</w:t>
      </w:r>
      <w:r>
        <w:rPr>
          <w:rFonts w:hint="eastAsia"/>
          <w:bCs/>
          <w:color w:val="auto"/>
          <w:highlight w:val="none"/>
        </w:rPr>
        <w:t>12芯（电子狱务专网用）</w:t>
      </w:r>
      <w:r>
        <w:rPr>
          <w:bCs/>
          <w:color w:val="auto"/>
          <w:highlight w:val="none"/>
        </w:rPr>
        <w:t>室外单模光缆，以保证链路的贯通。</w:t>
      </w:r>
    </w:p>
    <w:p w14:paraId="3AFEE533">
      <w:pPr>
        <w:spacing w:line="360" w:lineRule="auto"/>
        <w:ind w:firstLine="420" w:firstLineChars="200"/>
        <w:rPr>
          <w:bCs/>
          <w:color w:val="auto"/>
          <w:highlight w:val="none"/>
        </w:rPr>
      </w:pPr>
      <w:r>
        <w:rPr>
          <w:rFonts w:hint="eastAsia"/>
          <w:bCs/>
          <w:color w:val="auto"/>
          <w:highlight w:val="none"/>
        </w:rPr>
        <w:t>备勤综合楼网络机房到警察办公楼采用4</w:t>
      </w:r>
      <w:r>
        <w:rPr>
          <w:bCs/>
          <w:color w:val="auto"/>
          <w:highlight w:val="none"/>
        </w:rPr>
        <w:t>根</w:t>
      </w:r>
      <w:r>
        <w:rPr>
          <w:rFonts w:hint="eastAsia"/>
          <w:bCs/>
          <w:color w:val="auto"/>
          <w:highlight w:val="none"/>
        </w:rPr>
        <w:t>24芯（电子狱务专网、外网各用2根）</w:t>
      </w:r>
      <w:r>
        <w:rPr>
          <w:bCs/>
          <w:color w:val="auto"/>
          <w:highlight w:val="none"/>
        </w:rPr>
        <w:t>室外单模光缆，以保证链路的贯通。</w:t>
      </w:r>
    </w:p>
    <w:p w14:paraId="3CD32314">
      <w:pPr>
        <w:spacing w:line="360" w:lineRule="auto"/>
        <w:ind w:firstLine="420" w:firstLineChars="200"/>
        <w:rPr>
          <w:bCs/>
          <w:color w:val="auto"/>
          <w:highlight w:val="none"/>
        </w:rPr>
      </w:pPr>
      <w:r>
        <w:rPr>
          <w:rFonts w:hint="eastAsia"/>
          <w:bCs/>
          <w:color w:val="auto"/>
          <w:highlight w:val="none"/>
        </w:rPr>
        <w:t>备勤综合楼网络机房到后勤服务楼采用4</w:t>
      </w:r>
      <w:r>
        <w:rPr>
          <w:bCs/>
          <w:color w:val="auto"/>
          <w:highlight w:val="none"/>
        </w:rPr>
        <w:t>根</w:t>
      </w:r>
      <w:r>
        <w:rPr>
          <w:rFonts w:hint="eastAsia"/>
          <w:bCs/>
          <w:color w:val="auto"/>
          <w:highlight w:val="none"/>
        </w:rPr>
        <w:t>12芯（电子狱务专网、外网各用2根）</w:t>
      </w:r>
      <w:r>
        <w:rPr>
          <w:bCs/>
          <w:color w:val="auto"/>
          <w:highlight w:val="none"/>
        </w:rPr>
        <w:t>室外单模光缆，以保证链路的贯通。</w:t>
      </w:r>
    </w:p>
    <w:p w14:paraId="4FCC8A07">
      <w:pPr>
        <w:spacing w:line="360" w:lineRule="auto"/>
        <w:ind w:firstLine="420" w:firstLineChars="200"/>
        <w:rPr>
          <w:bCs/>
          <w:color w:val="auto"/>
          <w:highlight w:val="none"/>
        </w:rPr>
      </w:pPr>
      <w:r>
        <w:rPr>
          <w:rFonts w:hint="eastAsia"/>
          <w:bCs/>
          <w:color w:val="auto"/>
          <w:highlight w:val="none"/>
        </w:rPr>
        <w:t>监狱数据中心机房（监管区</w:t>
      </w:r>
      <w:r>
        <w:rPr>
          <w:bCs/>
          <w:color w:val="auto"/>
          <w:highlight w:val="none"/>
        </w:rPr>
        <w:t>大门</w:t>
      </w:r>
      <w:r>
        <w:rPr>
          <w:rFonts w:hint="eastAsia"/>
          <w:bCs/>
          <w:color w:val="auto"/>
          <w:highlight w:val="none"/>
        </w:rPr>
        <w:t>三</w:t>
      </w:r>
      <w:r>
        <w:rPr>
          <w:bCs/>
          <w:color w:val="auto"/>
          <w:highlight w:val="none"/>
        </w:rPr>
        <w:t>层</w:t>
      </w:r>
      <w:r>
        <w:rPr>
          <w:rFonts w:hint="eastAsia"/>
          <w:bCs/>
          <w:color w:val="auto"/>
          <w:highlight w:val="none"/>
        </w:rPr>
        <w:t>）到各岗楼分别采用</w:t>
      </w:r>
      <w:r>
        <w:rPr>
          <w:bCs/>
          <w:color w:val="auto"/>
          <w:highlight w:val="none"/>
        </w:rPr>
        <w:t>1</w:t>
      </w:r>
      <w:r>
        <w:rPr>
          <w:rFonts w:hint="eastAsia"/>
          <w:bCs/>
          <w:color w:val="auto"/>
          <w:highlight w:val="none"/>
        </w:rPr>
        <w:t>根12芯室外单模（电子狱务专网用）光缆，以保证链路的贯通。</w:t>
      </w:r>
    </w:p>
    <w:p w14:paraId="77AE99FF">
      <w:pPr>
        <w:pStyle w:val="10"/>
        <w:spacing w:before="0" w:after="0" w:line="360" w:lineRule="auto"/>
        <w:ind w:firstLine="643" w:firstLineChars="200"/>
        <w:rPr>
          <w:color w:val="auto"/>
          <w:highlight w:val="none"/>
        </w:rPr>
      </w:pPr>
      <w:r>
        <w:rPr>
          <w:rFonts w:hint="eastAsia"/>
          <w:color w:val="auto"/>
          <w:highlight w:val="none"/>
        </w:rPr>
        <w:t>4.2计算机网络系统</w:t>
      </w:r>
    </w:p>
    <w:p w14:paraId="34720A48">
      <w:pPr>
        <w:spacing w:line="360" w:lineRule="auto"/>
        <w:ind w:firstLine="420" w:firstLineChars="200"/>
        <w:rPr>
          <w:bCs/>
          <w:color w:val="auto"/>
          <w:highlight w:val="none"/>
        </w:rPr>
      </w:pPr>
      <w:r>
        <w:rPr>
          <w:rFonts w:hint="eastAsia"/>
          <w:bCs/>
          <w:color w:val="auto"/>
          <w:highlight w:val="none"/>
        </w:rPr>
        <w:t>计算机网络系统主要是建设覆盖全监狱的电子狱务专网（分为电子狱务专网上联部分及电子狱务专网局域网），同时在本监狱行政区建设电子狱务外网。在监舍楼医院远程会诊系统、会见教学楼智慧法庭和专业技能培训考核室预留电子狱务外网接口。在办公室和狱侦科各预留一个保密网接口。</w:t>
      </w:r>
    </w:p>
    <w:p w14:paraId="7C5FA6D2">
      <w:pPr>
        <w:spacing w:line="360" w:lineRule="auto"/>
        <w:ind w:firstLine="420" w:firstLineChars="200"/>
        <w:rPr>
          <w:bCs/>
          <w:color w:val="auto"/>
          <w:highlight w:val="none"/>
        </w:rPr>
      </w:pPr>
      <w:r>
        <w:rPr>
          <w:rFonts w:hint="eastAsia"/>
          <w:bCs/>
          <w:color w:val="auto"/>
          <w:highlight w:val="none"/>
        </w:rPr>
        <w:t>电子狱务专网上联部分是依托省电子政务外网建设的监狱系统广域专网。电子狱务专网局域网可实现系统内数据、语音、视频三网融合传输，为本监狱电子狱务应用管理及安防体系运行提供网络基础环境，是本监狱电子狱务应用管理的非涉密网络平台。</w:t>
      </w:r>
    </w:p>
    <w:p w14:paraId="05B2207D">
      <w:pPr>
        <w:spacing w:line="360" w:lineRule="auto"/>
        <w:ind w:firstLine="420" w:firstLineChars="200"/>
        <w:rPr>
          <w:bCs/>
          <w:color w:val="auto"/>
          <w:highlight w:val="none"/>
        </w:rPr>
      </w:pPr>
      <w:r>
        <w:rPr>
          <w:rFonts w:hint="eastAsia"/>
          <w:bCs/>
          <w:color w:val="auto"/>
          <w:highlight w:val="none"/>
        </w:rPr>
        <w:t>电子狱务外网（利用现有设备）是依托运营商网络建设的互联网应用，可通过其进行信息查询及检索，通过本网络的建实现基本办公外网需求，下一步通过扩展建设，可建成面向社会的公众网，宣传、介绍监狱工作动态。</w:t>
      </w:r>
    </w:p>
    <w:p w14:paraId="74409C86">
      <w:pPr>
        <w:pStyle w:val="11"/>
        <w:spacing w:before="0" w:after="0" w:line="360" w:lineRule="auto"/>
        <w:ind w:firstLine="562" w:firstLineChars="200"/>
        <w:rPr>
          <w:color w:val="auto"/>
          <w:highlight w:val="none"/>
        </w:rPr>
      </w:pPr>
      <w:r>
        <w:rPr>
          <w:rFonts w:hint="eastAsia"/>
          <w:color w:val="auto"/>
          <w:highlight w:val="none"/>
        </w:rPr>
        <w:t>设计方案</w:t>
      </w:r>
    </w:p>
    <w:p w14:paraId="2DB1753D">
      <w:pPr>
        <w:spacing w:line="360" w:lineRule="auto"/>
        <w:ind w:firstLine="420" w:firstLineChars="200"/>
        <w:rPr>
          <w:bCs/>
          <w:color w:val="auto"/>
          <w:highlight w:val="none"/>
        </w:rPr>
      </w:pPr>
      <w:r>
        <w:rPr>
          <w:rFonts w:hint="eastAsia"/>
          <w:bCs/>
          <w:color w:val="auto"/>
          <w:highlight w:val="none"/>
        </w:rPr>
        <w:t>按照智慧监狱建设要求，本次计算机网络系统架构按照功能配置进行区域划分，建设多个相对独立的功能区，包括联网区、核心交换区、数据中心区、安防设施及用户区、安全运维管理区、外网办公区等。其中，联网区、核心交换区、数据中心区、安防设施及用户区、安全运维管理区属于电子狱务专网，外网办公区属于电子狱务外网。电子狱务专网各区之间实现访问控制，电子狱务外网与电子狱务专网实现物理隔离。</w:t>
      </w:r>
    </w:p>
    <w:p w14:paraId="4A6F4C40">
      <w:pPr>
        <w:spacing w:line="360" w:lineRule="auto"/>
        <w:ind w:firstLine="420" w:firstLineChars="200"/>
        <w:rPr>
          <w:bCs/>
          <w:color w:val="auto"/>
          <w:highlight w:val="none"/>
        </w:rPr>
      </w:pPr>
      <w:r>
        <w:rPr>
          <w:rFonts w:hint="eastAsia"/>
          <w:bCs/>
          <w:color w:val="auto"/>
          <w:highlight w:val="none"/>
        </w:rPr>
        <w:t>整体网络拓扑图如下所示：</w:t>
      </w:r>
    </w:p>
    <w:p w14:paraId="11A2C4D5">
      <w:pPr>
        <w:spacing w:line="360" w:lineRule="auto"/>
        <w:ind w:firstLine="420" w:firstLineChars="200"/>
        <w:jc w:val="center"/>
        <w:rPr>
          <w:bCs/>
          <w:color w:val="auto"/>
          <w:highlight w:val="none"/>
        </w:rPr>
      </w:pPr>
      <w:r>
        <w:rPr>
          <w:bCs/>
          <w:color w:val="auto"/>
          <w:highlight w:val="none"/>
        </w:rPr>
        <w:drawing>
          <wp:inline distT="0" distB="0" distL="114300" distR="114300">
            <wp:extent cx="5274310" cy="3638550"/>
            <wp:effectExtent l="0" t="0" r="2540" b="0"/>
            <wp:docPr id="3" name="图片 4" descr="C:\Users\Administrator\Pictu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C:\Users\Administrator\Pictures\1.png"/>
                    <pic:cNvPicPr>
                      <a:picLocks noChangeAspect="1"/>
                    </pic:cNvPicPr>
                  </pic:nvPicPr>
                  <pic:blipFill>
                    <a:blip r:embed="rId17"/>
                    <a:stretch>
                      <a:fillRect/>
                    </a:stretch>
                  </pic:blipFill>
                  <pic:spPr>
                    <a:xfrm>
                      <a:off x="0" y="0"/>
                      <a:ext cx="5274310" cy="3638550"/>
                    </a:xfrm>
                    <a:prstGeom prst="rect">
                      <a:avLst/>
                    </a:prstGeom>
                    <a:noFill/>
                    <a:ln>
                      <a:noFill/>
                    </a:ln>
                  </pic:spPr>
                </pic:pic>
              </a:graphicData>
            </a:graphic>
          </wp:inline>
        </w:drawing>
      </w:r>
    </w:p>
    <w:p w14:paraId="4D1DEC28">
      <w:pPr>
        <w:spacing w:line="360" w:lineRule="auto"/>
        <w:ind w:firstLine="420" w:firstLineChars="200"/>
        <w:rPr>
          <w:bCs/>
          <w:color w:val="auto"/>
          <w:highlight w:val="none"/>
        </w:rPr>
      </w:pPr>
      <w:r>
        <w:rPr>
          <w:rFonts w:hint="eastAsia"/>
          <w:bCs/>
          <w:color w:val="auto"/>
          <w:highlight w:val="none"/>
        </w:rPr>
        <w:t>如整体网络拓扑图所示，本系统分为以下几个区域：联网区、核心交换区、数据中心区、安防设施区、特别用户区、普通用户区、安全运维管理区及外网办公区。其中，联网区主要通过路由器与电子政务外网互联；核心交换区部署两台冗余的高性能核心交换机，负责整网数据的高速转发；数据中心区部署监狱的服务器、存储及业务系统等；安防设施区负责接入监管安防前端基础设施及提供安全防范终端采集和管控服务，负责承载本监狱安防体系及业务系统的运行与交互；普通用户区负责接入本监狱警察等所有认证用户使用的各类智能终端；特别用户区负责接入罪犯使用的各类智能终端；安全运维管理区部署日志审计系统、堡垒机、漏洞扫描等安全运维设备或应用服务；外网办公区通过部署有线和无线网络，为监狱领导及警察提供互联网的访问通道。</w:t>
      </w:r>
    </w:p>
    <w:p w14:paraId="50BB24C6">
      <w:pPr>
        <w:pStyle w:val="12"/>
        <w:tabs>
          <w:tab w:val="left" w:pos="864"/>
        </w:tabs>
        <w:spacing w:line="360" w:lineRule="auto"/>
        <w:ind w:left="0" w:firstLine="420" w:firstLineChars="200"/>
        <w:rPr>
          <w:color w:val="auto"/>
          <w:highlight w:val="none"/>
        </w:rPr>
      </w:pPr>
      <w:r>
        <w:rPr>
          <w:rFonts w:hint="eastAsia"/>
          <w:color w:val="auto"/>
          <w:highlight w:val="none"/>
        </w:rPr>
        <w:t>电子狱务专网局域网</w:t>
      </w:r>
    </w:p>
    <w:p w14:paraId="6665C504">
      <w:pPr>
        <w:spacing w:line="360" w:lineRule="auto"/>
        <w:ind w:firstLine="420" w:firstLineChars="200"/>
        <w:rPr>
          <w:bCs/>
          <w:color w:val="auto"/>
          <w:highlight w:val="none"/>
          <w:lang w:bidi="en-US"/>
        </w:rPr>
      </w:pPr>
      <w:r>
        <w:rPr>
          <w:rFonts w:hint="eastAsia"/>
          <w:bCs/>
          <w:color w:val="auto"/>
          <w:highlight w:val="none"/>
        </w:rPr>
        <w:t>本监狱电子狱务专网局域网是监狱内部承载协同办公系统、安防系统、应急指挥系统、电子狱务应用系统的基础网络，各系统之间通过划分Vlan、端口隔离、ACL访问控制等技术实现相互间的访问控制；本监狱电子狱务专网局域网采用“核心-汇聚-接入”的网络架构，具体</w:t>
      </w:r>
      <w:r>
        <w:rPr>
          <w:rFonts w:hint="eastAsia"/>
          <w:bCs/>
          <w:color w:val="auto"/>
          <w:highlight w:val="none"/>
          <w:lang w:bidi="en-US"/>
        </w:rPr>
        <w:t>网络拓扑图</w:t>
      </w:r>
      <w:r>
        <w:rPr>
          <w:bCs/>
          <w:color w:val="auto"/>
          <w:highlight w:val="none"/>
          <w:lang w:bidi="en-US"/>
        </w:rPr>
        <w:t>如下：</w:t>
      </w:r>
    </w:p>
    <w:p w14:paraId="0A6920D6">
      <w:pPr>
        <w:spacing w:line="360" w:lineRule="auto"/>
        <w:ind w:firstLine="420" w:firstLineChars="200"/>
        <w:jc w:val="center"/>
        <w:rPr>
          <w:bCs/>
          <w:color w:val="auto"/>
          <w:highlight w:val="none"/>
          <w:lang w:bidi="en-US"/>
        </w:rPr>
      </w:pPr>
      <w:r>
        <w:rPr>
          <w:bCs/>
          <w:color w:val="auto"/>
          <w:highlight w:val="none"/>
        </w:rPr>
        <w:drawing>
          <wp:inline distT="0" distB="0" distL="114300" distR="114300">
            <wp:extent cx="5638800" cy="3131820"/>
            <wp:effectExtent l="0" t="0" r="0" b="1143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8"/>
                    <a:stretch>
                      <a:fillRect/>
                    </a:stretch>
                  </pic:blipFill>
                  <pic:spPr>
                    <a:xfrm>
                      <a:off x="0" y="0"/>
                      <a:ext cx="5638800" cy="3131820"/>
                    </a:xfrm>
                    <a:prstGeom prst="rect">
                      <a:avLst/>
                    </a:prstGeom>
                    <a:noFill/>
                    <a:ln>
                      <a:noFill/>
                    </a:ln>
                  </pic:spPr>
                </pic:pic>
              </a:graphicData>
            </a:graphic>
          </wp:inline>
        </w:drawing>
      </w:r>
    </w:p>
    <w:p w14:paraId="5756A0BE">
      <w:pPr>
        <w:spacing w:line="360" w:lineRule="auto"/>
        <w:ind w:firstLine="420" w:firstLineChars="200"/>
        <w:rPr>
          <w:bCs/>
          <w:color w:val="auto"/>
          <w:highlight w:val="none"/>
        </w:rPr>
      </w:pPr>
      <w:r>
        <w:rPr>
          <w:rFonts w:hint="eastAsia" w:ascii="Arial" w:hAnsi="Arial" w:cs="Arial"/>
          <w:bCs/>
          <w:color w:val="auto"/>
          <w:kern w:val="16"/>
          <w:highlight w:val="none"/>
        </w:rPr>
        <w:t>核心层由本监狱监管区大门数据中心机房的双核心交换机组成，互为冗余备份；汇聚层由</w:t>
      </w:r>
      <w:r>
        <w:rPr>
          <w:rFonts w:hint="eastAsia"/>
          <w:bCs/>
          <w:color w:val="auto"/>
          <w:highlight w:val="none"/>
        </w:rPr>
        <w:t>监舍楼、会见教学楼</w:t>
      </w:r>
      <w:r>
        <w:rPr>
          <w:bCs/>
          <w:color w:val="auto"/>
          <w:highlight w:val="none"/>
        </w:rPr>
        <w:t>、</w:t>
      </w:r>
      <w:r>
        <w:rPr>
          <w:rFonts w:hint="eastAsia" w:ascii="Arial" w:hAnsi="Arial" w:cs="Arial"/>
          <w:bCs/>
          <w:color w:val="auto"/>
          <w:kern w:val="16"/>
          <w:highlight w:val="none"/>
        </w:rPr>
        <w:t>监管区大门</w:t>
      </w:r>
      <w:r>
        <w:rPr>
          <w:rFonts w:hint="eastAsia"/>
          <w:bCs/>
          <w:color w:val="auto"/>
          <w:highlight w:val="none"/>
        </w:rPr>
        <w:t>的万兆汇聚</w:t>
      </w:r>
      <w:r>
        <w:rPr>
          <w:bCs/>
          <w:color w:val="auto"/>
          <w:highlight w:val="none"/>
        </w:rPr>
        <w:t>交换机</w:t>
      </w:r>
      <w:r>
        <w:rPr>
          <w:rFonts w:hint="eastAsia"/>
          <w:bCs/>
          <w:color w:val="auto"/>
          <w:highlight w:val="none"/>
        </w:rPr>
        <w:t>组成</w:t>
      </w:r>
      <w:r>
        <w:rPr>
          <w:rFonts w:hint="eastAsia" w:ascii="Arial" w:hAnsi="Arial" w:cs="Arial"/>
          <w:bCs/>
          <w:color w:val="auto"/>
          <w:kern w:val="16"/>
          <w:highlight w:val="none"/>
        </w:rPr>
        <w:t>；接入层由本监狱其余各建筑的接入交换机组成，汇聚层或接入层采用双上联方式接入至本监狱大门核心交换机。</w:t>
      </w:r>
    </w:p>
    <w:p w14:paraId="0ED28FB5">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1、核心层设计</w:t>
      </w:r>
    </w:p>
    <w:p w14:paraId="42DC23B8">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核心层负责本网络数据的高速转发，是本网络的关键区域，设备承载的压力较大。因此核心层的设计应遵循如下原则：</w:t>
      </w:r>
    </w:p>
    <w:p w14:paraId="3E6E606C">
      <w:pPr>
        <w:numPr>
          <w:ilvl w:val="0"/>
          <w:numId w:val="11"/>
        </w:numPr>
        <w:spacing w:line="360" w:lineRule="auto"/>
        <w:ind w:left="0" w:firstLine="420" w:firstLineChars="200"/>
        <w:rPr>
          <w:rFonts w:ascii="Arial" w:hAnsi="Arial" w:cs="Arial"/>
          <w:bCs/>
          <w:color w:val="auto"/>
          <w:kern w:val="16"/>
          <w:highlight w:val="none"/>
        </w:rPr>
      </w:pPr>
      <w:r>
        <w:rPr>
          <w:rFonts w:hint="eastAsia" w:ascii="Arial" w:hAnsi="Arial" w:cs="Arial"/>
          <w:bCs/>
          <w:color w:val="auto"/>
          <w:kern w:val="16"/>
          <w:highlight w:val="none"/>
        </w:rPr>
        <w:t>具备高可靠性及高冗余性；</w:t>
      </w:r>
    </w:p>
    <w:p w14:paraId="2549E443">
      <w:pPr>
        <w:numPr>
          <w:ilvl w:val="0"/>
          <w:numId w:val="11"/>
        </w:numPr>
        <w:spacing w:line="360" w:lineRule="auto"/>
        <w:ind w:left="0" w:firstLine="420" w:firstLineChars="200"/>
        <w:rPr>
          <w:rFonts w:ascii="Arial" w:hAnsi="Arial" w:cs="Arial"/>
          <w:bCs/>
          <w:color w:val="auto"/>
          <w:kern w:val="16"/>
          <w:highlight w:val="none"/>
        </w:rPr>
      </w:pPr>
      <w:r>
        <w:rPr>
          <w:rFonts w:hint="eastAsia" w:ascii="Arial" w:hAnsi="Arial" w:cs="Arial"/>
          <w:bCs/>
          <w:color w:val="auto"/>
          <w:kern w:val="16"/>
          <w:highlight w:val="none"/>
        </w:rPr>
        <w:t>具备模块化技术架构；</w:t>
      </w:r>
    </w:p>
    <w:p w14:paraId="38D1D232">
      <w:pPr>
        <w:numPr>
          <w:ilvl w:val="0"/>
          <w:numId w:val="11"/>
        </w:numPr>
        <w:spacing w:line="360" w:lineRule="auto"/>
        <w:ind w:left="0" w:firstLine="420" w:firstLineChars="200"/>
        <w:rPr>
          <w:rFonts w:ascii="Arial" w:hAnsi="Arial" w:cs="Arial"/>
          <w:bCs/>
          <w:color w:val="auto"/>
          <w:kern w:val="16"/>
          <w:highlight w:val="none"/>
        </w:rPr>
      </w:pPr>
      <w:r>
        <w:rPr>
          <w:rFonts w:hint="eastAsia" w:ascii="Arial" w:hAnsi="Arial" w:cs="Arial"/>
          <w:bCs/>
          <w:color w:val="auto"/>
          <w:kern w:val="16"/>
          <w:highlight w:val="none"/>
        </w:rPr>
        <w:t>具有迅速升级能力；</w:t>
      </w:r>
    </w:p>
    <w:p w14:paraId="1A05B2F4">
      <w:pPr>
        <w:numPr>
          <w:ilvl w:val="0"/>
          <w:numId w:val="11"/>
        </w:numPr>
        <w:spacing w:line="360" w:lineRule="auto"/>
        <w:ind w:left="0" w:firstLine="420" w:firstLineChars="200"/>
        <w:rPr>
          <w:rFonts w:ascii="Arial" w:hAnsi="Arial" w:cs="Arial"/>
          <w:bCs/>
          <w:color w:val="auto"/>
          <w:kern w:val="16"/>
          <w:highlight w:val="none"/>
        </w:rPr>
      </w:pPr>
      <w:r>
        <w:rPr>
          <w:rFonts w:hint="eastAsia" w:ascii="Arial" w:hAnsi="Arial" w:cs="Arial"/>
          <w:bCs/>
          <w:color w:val="auto"/>
          <w:kern w:val="16"/>
          <w:highlight w:val="none"/>
        </w:rPr>
        <w:t>具有较少的时延和好的可管理性；</w:t>
      </w:r>
    </w:p>
    <w:p w14:paraId="3256CA0E">
      <w:pPr>
        <w:numPr>
          <w:ilvl w:val="0"/>
          <w:numId w:val="11"/>
        </w:numPr>
        <w:spacing w:line="360" w:lineRule="auto"/>
        <w:ind w:left="0" w:firstLine="420" w:firstLineChars="200"/>
        <w:rPr>
          <w:rFonts w:ascii="Arial" w:hAnsi="Arial" w:cs="Arial"/>
          <w:bCs/>
          <w:color w:val="auto"/>
          <w:kern w:val="16"/>
          <w:highlight w:val="none"/>
        </w:rPr>
      </w:pPr>
      <w:r>
        <w:rPr>
          <w:rFonts w:hint="eastAsia" w:ascii="Arial" w:hAnsi="Arial" w:cs="Arial"/>
          <w:bCs/>
          <w:color w:val="auto"/>
          <w:kern w:val="16"/>
          <w:highlight w:val="none"/>
        </w:rPr>
        <w:t>具有多业务应用扩展性。</w:t>
      </w:r>
    </w:p>
    <w:p w14:paraId="73A0ABE6">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本方案在监管区大门数据中心机房部署两台支持虚拟化功能的核心交换机，核心层到汇聚层配置万兆链路。每台核心交换机配置冗余管理引擎及冗余电源，确保设备电信级的可靠性。本期规划建设</w:t>
      </w:r>
      <w:r>
        <w:rPr>
          <w:rFonts w:ascii="Arial" w:hAnsi="Arial" w:cs="Arial"/>
          <w:bCs/>
          <w:color w:val="auto"/>
          <w:kern w:val="16"/>
          <w:highlight w:val="none"/>
        </w:rPr>
        <w:t>2</w:t>
      </w:r>
      <w:r>
        <w:rPr>
          <w:rFonts w:hint="eastAsia" w:ascii="Arial" w:hAnsi="Arial" w:cs="Arial"/>
          <w:bCs/>
          <w:color w:val="auto"/>
          <w:kern w:val="16"/>
          <w:highlight w:val="none"/>
        </w:rPr>
        <w:t>台，实现双机冗余。</w:t>
      </w:r>
    </w:p>
    <w:p w14:paraId="24BBDB1E">
      <w:pPr>
        <w:spacing w:line="360" w:lineRule="auto"/>
        <w:ind w:firstLine="420" w:firstLineChars="200"/>
        <w:rPr>
          <w:bCs/>
          <w:color w:val="auto"/>
          <w:highlight w:val="none"/>
          <w:lang w:bidi="en-US"/>
        </w:rPr>
      </w:pPr>
      <w:r>
        <w:rPr>
          <w:rFonts w:hint="eastAsia"/>
          <w:bCs/>
          <w:color w:val="auto"/>
          <w:highlight w:val="none"/>
          <w:lang w:bidi="en-US"/>
        </w:rPr>
        <w:t>为满足本次网络互联需求并考虑后期扩展所需的接口预留，在核心交换机上配置≥24个千兆光口、≥24个千兆电口、≥16个万兆光口、≥4个40G接口和≥12个业务卡槽位。考虑到国内各主流网络生产厂商的单板卡交换容量最大4800Gbps，因此，本网络设计的核心交换机的交换容量≥</w:t>
      </w:r>
      <w:r>
        <w:rPr>
          <w:bCs/>
          <w:color w:val="auto"/>
          <w:highlight w:val="none"/>
          <w:lang w:bidi="en-US"/>
        </w:rPr>
        <w:t>75</w:t>
      </w:r>
      <w:r>
        <w:rPr>
          <w:rFonts w:hint="eastAsia"/>
          <w:bCs/>
          <w:color w:val="auto"/>
          <w:highlight w:val="none"/>
          <w:lang w:bidi="en-US"/>
        </w:rPr>
        <w:t>Tbps，包转发率≥</w:t>
      </w:r>
      <w:r>
        <w:rPr>
          <w:bCs/>
          <w:color w:val="auto"/>
          <w:highlight w:val="none"/>
          <w:lang w:bidi="en-US"/>
        </w:rPr>
        <w:t>12600</w:t>
      </w:r>
      <w:r>
        <w:rPr>
          <w:rFonts w:hint="eastAsia"/>
          <w:bCs/>
          <w:color w:val="auto"/>
          <w:highlight w:val="none"/>
          <w:lang w:bidi="en-US"/>
        </w:rPr>
        <w:t>Mpps。</w:t>
      </w:r>
    </w:p>
    <w:p w14:paraId="15208401">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2、汇聚层设计</w:t>
      </w:r>
    </w:p>
    <w:p w14:paraId="1F3FBDCD">
      <w:pPr>
        <w:spacing w:line="360" w:lineRule="auto"/>
        <w:ind w:firstLine="420" w:firstLineChars="200"/>
        <w:rPr>
          <w:bCs/>
          <w:color w:val="auto"/>
          <w:highlight w:val="none"/>
          <w:lang w:bidi="en-US"/>
        </w:rPr>
      </w:pPr>
      <w:r>
        <w:rPr>
          <w:rFonts w:hint="eastAsia"/>
          <w:bCs/>
          <w:color w:val="auto"/>
          <w:highlight w:val="none"/>
          <w:lang w:bidi="en-US"/>
        </w:rPr>
        <w:t>本网络的汇聚交换机上行采用万兆光纤和核心交换机互联，下行采用千兆光纤或千兆双绞线和接入交换机互联。根据“第15章各系统信息点位表 ”中的各点位分布情况，统计出共需要4台汇聚交换机。</w:t>
      </w:r>
    </w:p>
    <w:p w14:paraId="19B48994">
      <w:pPr>
        <w:spacing w:line="360" w:lineRule="auto"/>
        <w:ind w:firstLine="420" w:firstLineChars="200"/>
        <w:rPr>
          <w:bCs/>
          <w:color w:val="auto"/>
          <w:highlight w:val="none"/>
          <w:lang w:bidi="en-US"/>
        </w:rPr>
      </w:pPr>
      <w:r>
        <w:rPr>
          <w:rFonts w:hint="eastAsia"/>
          <w:bCs/>
          <w:color w:val="auto"/>
          <w:highlight w:val="none"/>
          <w:lang w:bidi="en-US"/>
        </w:rPr>
        <w:t>汇聚交换机要求具备≥4个万兆上行接口，需要通过万兆光口和核心交换机进行双线互联。目前国内主流的三层交换机，交换容量在340Gbps~598Gbps之间，包转发率在100Mpps~220Mpps之间，为了保证本网络不因汇聚交换机的性能瓶颈而影响整体网络的畅通，本网络设计的汇聚交换机交换容量≥400Gbps，包转发率≥120Mpps。</w:t>
      </w:r>
    </w:p>
    <w:p w14:paraId="404AC792">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3、接入层设计</w:t>
      </w:r>
    </w:p>
    <w:p w14:paraId="56EB1469">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本网络的接入交换机上行采用千兆光纤或千兆双绞线和汇聚交换机互联，下行通过千兆双绞线布线进入各类前端点位。</w:t>
      </w:r>
      <w:r>
        <w:rPr>
          <w:rFonts w:hint="eastAsia"/>
          <w:bCs/>
          <w:color w:val="auto"/>
          <w:highlight w:val="none"/>
          <w:lang w:bidi="en-US"/>
        </w:rPr>
        <w:t>根据“第3章需求分析—3.3.1点位信息汇总表”中的各点位分布情况，统计出共需要</w:t>
      </w:r>
      <w:r>
        <w:rPr>
          <w:bCs/>
          <w:color w:val="auto"/>
          <w:highlight w:val="none"/>
          <w:lang w:bidi="en-US"/>
        </w:rPr>
        <w:t>29</w:t>
      </w:r>
      <w:r>
        <w:rPr>
          <w:rFonts w:hint="eastAsia"/>
          <w:bCs/>
          <w:color w:val="auto"/>
          <w:highlight w:val="none"/>
          <w:lang w:bidi="en-US"/>
        </w:rPr>
        <w:t>台24口接入交换机、</w:t>
      </w:r>
      <w:r>
        <w:rPr>
          <w:bCs/>
          <w:color w:val="auto"/>
          <w:highlight w:val="none"/>
          <w:lang w:bidi="en-US"/>
        </w:rPr>
        <w:t>28</w:t>
      </w:r>
      <w:r>
        <w:rPr>
          <w:rFonts w:hint="eastAsia"/>
          <w:bCs/>
          <w:color w:val="auto"/>
          <w:highlight w:val="none"/>
          <w:lang w:bidi="en-US"/>
        </w:rPr>
        <w:t>台48口接入交换机。</w:t>
      </w:r>
    </w:p>
    <w:p w14:paraId="0A8586BE">
      <w:pPr>
        <w:spacing w:line="360" w:lineRule="auto"/>
        <w:ind w:firstLine="420" w:firstLineChars="200"/>
        <w:rPr>
          <w:rFonts w:ascii="Arial" w:hAnsi="Arial" w:cs="Arial"/>
          <w:bCs/>
          <w:color w:val="auto"/>
          <w:kern w:val="16"/>
          <w:highlight w:val="none"/>
        </w:rPr>
      </w:pPr>
      <w:r>
        <w:rPr>
          <w:rFonts w:hint="eastAsia"/>
          <w:bCs/>
          <w:color w:val="auto"/>
          <w:highlight w:val="none"/>
          <w:lang w:bidi="en-US"/>
        </w:rPr>
        <w:t>每台接入交换机上行要求具备≥4个千兆光口，下行接口根据不同部署位置的接入终端需求，分为24口和48口两种。考虑到以后点位扩展需求，本处统一按照48口接入交换机来计算接入性能要求，为实现单端口双向线速转发，速率需求为2Gbps，48口接入交换机上下行共计52个千兆接口，故线速转发性能需求为104Gbps；单端口64字节报文的包转发率约为1.5Mpps，故52个千兆口线速转发包转发率需求为78Mpps。目前市面上主流的三层交换机，交换容量在340Gbps~598Gbps之间，包转发率在100Mpps~220Mpps之间，为了保证监狱网络不因接入交换机的性能瓶颈而影响整体网络的畅通，本网络设计的接入交换机交换容量≥340Gbps和包转发率≥100Mpps。</w:t>
      </w:r>
    </w:p>
    <w:p w14:paraId="733FD80C">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4、功能设计</w:t>
      </w:r>
    </w:p>
    <w:p w14:paraId="0943929A">
      <w:pPr>
        <w:numPr>
          <w:ilvl w:val="0"/>
          <w:numId w:val="12"/>
        </w:numPr>
        <w:spacing w:line="360" w:lineRule="auto"/>
        <w:ind w:left="0" w:firstLine="420" w:firstLineChars="200"/>
        <w:rPr>
          <w:bCs/>
          <w:color w:val="auto"/>
          <w:highlight w:val="none"/>
        </w:rPr>
      </w:pPr>
      <w:r>
        <w:rPr>
          <w:rFonts w:hint="eastAsia"/>
          <w:bCs/>
          <w:color w:val="auto"/>
          <w:highlight w:val="none"/>
        </w:rPr>
        <w:t>网络协议</w:t>
      </w:r>
    </w:p>
    <w:p w14:paraId="6C983F6E">
      <w:pPr>
        <w:spacing w:line="360" w:lineRule="auto"/>
        <w:ind w:firstLine="420" w:firstLineChars="200"/>
        <w:rPr>
          <w:bCs/>
          <w:color w:val="auto"/>
          <w:highlight w:val="none"/>
          <w:lang w:bidi="en-US"/>
        </w:rPr>
      </w:pPr>
      <w:r>
        <w:rPr>
          <w:rFonts w:hint="eastAsia"/>
          <w:bCs/>
          <w:color w:val="auto"/>
          <w:highlight w:val="none"/>
          <w:lang w:bidi="en-US"/>
        </w:rPr>
        <w:t>本网络设计为星型架构，网络设备支持静态路由协议及RIP、OSPF、BGP等多种动态路由协议，并支持MPLS VPN。</w:t>
      </w:r>
    </w:p>
    <w:p w14:paraId="78526489">
      <w:pPr>
        <w:spacing w:line="360" w:lineRule="auto"/>
        <w:ind w:firstLine="420" w:firstLineChars="200"/>
        <w:rPr>
          <w:bCs/>
          <w:color w:val="auto"/>
          <w:highlight w:val="none"/>
          <w:lang w:bidi="en-US"/>
        </w:rPr>
      </w:pPr>
      <w:r>
        <w:rPr>
          <w:rFonts w:hint="eastAsia"/>
          <w:bCs/>
          <w:color w:val="auto"/>
          <w:highlight w:val="none"/>
          <w:lang w:bidi="en-US"/>
        </w:rPr>
        <w:t>为推进IPv6网络建设，便于未来使用先进的IPv6技术，本网络建设采用IPv4/IPv6双栈组网设计，以便后续平滑升级至IPv6网络。</w:t>
      </w:r>
    </w:p>
    <w:p w14:paraId="533870A0">
      <w:pPr>
        <w:numPr>
          <w:ilvl w:val="0"/>
          <w:numId w:val="12"/>
        </w:numPr>
        <w:spacing w:line="360" w:lineRule="auto"/>
        <w:ind w:left="0" w:firstLine="420" w:firstLineChars="200"/>
        <w:rPr>
          <w:bCs/>
          <w:color w:val="auto"/>
          <w:highlight w:val="none"/>
        </w:rPr>
      </w:pPr>
      <w:r>
        <w:rPr>
          <w:rFonts w:hint="eastAsia"/>
          <w:bCs/>
          <w:color w:val="auto"/>
          <w:highlight w:val="none"/>
        </w:rPr>
        <w:t>网络认证</w:t>
      </w:r>
    </w:p>
    <w:p w14:paraId="551C3761">
      <w:pPr>
        <w:spacing w:line="360" w:lineRule="auto"/>
        <w:ind w:firstLine="420" w:firstLineChars="200"/>
        <w:rPr>
          <w:rFonts w:ascii="Arial" w:hAnsi="Arial" w:cs="Arial"/>
          <w:bCs/>
          <w:color w:val="auto"/>
          <w:kern w:val="16"/>
          <w:highlight w:val="none"/>
        </w:rPr>
      </w:pPr>
      <w:r>
        <w:rPr>
          <w:rFonts w:hint="eastAsia"/>
          <w:bCs/>
          <w:color w:val="auto"/>
          <w:highlight w:val="none"/>
          <w:lang w:bidi="en-US"/>
        </w:rPr>
        <w:t>本网络</w:t>
      </w:r>
      <w:r>
        <w:rPr>
          <w:rFonts w:hint="eastAsia" w:ascii="Arial" w:hAnsi="Arial" w:cs="Arial"/>
          <w:bCs/>
          <w:color w:val="auto"/>
          <w:kern w:val="16"/>
          <w:highlight w:val="none"/>
        </w:rPr>
        <w:t>启用准入认证，所有终端均需经过账号认证才能连入电子狱务专网，并对用户的账户、IP、MAC地址进行绑定，严格管控接入设备，确保网络安全。</w:t>
      </w:r>
    </w:p>
    <w:p w14:paraId="36C84FCF">
      <w:pPr>
        <w:numPr>
          <w:ilvl w:val="0"/>
          <w:numId w:val="12"/>
        </w:numPr>
        <w:spacing w:line="360" w:lineRule="auto"/>
        <w:ind w:left="0" w:firstLine="420" w:firstLineChars="200"/>
        <w:rPr>
          <w:bCs/>
          <w:color w:val="auto"/>
          <w:highlight w:val="none"/>
        </w:rPr>
      </w:pPr>
      <w:r>
        <w:rPr>
          <w:rFonts w:hint="eastAsia"/>
          <w:bCs/>
          <w:color w:val="auto"/>
          <w:highlight w:val="none"/>
        </w:rPr>
        <w:t>局域网安全</w:t>
      </w:r>
    </w:p>
    <w:p w14:paraId="722F9A88">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本网络的横向流量采用端口隔离机制，除必要的打印机共享、文件共享等业务数据允许在本局域网内横向传输，其余数据流量均默认阻断在局域网内的横向传输，若业务系统需要通过局域网横向传输数据，进行单独放通。防止当电子狱务专网终端由于未安装终端管控软件或未安装杀毒软件而被病毒感染时，向本局域网内其它终端传播病毒或发起攻击，从而导致局域网内其它终端被病毒感染或攻击后出现的大范围网络中断，切实保证本网络的安全、稳定、高效、可靠运行。</w:t>
      </w:r>
    </w:p>
    <w:p w14:paraId="716DAD83">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汇聚交换机及接入交换机支持局域网安全信息收集，可将安全威胁源头定位至端口级别，并能关联相关用户的账号、IP地址、MAC地址等身份信息。</w:t>
      </w:r>
    </w:p>
    <w:p w14:paraId="23787A77">
      <w:pPr>
        <w:numPr>
          <w:ilvl w:val="0"/>
          <w:numId w:val="12"/>
        </w:numPr>
        <w:spacing w:line="360" w:lineRule="auto"/>
        <w:ind w:left="0" w:firstLine="420" w:firstLineChars="200"/>
        <w:rPr>
          <w:bCs/>
          <w:color w:val="auto"/>
          <w:highlight w:val="none"/>
        </w:rPr>
      </w:pPr>
      <w:r>
        <w:rPr>
          <w:rFonts w:hint="eastAsia"/>
          <w:bCs/>
          <w:color w:val="auto"/>
          <w:highlight w:val="none"/>
        </w:rPr>
        <w:t>网络管理</w:t>
      </w:r>
    </w:p>
    <w:p w14:paraId="43A63A13">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网络管理平台实现网络安全的可视化管理，能实现网络、安全策略集中管理、统一日志收集和分析、软件集中升级等功能。</w:t>
      </w:r>
    </w:p>
    <w:p w14:paraId="1360653D">
      <w:pPr>
        <w:pStyle w:val="12"/>
        <w:tabs>
          <w:tab w:val="left" w:pos="864"/>
        </w:tabs>
        <w:spacing w:line="360" w:lineRule="auto"/>
        <w:ind w:left="0" w:firstLine="420" w:firstLineChars="200"/>
        <w:rPr>
          <w:color w:val="auto"/>
          <w:highlight w:val="none"/>
        </w:rPr>
      </w:pPr>
      <w:r>
        <w:rPr>
          <w:rFonts w:hint="eastAsia"/>
          <w:color w:val="auto"/>
          <w:highlight w:val="none"/>
        </w:rPr>
        <w:t>电子狱务外网局域网</w:t>
      </w:r>
    </w:p>
    <w:p w14:paraId="49D102E5">
      <w:pPr>
        <w:spacing w:line="360" w:lineRule="auto"/>
        <w:ind w:firstLine="420" w:firstLineChars="200"/>
        <w:rPr>
          <w:rFonts w:ascii="Arial" w:hAnsi="Arial" w:cs="Arial"/>
          <w:bCs/>
          <w:color w:val="auto"/>
          <w:kern w:val="16"/>
          <w:highlight w:val="none"/>
        </w:rPr>
      </w:pPr>
      <w:r>
        <w:rPr>
          <w:rFonts w:hint="eastAsia"/>
          <w:bCs/>
          <w:color w:val="auto"/>
          <w:highlight w:val="none"/>
        </w:rPr>
        <w:t>本监狱电子狱务外网局域网将</w:t>
      </w:r>
      <w:r>
        <w:rPr>
          <w:bCs/>
          <w:color w:val="auto"/>
          <w:highlight w:val="none"/>
        </w:rPr>
        <w:t>利用</w:t>
      </w:r>
      <w:r>
        <w:rPr>
          <w:rFonts w:hint="eastAsia"/>
          <w:bCs/>
          <w:color w:val="auto"/>
          <w:highlight w:val="none"/>
        </w:rPr>
        <w:t>现有</w:t>
      </w:r>
      <w:r>
        <w:rPr>
          <w:bCs/>
          <w:color w:val="auto"/>
          <w:highlight w:val="none"/>
        </w:rPr>
        <w:t>设备接入</w:t>
      </w:r>
      <w:r>
        <w:rPr>
          <w:rFonts w:hint="eastAsia"/>
          <w:bCs/>
          <w:color w:val="auto"/>
          <w:highlight w:val="none"/>
        </w:rPr>
        <w:t>，</w:t>
      </w:r>
      <w:r>
        <w:rPr>
          <w:rFonts w:hint="eastAsia"/>
          <w:bCs/>
          <w:color w:val="auto"/>
          <w:highlight w:val="none"/>
          <w:lang w:bidi="en-US"/>
        </w:rPr>
        <w:t>根据各点位分布情况，新增</w:t>
      </w:r>
      <w:r>
        <w:rPr>
          <w:bCs/>
          <w:color w:val="auto"/>
          <w:highlight w:val="none"/>
          <w:lang w:bidi="en-US"/>
        </w:rPr>
        <w:t>补充</w:t>
      </w:r>
      <w:r>
        <w:rPr>
          <w:rFonts w:hint="eastAsia"/>
          <w:bCs/>
          <w:color w:val="auto"/>
          <w:highlight w:val="none"/>
          <w:lang w:bidi="en-US"/>
        </w:rPr>
        <w:t>1台出口路由器、1台核心交换机、 11台24口接入交换机。</w:t>
      </w:r>
    </w:p>
    <w:p w14:paraId="44B1B5FF">
      <w:pPr>
        <w:pStyle w:val="57"/>
        <w:numPr>
          <w:ilvl w:val="0"/>
          <w:numId w:val="13"/>
        </w:numPr>
        <w:spacing w:line="360" w:lineRule="auto"/>
        <w:ind w:left="0" w:firstLine="420" w:firstLineChars="200"/>
        <w:rPr>
          <w:bCs/>
          <w:color w:val="auto"/>
          <w:highlight w:val="none"/>
          <w:lang w:bidi="en-US"/>
        </w:rPr>
      </w:pPr>
      <w:r>
        <w:rPr>
          <w:rFonts w:hint="eastAsia"/>
          <w:bCs/>
          <w:color w:val="auto"/>
          <w:highlight w:val="none"/>
          <w:lang w:bidi="en-US"/>
        </w:rPr>
        <w:t>核心层设计</w:t>
      </w:r>
    </w:p>
    <w:p w14:paraId="011E14A6">
      <w:pPr>
        <w:spacing w:line="360" w:lineRule="auto"/>
        <w:ind w:firstLine="420" w:firstLineChars="200"/>
        <w:rPr>
          <w:bCs/>
          <w:color w:val="auto"/>
          <w:highlight w:val="none"/>
        </w:rPr>
      </w:pPr>
      <w:r>
        <w:rPr>
          <w:rFonts w:hint="eastAsia"/>
          <w:bCs/>
          <w:color w:val="auto"/>
          <w:highlight w:val="none"/>
        </w:rPr>
        <w:t>为满足本次网络互联需求并考虑后期扩展所需的接口预留，在核心交换机上配置≥20个千兆光口，≥24个千兆电口，万兆SFP+光口≥4个，单台配置千兆单模模块≥20个，单台配置万兆单模光模块≥4个。考虑到国内各主流网络生产厂商的单板卡交换容量最大4800Gbps，因此，本网络设计的核心交换机的交换容量≥20Tbps，包转发率≥3800Mpps；支持4K个802.1Q VLAN，Super vlan，支持基于端口、MAC、IP子网、协议的VLAN；支持端口的负载均衡、支持LACP，支持链路聚合。支持静态路由、RIP、OSPF、ISIS、BGP和RIPng、OSPFv3、BGP4+等动态路由协议；支持BFD for VRRP/Static/RIP/OSPF/ISIS等。支持MPLS二层VPN和三层VPN功能，支持N：1 、1：N虚拟化功能。</w:t>
      </w:r>
    </w:p>
    <w:p w14:paraId="06A67BCE">
      <w:pPr>
        <w:pStyle w:val="57"/>
        <w:numPr>
          <w:ilvl w:val="0"/>
          <w:numId w:val="13"/>
        </w:numPr>
        <w:spacing w:line="360" w:lineRule="auto"/>
        <w:ind w:left="0" w:firstLine="420" w:firstLineChars="200"/>
        <w:rPr>
          <w:bCs/>
          <w:color w:val="auto"/>
          <w:highlight w:val="none"/>
          <w:lang w:bidi="en-US"/>
        </w:rPr>
      </w:pPr>
      <w:r>
        <w:rPr>
          <w:bCs/>
          <w:color w:val="auto"/>
          <w:highlight w:val="none"/>
          <w:lang w:bidi="en-US"/>
        </w:rPr>
        <w:t>接入层设计</w:t>
      </w:r>
    </w:p>
    <w:p w14:paraId="1FC41AE2">
      <w:pPr>
        <w:spacing w:line="360" w:lineRule="auto"/>
        <w:ind w:firstLine="420" w:firstLineChars="200"/>
        <w:rPr>
          <w:rFonts w:ascii="Arial" w:hAnsi="Arial" w:cs="Arial"/>
          <w:bCs/>
          <w:color w:val="auto"/>
          <w:kern w:val="16"/>
          <w:highlight w:val="none"/>
        </w:rPr>
      </w:pPr>
      <w:r>
        <w:rPr>
          <w:rFonts w:hint="eastAsia"/>
          <w:bCs/>
          <w:color w:val="auto"/>
          <w:highlight w:val="none"/>
          <w:lang w:bidi="en-US"/>
        </w:rPr>
        <w:t>每台接入交换机上行要求具备≥4个千兆光口，下行接口为24口。为实现单端口双向线速转发，速率需求为2Gbps，24口接入交换机上下行共计28个千兆接口，故线速转发性能需求为56Gbps；单端口64字节报文的包转发率约为1.5Mpps，故28个千兆口线速转发包转发率需求为42Mpps。目前市面上主流的三层交换机，交换容量在340Gbps~598Gbps之间，包转发率在100Mpps~220Mpps之间，为了保证监狱网络不因接入交换机的性能瓶颈而影响整体网络的畅通，本网络设计的接入交换机交换容量≥340Gbps和包转发率≥100Mpps。</w:t>
      </w:r>
    </w:p>
    <w:p w14:paraId="30D5ED99">
      <w:pPr>
        <w:pStyle w:val="12"/>
        <w:tabs>
          <w:tab w:val="left" w:pos="864"/>
        </w:tabs>
        <w:spacing w:line="360" w:lineRule="auto"/>
        <w:ind w:left="0" w:firstLine="420" w:firstLineChars="200"/>
        <w:rPr>
          <w:color w:val="auto"/>
          <w:highlight w:val="none"/>
        </w:rPr>
      </w:pPr>
      <w:r>
        <w:rPr>
          <w:rFonts w:hint="eastAsia"/>
          <w:color w:val="auto"/>
          <w:highlight w:val="none"/>
        </w:rPr>
        <w:t>IP地址</w:t>
      </w:r>
      <w:r>
        <w:rPr>
          <w:color w:val="auto"/>
          <w:highlight w:val="none"/>
        </w:rPr>
        <w:t>规划</w:t>
      </w:r>
    </w:p>
    <w:p w14:paraId="0251883D">
      <w:pPr>
        <w:spacing w:line="360" w:lineRule="auto"/>
        <w:ind w:firstLine="420" w:firstLineChars="200"/>
        <w:rPr>
          <w:bCs/>
          <w:color w:val="auto"/>
          <w:highlight w:val="none"/>
          <w:lang w:bidi="en-US"/>
        </w:rPr>
      </w:pPr>
      <w:r>
        <w:rPr>
          <w:rFonts w:hint="eastAsia"/>
          <w:bCs/>
          <w:color w:val="auto"/>
          <w:highlight w:val="none"/>
          <w:lang w:bidi="en-US"/>
        </w:rPr>
        <w:t>监狱IP地址规划、配置服从省监狱管理局总体IP地址规划原则，根据省监狱管理局IP地址规划要求，合理使用省监狱管理局分配的IP地址，并将IP地址使用情况及时向省监狱管理局更新。</w:t>
      </w:r>
      <w:r>
        <w:rPr>
          <w:rFonts w:hint="eastAsia"/>
          <w:b/>
          <w:bCs/>
          <w:color w:val="auto"/>
          <w:highlight w:val="none"/>
          <w:lang w:bidi="en-US"/>
        </w:rPr>
        <w:t>中标施工方</w:t>
      </w:r>
      <w:r>
        <w:rPr>
          <w:b/>
          <w:bCs/>
          <w:color w:val="auto"/>
          <w:highlight w:val="none"/>
          <w:lang w:bidi="en-US"/>
        </w:rPr>
        <w:t>应</w:t>
      </w:r>
      <w:r>
        <w:rPr>
          <w:rFonts w:hint="eastAsia"/>
          <w:b/>
          <w:bCs/>
          <w:color w:val="auto"/>
          <w:highlight w:val="none"/>
          <w:lang w:bidi="en-US"/>
        </w:rPr>
        <w:t>结合</w:t>
      </w:r>
      <w:r>
        <w:rPr>
          <w:b/>
          <w:bCs/>
          <w:color w:val="auto"/>
          <w:highlight w:val="none"/>
          <w:lang w:bidi="en-US"/>
        </w:rPr>
        <w:t>自身投标产品</w:t>
      </w:r>
      <w:r>
        <w:rPr>
          <w:rFonts w:hint="eastAsia"/>
          <w:b/>
          <w:bCs/>
          <w:color w:val="auto"/>
          <w:highlight w:val="none"/>
          <w:lang w:bidi="en-US"/>
        </w:rPr>
        <w:t>，</w:t>
      </w:r>
      <w:r>
        <w:rPr>
          <w:b/>
          <w:bCs/>
          <w:color w:val="auto"/>
          <w:highlight w:val="none"/>
          <w:lang w:bidi="en-US"/>
        </w:rPr>
        <w:t>制定配套</w:t>
      </w:r>
      <w:r>
        <w:rPr>
          <w:rFonts w:hint="eastAsia"/>
          <w:b/>
          <w:bCs/>
          <w:color w:val="auto"/>
          <w:highlight w:val="none"/>
          <w:lang w:bidi="en-US"/>
        </w:rPr>
        <w:t>的网络</w:t>
      </w:r>
      <w:r>
        <w:rPr>
          <w:b/>
          <w:bCs/>
          <w:color w:val="auto"/>
          <w:highlight w:val="none"/>
          <w:lang w:bidi="en-US"/>
        </w:rPr>
        <w:t>设备</w:t>
      </w:r>
      <w:r>
        <w:rPr>
          <w:rFonts w:hint="eastAsia"/>
          <w:b/>
          <w:bCs/>
          <w:color w:val="auto"/>
          <w:highlight w:val="none"/>
          <w:lang w:bidi="en-US"/>
        </w:rPr>
        <w:t>安装调试</w:t>
      </w:r>
      <w:r>
        <w:rPr>
          <w:b/>
          <w:bCs/>
          <w:color w:val="auto"/>
          <w:highlight w:val="none"/>
          <w:lang w:bidi="en-US"/>
        </w:rPr>
        <w:t>方案，其中方案</w:t>
      </w:r>
      <w:r>
        <w:rPr>
          <w:rFonts w:hint="eastAsia"/>
          <w:b/>
          <w:bCs/>
          <w:color w:val="auto"/>
          <w:highlight w:val="none"/>
          <w:lang w:bidi="en-US"/>
        </w:rPr>
        <w:t>内容</w:t>
      </w:r>
      <w:r>
        <w:rPr>
          <w:b/>
          <w:bCs/>
          <w:color w:val="auto"/>
          <w:highlight w:val="none"/>
          <w:lang w:bidi="en-US"/>
        </w:rPr>
        <w:t>应包含相应的</w:t>
      </w:r>
      <w:r>
        <w:rPr>
          <w:rFonts w:hint="eastAsia"/>
          <w:b/>
          <w:bCs/>
          <w:color w:val="auto"/>
          <w:highlight w:val="none"/>
          <w:lang w:bidi="en-US"/>
        </w:rPr>
        <w:t>IP地址</w:t>
      </w:r>
      <w:r>
        <w:rPr>
          <w:b/>
          <w:bCs/>
          <w:color w:val="auto"/>
          <w:highlight w:val="none"/>
          <w:lang w:bidi="en-US"/>
        </w:rPr>
        <w:t>规划及</w:t>
      </w:r>
      <w:r>
        <w:rPr>
          <w:rFonts w:hint="eastAsia"/>
          <w:b/>
          <w:bCs/>
          <w:color w:val="auto"/>
          <w:highlight w:val="none"/>
          <w:lang w:bidi="en-US"/>
        </w:rPr>
        <w:t>网络</w:t>
      </w:r>
      <w:r>
        <w:rPr>
          <w:b/>
          <w:bCs/>
          <w:color w:val="auto"/>
          <w:highlight w:val="none"/>
          <w:lang w:bidi="en-US"/>
        </w:rPr>
        <w:t>联调联测方案</w:t>
      </w:r>
      <w:r>
        <w:rPr>
          <w:rFonts w:hint="eastAsia"/>
          <w:b/>
          <w:bCs/>
          <w:color w:val="auto"/>
          <w:highlight w:val="none"/>
          <w:lang w:bidi="en-US"/>
        </w:rPr>
        <w:t>；经建设单位</w:t>
      </w:r>
      <w:r>
        <w:rPr>
          <w:b/>
          <w:bCs/>
          <w:color w:val="auto"/>
          <w:highlight w:val="none"/>
          <w:lang w:bidi="en-US"/>
        </w:rPr>
        <w:t>确认</w:t>
      </w:r>
      <w:r>
        <w:rPr>
          <w:rFonts w:hint="eastAsia"/>
          <w:b/>
          <w:bCs/>
          <w:color w:val="auto"/>
          <w:highlight w:val="none"/>
          <w:lang w:bidi="en-US"/>
        </w:rPr>
        <w:t>后，</w:t>
      </w:r>
      <w:r>
        <w:rPr>
          <w:b/>
          <w:bCs/>
          <w:color w:val="auto"/>
          <w:highlight w:val="none"/>
          <w:lang w:bidi="en-US"/>
        </w:rPr>
        <w:t>方案方可实施。</w:t>
      </w:r>
    </w:p>
    <w:p w14:paraId="2984DD79">
      <w:pPr>
        <w:pStyle w:val="11"/>
        <w:spacing w:before="0" w:after="0" w:line="360" w:lineRule="auto"/>
        <w:ind w:firstLine="562" w:firstLineChars="200"/>
        <w:rPr>
          <w:color w:val="auto"/>
          <w:highlight w:val="none"/>
        </w:rPr>
      </w:pPr>
      <w:r>
        <w:rPr>
          <w:rFonts w:hint="eastAsia"/>
          <w:color w:val="auto"/>
          <w:highlight w:val="none"/>
        </w:rPr>
        <w:t>部署方案</w:t>
      </w:r>
    </w:p>
    <w:p w14:paraId="3929033D">
      <w:pPr>
        <w:pStyle w:val="12"/>
        <w:tabs>
          <w:tab w:val="left" w:pos="864"/>
        </w:tabs>
        <w:spacing w:line="360" w:lineRule="auto"/>
        <w:ind w:left="0" w:firstLine="420" w:firstLineChars="200"/>
        <w:rPr>
          <w:color w:val="auto"/>
          <w:highlight w:val="none"/>
        </w:rPr>
      </w:pPr>
      <w:r>
        <w:rPr>
          <w:rFonts w:hint="eastAsia"/>
          <w:color w:val="auto"/>
          <w:highlight w:val="none"/>
        </w:rPr>
        <w:t>电子狱务专网局域网</w:t>
      </w:r>
    </w:p>
    <w:p w14:paraId="7AC1DB6F">
      <w:pPr>
        <w:spacing w:line="360" w:lineRule="auto"/>
        <w:ind w:firstLine="420" w:firstLineChars="200"/>
        <w:rPr>
          <w:bCs/>
          <w:color w:val="auto"/>
          <w:highlight w:val="none"/>
        </w:rPr>
      </w:pPr>
      <w:r>
        <w:rPr>
          <w:rFonts w:hint="eastAsia"/>
          <w:bCs/>
          <w:color w:val="auto"/>
          <w:highlight w:val="none"/>
        </w:rPr>
        <w:t>本网络设计的设备主要有核心交换机、汇聚交换机、24口接入交换机及48口接入交换机等，具体的部署位置详见下表：</w:t>
      </w:r>
    </w:p>
    <w:tbl>
      <w:tblPr>
        <w:tblStyle w:val="36"/>
        <w:tblW w:w="793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296"/>
        <w:gridCol w:w="1120"/>
        <w:gridCol w:w="1889"/>
        <w:gridCol w:w="1527"/>
        <w:gridCol w:w="1527"/>
      </w:tblGrid>
      <w:tr w14:paraId="12B9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7937" w:type="dxa"/>
            <w:gridSpan w:val="6"/>
            <w:noWrap w:val="0"/>
            <w:vAlign w:val="bottom"/>
          </w:tcPr>
          <w:p w14:paraId="7B780D05">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专网</w:t>
            </w:r>
          </w:p>
        </w:tc>
      </w:tr>
      <w:tr w14:paraId="1E7B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78" w:type="dxa"/>
            <w:vMerge w:val="restart"/>
            <w:noWrap w:val="0"/>
            <w:vAlign w:val="center"/>
          </w:tcPr>
          <w:p w14:paraId="5869F679">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序号</w:t>
            </w:r>
          </w:p>
        </w:tc>
        <w:tc>
          <w:tcPr>
            <w:tcW w:w="1296" w:type="dxa"/>
            <w:vMerge w:val="restart"/>
            <w:noWrap w:val="0"/>
            <w:vAlign w:val="center"/>
          </w:tcPr>
          <w:p w14:paraId="51F58D87">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楼宇名称</w:t>
            </w:r>
          </w:p>
        </w:tc>
        <w:tc>
          <w:tcPr>
            <w:tcW w:w="1120" w:type="dxa"/>
            <w:noWrap w:val="0"/>
            <w:vAlign w:val="center"/>
          </w:tcPr>
          <w:p w14:paraId="01727272">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核心交换机</w:t>
            </w:r>
          </w:p>
        </w:tc>
        <w:tc>
          <w:tcPr>
            <w:tcW w:w="1889" w:type="dxa"/>
            <w:noWrap w:val="0"/>
            <w:vAlign w:val="center"/>
          </w:tcPr>
          <w:p w14:paraId="23636925">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24口光纤汇聚交换机</w:t>
            </w:r>
          </w:p>
        </w:tc>
        <w:tc>
          <w:tcPr>
            <w:tcW w:w="1527" w:type="dxa"/>
            <w:noWrap w:val="0"/>
            <w:vAlign w:val="center"/>
          </w:tcPr>
          <w:p w14:paraId="3661443B">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24口接入交换机</w:t>
            </w:r>
          </w:p>
        </w:tc>
        <w:tc>
          <w:tcPr>
            <w:tcW w:w="1527" w:type="dxa"/>
            <w:noWrap w:val="0"/>
            <w:vAlign w:val="center"/>
          </w:tcPr>
          <w:p w14:paraId="31E2B15F">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48口接入交换机</w:t>
            </w:r>
          </w:p>
        </w:tc>
      </w:tr>
      <w:tr w14:paraId="3A1BB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578" w:type="dxa"/>
            <w:vMerge w:val="continue"/>
            <w:noWrap w:val="0"/>
            <w:vAlign w:val="center"/>
          </w:tcPr>
          <w:p w14:paraId="751C4CF6">
            <w:pPr>
              <w:widowControl/>
              <w:spacing w:line="240" w:lineRule="exact"/>
              <w:jc w:val="left"/>
              <w:rPr>
                <w:rFonts w:hint="eastAsia" w:ascii="宋体" w:hAnsi="宋体" w:cs="宋体"/>
                <w:b/>
                <w:bCs/>
                <w:color w:val="auto"/>
                <w:kern w:val="0"/>
                <w:sz w:val="18"/>
                <w:szCs w:val="18"/>
                <w:highlight w:val="none"/>
              </w:rPr>
            </w:pPr>
          </w:p>
        </w:tc>
        <w:tc>
          <w:tcPr>
            <w:tcW w:w="1296" w:type="dxa"/>
            <w:vMerge w:val="continue"/>
            <w:noWrap w:val="0"/>
            <w:vAlign w:val="center"/>
          </w:tcPr>
          <w:p w14:paraId="0B310FE7">
            <w:pPr>
              <w:widowControl/>
              <w:spacing w:line="240" w:lineRule="exact"/>
              <w:jc w:val="left"/>
              <w:rPr>
                <w:rFonts w:hint="eastAsia" w:ascii="宋体" w:hAnsi="宋体" w:cs="宋体"/>
                <w:b/>
                <w:bCs/>
                <w:color w:val="auto"/>
                <w:kern w:val="0"/>
                <w:sz w:val="18"/>
                <w:szCs w:val="18"/>
                <w:highlight w:val="none"/>
              </w:rPr>
            </w:pPr>
          </w:p>
        </w:tc>
        <w:tc>
          <w:tcPr>
            <w:tcW w:w="1120" w:type="dxa"/>
            <w:noWrap w:val="0"/>
            <w:vAlign w:val="center"/>
          </w:tcPr>
          <w:p w14:paraId="30413406">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数量</w:t>
            </w:r>
          </w:p>
        </w:tc>
        <w:tc>
          <w:tcPr>
            <w:tcW w:w="1889" w:type="dxa"/>
            <w:noWrap w:val="0"/>
            <w:vAlign w:val="center"/>
          </w:tcPr>
          <w:p w14:paraId="604B63C9">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数量</w:t>
            </w:r>
          </w:p>
        </w:tc>
        <w:tc>
          <w:tcPr>
            <w:tcW w:w="1527" w:type="dxa"/>
            <w:noWrap w:val="0"/>
            <w:vAlign w:val="center"/>
          </w:tcPr>
          <w:p w14:paraId="70661FE2">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数量</w:t>
            </w:r>
          </w:p>
        </w:tc>
        <w:tc>
          <w:tcPr>
            <w:tcW w:w="1527" w:type="dxa"/>
            <w:noWrap w:val="0"/>
            <w:vAlign w:val="center"/>
          </w:tcPr>
          <w:p w14:paraId="597864D6">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数量</w:t>
            </w:r>
          </w:p>
        </w:tc>
      </w:tr>
      <w:tr w14:paraId="7CF0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25F647C3">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w:t>
            </w:r>
          </w:p>
        </w:tc>
        <w:tc>
          <w:tcPr>
            <w:tcW w:w="1296" w:type="dxa"/>
            <w:noWrap w:val="0"/>
            <w:vAlign w:val="center"/>
          </w:tcPr>
          <w:p w14:paraId="21DB10A1">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1#监舍楼</w:t>
            </w:r>
          </w:p>
        </w:tc>
        <w:tc>
          <w:tcPr>
            <w:tcW w:w="1120" w:type="dxa"/>
            <w:noWrap w:val="0"/>
            <w:vAlign w:val="bottom"/>
          </w:tcPr>
          <w:p w14:paraId="23C6FBF9">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020F4B9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527" w:type="dxa"/>
            <w:noWrap w:val="0"/>
            <w:vAlign w:val="bottom"/>
          </w:tcPr>
          <w:p w14:paraId="389CA85E">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0</w:t>
            </w:r>
          </w:p>
        </w:tc>
        <w:tc>
          <w:tcPr>
            <w:tcW w:w="1527" w:type="dxa"/>
            <w:noWrap w:val="0"/>
            <w:vAlign w:val="bottom"/>
          </w:tcPr>
          <w:p w14:paraId="5E19A5E4">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20</w:t>
            </w:r>
          </w:p>
        </w:tc>
      </w:tr>
      <w:tr w14:paraId="211AB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5A31483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296" w:type="dxa"/>
            <w:noWrap w:val="0"/>
            <w:vAlign w:val="center"/>
          </w:tcPr>
          <w:p w14:paraId="64E4A4BB">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2#习艺楼</w:t>
            </w:r>
          </w:p>
        </w:tc>
        <w:tc>
          <w:tcPr>
            <w:tcW w:w="1120" w:type="dxa"/>
            <w:noWrap w:val="0"/>
            <w:vAlign w:val="bottom"/>
          </w:tcPr>
          <w:p w14:paraId="12D13B26">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3890F8C3">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63C10F0E">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0</w:t>
            </w:r>
          </w:p>
        </w:tc>
        <w:tc>
          <w:tcPr>
            <w:tcW w:w="1527" w:type="dxa"/>
            <w:noWrap w:val="0"/>
            <w:vAlign w:val="bottom"/>
          </w:tcPr>
          <w:p w14:paraId="7650CFBC">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w:t>
            </w:r>
          </w:p>
        </w:tc>
      </w:tr>
      <w:tr w14:paraId="778C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39114CC8">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w:t>
            </w:r>
          </w:p>
        </w:tc>
        <w:tc>
          <w:tcPr>
            <w:tcW w:w="1296" w:type="dxa"/>
            <w:noWrap w:val="0"/>
            <w:vAlign w:val="center"/>
          </w:tcPr>
          <w:p w14:paraId="02C1E24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3#习艺楼</w:t>
            </w:r>
          </w:p>
        </w:tc>
        <w:tc>
          <w:tcPr>
            <w:tcW w:w="1120" w:type="dxa"/>
            <w:noWrap w:val="0"/>
            <w:vAlign w:val="bottom"/>
          </w:tcPr>
          <w:p w14:paraId="5700CDB0">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5B6B8C18">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5D8D19F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0</w:t>
            </w:r>
          </w:p>
        </w:tc>
        <w:tc>
          <w:tcPr>
            <w:tcW w:w="1527" w:type="dxa"/>
            <w:noWrap w:val="0"/>
            <w:vAlign w:val="bottom"/>
          </w:tcPr>
          <w:p w14:paraId="56F1889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w:t>
            </w:r>
          </w:p>
        </w:tc>
      </w:tr>
      <w:tr w14:paraId="2563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0AE077BB">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w:t>
            </w:r>
          </w:p>
        </w:tc>
        <w:tc>
          <w:tcPr>
            <w:tcW w:w="1296" w:type="dxa"/>
            <w:noWrap w:val="0"/>
            <w:vAlign w:val="bottom"/>
          </w:tcPr>
          <w:p w14:paraId="4142B29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4#会见教学楼</w:t>
            </w:r>
          </w:p>
        </w:tc>
        <w:tc>
          <w:tcPr>
            <w:tcW w:w="1120" w:type="dxa"/>
            <w:noWrap w:val="0"/>
            <w:vAlign w:val="bottom"/>
          </w:tcPr>
          <w:p w14:paraId="16451635">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2DD4AD3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w:t>
            </w:r>
          </w:p>
        </w:tc>
        <w:tc>
          <w:tcPr>
            <w:tcW w:w="1527" w:type="dxa"/>
            <w:noWrap w:val="0"/>
            <w:vAlign w:val="bottom"/>
          </w:tcPr>
          <w:p w14:paraId="1F6F2C4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9</w:t>
            </w:r>
          </w:p>
        </w:tc>
        <w:tc>
          <w:tcPr>
            <w:tcW w:w="1527" w:type="dxa"/>
            <w:noWrap w:val="0"/>
            <w:vAlign w:val="bottom"/>
          </w:tcPr>
          <w:p w14:paraId="5D63BE5D">
            <w:pPr>
              <w:widowControl/>
              <w:spacing w:line="240" w:lineRule="exact"/>
              <w:jc w:val="center"/>
              <w:rPr>
                <w:rFonts w:hint="eastAsia" w:ascii="宋体" w:hAnsi="宋体" w:cs="宋体"/>
                <w:color w:val="auto"/>
                <w:kern w:val="0"/>
                <w:sz w:val="18"/>
                <w:szCs w:val="18"/>
                <w:highlight w:val="none"/>
              </w:rPr>
            </w:pPr>
          </w:p>
        </w:tc>
      </w:tr>
      <w:tr w14:paraId="657E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3FDDF7CA">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w:t>
            </w:r>
          </w:p>
        </w:tc>
        <w:tc>
          <w:tcPr>
            <w:tcW w:w="1296" w:type="dxa"/>
            <w:noWrap w:val="0"/>
            <w:vAlign w:val="bottom"/>
          </w:tcPr>
          <w:p w14:paraId="1FA007A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5#监狱大门</w:t>
            </w:r>
          </w:p>
        </w:tc>
        <w:tc>
          <w:tcPr>
            <w:tcW w:w="1120" w:type="dxa"/>
            <w:noWrap w:val="0"/>
            <w:vAlign w:val="bottom"/>
          </w:tcPr>
          <w:p w14:paraId="6C4ADC1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889" w:type="dxa"/>
            <w:noWrap w:val="0"/>
            <w:vAlign w:val="bottom"/>
          </w:tcPr>
          <w:p w14:paraId="3B87EAC8">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w:t>
            </w:r>
          </w:p>
        </w:tc>
        <w:tc>
          <w:tcPr>
            <w:tcW w:w="1527" w:type="dxa"/>
            <w:noWrap w:val="0"/>
            <w:vAlign w:val="bottom"/>
          </w:tcPr>
          <w:p w14:paraId="0CED56D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6</w:t>
            </w:r>
          </w:p>
        </w:tc>
        <w:tc>
          <w:tcPr>
            <w:tcW w:w="1527" w:type="dxa"/>
            <w:noWrap w:val="0"/>
            <w:vAlign w:val="bottom"/>
          </w:tcPr>
          <w:p w14:paraId="237F5AA9">
            <w:pPr>
              <w:widowControl/>
              <w:spacing w:line="240" w:lineRule="exact"/>
              <w:jc w:val="center"/>
              <w:rPr>
                <w:rFonts w:hint="eastAsia" w:ascii="宋体" w:hAnsi="宋体" w:cs="宋体"/>
                <w:color w:val="auto"/>
                <w:kern w:val="0"/>
                <w:sz w:val="18"/>
                <w:szCs w:val="18"/>
                <w:highlight w:val="none"/>
              </w:rPr>
            </w:pPr>
          </w:p>
        </w:tc>
      </w:tr>
      <w:tr w14:paraId="03C3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06B09F78">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6</w:t>
            </w:r>
          </w:p>
        </w:tc>
        <w:tc>
          <w:tcPr>
            <w:tcW w:w="1296" w:type="dxa"/>
            <w:noWrap w:val="0"/>
            <w:vAlign w:val="bottom"/>
          </w:tcPr>
          <w:p w14:paraId="288FF4D5">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6#备勤综合楼</w:t>
            </w:r>
          </w:p>
        </w:tc>
        <w:tc>
          <w:tcPr>
            <w:tcW w:w="1120" w:type="dxa"/>
            <w:noWrap w:val="0"/>
            <w:vAlign w:val="bottom"/>
          </w:tcPr>
          <w:p w14:paraId="299A1147">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019F9473">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2C7B6B9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w:t>
            </w:r>
          </w:p>
        </w:tc>
        <w:tc>
          <w:tcPr>
            <w:tcW w:w="1527" w:type="dxa"/>
            <w:noWrap w:val="0"/>
            <w:vAlign w:val="bottom"/>
          </w:tcPr>
          <w:p w14:paraId="080C09A7">
            <w:pPr>
              <w:widowControl/>
              <w:spacing w:line="240" w:lineRule="exact"/>
              <w:jc w:val="center"/>
              <w:rPr>
                <w:rFonts w:hint="eastAsia" w:ascii="宋体" w:hAnsi="宋体" w:cs="宋体"/>
                <w:color w:val="auto"/>
                <w:kern w:val="0"/>
                <w:sz w:val="18"/>
                <w:szCs w:val="18"/>
                <w:highlight w:val="none"/>
              </w:rPr>
            </w:pPr>
          </w:p>
        </w:tc>
      </w:tr>
      <w:tr w14:paraId="1A22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3CF75CD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7</w:t>
            </w:r>
          </w:p>
        </w:tc>
        <w:tc>
          <w:tcPr>
            <w:tcW w:w="1296" w:type="dxa"/>
            <w:noWrap w:val="0"/>
            <w:vAlign w:val="bottom"/>
          </w:tcPr>
          <w:p w14:paraId="56FA017B">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7#后勤服务楼</w:t>
            </w:r>
          </w:p>
        </w:tc>
        <w:tc>
          <w:tcPr>
            <w:tcW w:w="1120" w:type="dxa"/>
            <w:noWrap w:val="0"/>
            <w:vAlign w:val="bottom"/>
          </w:tcPr>
          <w:p w14:paraId="52E914D6">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6571E850">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7E04A6A5">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527" w:type="dxa"/>
            <w:noWrap w:val="0"/>
            <w:vAlign w:val="bottom"/>
          </w:tcPr>
          <w:p w14:paraId="5FDCA9AB">
            <w:pPr>
              <w:widowControl/>
              <w:spacing w:line="240" w:lineRule="exact"/>
              <w:jc w:val="center"/>
              <w:rPr>
                <w:rFonts w:hint="eastAsia" w:ascii="宋体" w:hAnsi="宋体" w:cs="宋体"/>
                <w:color w:val="auto"/>
                <w:kern w:val="0"/>
                <w:sz w:val="18"/>
                <w:szCs w:val="18"/>
                <w:highlight w:val="none"/>
              </w:rPr>
            </w:pPr>
          </w:p>
        </w:tc>
      </w:tr>
      <w:tr w14:paraId="1B77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33399F5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8</w:t>
            </w:r>
          </w:p>
        </w:tc>
        <w:tc>
          <w:tcPr>
            <w:tcW w:w="1296" w:type="dxa"/>
            <w:noWrap w:val="0"/>
            <w:vAlign w:val="bottom"/>
          </w:tcPr>
          <w:p w14:paraId="41D0697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警察办公楼</w:t>
            </w:r>
          </w:p>
        </w:tc>
        <w:tc>
          <w:tcPr>
            <w:tcW w:w="1120" w:type="dxa"/>
            <w:noWrap w:val="0"/>
            <w:vAlign w:val="bottom"/>
          </w:tcPr>
          <w:p w14:paraId="3F0601B9">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3041A4F6">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0C6B078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0</w:t>
            </w:r>
          </w:p>
        </w:tc>
        <w:tc>
          <w:tcPr>
            <w:tcW w:w="1527" w:type="dxa"/>
            <w:noWrap w:val="0"/>
            <w:vAlign w:val="bottom"/>
          </w:tcPr>
          <w:p w14:paraId="1E761CD9">
            <w:pPr>
              <w:widowControl/>
              <w:spacing w:line="240" w:lineRule="exact"/>
              <w:jc w:val="center"/>
              <w:rPr>
                <w:rFonts w:hint="eastAsia" w:ascii="宋体" w:hAnsi="宋体" w:cs="宋体"/>
                <w:color w:val="auto"/>
                <w:kern w:val="0"/>
                <w:sz w:val="18"/>
                <w:szCs w:val="18"/>
                <w:highlight w:val="none"/>
              </w:rPr>
            </w:pPr>
          </w:p>
        </w:tc>
      </w:tr>
      <w:tr w14:paraId="61D3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311CDAEB">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9</w:t>
            </w:r>
          </w:p>
        </w:tc>
        <w:tc>
          <w:tcPr>
            <w:tcW w:w="1296" w:type="dxa"/>
            <w:noWrap w:val="0"/>
            <w:vAlign w:val="bottom"/>
          </w:tcPr>
          <w:p w14:paraId="1CFEB6BE">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物流中心</w:t>
            </w:r>
          </w:p>
        </w:tc>
        <w:tc>
          <w:tcPr>
            <w:tcW w:w="1120" w:type="dxa"/>
            <w:noWrap w:val="0"/>
            <w:vAlign w:val="bottom"/>
          </w:tcPr>
          <w:p w14:paraId="39154255">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7D5122FC">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68D56841">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w:t>
            </w:r>
          </w:p>
        </w:tc>
        <w:tc>
          <w:tcPr>
            <w:tcW w:w="1527" w:type="dxa"/>
            <w:noWrap w:val="0"/>
            <w:vAlign w:val="bottom"/>
          </w:tcPr>
          <w:p w14:paraId="428C296D">
            <w:pPr>
              <w:widowControl/>
              <w:spacing w:line="240" w:lineRule="exact"/>
              <w:jc w:val="center"/>
              <w:rPr>
                <w:rFonts w:hint="eastAsia" w:ascii="宋体" w:hAnsi="宋体" w:cs="宋体"/>
                <w:color w:val="auto"/>
                <w:kern w:val="0"/>
                <w:sz w:val="18"/>
                <w:szCs w:val="18"/>
                <w:highlight w:val="none"/>
              </w:rPr>
            </w:pPr>
          </w:p>
        </w:tc>
      </w:tr>
      <w:tr w14:paraId="5290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70596062">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10</w:t>
            </w:r>
          </w:p>
        </w:tc>
        <w:tc>
          <w:tcPr>
            <w:tcW w:w="1296" w:type="dxa"/>
            <w:noWrap w:val="0"/>
            <w:vAlign w:val="bottom"/>
          </w:tcPr>
          <w:p w14:paraId="0EDE0567">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罪犯伙房</w:t>
            </w:r>
          </w:p>
        </w:tc>
        <w:tc>
          <w:tcPr>
            <w:tcW w:w="1120" w:type="dxa"/>
            <w:noWrap w:val="0"/>
            <w:vAlign w:val="bottom"/>
          </w:tcPr>
          <w:p w14:paraId="0A2244DD">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1E8555F4">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48D77769">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527" w:type="dxa"/>
            <w:noWrap w:val="0"/>
            <w:vAlign w:val="bottom"/>
          </w:tcPr>
          <w:p w14:paraId="1E47D79A">
            <w:pPr>
              <w:widowControl/>
              <w:spacing w:line="240" w:lineRule="exact"/>
              <w:jc w:val="center"/>
              <w:rPr>
                <w:rFonts w:hint="eastAsia" w:ascii="宋体" w:hAnsi="宋体" w:cs="宋体"/>
                <w:color w:val="auto"/>
                <w:kern w:val="0"/>
                <w:sz w:val="18"/>
                <w:szCs w:val="18"/>
                <w:highlight w:val="none"/>
              </w:rPr>
            </w:pPr>
          </w:p>
        </w:tc>
      </w:tr>
      <w:tr w14:paraId="09D1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437347AC">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11</w:t>
            </w:r>
          </w:p>
        </w:tc>
        <w:tc>
          <w:tcPr>
            <w:tcW w:w="1296" w:type="dxa"/>
            <w:noWrap w:val="0"/>
            <w:vAlign w:val="bottom"/>
          </w:tcPr>
          <w:p w14:paraId="398AF5D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岗楼1</w:t>
            </w:r>
          </w:p>
        </w:tc>
        <w:tc>
          <w:tcPr>
            <w:tcW w:w="1120" w:type="dxa"/>
            <w:noWrap w:val="0"/>
            <w:vAlign w:val="bottom"/>
          </w:tcPr>
          <w:p w14:paraId="2FE1257B">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41BCD7C9">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2F4D72CF">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w:t>
            </w:r>
          </w:p>
        </w:tc>
        <w:tc>
          <w:tcPr>
            <w:tcW w:w="1527" w:type="dxa"/>
            <w:noWrap w:val="0"/>
            <w:vAlign w:val="bottom"/>
          </w:tcPr>
          <w:p w14:paraId="2341A374">
            <w:pPr>
              <w:widowControl/>
              <w:spacing w:line="240" w:lineRule="exact"/>
              <w:jc w:val="center"/>
              <w:rPr>
                <w:rFonts w:hint="eastAsia" w:ascii="宋体" w:hAnsi="宋体" w:cs="宋体"/>
                <w:color w:val="auto"/>
                <w:kern w:val="0"/>
                <w:sz w:val="18"/>
                <w:szCs w:val="18"/>
                <w:highlight w:val="none"/>
              </w:rPr>
            </w:pPr>
          </w:p>
        </w:tc>
      </w:tr>
      <w:tr w14:paraId="44AF7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578" w:type="dxa"/>
            <w:noWrap w:val="0"/>
            <w:vAlign w:val="bottom"/>
          </w:tcPr>
          <w:p w14:paraId="14A3764D">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12</w:t>
            </w:r>
          </w:p>
        </w:tc>
        <w:tc>
          <w:tcPr>
            <w:tcW w:w="1296" w:type="dxa"/>
            <w:noWrap w:val="0"/>
            <w:vAlign w:val="bottom"/>
          </w:tcPr>
          <w:p w14:paraId="59CE718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岗楼2</w:t>
            </w:r>
          </w:p>
        </w:tc>
        <w:tc>
          <w:tcPr>
            <w:tcW w:w="1120" w:type="dxa"/>
            <w:noWrap w:val="0"/>
            <w:vAlign w:val="bottom"/>
          </w:tcPr>
          <w:p w14:paraId="3EA8B5B3">
            <w:pPr>
              <w:widowControl/>
              <w:spacing w:line="240" w:lineRule="exact"/>
              <w:jc w:val="center"/>
              <w:rPr>
                <w:rFonts w:hint="eastAsia" w:ascii="宋体" w:hAnsi="宋体" w:cs="宋体"/>
                <w:color w:val="auto"/>
                <w:kern w:val="0"/>
                <w:sz w:val="18"/>
                <w:szCs w:val="18"/>
                <w:highlight w:val="none"/>
              </w:rPr>
            </w:pPr>
          </w:p>
        </w:tc>
        <w:tc>
          <w:tcPr>
            <w:tcW w:w="1889" w:type="dxa"/>
            <w:noWrap w:val="0"/>
            <w:vAlign w:val="bottom"/>
          </w:tcPr>
          <w:p w14:paraId="326A4EF7">
            <w:pPr>
              <w:widowControl/>
              <w:spacing w:line="240" w:lineRule="exact"/>
              <w:jc w:val="center"/>
              <w:rPr>
                <w:rFonts w:hint="eastAsia" w:ascii="宋体" w:hAnsi="宋体" w:cs="宋体"/>
                <w:color w:val="auto"/>
                <w:kern w:val="0"/>
                <w:sz w:val="18"/>
                <w:szCs w:val="18"/>
                <w:highlight w:val="none"/>
              </w:rPr>
            </w:pPr>
          </w:p>
        </w:tc>
        <w:tc>
          <w:tcPr>
            <w:tcW w:w="1527" w:type="dxa"/>
            <w:noWrap w:val="0"/>
            <w:vAlign w:val="bottom"/>
          </w:tcPr>
          <w:p w14:paraId="2FBEE1FB">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w:t>
            </w:r>
          </w:p>
        </w:tc>
        <w:tc>
          <w:tcPr>
            <w:tcW w:w="1527" w:type="dxa"/>
            <w:noWrap w:val="0"/>
            <w:vAlign w:val="bottom"/>
          </w:tcPr>
          <w:p w14:paraId="1F93D07E">
            <w:pPr>
              <w:widowControl/>
              <w:spacing w:line="240" w:lineRule="exact"/>
              <w:jc w:val="center"/>
              <w:rPr>
                <w:rFonts w:hint="eastAsia" w:ascii="宋体" w:hAnsi="宋体" w:cs="宋体"/>
                <w:color w:val="auto"/>
                <w:kern w:val="0"/>
                <w:sz w:val="18"/>
                <w:szCs w:val="18"/>
                <w:highlight w:val="none"/>
              </w:rPr>
            </w:pPr>
          </w:p>
        </w:tc>
      </w:tr>
      <w:tr w14:paraId="7B91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874" w:type="dxa"/>
            <w:gridSpan w:val="2"/>
            <w:noWrap w:val="0"/>
            <w:vAlign w:val="center"/>
          </w:tcPr>
          <w:p w14:paraId="3386D6DE">
            <w:pPr>
              <w:widowControl/>
              <w:spacing w:line="240" w:lineRule="exact"/>
              <w:jc w:val="center"/>
              <w:rPr>
                <w:rFonts w:hint="eastAsia"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合计</w:t>
            </w:r>
          </w:p>
        </w:tc>
        <w:tc>
          <w:tcPr>
            <w:tcW w:w="1120" w:type="dxa"/>
            <w:noWrap w:val="0"/>
            <w:vAlign w:val="center"/>
          </w:tcPr>
          <w:p w14:paraId="4C7D280C">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w:t>
            </w:r>
          </w:p>
        </w:tc>
        <w:tc>
          <w:tcPr>
            <w:tcW w:w="1889" w:type="dxa"/>
            <w:noWrap w:val="0"/>
            <w:vAlign w:val="center"/>
          </w:tcPr>
          <w:p w14:paraId="0A60BA91">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w:t>
            </w:r>
          </w:p>
        </w:tc>
        <w:tc>
          <w:tcPr>
            <w:tcW w:w="1527" w:type="dxa"/>
            <w:noWrap w:val="0"/>
            <w:vAlign w:val="center"/>
          </w:tcPr>
          <w:p w14:paraId="2D1FCE3E">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29</w:t>
            </w:r>
          </w:p>
        </w:tc>
        <w:tc>
          <w:tcPr>
            <w:tcW w:w="1527" w:type="dxa"/>
            <w:noWrap w:val="0"/>
            <w:vAlign w:val="center"/>
          </w:tcPr>
          <w:p w14:paraId="72A4B926">
            <w:pPr>
              <w:widowControl/>
              <w:spacing w:line="240" w:lineRule="exact"/>
              <w:jc w:val="center"/>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28</w:t>
            </w:r>
          </w:p>
        </w:tc>
      </w:tr>
    </w:tbl>
    <w:p w14:paraId="51478E24">
      <w:pPr>
        <w:pStyle w:val="12"/>
        <w:tabs>
          <w:tab w:val="left" w:pos="864"/>
        </w:tabs>
        <w:spacing w:line="360" w:lineRule="auto"/>
        <w:ind w:left="0" w:firstLine="420" w:firstLineChars="200"/>
        <w:rPr>
          <w:color w:val="auto"/>
          <w:highlight w:val="none"/>
        </w:rPr>
      </w:pPr>
      <w:r>
        <w:rPr>
          <w:rFonts w:hint="eastAsia"/>
          <w:color w:val="auto"/>
          <w:highlight w:val="none"/>
        </w:rPr>
        <w:t>电子狱务外网局域网</w:t>
      </w:r>
    </w:p>
    <w:p w14:paraId="45ECEC34">
      <w:pPr>
        <w:spacing w:line="360" w:lineRule="auto"/>
        <w:ind w:firstLine="420" w:firstLineChars="200"/>
        <w:rPr>
          <w:bCs/>
          <w:color w:val="auto"/>
          <w:highlight w:val="none"/>
        </w:rPr>
      </w:pPr>
      <w:r>
        <w:rPr>
          <w:rFonts w:hint="eastAsia"/>
          <w:bCs/>
          <w:color w:val="auto"/>
          <w:highlight w:val="none"/>
        </w:rPr>
        <w:t>本网络设计的设备主要有核心交换机、24口接入交换机等，具体的部署位置详见下表：</w:t>
      </w:r>
    </w:p>
    <w:tbl>
      <w:tblPr>
        <w:tblStyle w:val="36"/>
        <w:tblW w:w="6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1296"/>
        <w:gridCol w:w="1120"/>
        <w:gridCol w:w="1527"/>
        <w:gridCol w:w="1527"/>
      </w:tblGrid>
      <w:tr w14:paraId="3B5E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8" w:type="dxa"/>
            <w:noWrap w:val="0"/>
            <w:vAlign w:val="center"/>
          </w:tcPr>
          <w:p w14:paraId="412CAD34">
            <w:pPr>
              <w:widowControl/>
              <w:spacing w:line="240" w:lineRule="exact"/>
              <w:jc w:val="center"/>
              <w:rPr>
                <w:rFonts w:ascii="仿宋" w:hAnsi="仿宋" w:cs="宋体"/>
                <w:b/>
                <w:bCs/>
                <w:color w:val="auto"/>
                <w:kern w:val="0"/>
                <w:sz w:val="18"/>
                <w:szCs w:val="18"/>
                <w:highlight w:val="none"/>
              </w:rPr>
            </w:pPr>
            <w:r>
              <w:rPr>
                <w:bCs/>
                <w:color w:val="auto"/>
                <w:highlight w:val="none"/>
              </w:rPr>
              <w:br w:type="page"/>
            </w:r>
            <w:r>
              <w:rPr>
                <w:rFonts w:hint="eastAsia" w:ascii="仿宋" w:hAnsi="仿宋" w:cs="宋体"/>
                <w:b/>
                <w:bCs/>
                <w:color w:val="auto"/>
                <w:kern w:val="0"/>
                <w:sz w:val="18"/>
                <w:szCs w:val="18"/>
                <w:highlight w:val="none"/>
              </w:rPr>
              <w:t>序号</w:t>
            </w:r>
          </w:p>
        </w:tc>
        <w:tc>
          <w:tcPr>
            <w:tcW w:w="1296" w:type="dxa"/>
            <w:noWrap w:val="0"/>
            <w:vAlign w:val="center"/>
          </w:tcPr>
          <w:p w14:paraId="0154A30F">
            <w:pPr>
              <w:widowControl/>
              <w:spacing w:line="240" w:lineRule="exact"/>
              <w:jc w:val="center"/>
              <w:rPr>
                <w:rFonts w:ascii="仿宋" w:hAnsi="仿宋" w:cs="宋体"/>
                <w:b/>
                <w:bCs/>
                <w:color w:val="auto"/>
                <w:kern w:val="0"/>
                <w:sz w:val="18"/>
                <w:szCs w:val="18"/>
                <w:highlight w:val="none"/>
              </w:rPr>
            </w:pPr>
            <w:r>
              <w:rPr>
                <w:rFonts w:hint="eastAsia" w:ascii="仿宋" w:hAnsi="仿宋" w:cs="宋体"/>
                <w:b/>
                <w:bCs/>
                <w:color w:val="auto"/>
                <w:kern w:val="0"/>
                <w:sz w:val="18"/>
                <w:szCs w:val="18"/>
                <w:highlight w:val="none"/>
              </w:rPr>
              <w:t>楼宇名称</w:t>
            </w:r>
          </w:p>
        </w:tc>
        <w:tc>
          <w:tcPr>
            <w:tcW w:w="1120" w:type="dxa"/>
            <w:noWrap w:val="0"/>
            <w:vAlign w:val="center"/>
          </w:tcPr>
          <w:p w14:paraId="2A035F01">
            <w:pPr>
              <w:widowControl/>
              <w:spacing w:line="240" w:lineRule="exact"/>
              <w:jc w:val="center"/>
              <w:rPr>
                <w:rFonts w:ascii="仿宋" w:hAnsi="仿宋" w:cs="宋体"/>
                <w:b/>
                <w:bCs/>
                <w:color w:val="auto"/>
                <w:kern w:val="0"/>
                <w:sz w:val="18"/>
                <w:szCs w:val="18"/>
                <w:highlight w:val="none"/>
              </w:rPr>
            </w:pPr>
            <w:r>
              <w:rPr>
                <w:rFonts w:hint="eastAsia" w:ascii="仿宋" w:hAnsi="仿宋" w:cs="宋体"/>
                <w:b/>
                <w:bCs/>
                <w:color w:val="auto"/>
                <w:kern w:val="0"/>
                <w:sz w:val="18"/>
                <w:szCs w:val="18"/>
                <w:highlight w:val="none"/>
              </w:rPr>
              <w:t>核心交换机</w:t>
            </w:r>
          </w:p>
        </w:tc>
        <w:tc>
          <w:tcPr>
            <w:tcW w:w="1527" w:type="dxa"/>
            <w:noWrap w:val="0"/>
            <w:vAlign w:val="center"/>
          </w:tcPr>
          <w:p w14:paraId="29B9D090">
            <w:pPr>
              <w:widowControl/>
              <w:spacing w:line="240" w:lineRule="exact"/>
              <w:jc w:val="center"/>
              <w:rPr>
                <w:rFonts w:ascii="仿宋" w:hAnsi="仿宋" w:cs="宋体"/>
                <w:b/>
                <w:bCs/>
                <w:color w:val="auto"/>
                <w:kern w:val="0"/>
                <w:sz w:val="18"/>
                <w:szCs w:val="18"/>
                <w:highlight w:val="none"/>
              </w:rPr>
            </w:pPr>
            <w:r>
              <w:rPr>
                <w:rFonts w:hint="eastAsia" w:ascii="仿宋" w:hAnsi="仿宋" w:cs="宋体"/>
                <w:b/>
                <w:bCs/>
                <w:color w:val="auto"/>
                <w:kern w:val="0"/>
                <w:sz w:val="18"/>
                <w:szCs w:val="18"/>
                <w:highlight w:val="none"/>
              </w:rPr>
              <w:t>24口汇聚交换机</w:t>
            </w:r>
          </w:p>
        </w:tc>
        <w:tc>
          <w:tcPr>
            <w:tcW w:w="1527" w:type="dxa"/>
            <w:noWrap w:val="0"/>
            <w:vAlign w:val="center"/>
          </w:tcPr>
          <w:p w14:paraId="52368DAF">
            <w:pPr>
              <w:widowControl/>
              <w:spacing w:line="240" w:lineRule="exact"/>
              <w:jc w:val="center"/>
              <w:rPr>
                <w:rFonts w:ascii="仿宋" w:hAnsi="仿宋" w:cs="宋体"/>
                <w:b/>
                <w:bCs/>
                <w:color w:val="auto"/>
                <w:kern w:val="0"/>
                <w:sz w:val="18"/>
                <w:szCs w:val="18"/>
                <w:highlight w:val="none"/>
              </w:rPr>
            </w:pPr>
            <w:r>
              <w:rPr>
                <w:rFonts w:hint="eastAsia" w:ascii="仿宋" w:hAnsi="仿宋" w:cs="宋体"/>
                <w:b/>
                <w:bCs/>
                <w:color w:val="auto"/>
                <w:kern w:val="0"/>
                <w:sz w:val="18"/>
                <w:szCs w:val="18"/>
                <w:highlight w:val="none"/>
              </w:rPr>
              <w:t>24口接入交换机</w:t>
            </w:r>
          </w:p>
        </w:tc>
      </w:tr>
      <w:tr w14:paraId="61AA0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65E45404">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w:t>
            </w:r>
          </w:p>
        </w:tc>
        <w:tc>
          <w:tcPr>
            <w:tcW w:w="1296" w:type="dxa"/>
            <w:noWrap w:val="0"/>
            <w:vAlign w:val="center"/>
          </w:tcPr>
          <w:p w14:paraId="45DA8E21">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1#监舍楼</w:t>
            </w:r>
          </w:p>
        </w:tc>
        <w:tc>
          <w:tcPr>
            <w:tcW w:w="1120" w:type="dxa"/>
            <w:noWrap w:val="0"/>
            <w:vAlign w:val="bottom"/>
          </w:tcPr>
          <w:p w14:paraId="29FFF3A6">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E8E0DE7">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2341044A">
            <w:pPr>
              <w:widowControl/>
              <w:spacing w:line="240" w:lineRule="exact"/>
              <w:jc w:val="center"/>
              <w:rPr>
                <w:rFonts w:ascii="仿宋" w:hAnsi="仿宋" w:cs="宋体"/>
                <w:color w:val="auto"/>
                <w:kern w:val="0"/>
                <w:sz w:val="18"/>
                <w:szCs w:val="18"/>
                <w:highlight w:val="none"/>
              </w:rPr>
            </w:pPr>
          </w:p>
        </w:tc>
      </w:tr>
      <w:tr w14:paraId="3427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35EE3BBE">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2</w:t>
            </w:r>
          </w:p>
        </w:tc>
        <w:tc>
          <w:tcPr>
            <w:tcW w:w="1296" w:type="dxa"/>
            <w:noWrap w:val="0"/>
            <w:vAlign w:val="center"/>
          </w:tcPr>
          <w:p w14:paraId="4729E435">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2#习艺楼</w:t>
            </w:r>
          </w:p>
        </w:tc>
        <w:tc>
          <w:tcPr>
            <w:tcW w:w="1120" w:type="dxa"/>
            <w:noWrap w:val="0"/>
            <w:vAlign w:val="bottom"/>
          </w:tcPr>
          <w:p w14:paraId="0C705CCC">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64D557D">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682B3AD">
            <w:pPr>
              <w:widowControl/>
              <w:spacing w:line="240" w:lineRule="exact"/>
              <w:jc w:val="center"/>
              <w:rPr>
                <w:rFonts w:ascii="仿宋" w:hAnsi="仿宋" w:cs="宋体"/>
                <w:color w:val="auto"/>
                <w:kern w:val="0"/>
                <w:sz w:val="18"/>
                <w:szCs w:val="18"/>
                <w:highlight w:val="none"/>
              </w:rPr>
            </w:pPr>
          </w:p>
        </w:tc>
      </w:tr>
      <w:tr w14:paraId="38AA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5D8681D9">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3</w:t>
            </w:r>
          </w:p>
        </w:tc>
        <w:tc>
          <w:tcPr>
            <w:tcW w:w="1296" w:type="dxa"/>
            <w:noWrap w:val="0"/>
            <w:vAlign w:val="center"/>
          </w:tcPr>
          <w:p w14:paraId="169ABDE7">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3#习艺楼</w:t>
            </w:r>
          </w:p>
        </w:tc>
        <w:tc>
          <w:tcPr>
            <w:tcW w:w="1120" w:type="dxa"/>
            <w:noWrap w:val="0"/>
            <w:vAlign w:val="bottom"/>
          </w:tcPr>
          <w:p w14:paraId="1ACF3A00">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4A24D8D1">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68136C0">
            <w:pPr>
              <w:widowControl/>
              <w:spacing w:line="240" w:lineRule="exact"/>
              <w:jc w:val="center"/>
              <w:rPr>
                <w:rFonts w:ascii="仿宋" w:hAnsi="仿宋" w:cs="宋体"/>
                <w:color w:val="auto"/>
                <w:kern w:val="0"/>
                <w:sz w:val="18"/>
                <w:szCs w:val="18"/>
                <w:highlight w:val="none"/>
              </w:rPr>
            </w:pPr>
          </w:p>
        </w:tc>
      </w:tr>
      <w:tr w14:paraId="2ABE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06684A17">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4</w:t>
            </w:r>
          </w:p>
        </w:tc>
        <w:tc>
          <w:tcPr>
            <w:tcW w:w="1296" w:type="dxa"/>
            <w:noWrap w:val="0"/>
            <w:vAlign w:val="bottom"/>
          </w:tcPr>
          <w:p w14:paraId="3FEB2B53">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4#会见教学楼</w:t>
            </w:r>
          </w:p>
        </w:tc>
        <w:tc>
          <w:tcPr>
            <w:tcW w:w="1120" w:type="dxa"/>
            <w:noWrap w:val="0"/>
            <w:vAlign w:val="bottom"/>
          </w:tcPr>
          <w:p w14:paraId="08278B55">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7B001504">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7EFA9B8B">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0</w:t>
            </w:r>
          </w:p>
        </w:tc>
      </w:tr>
      <w:tr w14:paraId="1698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47C765D3">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5</w:t>
            </w:r>
          </w:p>
        </w:tc>
        <w:tc>
          <w:tcPr>
            <w:tcW w:w="1296" w:type="dxa"/>
            <w:noWrap w:val="0"/>
            <w:vAlign w:val="bottom"/>
          </w:tcPr>
          <w:p w14:paraId="3413F760">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5#监狱大门</w:t>
            </w:r>
          </w:p>
        </w:tc>
        <w:tc>
          <w:tcPr>
            <w:tcW w:w="1120" w:type="dxa"/>
            <w:noWrap w:val="0"/>
            <w:vAlign w:val="bottom"/>
          </w:tcPr>
          <w:p w14:paraId="4F0289C3">
            <w:pPr>
              <w:widowControl/>
              <w:spacing w:line="240" w:lineRule="exact"/>
              <w:jc w:val="center"/>
              <w:rPr>
                <w:rFonts w:ascii="仿宋" w:hAnsi="仿宋" w:cs="宋体"/>
                <w:color w:val="auto"/>
                <w:kern w:val="0"/>
                <w:sz w:val="18"/>
                <w:szCs w:val="18"/>
                <w:highlight w:val="none"/>
              </w:rPr>
            </w:pPr>
            <w:r>
              <w:rPr>
                <w:rFonts w:ascii="仿宋" w:hAnsi="仿宋" w:cs="宋体"/>
                <w:color w:val="auto"/>
                <w:kern w:val="0"/>
                <w:sz w:val="18"/>
                <w:szCs w:val="18"/>
                <w:highlight w:val="none"/>
              </w:rPr>
              <w:t>1</w:t>
            </w:r>
          </w:p>
        </w:tc>
        <w:tc>
          <w:tcPr>
            <w:tcW w:w="1527" w:type="dxa"/>
            <w:noWrap w:val="0"/>
            <w:vAlign w:val="bottom"/>
          </w:tcPr>
          <w:p w14:paraId="4EDE1526">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46C7E42E">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w:t>
            </w:r>
          </w:p>
        </w:tc>
      </w:tr>
      <w:tr w14:paraId="5E5F2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36A8DF6F">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6</w:t>
            </w:r>
          </w:p>
        </w:tc>
        <w:tc>
          <w:tcPr>
            <w:tcW w:w="1296" w:type="dxa"/>
            <w:noWrap w:val="0"/>
            <w:vAlign w:val="bottom"/>
          </w:tcPr>
          <w:p w14:paraId="39A31AB9">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6#备勤综合楼</w:t>
            </w:r>
          </w:p>
        </w:tc>
        <w:tc>
          <w:tcPr>
            <w:tcW w:w="1120" w:type="dxa"/>
            <w:noWrap w:val="0"/>
            <w:vAlign w:val="bottom"/>
          </w:tcPr>
          <w:p w14:paraId="20E971BB">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7CFA4F6C">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656A45F">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9</w:t>
            </w:r>
          </w:p>
        </w:tc>
      </w:tr>
      <w:tr w14:paraId="5B7F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6981ED17">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7</w:t>
            </w:r>
          </w:p>
        </w:tc>
        <w:tc>
          <w:tcPr>
            <w:tcW w:w="1296" w:type="dxa"/>
            <w:noWrap w:val="0"/>
            <w:vAlign w:val="bottom"/>
          </w:tcPr>
          <w:p w14:paraId="3BBEE7A8">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7#后勤服务楼</w:t>
            </w:r>
          </w:p>
        </w:tc>
        <w:tc>
          <w:tcPr>
            <w:tcW w:w="1120" w:type="dxa"/>
            <w:noWrap w:val="0"/>
            <w:vAlign w:val="bottom"/>
          </w:tcPr>
          <w:p w14:paraId="0A64DC50">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468B6264">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7E617868">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w:t>
            </w:r>
          </w:p>
        </w:tc>
      </w:tr>
      <w:tr w14:paraId="0A59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66122DC8">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8</w:t>
            </w:r>
          </w:p>
        </w:tc>
        <w:tc>
          <w:tcPr>
            <w:tcW w:w="1296" w:type="dxa"/>
            <w:noWrap w:val="0"/>
            <w:vAlign w:val="bottom"/>
          </w:tcPr>
          <w:p w14:paraId="2438B7D7">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警察办公楼</w:t>
            </w:r>
          </w:p>
        </w:tc>
        <w:tc>
          <w:tcPr>
            <w:tcW w:w="1120" w:type="dxa"/>
            <w:noWrap w:val="0"/>
            <w:vAlign w:val="bottom"/>
          </w:tcPr>
          <w:p w14:paraId="436F26AF">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65012137">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36303512">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0</w:t>
            </w:r>
          </w:p>
        </w:tc>
      </w:tr>
      <w:tr w14:paraId="7C4E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29B3E51E">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9</w:t>
            </w:r>
          </w:p>
        </w:tc>
        <w:tc>
          <w:tcPr>
            <w:tcW w:w="1296" w:type="dxa"/>
            <w:noWrap w:val="0"/>
            <w:vAlign w:val="bottom"/>
          </w:tcPr>
          <w:p w14:paraId="07491E6A">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岗楼1</w:t>
            </w:r>
          </w:p>
        </w:tc>
        <w:tc>
          <w:tcPr>
            <w:tcW w:w="1120" w:type="dxa"/>
            <w:noWrap w:val="0"/>
            <w:vAlign w:val="bottom"/>
          </w:tcPr>
          <w:p w14:paraId="50A80EE8">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58803FAF">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206D5AD4">
            <w:pPr>
              <w:widowControl/>
              <w:spacing w:line="240" w:lineRule="exact"/>
              <w:jc w:val="center"/>
              <w:rPr>
                <w:rFonts w:ascii="仿宋" w:hAnsi="仿宋" w:cs="宋体"/>
                <w:color w:val="auto"/>
                <w:kern w:val="0"/>
                <w:sz w:val="18"/>
                <w:szCs w:val="18"/>
                <w:highlight w:val="none"/>
              </w:rPr>
            </w:pPr>
          </w:p>
        </w:tc>
      </w:tr>
      <w:tr w14:paraId="7B2C3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578" w:type="dxa"/>
            <w:noWrap w:val="0"/>
            <w:vAlign w:val="bottom"/>
          </w:tcPr>
          <w:p w14:paraId="79593C7F">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10</w:t>
            </w:r>
          </w:p>
        </w:tc>
        <w:tc>
          <w:tcPr>
            <w:tcW w:w="1296" w:type="dxa"/>
            <w:noWrap w:val="0"/>
            <w:vAlign w:val="bottom"/>
          </w:tcPr>
          <w:p w14:paraId="3E2D6922">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岗楼2</w:t>
            </w:r>
          </w:p>
        </w:tc>
        <w:tc>
          <w:tcPr>
            <w:tcW w:w="1120" w:type="dxa"/>
            <w:noWrap w:val="0"/>
            <w:vAlign w:val="bottom"/>
          </w:tcPr>
          <w:p w14:paraId="60B1605F">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5A11F804">
            <w:pPr>
              <w:widowControl/>
              <w:spacing w:line="240" w:lineRule="exact"/>
              <w:jc w:val="center"/>
              <w:rPr>
                <w:rFonts w:ascii="仿宋" w:hAnsi="仿宋" w:cs="宋体"/>
                <w:color w:val="auto"/>
                <w:kern w:val="0"/>
                <w:sz w:val="18"/>
                <w:szCs w:val="18"/>
                <w:highlight w:val="none"/>
              </w:rPr>
            </w:pPr>
          </w:p>
        </w:tc>
        <w:tc>
          <w:tcPr>
            <w:tcW w:w="1527" w:type="dxa"/>
            <w:noWrap w:val="0"/>
            <w:vAlign w:val="bottom"/>
          </w:tcPr>
          <w:p w14:paraId="41E62BB3">
            <w:pPr>
              <w:widowControl/>
              <w:spacing w:line="240" w:lineRule="exact"/>
              <w:jc w:val="center"/>
              <w:rPr>
                <w:rFonts w:ascii="仿宋" w:hAnsi="仿宋" w:cs="宋体"/>
                <w:color w:val="auto"/>
                <w:kern w:val="0"/>
                <w:sz w:val="18"/>
                <w:szCs w:val="18"/>
                <w:highlight w:val="none"/>
              </w:rPr>
            </w:pPr>
          </w:p>
        </w:tc>
      </w:tr>
      <w:tr w14:paraId="19E4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74" w:type="dxa"/>
            <w:gridSpan w:val="2"/>
            <w:noWrap w:val="0"/>
            <w:vAlign w:val="center"/>
          </w:tcPr>
          <w:p w14:paraId="095A0E44">
            <w:pPr>
              <w:widowControl/>
              <w:spacing w:line="240" w:lineRule="exact"/>
              <w:jc w:val="center"/>
              <w:rPr>
                <w:rFonts w:ascii="仿宋" w:hAnsi="仿宋" w:cs="宋体"/>
                <w:b/>
                <w:bCs/>
                <w:color w:val="auto"/>
                <w:kern w:val="0"/>
                <w:sz w:val="18"/>
                <w:szCs w:val="18"/>
                <w:highlight w:val="none"/>
              </w:rPr>
            </w:pPr>
            <w:r>
              <w:rPr>
                <w:rFonts w:hint="eastAsia" w:ascii="仿宋" w:hAnsi="仿宋" w:cs="宋体"/>
                <w:b/>
                <w:bCs/>
                <w:color w:val="auto"/>
                <w:kern w:val="0"/>
                <w:sz w:val="18"/>
                <w:szCs w:val="18"/>
                <w:highlight w:val="none"/>
              </w:rPr>
              <w:t>合计</w:t>
            </w:r>
          </w:p>
        </w:tc>
        <w:tc>
          <w:tcPr>
            <w:tcW w:w="1120" w:type="dxa"/>
            <w:noWrap w:val="0"/>
            <w:vAlign w:val="center"/>
          </w:tcPr>
          <w:p w14:paraId="4794AC15">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0</w:t>
            </w:r>
          </w:p>
        </w:tc>
        <w:tc>
          <w:tcPr>
            <w:tcW w:w="1527" w:type="dxa"/>
            <w:noWrap w:val="0"/>
            <w:vAlign w:val="center"/>
          </w:tcPr>
          <w:p w14:paraId="0F2B1ADC">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0</w:t>
            </w:r>
          </w:p>
        </w:tc>
        <w:tc>
          <w:tcPr>
            <w:tcW w:w="1527" w:type="dxa"/>
            <w:noWrap w:val="0"/>
            <w:vAlign w:val="center"/>
          </w:tcPr>
          <w:p w14:paraId="729123AD">
            <w:pPr>
              <w:widowControl/>
              <w:spacing w:line="240" w:lineRule="exact"/>
              <w:jc w:val="center"/>
              <w:rPr>
                <w:rFonts w:ascii="仿宋" w:hAnsi="仿宋" w:cs="宋体"/>
                <w:color w:val="auto"/>
                <w:kern w:val="0"/>
                <w:sz w:val="18"/>
                <w:szCs w:val="18"/>
                <w:highlight w:val="none"/>
              </w:rPr>
            </w:pPr>
            <w:r>
              <w:rPr>
                <w:rFonts w:hint="eastAsia" w:ascii="仿宋" w:hAnsi="仿宋" w:cs="宋体"/>
                <w:color w:val="auto"/>
                <w:kern w:val="0"/>
                <w:sz w:val="18"/>
                <w:szCs w:val="18"/>
                <w:highlight w:val="none"/>
              </w:rPr>
              <w:t>11</w:t>
            </w:r>
          </w:p>
        </w:tc>
      </w:tr>
    </w:tbl>
    <w:p w14:paraId="24C85FF5">
      <w:pPr>
        <w:spacing w:line="360" w:lineRule="auto"/>
        <w:ind w:firstLine="420" w:firstLineChars="200"/>
        <w:rPr>
          <w:bCs/>
          <w:color w:val="auto"/>
          <w:highlight w:val="none"/>
        </w:rPr>
      </w:pPr>
    </w:p>
    <w:p w14:paraId="77019319">
      <w:pPr>
        <w:pStyle w:val="10"/>
        <w:spacing w:before="0" w:after="0" w:line="360" w:lineRule="auto"/>
        <w:ind w:firstLine="643" w:firstLineChars="200"/>
        <w:rPr>
          <w:color w:val="auto"/>
          <w:highlight w:val="none"/>
        </w:rPr>
      </w:pPr>
      <w:r>
        <w:rPr>
          <w:rFonts w:hint="eastAsia"/>
          <w:color w:val="auto"/>
          <w:highlight w:val="none"/>
        </w:rPr>
        <w:t>4.3信息安全系统</w:t>
      </w:r>
    </w:p>
    <w:p w14:paraId="15C926E0">
      <w:pPr>
        <w:spacing w:line="360" w:lineRule="auto"/>
        <w:ind w:firstLine="420" w:firstLineChars="200"/>
        <w:rPr>
          <w:bCs/>
          <w:color w:val="auto"/>
          <w:highlight w:val="none"/>
        </w:rPr>
      </w:pPr>
      <w:r>
        <w:rPr>
          <w:rFonts w:hint="eastAsia"/>
          <w:bCs/>
          <w:color w:val="auto"/>
          <w:highlight w:val="none"/>
        </w:rPr>
        <w:t>在数据中心部署出口路由器、可管控防火墙、入侵防御系统、日志审计系统、网络运维准入审计系统等安全防护设备。按照智慧监狱建设要求及本项目计算机网络系统架构，信息安全系统同样按照功能配置进行区域划分，系统架构图如下所示：</w:t>
      </w:r>
    </w:p>
    <w:p w14:paraId="29B400E6">
      <w:pPr>
        <w:spacing w:line="360" w:lineRule="auto"/>
        <w:ind w:firstLine="420" w:firstLineChars="200"/>
        <w:rPr>
          <w:bCs/>
          <w:color w:val="auto"/>
          <w:highlight w:val="none"/>
        </w:rPr>
      </w:pPr>
      <w:r>
        <w:rPr>
          <w:bCs/>
          <w:color w:val="auto"/>
          <w:highlight w:val="none"/>
        </w:rPr>
        <w:drawing>
          <wp:inline distT="0" distB="0" distL="114300" distR="114300">
            <wp:extent cx="5274310" cy="3730625"/>
            <wp:effectExtent l="0" t="0" r="2540" b="3175"/>
            <wp:docPr id="5" name="图片 6" descr="C:\Users\Administrator\Pictur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C:\Users\Administrator\Pictures\2.png"/>
                    <pic:cNvPicPr>
                      <a:picLocks noChangeAspect="1"/>
                    </pic:cNvPicPr>
                  </pic:nvPicPr>
                  <pic:blipFill>
                    <a:blip r:embed="rId19"/>
                    <a:stretch>
                      <a:fillRect/>
                    </a:stretch>
                  </pic:blipFill>
                  <pic:spPr>
                    <a:xfrm>
                      <a:off x="0" y="0"/>
                      <a:ext cx="5274310" cy="3730625"/>
                    </a:xfrm>
                    <a:prstGeom prst="rect">
                      <a:avLst/>
                    </a:prstGeom>
                    <a:noFill/>
                    <a:ln>
                      <a:noFill/>
                    </a:ln>
                  </pic:spPr>
                </pic:pic>
              </a:graphicData>
            </a:graphic>
          </wp:inline>
        </w:drawing>
      </w:r>
    </w:p>
    <w:p w14:paraId="6B07E8B5">
      <w:pPr>
        <w:spacing w:line="360" w:lineRule="auto"/>
        <w:ind w:firstLine="420" w:firstLineChars="200"/>
        <w:rPr>
          <w:bCs/>
          <w:color w:val="auto"/>
          <w:highlight w:val="none"/>
        </w:rPr>
      </w:pPr>
      <w:r>
        <w:rPr>
          <w:rFonts w:hint="eastAsia"/>
          <w:bCs/>
          <w:color w:val="auto"/>
          <w:highlight w:val="none"/>
        </w:rPr>
        <w:t>在联网区通过出口路由器和可管控防火墙实现与广域网MPLS vpn互联，通过入侵防御系统与防火墙等安全设备，对电子狱务专网的各业务系统进行防护。</w:t>
      </w:r>
    </w:p>
    <w:p w14:paraId="15F1879D">
      <w:pPr>
        <w:spacing w:line="360" w:lineRule="auto"/>
        <w:ind w:firstLine="420" w:firstLineChars="200"/>
        <w:rPr>
          <w:bCs/>
          <w:color w:val="auto"/>
          <w:highlight w:val="none"/>
        </w:rPr>
      </w:pPr>
      <w:r>
        <w:rPr>
          <w:rFonts w:hint="eastAsia"/>
          <w:bCs/>
          <w:color w:val="auto"/>
          <w:highlight w:val="none"/>
        </w:rPr>
        <w:t>在安全运维管理区部署日志审计系统等对本监狱电子狱务专网局域网内的终端主机、服务器主机、业务系统等进行安全防护。</w:t>
      </w:r>
    </w:p>
    <w:p w14:paraId="09D824B6">
      <w:pPr>
        <w:spacing w:line="360" w:lineRule="auto"/>
        <w:ind w:firstLine="420" w:firstLineChars="200"/>
        <w:rPr>
          <w:bCs/>
          <w:color w:val="auto"/>
          <w:highlight w:val="none"/>
        </w:rPr>
      </w:pPr>
      <w:r>
        <w:rPr>
          <w:rFonts w:hint="eastAsia"/>
          <w:bCs/>
          <w:color w:val="auto"/>
          <w:highlight w:val="none"/>
        </w:rPr>
        <w:t>在核心交换区，部署网络运维准入审计系统，以阻止局域网内的病毒传播。</w:t>
      </w:r>
    </w:p>
    <w:p w14:paraId="0C924684">
      <w:pPr>
        <w:spacing w:line="360" w:lineRule="auto"/>
        <w:ind w:firstLine="420" w:firstLineChars="200"/>
        <w:rPr>
          <w:bCs/>
          <w:color w:val="auto"/>
          <w:highlight w:val="none"/>
        </w:rPr>
      </w:pPr>
    </w:p>
    <w:p w14:paraId="5A5D6F3A">
      <w:pPr>
        <w:pStyle w:val="11"/>
        <w:spacing w:before="0" w:after="0" w:line="360" w:lineRule="auto"/>
        <w:ind w:firstLine="562" w:firstLineChars="200"/>
        <w:rPr>
          <w:color w:val="auto"/>
          <w:highlight w:val="none"/>
        </w:rPr>
      </w:pPr>
      <w:r>
        <w:rPr>
          <w:rFonts w:hint="eastAsia"/>
          <w:color w:val="auto"/>
          <w:highlight w:val="none"/>
        </w:rPr>
        <w:t>设计方案</w:t>
      </w:r>
    </w:p>
    <w:p w14:paraId="38FE4AE4">
      <w:pPr>
        <w:pStyle w:val="12"/>
        <w:tabs>
          <w:tab w:val="left" w:pos="864"/>
        </w:tabs>
        <w:spacing w:line="360" w:lineRule="auto"/>
        <w:ind w:left="0" w:firstLine="420" w:firstLineChars="200"/>
        <w:rPr>
          <w:color w:val="auto"/>
          <w:highlight w:val="none"/>
        </w:rPr>
      </w:pPr>
      <w:r>
        <w:rPr>
          <w:rFonts w:hint="eastAsia"/>
          <w:color w:val="auto"/>
          <w:highlight w:val="none"/>
        </w:rPr>
        <w:t>电子狱务专网局域网</w:t>
      </w:r>
    </w:p>
    <w:p w14:paraId="18FE0121">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1、出口路由器设计</w:t>
      </w:r>
    </w:p>
    <w:p w14:paraId="52070B3E">
      <w:pPr>
        <w:spacing w:line="360" w:lineRule="auto"/>
        <w:ind w:firstLine="420" w:firstLineChars="200"/>
        <w:rPr>
          <w:bCs/>
          <w:color w:val="auto"/>
          <w:highlight w:val="none"/>
        </w:rPr>
      </w:pPr>
      <w:r>
        <w:rPr>
          <w:rFonts w:hint="eastAsia"/>
          <w:bCs/>
          <w:color w:val="auto"/>
          <w:highlight w:val="none"/>
        </w:rPr>
        <w:t>出口路由器需要和广域网互联，因此要支持OSPF、BGP和MPLS vpn等网互联常用网络协议。为保证出口路由器的链路冗余能力，出口路由器应至少具备4个千兆电口（其中上行2个、下行2个）和4个千兆光口（其中上行2个、下行2个），为保证接口冗余量，本次设计出口路由器具备16个千兆电口和8个千兆光口，以满足日后链路扩充后的接口需求。同时，出口路由器应具备扩展插槽，以便将来扩充万兆接口使用。为保证设备的可靠性，出口路由器还要配置冗余电源。</w:t>
      </w:r>
    </w:p>
    <w:p w14:paraId="5BD1EE87">
      <w:pPr>
        <w:numPr>
          <w:ilvl w:val="0"/>
          <w:numId w:val="14"/>
        </w:num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可管控防火墙设计</w:t>
      </w:r>
    </w:p>
    <w:p w14:paraId="3ED22343">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本次网络安全方案在电子狱务专网局域网的联网区、数据中心区部署可管控防火墙，性能需要满足接入电子狱务专网的要求。防火墙开启MPLS vpn进行广域网互联，并做安全域划分，对网内终端进行安全防护。</w:t>
      </w:r>
    </w:p>
    <w:p w14:paraId="72D3ED25">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防火墙采用基于状态的包过滤，提供更高的效率和安全性，通过跟踪网络包的状态来决定对网络包的处理（放行还是过滤），不仅考虑每个网络包，而且考虑网络包的历史关联性。在进行规则匹配时，将包的连接状态记录下来，同一连接的包，只检查第一个包，以后该连接的包就可以不用通过规则检查，而只需要检查状态表里该包所属的连接状态，如果该连接的包状态中显示已通过检查，表示该网络包属于已建立的合法连接，则不需要对该包进行检查，可以通过，同时更新状态表。这样就提高了包过滤的效率。</w:t>
      </w:r>
    </w:p>
    <w:p w14:paraId="7954C320">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基于状态的包过滤功能还可以通过状态表来实现截断所有进入一个特定被保护区域的通信，只允许那些由区域内部首先发起连接的网络包能够进入区域内部，从而更好的保护被保护区域的内部主机。</w:t>
      </w:r>
    </w:p>
    <w:p w14:paraId="5072704E">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为了保证以后功能扩展的需求，本次设计可管控防火墙的业务插槽≥10个。为保证可管控防火墙能和核心交换机之间高速互联，出口安全设备需具备万兆接口，为保证可管控防火墙和出口路由器进行互联，至少需具备2个千兆电口和2个千兆光口，考虑到接口的冗余，本次需要出口防火墙具备≥6个千兆电口，≥6个千兆光口，≥2个万兆接口，为预留一定余量，可管控防火墙的并发连接数≥200万。</w:t>
      </w:r>
    </w:p>
    <w:p w14:paraId="55A7C08A">
      <w:pPr>
        <w:numPr>
          <w:ilvl w:val="0"/>
          <w:numId w:val="14"/>
        </w:num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入侵防御系统设计</w:t>
      </w:r>
    </w:p>
    <w:p w14:paraId="43DA0D2B">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本</w:t>
      </w:r>
      <w:r>
        <w:rPr>
          <w:rFonts w:hint="eastAsia" w:ascii="Arial" w:hAnsi="Arial" w:cs="Arial"/>
          <w:bCs/>
          <w:color w:val="auto"/>
          <w:kern w:val="16"/>
          <w:highlight w:val="none"/>
        </w:rPr>
        <w:t>网络</w:t>
      </w:r>
      <w:r>
        <w:rPr>
          <w:rFonts w:ascii="Arial" w:hAnsi="Arial" w:cs="Arial"/>
          <w:bCs/>
          <w:color w:val="auto"/>
          <w:kern w:val="16"/>
          <w:highlight w:val="none"/>
        </w:rPr>
        <w:t>在联网区、数据中心区部署入侵防御系统。</w:t>
      </w:r>
    </w:p>
    <w:p w14:paraId="5BD93387">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网络入侵防御系统提供主动的、实时的防护，其设计目标旨在准确监测网络异常流量，自动对各类攻击性的流量，尤其是应用层的威胁进行实时阻断，而不是简单地在监测到恶意流量的同时或之后才发出告警。</w:t>
      </w:r>
      <w:r>
        <w:rPr>
          <w:rFonts w:hint="eastAsia" w:ascii="Arial" w:hAnsi="Arial" w:cs="Arial"/>
          <w:bCs/>
          <w:color w:val="auto"/>
          <w:kern w:val="16"/>
          <w:highlight w:val="none"/>
        </w:rPr>
        <w:t>在</w:t>
      </w:r>
      <w:r>
        <w:rPr>
          <w:rFonts w:ascii="Arial" w:hAnsi="Arial" w:cs="Arial"/>
          <w:bCs/>
          <w:color w:val="auto"/>
          <w:kern w:val="16"/>
          <w:highlight w:val="none"/>
        </w:rPr>
        <w:t>接收到外部数据流量时，如果检测到攻击企图，就会自动地将攻击包丢掉或采取措施将攻击源阻断，而不把攻击流量放进内部网络。</w:t>
      </w:r>
    </w:p>
    <w:p w14:paraId="35361168">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本次部署</w:t>
      </w:r>
      <w:r>
        <w:rPr>
          <w:rFonts w:hint="eastAsia" w:ascii="Arial" w:hAnsi="Arial" w:cs="Arial"/>
          <w:bCs/>
          <w:color w:val="auto"/>
          <w:kern w:val="16"/>
          <w:highlight w:val="none"/>
        </w:rPr>
        <w:t>的</w:t>
      </w:r>
      <w:r>
        <w:rPr>
          <w:rFonts w:ascii="Arial" w:hAnsi="Arial" w:cs="Arial"/>
          <w:bCs/>
          <w:color w:val="auto"/>
          <w:kern w:val="16"/>
          <w:highlight w:val="none"/>
        </w:rPr>
        <w:t>入侵防御系统，</w:t>
      </w:r>
      <w:r>
        <w:rPr>
          <w:rFonts w:hint="eastAsia" w:ascii="Arial" w:hAnsi="Arial" w:cs="Arial"/>
          <w:bCs/>
          <w:color w:val="auto"/>
          <w:kern w:val="16"/>
          <w:highlight w:val="none"/>
        </w:rPr>
        <w:t>可以</w:t>
      </w:r>
      <w:r>
        <w:rPr>
          <w:rFonts w:ascii="Arial" w:hAnsi="Arial" w:cs="Arial"/>
          <w:bCs/>
          <w:color w:val="auto"/>
          <w:kern w:val="16"/>
          <w:highlight w:val="none"/>
        </w:rPr>
        <w:t>实时地识别、阻断或限制黑客、蠕虫、病毒、木马、DoS/DDoS、扫描、间谍软件、协议异常、网络钓鱼、P2P、IM、网游等网络攻击或网络滥用，还具有带宽管理和URL过滤功能，可为</w:t>
      </w:r>
      <w:r>
        <w:rPr>
          <w:rFonts w:hint="eastAsia" w:ascii="Arial" w:hAnsi="Arial" w:cs="Arial"/>
          <w:bCs/>
          <w:color w:val="auto"/>
          <w:kern w:val="16"/>
          <w:highlight w:val="none"/>
        </w:rPr>
        <w:t>本网络</w:t>
      </w:r>
      <w:r>
        <w:rPr>
          <w:rFonts w:ascii="Arial" w:hAnsi="Arial" w:cs="Arial"/>
          <w:bCs/>
          <w:color w:val="auto"/>
          <w:kern w:val="16"/>
          <w:highlight w:val="none"/>
        </w:rPr>
        <w:t>提供全面的深度防御。</w:t>
      </w:r>
    </w:p>
    <w:p w14:paraId="0B381B0C">
      <w:pPr>
        <w:spacing w:line="360" w:lineRule="auto"/>
        <w:ind w:firstLine="420" w:firstLineChars="200"/>
        <w:rPr>
          <w:rFonts w:ascii="Arial" w:hAnsi="Arial" w:cs="Arial"/>
          <w:bCs/>
          <w:color w:val="auto"/>
          <w:kern w:val="16"/>
          <w:highlight w:val="none"/>
        </w:rPr>
      </w:pPr>
      <w:r>
        <w:rPr>
          <w:rFonts w:hint="eastAsia" w:ascii="Arial" w:hAnsi="Arial" w:cs="Arial"/>
          <w:bCs/>
          <w:color w:val="auto"/>
          <w:kern w:val="16"/>
          <w:highlight w:val="none"/>
        </w:rPr>
        <w:t>为保证入侵防御系统和出口路由器进行互联，至少需具备2个千兆电口和2个千兆光口，考虑到接口的冗余，本次需要入侵防御系统具备≥6个千兆电口，≥6个千兆光口，≥2个万兆接口，为预留一定余量，入侵防御系统的并发连接数≥200万。</w:t>
      </w:r>
    </w:p>
    <w:p w14:paraId="5267C66A">
      <w:pPr>
        <w:numPr>
          <w:ilvl w:val="0"/>
          <w:numId w:val="14"/>
        </w:num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网络运维准入审计系统</w:t>
      </w:r>
      <w:r>
        <w:rPr>
          <w:rFonts w:hint="eastAsia" w:ascii="Arial" w:hAnsi="Arial" w:cs="Arial"/>
          <w:bCs/>
          <w:color w:val="auto"/>
          <w:kern w:val="16"/>
          <w:highlight w:val="none"/>
        </w:rPr>
        <w:t>设计</w:t>
      </w:r>
    </w:p>
    <w:p w14:paraId="535548EF">
      <w:pPr>
        <w:spacing w:line="360" w:lineRule="auto"/>
        <w:ind w:firstLine="420" w:firstLineChars="200"/>
        <w:rPr>
          <w:rFonts w:ascii="Arial" w:hAnsi="Arial" w:cs="Arial"/>
          <w:bCs/>
          <w:color w:val="auto"/>
          <w:kern w:val="16"/>
          <w:highlight w:val="none"/>
        </w:rPr>
      </w:pPr>
      <w:r>
        <w:rPr>
          <w:rFonts w:hint="eastAsia"/>
          <w:bCs/>
          <w:color w:val="auto"/>
          <w:highlight w:val="none"/>
        </w:rPr>
        <w:t>该系统具备对病毒感染主机的网络隔离功能，可对其在局域网内的病毒传播行为进行检测、阻断及告警；支持接收核心交换机、接入交换机等网络产品发送来的的内网安全日志信息，并对日志进行存储；对网络数据、安全数据、用户数据进行关联，实现基于用户名、用户IP、在线信息、接入终端类型、接入端口及接入位置、业务访问记录等信息的审计及回溯。</w:t>
      </w:r>
    </w:p>
    <w:p w14:paraId="4BB74676">
      <w:pPr>
        <w:numPr>
          <w:ilvl w:val="0"/>
          <w:numId w:val="14"/>
        </w:num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日志审计系统</w:t>
      </w:r>
      <w:r>
        <w:rPr>
          <w:rFonts w:hint="eastAsia" w:ascii="Arial" w:hAnsi="Arial" w:cs="Arial"/>
          <w:bCs/>
          <w:color w:val="auto"/>
          <w:kern w:val="16"/>
          <w:highlight w:val="none"/>
        </w:rPr>
        <w:t>设计</w:t>
      </w:r>
    </w:p>
    <w:p w14:paraId="4028DAE8">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在安全运维管理区部署日志审计系统，对</w:t>
      </w:r>
      <w:r>
        <w:rPr>
          <w:rFonts w:hint="eastAsia" w:ascii="Arial" w:hAnsi="Arial" w:cs="Arial"/>
          <w:bCs/>
          <w:color w:val="auto"/>
          <w:kern w:val="16"/>
          <w:highlight w:val="none"/>
        </w:rPr>
        <w:t>本网络</w:t>
      </w:r>
      <w:r>
        <w:rPr>
          <w:rFonts w:ascii="Arial" w:hAnsi="Arial" w:cs="Arial"/>
          <w:bCs/>
          <w:color w:val="auto"/>
          <w:kern w:val="16"/>
          <w:highlight w:val="none"/>
        </w:rPr>
        <w:t>安全设备的日志进行采集、搜索和归档。</w:t>
      </w:r>
    </w:p>
    <w:p w14:paraId="70B6D488">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日志采集：对不同日志源所产生的日志进行收集，实现日志的集中管理和存储；支持解析任意格式、任意来源的日志；使用无代理的方式收集日志。不限制审计节点数。</w:t>
      </w:r>
    </w:p>
    <w:p w14:paraId="0F36E351">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日志搜索：可进行基本搜索和高级搜索，从而帮助</w:t>
      </w:r>
      <w:r>
        <w:rPr>
          <w:rFonts w:hint="eastAsia" w:ascii="Arial" w:hAnsi="Arial" w:cs="Arial"/>
          <w:bCs/>
          <w:color w:val="auto"/>
          <w:kern w:val="16"/>
          <w:highlight w:val="none"/>
        </w:rPr>
        <w:t>监狱警察</w:t>
      </w:r>
      <w:r>
        <w:rPr>
          <w:rFonts w:ascii="Arial" w:hAnsi="Arial" w:cs="Arial"/>
          <w:bCs/>
          <w:color w:val="auto"/>
          <w:kern w:val="16"/>
          <w:highlight w:val="none"/>
        </w:rPr>
        <w:t>从海量的日志数据中检索出所需的信息。</w:t>
      </w:r>
    </w:p>
    <w:p w14:paraId="70568C27">
      <w:pPr>
        <w:spacing w:line="360" w:lineRule="auto"/>
        <w:ind w:firstLine="420" w:firstLineChars="200"/>
        <w:rPr>
          <w:rFonts w:ascii="Arial" w:hAnsi="Arial" w:cs="Arial"/>
          <w:bCs/>
          <w:color w:val="auto"/>
          <w:kern w:val="16"/>
          <w:highlight w:val="none"/>
        </w:rPr>
      </w:pPr>
      <w:r>
        <w:rPr>
          <w:rFonts w:ascii="Arial" w:hAnsi="Arial" w:cs="Arial"/>
          <w:bCs/>
          <w:color w:val="auto"/>
          <w:kern w:val="16"/>
          <w:highlight w:val="none"/>
        </w:rPr>
        <w:t>日志归档：对收集的日志数据进行自动归档处理，以实现日志数据的长久保存。存储的日志数据，用于取证分析、性能检测、使用统计等方面。支持自定义合规性报表。</w:t>
      </w:r>
    </w:p>
    <w:p w14:paraId="23ECBC3F">
      <w:pPr>
        <w:pStyle w:val="12"/>
        <w:tabs>
          <w:tab w:val="left" w:pos="864"/>
        </w:tabs>
        <w:spacing w:line="360" w:lineRule="auto"/>
        <w:ind w:left="0" w:firstLine="420" w:firstLineChars="200"/>
        <w:rPr>
          <w:rFonts w:ascii="Arial" w:hAnsi="Arial" w:cs="Arial"/>
          <w:color w:val="auto"/>
          <w:kern w:val="16"/>
          <w:highlight w:val="none"/>
        </w:rPr>
      </w:pPr>
      <w:r>
        <w:rPr>
          <w:rFonts w:hint="eastAsia" w:ascii="Arial" w:hAnsi="Arial" w:cs="Arial"/>
          <w:color w:val="auto"/>
          <w:kern w:val="16"/>
          <w:highlight w:val="none"/>
        </w:rPr>
        <w:t>电子</w:t>
      </w:r>
      <w:r>
        <w:rPr>
          <w:rFonts w:ascii="Arial" w:hAnsi="Arial" w:cs="Arial"/>
          <w:color w:val="auto"/>
          <w:kern w:val="16"/>
          <w:highlight w:val="none"/>
        </w:rPr>
        <w:t>狱务外网局域网</w:t>
      </w:r>
    </w:p>
    <w:p w14:paraId="5382F1E4">
      <w:pPr>
        <w:spacing w:line="360" w:lineRule="auto"/>
        <w:ind w:firstLine="420" w:firstLineChars="200"/>
        <w:rPr>
          <w:color w:val="auto"/>
          <w:highlight w:val="none"/>
        </w:rPr>
      </w:pPr>
      <w:r>
        <w:rPr>
          <w:rFonts w:hint="eastAsia"/>
          <w:color w:val="auto"/>
          <w:highlight w:val="none"/>
        </w:rPr>
        <w:t>电子</w:t>
      </w:r>
      <w:r>
        <w:rPr>
          <w:color w:val="auto"/>
          <w:highlight w:val="none"/>
        </w:rPr>
        <w:t>狱务外网本期建设暂不规划信息安全设备，</w:t>
      </w:r>
      <w:r>
        <w:rPr>
          <w:rFonts w:hint="eastAsia"/>
          <w:color w:val="auto"/>
          <w:highlight w:val="none"/>
        </w:rPr>
        <w:t>后期</w:t>
      </w:r>
      <w:r>
        <w:rPr>
          <w:color w:val="auto"/>
          <w:highlight w:val="none"/>
        </w:rPr>
        <w:t>按照信息安全相关要求另行配置。</w:t>
      </w:r>
    </w:p>
    <w:p w14:paraId="56B7BD71">
      <w:pPr>
        <w:pStyle w:val="11"/>
        <w:spacing w:before="0" w:after="0" w:line="360" w:lineRule="auto"/>
        <w:ind w:firstLine="562" w:firstLineChars="200"/>
        <w:rPr>
          <w:color w:val="auto"/>
          <w:highlight w:val="none"/>
        </w:rPr>
      </w:pPr>
      <w:r>
        <w:rPr>
          <w:rFonts w:hint="eastAsia"/>
          <w:color w:val="auto"/>
          <w:highlight w:val="none"/>
        </w:rPr>
        <w:t>部署方案</w:t>
      </w:r>
    </w:p>
    <w:p w14:paraId="15C401ED">
      <w:pPr>
        <w:numPr>
          <w:ilvl w:val="0"/>
          <w:numId w:val="15"/>
        </w:numPr>
        <w:spacing w:line="360" w:lineRule="auto"/>
        <w:ind w:left="0" w:firstLine="420" w:firstLineChars="200"/>
        <w:rPr>
          <w:bCs/>
          <w:color w:val="auto"/>
          <w:highlight w:val="none"/>
        </w:rPr>
      </w:pPr>
      <w:r>
        <w:rPr>
          <w:rFonts w:hint="eastAsia"/>
          <w:bCs/>
          <w:color w:val="auto"/>
          <w:highlight w:val="none"/>
        </w:rPr>
        <w:t>在</w:t>
      </w:r>
      <w:r>
        <w:rPr>
          <w:bCs/>
          <w:color w:val="auto"/>
          <w:highlight w:val="none"/>
        </w:rPr>
        <w:t>电子狱务专网</w:t>
      </w:r>
      <w:r>
        <w:rPr>
          <w:rFonts w:hint="eastAsia"/>
          <w:bCs/>
          <w:color w:val="auto"/>
          <w:highlight w:val="none"/>
        </w:rPr>
        <w:t>联网区部署1台出口路由器</w:t>
      </w:r>
      <w:r>
        <w:rPr>
          <w:bCs/>
          <w:color w:val="auto"/>
          <w:highlight w:val="none"/>
        </w:rPr>
        <w:t>、</w:t>
      </w:r>
      <w:r>
        <w:rPr>
          <w:rFonts w:hint="eastAsia"/>
          <w:bCs/>
          <w:color w:val="auto"/>
          <w:highlight w:val="none"/>
        </w:rPr>
        <w:t>1台可管控防火墙</w:t>
      </w:r>
      <w:r>
        <w:rPr>
          <w:bCs/>
          <w:color w:val="auto"/>
          <w:highlight w:val="none"/>
        </w:rPr>
        <w:t>和1台入侵防御系统</w:t>
      </w:r>
      <w:r>
        <w:rPr>
          <w:rFonts w:hint="eastAsia"/>
          <w:bCs/>
          <w:color w:val="auto"/>
          <w:highlight w:val="none"/>
        </w:rPr>
        <w:t>；</w:t>
      </w:r>
    </w:p>
    <w:p w14:paraId="0E38ACCE">
      <w:pPr>
        <w:numPr>
          <w:ilvl w:val="0"/>
          <w:numId w:val="15"/>
        </w:numPr>
        <w:spacing w:line="360" w:lineRule="auto"/>
        <w:ind w:left="0" w:firstLine="420" w:firstLineChars="200"/>
        <w:rPr>
          <w:bCs/>
          <w:color w:val="auto"/>
          <w:highlight w:val="none"/>
        </w:rPr>
      </w:pPr>
      <w:r>
        <w:rPr>
          <w:rFonts w:hint="eastAsia"/>
          <w:bCs/>
          <w:color w:val="auto"/>
          <w:highlight w:val="none"/>
        </w:rPr>
        <w:t>在</w:t>
      </w:r>
      <w:r>
        <w:rPr>
          <w:bCs/>
          <w:color w:val="auto"/>
          <w:highlight w:val="none"/>
        </w:rPr>
        <w:t>电子狱务专网</w:t>
      </w:r>
      <w:r>
        <w:rPr>
          <w:rFonts w:hint="eastAsia"/>
          <w:bCs/>
          <w:color w:val="auto"/>
          <w:highlight w:val="none"/>
        </w:rPr>
        <w:t>安全运维管理区部署1套日志审计系统；</w:t>
      </w:r>
    </w:p>
    <w:p w14:paraId="48D7E953">
      <w:pPr>
        <w:numPr>
          <w:ilvl w:val="0"/>
          <w:numId w:val="15"/>
        </w:numPr>
        <w:spacing w:line="360" w:lineRule="auto"/>
        <w:ind w:left="0" w:firstLine="420" w:firstLineChars="200"/>
        <w:rPr>
          <w:bCs/>
          <w:color w:val="auto"/>
          <w:highlight w:val="none"/>
        </w:rPr>
      </w:pPr>
      <w:r>
        <w:rPr>
          <w:rFonts w:hint="eastAsia"/>
          <w:bCs/>
          <w:color w:val="auto"/>
          <w:highlight w:val="none"/>
        </w:rPr>
        <w:t>在核心交换区部署1套网络运维准入审计系统；</w:t>
      </w:r>
    </w:p>
    <w:p w14:paraId="76F3F795">
      <w:pPr>
        <w:numPr>
          <w:ilvl w:val="0"/>
          <w:numId w:val="15"/>
        </w:numPr>
        <w:spacing w:line="360" w:lineRule="auto"/>
        <w:ind w:left="0" w:firstLine="420" w:firstLineChars="200"/>
        <w:rPr>
          <w:bCs/>
          <w:color w:val="auto"/>
          <w:highlight w:val="none"/>
        </w:rPr>
      </w:pPr>
      <w:r>
        <w:rPr>
          <w:bCs/>
          <w:color w:val="auto"/>
          <w:highlight w:val="none"/>
        </w:rPr>
        <w:t>在电子狱务外网部署1台出口路由器。</w:t>
      </w:r>
    </w:p>
    <w:p w14:paraId="1610EE0B">
      <w:pPr>
        <w:spacing w:line="360" w:lineRule="auto"/>
        <w:ind w:firstLine="420" w:firstLineChars="200"/>
        <w:rPr>
          <w:bCs/>
          <w:color w:val="auto"/>
          <w:highlight w:val="none"/>
        </w:rPr>
      </w:pPr>
      <w:r>
        <w:rPr>
          <w:bCs/>
          <w:color w:val="auto"/>
          <w:highlight w:val="none"/>
        </w:rPr>
        <w:t>此外，由于一起建设资金紧张，为满足国家等级保护建设和网络安全法的相关要求，整体规划分期建设；其中电子狱务专网运维管理区的堡垒机和漏洞扫描设备，狱务专网数据中心边界防护防火墙、入侵防御设备，以及电子狱务外网的上网行为管理及审计设备，放到后期建设规划里。</w:t>
      </w:r>
    </w:p>
    <w:p w14:paraId="08EF7ADF">
      <w:pPr>
        <w:pStyle w:val="10"/>
        <w:spacing w:before="0" w:after="0" w:line="360" w:lineRule="auto"/>
        <w:ind w:firstLine="643" w:firstLineChars="200"/>
        <w:rPr>
          <w:color w:val="auto"/>
          <w:highlight w:val="none"/>
        </w:rPr>
      </w:pPr>
      <w:r>
        <w:rPr>
          <w:rFonts w:hint="eastAsia"/>
          <w:color w:val="auto"/>
          <w:highlight w:val="none"/>
        </w:rPr>
        <w:t>4.4服务器及存储系统</w:t>
      </w:r>
    </w:p>
    <w:p w14:paraId="7BC2D227">
      <w:pPr>
        <w:spacing w:line="360" w:lineRule="auto"/>
        <w:ind w:firstLine="420" w:firstLineChars="200"/>
        <w:rPr>
          <w:bCs/>
          <w:color w:val="auto"/>
          <w:highlight w:val="none"/>
        </w:rPr>
      </w:pPr>
      <w:r>
        <w:rPr>
          <w:rFonts w:hint="eastAsia"/>
          <w:bCs/>
          <w:color w:val="auto"/>
          <w:highlight w:val="none"/>
        </w:rPr>
        <w:t>数据处理和存储系统是指开封市监狱信息化工程中智能安防集成平台、通讯调度平台、指挥管理平台等提供相应的硬件基础支撑，安防工程中各子系统运行所需的配套服务器不包含在内。服务器能够支撑智能安防集成平台对各子系统的管理调用，CPU 处理性能应满足多路并发；对于数据信息转发类服务，服务器配置的内存应足够，满足同时并行转发要求；GIS 地图服务服务器，应配备高速读写硬盘，满足影像资料的高速调用；数据库服务器配备大容量存储及高速读写的固态硬盘，保证数据存储的可靠、安全。</w:t>
      </w:r>
    </w:p>
    <w:p w14:paraId="483929F9">
      <w:pPr>
        <w:pStyle w:val="11"/>
        <w:spacing w:before="0" w:after="0" w:line="360" w:lineRule="auto"/>
        <w:ind w:firstLine="562" w:firstLineChars="200"/>
        <w:rPr>
          <w:color w:val="auto"/>
          <w:highlight w:val="none"/>
        </w:rPr>
      </w:pPr>
      <w:r>
        <w:rPr>
          <w:rFonts w:hint="eastAsia"/>
          <w:color w:val="auto"/>
          <w:highlight w:val="none"/>
        </w:rPr>
        <w:t>设计方案</w:t>
      </w:r>
    </w:p>
    <w:p w14:paraId="5BE7E708">
      <w:pPr>
        <w:pStyle w:val="12"/>
        <w:tabs>
          <w:tab w:val="left" w:pos="864"/>
        </w:tabs>
        <w:spacing w:line="360" w:lineRule="auto"/>
        <w:ind w:left="0" w:firstLine="420" w:firstLineChars="200"/>
        <w:rPr>
          <w:color w:val="auto"/>
          <w:highlight w:val="none"/>
        </w:rPr>
      </w:pPr>
      <w:r>
        <w:rPr>
          <w:rFonts w:hint="eastAsia"/>
          <w:color w:val="auto"/>
          <w:highlight w:val="none"/>
        </w:rPr>
        <w:t>服务器选型</w:t>
      </w:r>
    </w:p>
    <w:p w14:paraId="15EAD96C">
      <w:pPr>
        <w:spacing w:line="360" w:lineRule="auto"/>
        <w:ind w:firstLine="420" w:firstLineChars="200"/>
        <w:rPr>
          <w:bCs/>
          <w:color w:val="auto"/>
          <w:highlight w:val="none"/>
        </w:rPr>
      </w:pPr>
      <w:r>
        <w:rPr>
          <w:rFonts w:hint="eastAsia"/>
          <w:bCs/>
          <w:color w:val="auto"/>
          <w:highlight w:val="none"/>
        </w:rPr>
        <w:t>数据处理系统主要由各种数据处理服务器构成。根据监狱管理信息系统的建设要求，应配置和部署综合</w:t>
      </w:r>
      <w:r>
        <w:rPr>
          <w:bCs/>
          <w:color w:val="auto"/>
          <w:highlight w:val="none"/>
        </w:rPr>
        <w:t>管理服务器、</w:t>
      </w:r>
      <w:r>
        <w:rPr>
          <w:rFonts w:hint="eastAsia"/>
          <w:bCs/>
          <w:color w:val="auto"/>
          <w:highlight w:val="none"/>
        </w:rPr>
        <w:t>数据库服务器、业务应用服务器等。</w:t>
      </w:r>
    </w:p>
    <w:p w14:paraId="035DFC80">
      <w:pPr>
        <w:spacing w:line="360" w:lineRule="auto"/>
        <w:ind w:firstLine="420" w:firstLineChars="200"/>
        <w:rPr>
          <w:bCs/>
          <w:color w:val="auto"/>
          <w:highlight w:val="none"/>
        </w:rPr>
      </w:pPr>
      <w:r>
        <w:rPr>
          <w:rFonts w:hint="eastAsia"/>
          <w:bCs/>
          <w:color w:val="auto"/>
          <w:highlight w:val="none"/>
        </w:rPr>
        <w:t>一般服务器</w:t>
      </w:r>
      <w:r>
        <w:rPr>
          <w:bCs/>
          <w:color w:val="auto"/>
          <w:highlight w:val="none"/>
        </w:rPr>
        <w:t>设备</w:t>
      </w:r>
      <w:r>
        <w:rPr>
          <w:rFonts w:hint="eastAsia"/>
          <w:bCs/>
          <w:color w:val="auto"/>
          <w:highlight w:val="none"/>
        </w:rPr>
        <w:t>选型</w:t>
      </w:r>
      <w:r>
        <w:rPr>
          <w:bCs/>
          <w:color w:val="auto"/>
          <w:highlight w:val="none"/>
        </w:rPr>
        <w:t>需要注意以下主要参数：</w:t>
      </w:r>
    </w:p>
    <w:p w14:paraId="1E1935E0">
      <w:pPr>
        <w:numPr>
          <w:ilvl w:val="0"/>
          <w:numId w:val="16"/>
        </w:numPr>
        <w:spacing w:line="360" w:lineRule="auto"/>
        <w:ind w:left="0" w:firstLine="420" w:firstLineChars="200"/>
        <w:rPr>
          <w:bCs/>
          <w:color w:val="auto"/>
          <w:highlight w:val="none"/>
        </w:rPr>
      </w:pPr>
      <w:r>
        <w:rPr>
          <w:bCs/>
          <w:color w:val="auto"/>
          <w:highlight w:val="none"/>
        </w:rPr>
        <w:t>CPU</w:t>
      </w:r>
    </w:p>
    <w:p w14:paraId="7AA17CC7">
      <w:pPr>
        <w:spacing w:line="360" w:lineRule="auto"/>
        <w:ind w:firstLine="420" w:firstLineChars="200"/>
        <w:rPr>
          <w:bCs/>
          <w:color w:val="auto"/>
          <w:highlight w:val="none"/>
        </w:rPr>
      </w:pPr>
      <w:r>
        <w:rPr>
          <w:rFonts w:hint="eastAsia"/>
          <w:bCs/>
          <w:color w:val="auto"/>
          <w:highlight w:val="none"/>
        </w:rPr>
        <w:t>CPU对于服务器来说，就像人类的大脑。CPU的类型、主频和数量在根本上决定着服务器的性能。</w:t>
      </w:r>
    </w:p>
    <w:p w14:paraId="16AAC430">
      <w:pPr>
        <w:spacing w:line="360" w:lineRule="auto"/>
        <w:ind w:firstLine="420" w:firstLineChars="200"/>
        <w:rPr>
          <w:bCs/>
          <w:color w:val="auto"/>
          <w:highlight w:val="none"/>
        </w:rPr>
      </w:pPr>
      <w:r>
        <w:rPr>
          <w:rFonts w:hint="eastAsia"/>
          <w:bCs/>
          <w:color w:val="auto"/>
          <w:highlight w:val="none"/>
        </w:rPr>
        <w:t>另外，CPU的主频越高，缓存数量越大，则服务器的运算速度就会越快、性能就会越高。</w:t>
      </w:r>
    </w:p>
    <w:p w14:paraId="218A79CC">
      <w:pPr>
        <w:numPr>
          <w:ilvl w:val="0"/>
          <w:numId w:val="16"/>
        </w:numPr>
        <w:spacing w:line="360" w:lineRule="auto"/>
        <w:ind w:left="0" w:firstLine="420" w:firstLineChars="200"/>
        <w:rPr>
          <w:bCs/>
          <w:color w:val="auto"/>
          <w:highlight w:val="none"/>
        </w:rPr>
      </w:pPr>
      <w:r>
        <w:rPr>
          <w:rFonts w:hint="eastAsia"/>
          <w:bCs/>
          <w:color w:val="auto"/>
          <w:highlight w:val="none"/>
        </w:rPr>
        <w:t>内存</w:t>
      </w:r>
    </w:p>
    <w:p w14:paraId="7C550B07">
      <w:pPr>
        <w:spacing w:line="360" w:lineRule="auto"/>
        <w:ind w:firstLine="420" w:firstLineChars="200"/>
        <w:rPr>
          <w:bCs/>
          <w:color w:val="auto"/>
          <w:highlight w:val="none"/>
        </w:rPr>
      </w:pPr>
      <w:r>
        <w:rPr>
          <w:rFonts w:hint="eastAsia"/>
          <w:bCs/>
          <w:color w:val="auto"/>
          <w:highlight w:val="none"/>
        </w:rPr>
        <w:t>服务器采用专用的ECC校验内存，并且应当与不同的CPU搭配使用。通常情况下，内存数量越大，服务器的性能越高。</w:t>
      </w:r>
    </w:p>
    <w:p w14:paraId="27814EBB">
      <w:pPr>
        <w:numPr>
          <w:ilvl w:val="0"/>
          <w:numId w:val="16"/>
        </w:numPr>
        <w:spacing w:line="360" w:lineRule="auto"/>
        <w:ind w:left="0" w:firstLine="420" w:firstLineChars="200"/>
        <w:rPr>
          <w:bCs/>
          <w:color w:val="auto"/>
          <w:highlight w:val="none"/>
        </w:rPr>
      </w:pPr>
      <w:r>
        <w:rPr>
          <w:rFonts w:hint="eastAsia"/>
          <w:bCs/>
          <w:color w:val="auto"/>
          <w:highlight w:val="none"/>
        </w:rPr>
        <w:t>芯片组与主板</w:t>
      </w:r>
    </w:p>
    <w:p w14:paraId="701C6186">
      <w:pPr>
        <w:spacing w:line="360" w:lineRule="auto"/>
        <w:ind w:firstLine="420" w:firstLineChars="200"/>
        <w:rPr>
          <w:bCs/>
          <w:color w:val="auto"/>
          <w:highlight w:val="none"/>
        </w:rPr>
      </w:pPr>
      <w:r>
        <w:rPr>
          <w:rFonts w:hint="eastAsia"/>
          <w:bCs/>
          <w:color w:val="auto"/>
          <w:highlight w:val="none"/>
        </w:rPr>
        <w:t>服务器作为各业务系统的核心，具有业务量大、存储数据量大等特点。它承担着业务数据的存储和处理任务，因此关键数据库服务器、流媒体服务器、中心管理服务器的选择就显得尤为重要。服务器的可靠性和可用性是首要的需求，其次是数据处理能力和安全性，然后是可扩展性和可管理性。</w:t>
      </w:r>
    </w:p>
    <w:p w14:paraId="1EB1A5F1">
      <w:pPr>
        <w:spacing w:line="360" w:lineRule="auto"/>
        <w:ind w:firstLine="420" w:firstLineChars="200"/>
        <w:rPr>
          <w:bCs/>
          <w:color w:val="auto"/>
          <w:highlight w:val="none"/>
        </w:rPr>
      </w:pPr>
      <w:r>
        <w:rPr>
          <w:rFonts w:hint="eastAsia"/>
          <w:bCs/>
          <w:color w:val="auto"/>
          <w:highlight w:val="none"/>
        </w:rPr>
        <w:t>对于大型数据库来说，服务器往往仅用来运行数据库，或仅运行单一的应用。需要有较高的CPU处理能力，大容量内存为数据缓存服务，并需要很好的IO性能，使用这类应用时，通常需要有较高的CPU主频。</w:t>
      </w:r>
    </w:p>
    <w:p w14:paraId="530BA190">
      <w:pPr>
        <w:spacing w:line="360" w:lineRule="auto"/>
        <w:ind w:firstLine="420" w:firstLineChars="200"/>
        <w:rPr>
          <w:bCs/>
          <w:color w:val="auto"/>
          <w:highlight w:val="none"/>
        </w:rPr>
      </w:pPr>
      <w:r>
        <w:rPr>
          <w:rFonts w:hint="eastAsia"/>
          <w:bCs/>
          <w:color w:val="auto"/>
          <w:highlight w:val="none"/>
        </w:rPr>
        <w:t>针对此次项目中用到的服务器选型应考虑以下五个原则：</w:t>
      </w:r>
    </w:p>
    <w:p w14:paraId="45D8739B">
      <w:pPr>
        <w:numPr>
          <w:ilvl w:val="0"/>
          <w:numId w:val="16"/>
        </w:numPr>
        <w:spacing w:line="360" w:lineRule="auto"/>
        <w:ind w:left="0" w:firstLine="420" w:firstLineChars="200"/>
        <w:rPr>
          <w:bCs/>
          <w:color w:val="auto"/>
          <w:highlight w:val="none"/>
        </w:rPr>
      </w:pPr>
      <w:r>
        <w:rPr>
          <w:rFonts w:hint="eastAsia"/>
          <w:bCs/>
          <w:color w:val="auto"/>
          <w:highlight w:val="none"/>
        </w:rPr>
        <w:t>稳定性原则</w:t>
      </w:r>
    </w:p>
    <w:p w14:paraId="6B657F2C">
      <w:pPr>
        <w:spacing w:line="360" w:lineRule="auto"/>
        <w:ind w:firstLine="420" w:firstLineChars="200"/>
        <w:rPr>
          <w:bCs/>
          <w:color w:val="auto"/>
          <w:highlight w:val="none"/>
        </w:rPr>
      </w:pPr>
      <w:r>
        <w:rPr>
          <w:rFonts w:hint="eastAsia"/>
          <w:bCs/>
          <w:color w:val="auto"/>
          <w:highlight w:val="none"/>
        </w:rPr>
        <w:t>对于服务器而言，稳定性是最为重要的。为了保证网络的正常运转，要确保服务器的稳定运行。</w:t>
      </w:r>
    </w:p>
    <w:p w14:paraId="37807FD9">
      <w:pPr>
        <w:numPr>
          <w:ilvl w:val="0"/>
          <w:numId w:val="16"/>
        </w:numPr>
        <w:spacing w:line="360" w:lineRule="auto"/>
        <w:ind w:left="0" w:firstLine="420" w:firstLineChars="200"/>
        <w:rPr>
          <w:bCs/>
          <w:color w:val="auto"/>
          <w:highlight w:val="none"/>
        </w:rPr>
      </w:pPr>
      <w:r>
        <w:rPr>
          <w:rFonts w:hint="eastAsia"/>
          <w:bCs/>
          <w:color w:val="auto"/>
          <w:highlight w:val="none"/>
        </w:rPr>
        <w:t>小型化原则</w:t>
      </w:r>
    </w:p>
    <w:p w14:paraId="7C906BF7">
      <w:pPr>
        <w:spacing w:line="360" w:lineRule="auto"/>
        <w:ind w:firstLine="420" w:firstLineChars="200"/>
        <w:rPr>
          <w:bCs/>
          <w:color w:val="auto"/>
          <w:highlight w:val="none"/>
        </w:rPr>
      </w:pPr>
      <w:r>
        <w:rPr>
          <w:rFonts w:hint="eastAsia"/>
          <w:bCs/>
          <w:color w:val="auto"/>
          <w:highlight w:val="none"/>
        </w:rPr>
        <w:t>建议为每种网络服务都配置不同的服务器，以分散访问压力。另外，也可采用负载均衡或集群的方式满足网络服务需求，这样既可节约购置费用，又可大幅提高网络稳定性。</w:t>
      </w:r>
    </w:p>
    <w:p w14:paraId="5E7E70B0">
      <w:pPr>
        <w:numPr>
          <w:ilvl w:val="0"/>
          <w:numId w:val="16"/>
        </w:numPr>
        <w:spacing w:line="360" w:lineRule="auto"/>
        <w:ind w:left="0" w:firstLine="420" w:firstLineChars="200"/>
        <w:rPr>
          <w:bCs/>
          <w:color w:val="auto"/>
          <w:highlight w:val="none"/>
        </w:rPr>
      </w:pPr>
      <w:r>
        <w:rPr>
          <w:rFonts w:hint="eastAsia"/>
          <w:bCs/>
          <w:color w:val="auto"/>
          <w:highlight w:val="none"/>
        </w:rPr>
        <w:t>够用原则</w:t>
      </w:r>
    </w:p>
    <w:p w14:paraId="2C8F2434">
      <w:pPr>
        <w:spacing w:line="360" w:lineRule="auto"/>
        <w:ind w:firstLine="420" w:firstLineChars="200"/>
        <w:rPr>
          <w:bCs/>
          <w:color w:val="auto"/>
          <w:highlight w:val="none"/>
        </w:rPr>
      </w:pPr>
      <w:r>
        <w:rPr>
          <w:rFonts w:hint="eastAsia"/>
          <w:bCs/>
          <w:color w:val="auto"/>
          <w:highlight w:val="none"/>
        </w:rPr>
        <w:t>服务器的配置在不断提升而价格在不断下降，因此，只要能满足当前的服务需要并适当超前即可。当现有的服务器无法满足网络需求时，可以将它改作为其他对性能要求较低的服务器（如DNS、FTP服务器等），或者进行适当扩充，或者采用集群的方式提升性能，然后，再为新的网络需求购置新型服务器。</w:t>
      </w:r>
    </w:p>
    <w:p w14:paraId="02B26D55">
      <w:pPr>
        <w:numPr>
          <w:ilvl w:val="0"/>
          <w:numId w:val="16"/>
        </w:numPr>
        <w:spacing w:line="360" w:lineRule="auto"/>
        <w:ind w:left="0" w:firstLine="420" w:firstLineChars="200"/>
        <w:rPr>
          <w:bCs/>
          <w:color w:val="auto"/>
          <w:highlight w:val="none"/>
        </w:rPr>
      </w:pPr>
      <w:r>
        <w:rPr>
          <w:rFonts w:hint="eastAsia"/>
          <w:bCs/>
          <w:color w:val="auto"/>
          <w:highlight w:val="none"/>
        </w:rPr>
        <w:t>机架原则</w:t>
      </w:r>
    </w:p>
    <w:p w14:paraId="15A03E06">
      <w:pPr>
        <w:spacing w:line="360" w:lineRule="auto"/>
        <w:ind w:firstLine="420" w:firstLineChars="200"/>
        <w:rPr>
          <w:bCs/>
          <w:color w:val="auto"/>
          <w:highlight w:val="none"/>
        </w:rPr>
      </w:pPr>
      <w:r>
        <w:rPr>
          <w:rFonts w:hint="eastAsia"/>
          <w:bCs/>
          <w:color w:val="auto"/>
          <w:highlight w:val="none"/>
        </w:rPr>
        <w:t>当网络内需要较多服务器时，建议考虑采用机架式服务器。机架式服务器可统一安装在标准机柜内，既减少对空间的占用，又无须重复购置显示器和键盘。更重要的是便于进行电源管理和集群操作。</w:t>
      </w:r>
    </w:p>
    <w:p w14:paraId="076303D2">
      <w:pPr>
        <w:numPr>
          <w:ilvl w:val="0"/>
          <w:numId w:val="16"/>
        </w:numPr>
        <w:spacing w:line="360" w:lineRule="auto"/>
        <w:ind w:left="0" w:firstLine="420" w:firstLineChars="200"/>
        <w:rPr>
          <w:bCs/>
          <w:color w:val="auto"/>
          <w:highlight w:val="none"/>
        </w:rPr>
      </w:pPr>
      <w:r>
        <w:rPr>
          <w:rFonts w:hint="eastAsia"/>
          <w:bCs/>
          <w:color w:val="auto"/>
          <w:highlight w:val="none"/>
        </w:rPr>
        <w:t>可扩展</w:t>
      </w:r>
      <w:r>
        <w:rPr>
          <w:bCs/>
          <w:color w:val="auto"/>
          <w:highlight w:val="none"/>
        </w:rPr>
        <w:t>性原则</w:t>
      </w:r>
    </w:p>
    <w:p w14:paraId="48AEB8A2">
      <w:pPr>
        <w:spacing w:line="360" w:lineRule="auto"/>
        <w:ind w:firstLine="420" w:firstLineChars="200"/>
        <w:rPr>
          <w:bCs/>
          <w:color w:val="auto"/>
          <w:highlight w:val="none"/>
        </w:rPr>
      </w:pPr>
      <w:r>
        <w:rPr>
          <w:rFonts w:hint="eastAsia"/>
          <w:bCs/>
          <w:color w:val="auto"/>
          <w:highlight w:val="none"/>
        </w:rPr>
        <w:t>服务器的可扩展性既被用于部件冗余以保证运行的稳定性，同时，也被用于提升系统配置、增加功能。因此，服务器除了有较多的硬盘位置、内存插槽、CPU插座外，还拥有丰富的板卡插槽。如果硬盘数量较多，还应当能够扩充电源模块。</w:t>
      </w:r>
    </w:p>
    <w:p w14:paraId="11BDD161">
      <w:pPr>
        <w:pStyle w:val="12"/>
        <w:tabs>
          <w:tab w:val="left" w:pos="864"/>
        </w:tabs>
        <w:spacing w:line="360" w:lineRule="auto"/>
        <w:ind w:left="0" w:firstLine="420" w:firstLineChars="200"/>
        <w:rPr>
          <w:color w:val="auto"/>
          <w:highlight w:val="none"/>
        </w:rPr>
      </w:pPr>
      <w:r>
        <w:rPr>
          <w:rFonts w:hint="eastAsia"/>
          <w:color w:val="auto"/>
          <w:highlight w:val="none"/>
        </w:rPr>
        <w:t>存储设备选型</w:t>
      </w:r>
    </w:p>
    <w:p w14:paraId="53FCA6DB">
      <w:pPr>
        <w:spacing w:line="360" w:lineRule="auto"/>
        <w:ind w:firstLine="420" w:firstLineChars="200"/>
        <w:rPr>
          <w:bCs/>
          <w:color w:val="auto"/>
          <w:highlight w:val="none"/>
        </w:rPr>
      </w:pPr>
      <w:r>
        <w:rPr>
          <w:rFonts w:hint="eastAsia"/>
          <w:bCs/>
          <w:color w:val="auto"/>
          <w:highlight w:val="none"/>
        </w:rPr>
        <w:t>任何网络建设都是为业务应用提供支撑的，业务应用不管是基于结构化的，或者是非结构化的，或者是流媒体之类的海量媒体管理等，都需要安全的进行存储。对存储可采用本地存储DAS、NAS、SAN等存储方式。</w:t>
      </w:r>
    </w:p>
    <w:p w14:paraId="24D6F472">
      <w:pPr>
        <w:spacing w:line="360" w:lineRule="auto"/>
        <w:ind w:firstLine="420" w:firstLineChars="200"/>
        <w:rPr>
          <w:bCs/>
          <w:color w:val="auto"/>
          <w:highlight w:val="none"/>
        </w:rPr>
      </w:pPr>
      <w:r>
        <w:rPr>
          <w:rFonts w:hint="eastAsia"/>
          <w:bCs/>
          <w:color w:val="auto"/>
          <w:highlight w:val="none"/>
        </w:rPr>
        <w:t>存储系统需整合存储资源，为应用提供了统一的存储服务，集中管理数据，系统建立的同时就要避免单点故障隐患，否则一旦平台发生管理硬件故障或存储资源故障将直接导致各业务系统的整体瘫痪。从平台的管理控制端到存储设备端再到数据，均实现了全自动化的高可靠冗余切换机制。</w:t>
      </w:r>
    </w:p>
    <w:p w14:paraId="48E02879">
      <w:pPr>
        <w:spacing w:line="360" w:lineRule="auto"/>
        <w:ind w:firstLine="420" w:firstLineChars="200"/>
        <w:rPr>
          <w:bCs/>
          <w:color w:val="auto"/>
          <w:highlight w:val="none"/>
        </w:rPr>
      </w:pPr>
      <w:r>
        <w:rPr>
          <w:rFonts w:hint="eastAsia"/>
          <w:bCs/>
          <w:color w:val="auto"/>
          <w:highlight w:val="none"/>
        </w:rPr>
        <w:t>存储系统在方案设计和设备造型上的通用原则：</w:t>
      </w:r>
    </w:p>
    <w:p w14:paraId="707873D0">
      <w:pPr>
        <w:spacing w:line="360" w:lineRule="auto"/>
        <w:ind w:firstLine="420" w:firstLineChars="200"/>
        <w:rPr>
          <w:bCs/>
          <w:color w:val="auto"/>
          <w:highlight w:val="none"/>
        </w:rPr>
      </w:pPr>
      <w:r>
        <w:rPr>
          <w:rFonts w:hint="eastAsia"/>
          <w:bCs/>
          <w:color w:val="auto"/>
          <w:highlight w:val="none"/>
        </w:rPr>
        <w:t>1、标准化</w:t>
      </w:r>
    </w:p>
    <w:p w14:paraId="5A8C8F30">
      <w:pPr>
        <w:spacing w:line="360" w:lineRule="auto"/>
        <w:ind w:firstLine="420" w:firstLineChars="200"/>
        <w:rPr>
          <w:bCs/>
          <w:color w:val="auto"/>
          <w:highlight w:val="none"/>
        </w:rPr>
      </w:pPr>
      <w:r>
        <w:rPr>
          <w:rFonts w:hint="eastAsia"/>
          <w:bCs/>
          <w:color w:val="auto"/>
          <w:highlight w:val="none"/>
        </w:rPr>
        <w:t>存储系统应符合国际标准，支持多种网络及网络存储协议标准，提供各种数据传输的接口。</w:t>
      </w:r>
    </w:p>
    <w:p w14:paraId="6AEF6D0B">
      <w:pPr>
        <w:spacing w:line="360" w:lineRule="auto"/>
        <w:ind w:firstLine="420" w:firstLineChars="200"/>
        <w:rPr>
          <w:bCs/>
          <w:color w:val="auto"/>
          <w:highlight w:val="none"/>
        </w:rPr>
      </w:pPr>
      <w:r>
        <w:rPr>
          <w:rFonts w:hint="eastAsia"/>
          <w:bCs/>
          <w:color w:val="auto"/>
          <w:highlight w:val="none"/>
        </w:rPr>
        <w:t>2、高可用性</w:t>
      </w:r>
    </w:p>
    <w:p w14:paraId="22727978">
      <w:pPr>
        <w:spacing w:line="360" w:lineRule="auto"/>
        <w:ind w:firstLine="420" w:firstLineChars="200"/>
        <w:rPr>
          <w:bCs/>
          <w:color w:val="auto"/>
          <w:highlight w:val="none"/>
        </w:rPr>
      </w:pPr>
      <w:r>
        <w:rPr>
          <w:rFonts w:hint="eastAsia"/>
          <w:bCs/>
          <w:color w:val="auto"/>
          <w:highlight w:val="none"/>
        </w:rPr>
        <w:t>存储系统的一个最重要目的就是为分散在网络上的各种应用提供集中、高性能的存储系统。因此在设计该存储方案时，科学地分析性能上的需求和解决方案，提供高可用的解决方案。</w:t>
      </w:r>
    </w:p>
    <w:p w14:paraId="235A8E62">
      <w:pPr>
        <w:spacing w:line="360" w:lineRule="auto"/>
        <w:ind w:firstLine="420" w:firstLineChars="200"/>
        <w:rPr>
          <w:bCs/>
          <w:color w:val="auto"/>
          <w:highlight w:val="none"/>
        </w:rPr>
      </w:pPr>
      <w:r>
        <w:rPr>
          <w:rFonts w:hint="eastAsia"/>
          <w:bCs/>
          <w:color w:val="auto"/>
          <w:highlight w:val="none"/>
        </w:rPr>
        <w:t>3、管理方便、灵活</w:t>
      </w:r>
    </w:p>
    <w:p w14:paraId="411569AB">
      <w:pPr>
        <w:spacing w:line="360" w:lineRule="auto"/>
        <w:ind w:firstLine="420" w:firstLineChars="200"/>
        <w:rPr>
          <w:bCs/>
          <w:color w:val="auto"/>
          <w:highlight w:val="none"/>
        </w:rPr>
      </w:pPr>
      <w:r>
        <w:rPr>
          <w:rFonts w:hint="eastAsia"/>
          <w:bCs/>
          <w:color w:val="auto"/>
          <w:highlight w:val="none"/>
        </w:rPr>
        <w:t>信息的管理和存储给监狱的</w:t>
      </w:r>
      <w:r>
        <w:rPr>
          <w:bCs/>
          <w:color w:val="auto"/>
          <w:highlight w:val="none"/>
        </w:rPr>
        <w:t>信息化管理工作</w:t>
      </w:r>
      <w:r>
        <w:rPr>
          <w:rFonts w:hint="eastAsia"/>
          <w:bCs/>
          <w:color w:val="auto"/>
          <w:highlight w:val="none"/>
        </w:rPr>
        <w:t>带来一系列问题。因此，在方案设计中必须遵循一个原则就是实现信息的方便高效、灵活的管理。</w:t>
      </w:r>
    </w:p>
    <w:p w14:paraId="5CE77C5B">
      <w:pPr>
        <w:spacing w:line="360" w:lineRule="auto"/>
        <w:ind w:firstLine="420" w:firstLineChars="200"/>
        <w:rPr>
          <w:bCs/>
          <w:color w:val="auto"/>
          <w:highlight w:val="none"/>
        </w:rPr>
      </w:pPr>
      <w:r>
        <w:rPr>
          <w:rFonts w:hint="eastAsia"/>
          <w:bCs/>
          <w:color w:val="auto"/>
          <w:highlight w:val="none"/>
        </w:rPr>
        <w:t>4、数据保护措施的完备性</w:t>
      </w:r>
    </w:p>
    <w:p w14:paraId="4CDFA095">
      <w:pPr>
        <w:spacing w:line="360" w:lineRule="auto"/>
        <w:ind w:firstLine="420" w:firstLineChars="200"/>
        <w:rPr>
          <w:bCs/>
          <w:color w:val="auto"/>
          <w:highlight w:val="none"/>
        </w:rPr>
      </w:pPr>
      <w:r>
        <w:rPr>
          <w:rFonts w:hint="eastAsia"/>
          <w:bCs/>
          <w:color w:val="auto"/>
          <w:highlight w:val="none"/>
        </w:rPr>
        <w:t>数据进行集中存储后，其安全保护就显得尤为重要。因为全部的信息都集中到了一个容量的存储设备中，如果没有非常可靠的数据保护技术势必会严重影响监狱的数据安全和关键业务的运转。</w:t>
      </w:r>
    </w:p>
    <w:p w14:paraId="6F37E18F">
      <w:pPr>
        <w:spacing w:line="360" w:lineRule="auto"/>
        <w:ind w:firstLine="420" w:firstLineChars="200"/>
        <w:rPr>
          <w:bCs/>
          <w:color w:val="auto"/>
          <w:highlight w:val="none"/>
        </w:rPr>
      </w:pPr>
      <w:r>
        <w:rPr>
          <w:rFonts w:hint="eastAsia"/>
          <w:bCs/>
          <w:color w:val="auto"/>
          <w:highlight w:val="none"/>
        </w:rPr>
        <w:t>5、高可靠性</w:t>
      </w:r>
    </w:p>
    <w:p w14:paraId="5E973BAD">
      <w:pPr>
        <w:spacing w:line="360" w:lineRule="auto"/>
        <w:ind w:firstLine="420" w:firstLineChars="200"/>
        <w:rPr>
          <w:bCs/>
          <w:color w:val="auto"/>
          <w:highlight w:val="none"/>
        </w:rPr>
      </w:pPr>
      <w:r>
        <w:rPr>
          <w:rFonts w:hint="eastAsia"/>
          <w:bCs/>
          <w:color w:val="auto"/>
          <w:highlight w:val="none"/>
        </w:rPr>
        <w:t>应对系统进行容错性、冗余性设计，确保存储系统的数据安全，能考虑实现在线的系统维护和升级。对于关键业务的应用，高可靠性要求是一个非常重要的原则。</w:t>
      </w:r>
    </w:p>
    <w:p w14:paraId="1B89DB60">
      <w:pPr>
        <w:spacing w:line="360" w:lineRule="auto"/>
        <w:ind w:firstLine="420" w:firstLineChars="200"/>
        <w:rPr>
          <w:bCs/>
          <w:color w:val="auto"/>
          <w:highlight w:val="none"/>
        </w:rPr>
      </w:pPr>
      <w:r>
        <w:rPr>
          <w:rFonts w:hint="eastAsia"/>
          <w:bCs/>
          <w:color w:val="auto"/>
          <w:highlight w:val="none"/>
        </w:rPr>
        <w:t>6、可扩展性</w:t>
      </w:r>
    </w:p>
    <w:p w14:paraId="6AE50E69">
      <w:pPr>
        <w:spacing w:line="360" w:lineRule="auto"/>
        <w:ind w:firstLine="420" w:firstLineChars="200"/>
        <w:rPr>
          <w:bCs/>
          <w:color w:val="auto"/>
          <w:highlight w:val="none"/>
        </w:rPr>
      </w:pPr>
      <w:r>
        <w:rPr>
          <w:rFonts w:hint="eastAsia"/>
          <w:bCs/>
          <w:color w:val="auto"/>
          <w:highlight w:val="none"/>
        </w:rPr>
        <w:t>满足现有应用的带宽及存储容量需求，并随着业务的发展提供良好的带宽及存储容量的扩展能力。</w:t>
      </w:r>
    </w:p>
    <w:p w14:paraId="28181968">
      <w:pPr>
        <w:spacing w:line="360" w:lineRule="auto"/>
        <w:ind w:firstLine="420" w:firstLineChars="200"/>
        <w:rPr>
          <w:bCs/>
          <w:color w:val="auto"/>
          <w:highlight w:val="none"/>
        </w:rPr>
      </w:pPr>
      <w:r>
        <w:rPr>
          <w:rFonts w:hint="eastAsia"/>
          <w:bCs/>
          <w:color w:val="auto"/>
          <w:highlight w:val="none"/>
        </w:rPr>
        <w:t>7、节省用户的投资、降低总成本</w:t>
      </w:r>
    </w:p>
    <w:p w14:paraId="601D9765">
      <w:pPr>
        <w:spacing w:line="360" w:lineRule="auto"/>
        <w:ind w:firstLine="420" w:firstLineChars="200"/>
        <w:rPr>
          <w:bCs/>
          <w:color w:val="auto"/>
          <w:highlight w:val="none"/>
        </w:rPr>
      </w:pPr>
      <w:r>
        <w:rPr>
          <w:rFonts w:hint="eastAsia"/>
          <w:bCs/>
          <w:color w:val="auto"/>
          <w:highlight w:val="none"/>
        </w:rPr>
        <w:t>在设计方案时应以节省用户的投资、降低运行总成本为目标。一方面尽最大限度的整合原有的设备、技术和网络结构；另一方面充分考虑将来的需求，从体系结构、容量、系统支持能力多方面保护用户的投资。</w:t>
      </w:r>
    </w:p>
    <w:p w14:paraId="4223A4EC">
      <w:pPr>
        <w:pStyle w:val="12"/>
        <w:tabs>
          <w:tab w:val="left" w:pos="864"/>
        </w:tabs>
        <w:spacing w:line="360" w:lineRule="auto"/>
        <w:ind w:left="0" w:firstLine="420" w:firstLineChars="200"/>
        <w:rPr>
          <w:color w:val="auto"/>
          <w:highlight w:val="none"/>
        </w:rPr>
      </w:pPr>
      <w:r>
        <w:rPr>
          <w:rFonts w:hint="eastAsia"/>
          <w:color w:val="auto"/>
          <w:highlight w:val="none"/>
        </w:rPr>
        <w:t>存储系统设计</w:t>
      </w:r>
    </w:p>
    <w:p w14:paraId="44078D99">
      <w:pPr>
        <w:spacing w:line="360" w:lineRule="auto"/>
        <w:ind w:firstLine="420" w:firstLineChars="200"/>
        <w:rPr>
          <w:rFonts w:ascii="仿宋" w:hAnsi="仿宋"/>
          <w:bCs/>
          <w:color w:val="auto"/>
          <w:highlight w:val="none"/>
        </w:rPr>
      </w:pPr>
      <w:r>
        <w:rPr>
          <w:rFonts w:hint="eastAsia"/>
          <w:bCs/>
          <w:color w:val="auto"/>
          <w:highlight w:val="none"/>
        </w:rPr>
        <w:t>存储系统共包括视频监控系统存储、会见管理系统存储、监听对讲系统存储、亲情电话系统存储及执法记录仪存储，</w:t>
      </w:r>
      <w:r>
        <w:rPr>
          <w:rFonts w:hint="eastAsia" w:ascii="仿宋" w:hAnsi="仿宋"/>
          <w:bCs/>
          <w:color w:val="auto"/>
          <w:highlight w:val="none"/>
        </w:rPr>
        <w:t>存储架构采用分布式云存储。</w:t>
      </w:r>
    </w:p>
    <w:p w14:paraId="0C3230FD">
      <w:pPr>
        <w:spacing w:line="360" w:lineRule="auto"/>
        <w:ind w:firstLine="420" w:firstLineChars="200"/>
        <w:rPr>
          <w:bCs/>
          <w:color w:val="auto"/>
          <w:highlight w:val="none"/>
        </w:rPr>
      </w:pPr>
      <w:r>
        <w:rPr>
          <w:rFonts w:hint="eastAsia"/>
          <w:bCs/>
          <w:color w:val="auto"/>
          <w:highlight w:val="none"/>
        </w:rPr>
        <w:t>详细存储系统设计计算详见“3.</w:t>
      </w:r>
      <w:r>
        <w:rPr>
          <w:bCs/>
          <w:color w:val="auto"/>
          <w:highlight w:val="none"/>
        </w:rPr>
        <w:t>2</w:t>
      </w:r>
      <w:r>
        <w:rPr>
          <w:rFonts w:hint="eastAsia"/>
          <w:bCs/>
          <w:color w:val="auto"/>
          <w:highlight w:val="none"/>
        </w:rPr>
        <w:t>.3存储容量指标分析”。</w:t>
      </w:r>
    </w:p>
    <w:p w14:paraId="47D45AC4">
      <w:pPr>
        <w:spacing w:line="360" w:lineRule="auto"/>
        <w:ind w:firstLine="420" w:firstLineChars="200"/>
        <w:rPr>
          <w:bCs/>
          <w:color w:val="auto"/>
          <w:highlight w:val="none"/>
        </w:rPr>
      </w:pPr>
      <w:r>
        <w:rPr>
          <w:rFonts w:hint="eastAsia"/>
          <w:bCs/>
          <w:color w:val="auto"/>
          <w:highlight w:val="none"/>
        </w:rPr>
        <w:t>本系统可实现如下功能：</w:t>
      </w:r>
    </w:p>
    <w:p w14:paraId="0B8D0E20">
      <w:pPr>
        <w:numPr>
          <w:ilvl w:val="0"/>
          <w:numId w:val="10"/>
        </w:numPr>
        <w:spacing w:line="360" w:lineRule="auto"/>
        <w:ind w:left="0" w:firstLine="420" w:firstLineChars="200"/>
        <w:rPr>
          <w:bCs/>
          <w:color w:val="auto"/>
          <w:highlight w:val="none"/>
        </w:rPr>
      </w:pPr>
      <w:r>
        <w:rPr>
          <w:rFonts w:hint="eastAsia"/>
          <w:bCs/>
          <w:color w:val="auto"/>
          <w:highlight w:val="none"/>
        </w:rPr>
        <w:t>使系统在为本监狱提供服务的过程中能实现平滑扩展，持续运行；</w:t>
      </w:r>
    </w:p>
    <w:p w14:paraId="1F0EE791">
      <w:pPr>
        <w:numPr>
          <w:ilvl w:val="0"/>
          <w:numId w:val="10"/>
        </w:numPr>
        <w:spacing w:line="360" w:lineRule="auto"/>
        <w:ind w:left="0" w:firstLine="420" w:firstLineChars="200"/>
        <w:rPr>
          <w:bCs/>
          <w:color w:val="auto"/>
          <w:highlight w:val="none"/>
        </w:rPr>
      </w:pPr>
      <w:r>
        <w:rPr>
          <w:rFonts w:hint="eastAsia"/>
          <w:bCs/>
          <w:color w:val="auto"/>
          <w:highlight w:val="none"/>
        </w:rPr>
        <w:t>具备访问安全、主机安全、虚拟环境安全、数据安全、网络安全以及数据传输安全等防护手段；</w:t>
      </w:r>
    </w:p>
    <w:p w14:paraId="7A716D3C">
      <w:pPr>
        <w:numPr>
          <w:ilvl w:val="0"/>
          <w:numId w:val="10"/>
        </w:numPr>
        <w:spacing w:line="360" w:lineRule="auto"/>
        <w:ind w:left="0" w:firstLine="420" w:firstLineChars="200"/>
        <w:rPr>
          <w:bCs/>
          <w:color w:val="auto"/>
          <w:highlight w:val="none"/>
        </w:rPr>
      </w:pPr>
      <w:r>
        <w:rPr>
          <w:rFonts w:hint="eastAsia"/>
          <w:bCs/>
          <w:color w:val="auto"/>
          <w:highlight w:val="none"/>
        </w:rPr>
        <w:t>具备系统运营、资源申请、资源调整、资源释放、资源部署及资源交付等流程的良好稳定性。</w:t>
      </w:r>
    </w:p>
    <w:p w14:paraId="7E080A91">
      <w:pPr>
        <w:pStyle w:val="11"/>
        <w:spacing w:before="0" w:after="0" w:line="360" w:lineRule="auto"/>
        <w:ind w:firstLine="562" w:firstLineChars="200"/>
        <w:rPr>
          <w:color w:val="auto"/>
          <w:highlight w:val="none"/>
        </w:rPr>
      </w:pPr>
      <w:r>
        <w:rPr>
          <w:rFonts w:hint="eastAsia"/>
          <w:color w:val="auto"/>
          <w:highlight w:val="none"/>
        </w:rPr>
        <w:t>部署方案</w:t>
      </w:r>
    </w:p>
    <w:p w14:paraId="5D0C0ADE">
      <w:pPr>
        <w:spacing w:line="360" w:lineRule="auto"/>
        <w:ind w:firstLine="420" w:firstLineChars="200"/>
        <w:rPr>
          <w:bCs/>
          <w:color w:val="auto"/>
          <w:highlight w:val="none"/>
        </w:rPr>
      </w:pPr>
      <w:r>
        <w:rPr>
          <w:rFonts w:hint="eastAsia"/>
          <w:bCs/>
          <w:color w:val="auto"/>
          <w:highlight w:val="none"/>
        </w:rPr>
        <w:t>所有服务器及存储均布置在本监狱监管区大门三楼数据中心机房内。</w:t>
      </w:r>
    </w:p>
    <w:p w14:paraId="0AAB63BE">
      <w:pPr>
        <w:pStyle w:val="10"/>
        <w:spacing w:before="0" w:after="0" w:line="360" w:lineRule="auto"/>
        <w:ind w:firstLine="643" w:firstLineChars="200"/>
        <w:rPr>
          <w:color w:val="auto"/>
          <w:highlight w:val="none"/>
        </w:rPr>
      </w:pPr>
      <w:r>
        <w:rPr>
          <w:rFonts w:hint="eastAsia"/>
          <w:color w:val="auto"/>
          <w:highlight w:val="none"/>
        </w:rPr>
        <w:t>4.5机房工程</w:t>
      </w:r>
    </w:p>
    <w:p w14:paraId="0F113DB5">
      <w:pPr>
        <w:pStyle w:val="11"/>
        <w:spacing w:before="0" w:after="0" w:line="360" w:lineRule="auto"/>
        <w:ind w:firstLine="562" w:firstLineChars="200"/>
        <w:rPr>
          <w:color w:val="auto"/>
          <w:highlight w:val="none"/>
        </w:rPr>
      </w:pPr>
      <w:r>
        <w:rPr>
          <w:rFonts w:hint="eastAsia"/>
          <w:color w:val="auto"/>
          <w:highlight w:val="none"/>
        </w:rPr>
        <w:t>概述及需求</w:t>
      </w:r>
    </w:p>
    <w:p w14:paraId="1B8112D7">
      <w:pPr>
        <w:spacing w:line="360" w:lineRule="auto"/>
        <w:ind w:firstLine="420" w:firstLineChars="200"/>
        <w:rPr>
          <w:bCs/>
          <w:color w:val="auto"/>
          <w:highlight w:val="none"/>
        </w:rPr>
      </w:pPr>
      <w:r>
        <w:rPr>
          <w:bCs/>
          <w:color w:val="auto"/>
          <w:highlight w:val="none"/>
        </w:rPr>
        <w:t>机房工程是</w:t>
      </w:r>
      <w:r>
        <w:rPr>
          <w:rFonts w:hint="eastAsia"/>
          <w:bCs/>
          <w:color w:val="auto"/>
          <w:highlight w:val="none"/>
        </w:rPr>
        <w:t>本项目中一项非常重要的关键基础工程，可以</w:t>
      </w:r>
      <w:r>
        <w:rPr>
          <w:bCs/>
          <w:color w:val="auto"/>
          <w:highlight w:val="none"/>
        </w:rPr>
        <w:t>确保</w:t>
      </w:r>
      <w:r>
        <w:rPr>
          <w:rFonts w:hint="eastAsia"/>
          <w:bCs/>
          <w:color w:val="auto"/>
          <w:highlight w:val="none"/>
        </w:rPr>
        <w:t>统一管理平台和业务系统的计算、交换、存储、控制等核心设备</w:t>
      </w:r>
      <w:r>
        <w:rPr>
          <w:bCs/>
          <w:color w:val="auto"/>
          <w:highlight w:val="none"/>
        </w:rPr>
        <w:t>能安全、稳定和可靠运行</w:t>
      </w:r>
      <w:r>
        <w:rPr>
          <w:rFonts w:hint="eastAsia"/>
          <w:bCs/>
          <w:color w:val="auto"/>
          <w:highlight w:val="none"/>
        </w:rPr>
        <w:t>。</w:t>
      </w:r>
      <w:r>
        <w:rPr>
          <w:bCs/>
          <w:color w:val="auto"/>
          <w:highlight w:val="none"/>
        </w:rPr>
        <w:t>机房基础设施的建设不仅要为机房中的系统设备</w:t>
      </w:r>
      <w:r>
        <w:rPr>
          <w:rFonts w:hint="eastAsia"/>
          <w:bCs/>
          <w:color w:val="auto"/>
          <w:highlight w:val="none"/>
        </w:rPr>
        <w:t>运行</w:t>
      </w:r>
      <w:r>
        <w:rPr>
          <w:bCs/>
          <w:color w:val="auto"/>
          <w:highlight w:val="none"/>
        </w:rPr>
        <w:t>和</w:t>
      </w:r>
      <w:r>
        <w:rPr>
          <w:color w:val="auto"/>
          <w:highlight w:val="none"/>
        </w:rPr>
        <w:fldChar w:fldCharType="begin"/>
      </w:r>
      <w:r>
        <w:rPr>
          <w:color w:val="auto"/>
          <w:highlight w:val="none"/>
        </w:rPr>
        <w:instrText xml:space="preserve"> HYPERLINK "http://baike.baidu.com/view/4764430.htm" \t "_blank" </w:instrText>
      </w:r>
      <w:r>
        <w:rPr>
          <w:color w:val="auto"/>
          <w:highlight w:val="none"/>
        </w:rPr>
        <w:fldChar w:fldCharType="separate"/>
      </w:r>
      <w:r>
        <w:rPr>
          <w:bCs/>
          <w:color w:val="auto"/>
          <w:highlight w:val="none"/>
        </w:rPr>
        <w:t>数据信息安全</w:t>
      </w:r>
      <w:r>
        <w:rPr>
          <w:bCs/>
          <w:color w:val="auto"/>
          <w:highlight w:val="none"/>
        </w:rPr>
        <w:fldChar w:fldCharType="end"/>
      </w:r>
      <w:r>
        <w:rPr>
          <w:bCs/>
          <w:color w:val="auto"/>
          <w:highlight w:val="none"/>
        </w:rPr>
        <w:t>提供保障环境，还要为</w:t>
      </w:r>
      <w:r>
        <w:rPr>
          <w:rFonts w:hint="eastAsia"/>
          <w:bCs/>
          <w:color w:val="auto"/>
          <w:highlight w:val="none"/>
        </w:rPr>
        <w:t>监狱</w:t>
      </w:r>
      <w:r>
        <w:rPr>
          <w:bCs/>
          <w:color w:val="auto"/>
          <w:highlight w:val="none"/>
        </w:rPr>
        <w:t>工作人员创造健康适宜的工作环境</w:t>
      </w:r>
      <w:r>
        <w:rPr>
          <w:rFonts w:hint="eastAsia"/>
          <w:bCs/>
          <w:color w:val="auto"/>
          <w:highlight w:val="none"/>
        </w:rPr>
        <w:t>，在建设时</w:t>
      </w:r>
      <w:r>
        <w:rPr>
          <w:bCs/>
          <w:color w:val="auto"/>
          <w:highlight w:val="none"/>
        </w:rPr>
        <w:t>必须满足各种电子设备和工作人员对</w:t>
      </w:r>
      <w:r>
        <w:rPr>
          <w:color w:val="auto"/>
          <w:highlight w:val="none"/>
        </w:rPr>
        <w:fldChar w:fldCharType="begin"/>
      </w:r>
      <w:r>
        <w:rPr>
          <w:color w:val="auto"/>
          <w:highlight w:val="none"/>
        </w:rPr>
        <w:instrText xml:space="preserve"> HYPERLINK "http://baike.baidu.com/view/8193.htm" \t "_blank" </w:instrText>
      </w:r>
      <w:r>
        <w:rPr>
          <w:color w:val="auto"/>
          <w:highlight w:val="none"/>
        </w:rPr>
        <w:fldChar w:fldCharType="separate"/>
      </w:r>
      <w:r>
        <w:rPr>
          <w:bCs/>
          <w:color w:val="auto"/>
          <w:highlight w:val="none"/>
        </w:rPr>
        <w:t>温</w:t>
      </w:r>
      <w:r>
        <w:rPr>
          <w:bCs/>
          <w:color w:val="auto"/>
          <w:highlight w:val="none"/>
        </w:rPr>
        <w:fldChar w:fldCharType="end"/>
      </w:r>
      <w:r>
        <w:rPr>
          <w:color w:val="auto"/>
          <w:highlight w:val="none"/>
        </w:rPr>
        <w:fldChar w:fldCharType="begin"/>
      </w:r>
      <w:r>
        <w:rPr>
          <w:color w:val="auto"/>
          <w:highlight w:val="none"/>
        </w:rPr>
        <w:instrText xml:space="preserve"> HYPERLINK "http://baike.baidu.com/view/286584.htm" \t "_blank" </w:instrText>
      </w:r>
      <w:r>
        <w:rPr>
          <w:color w:val="auto"/>
          <w:highlight w:val="none"/>
        </w:rPr>
        <w:fldChar w:fldCharType="separate"/>
      </w:r>
      <w:r>
        <w:rPr>
          <w:bCs/>
          <w:color w:val="auto"/>
          <w:highlight w:val="none"/>
        </w:rPr>
        <w:t>湿度</w:t>
      </w:r>
      <w:r>
        <w:rPr>
          <w:bCs/>
          <w:color w:val="auto"/>
          <w:highlight w:val="none"/>
        </w:rPr>
        <w:fldChar w:fldCharType="end"/>
      </w:r>
      <w:r>
        <w:rPr>
          <w:bCs/>
          <w:color w:val="auto"/>
          <w:highlight w:val="none"/>
        </w:rPr>
        <w:t>、</w:t>
      </w:r>
      <w:r>
        <w:rPr>
          <w:color w:val="auto"/>
          <w:highlight w:val="none"/>
        </w:rPr>
        <w:fldChar w:fldCharType="begin"/>
      </w:r>
      <w:r>
        <w:rPr>
          <w:color w:val="auto"/>
          <w:highlight w:val="none"/>
        </w:rPr>
        <w:instrText xml:space="preserve"> HYPERLINK "http://baike.baidu.com/view/1140527.htm" \t "_blank" </w:instrText>
      </w:r>
      <w:r>
        <w:rPr>
          <w:color w:val="auto"/>
          <w:highlight w:val="none"/>
        </w:rPr>
        <w:fldChar w:fldCharType="separate"/>
      </w:r>
      <w:r>
        <w:rPr>
          <w:bCs/>
          <w:color w:val="auto"/>
          <w:highlight w:val="none"/>
        </w:rPr>
        <w:t>洁净度</w:t>
      </w:r>
      <w:r>
        <w:rPr>
          <w:bCs/>
          <w:color w:val="auto"/>
          <w:highlight w:val="none"/>
        </w:rPr>
        <w:fldChar w:fldCharType="end"/>
      </w:r>
      <w:r>
        <w:rPr>
          <w:bCs/>
          <w:color w:val="auto"/>
          <w:highlight w:val="none"/>
        </w:rPr>
        <w:t>、电磁强度、噪音干扰、电源质量、</w:t>
      </w:r>
      <w:r>
        <w:rPr>
          <w:color w:val="auto"/>
          <w:highlight w:val="none"/>
        </w:rPr>
        <w:fldChar w:fldCharType="begin"/>
      </w:r>
      <w:r>
        <w:rPr>
          <w:color w:val="auto"/>
          <w:highlight w:val="none"/>
        </w:rPr>
        <w:instrText xml:space="preserve"> HYPERLINK "http://baike.baidu.com/view/593146.htm" \t "_blank" </w:instrText>
      </w:r>
      <w:r>
        <w:rPr>
          <w:color w:val="auto"/>
          <w:highlight w:val="none"/>
        </w:rPr>
        <w:fldChar w:fldCharType="separate"/>
      </w:r>
      <w:r>
        <w:rPr>
          <w:bCs/>
          <w:color w:val="auto"/>
          <w:highlight w:val="none"/>
        </w:rPr>
        <w:t>防雷</w:t>
      </w:r>
      <w:r>
        <w:rPr>
          <w:bCs/>
          <w:color w:val="auto"/>
          <w:highlight w:val="none"/>
        </w:rPr>
        <w:fldChar w:fldCharType="end"/>
      </w:r>
      <w:r>
        <w:rPr>
          <w:color w:val="auto"/>
          <w:highlight w:val="none"/>
        </w:rPr>
        <w:fldChar w:fldCharType="begin"/>
      </w:r>
      <w:r>
        <w:rPr>
          <w:color w:val="auto"/>
          <w:highlight w:val="none"/>
        </w:rPr>
        <w:instrText xml:space="preserve"> HYPERLINK "http://baike.baidu.com/view/292883.htm" \t "_blank" </w:instrText>
      </w:r>
      <w:r>
        <w:rPr>
          <w:color w:val="auto"/>
          <w:highlight w:val="none"/>
        </w:rPr>
        <w:fldChar w:fldCharType="separate"/>
      </w:r>
      <w:r>
        <w:rPr>
          <w:bCs/>
          <w:color w:val="auto"/>
          <w:highlight w:val="none"/>
        </w:rPr>
        <w:t>接地</w:t>
      </w:r>
      <w:r>
        <w:rPr>
          <w:bCs/>
          <w:color w:val="auto"/>
          <w:highlight w:val="none"/>
        </w:rPr>
        <w:fldChar w:fldCharType="end"/>
      </w:r>
      <w:r>
        <w:rPr>
          <w:bCs/>
          <w:color w:val="auto"/>
          <w:highlight w:val="none"/>
        </w:rPr>
        <w:t>等的要求。</w:t>
      </w:r>
    </w:p>
    <w:p w14:paraId="1E657EE4">
      <w:pPr>
        <w:spacing w:line="360" w:lineRule="auto"/>
        <w:ind w:firstLine="420" w:firstLineChars="200"/>
        <w:rPr>
          <w:bCs/>
          <w:color w:val="auto"/>
          <w:highlight w:val="none"/>
        </w:rPr>
      </w:pPr>
      <w:r>
        <w:rPr>
          <w:rFonts w:hint="eastAsia"/>
          <w:bCs/>
          <w:color w:val="auto"/>
          <w:highlight w:val="none"/>
        </w:rPr>
        <w:t>本项目数据中心机房位于开封市监狱监管区大门楼上三层西侧，位置与指挥中心相邻，建筑面积为104㎡，配套配电间位于开封市监狱监管区大门二层西侧，建筑面积为20㎡，配套UPS间位于开封市监狱监管区大门一层西侧，建筑面积为20㎡。机房工程依据《智慧监狱 技术规范》（SF/T 0028-2018）中机房建设</w:t>
      </w:r>
      <w:r>
        <w:rPr>
          <w:bCs/>
          <w:color w:val="auto"/>
          <w:highlight w:val="none"/>
        </w:rPr>
        <w:t>标准</w:t>
      </w:r>
      <w:r>
        <w:rPr>
          <w:rFonts w:hint="eastAsia"/>
          <w:bCs/>
          <w:color w:val="auto"/>
          <w:highlight w:val="none"/>
        </w:rPr>
        <w:t>C级要求进行设计建设，符合国标《数据中心设计规范》GB50174-</w:t>
      </w:r>
      <w:r>
        <w:rPr>
          <w:bCs/>
          <w:color w:val="auto"/>
          <w:highlight w:val="none"/>
        </w:rPr>
        <w:t>2017</w:t>
      </w:r>
      <w:r>
        <w:rPr>
          <w:rFonts w:hint="eastAsia"/>
          <w:bCs/>
          <w:color w:val="auto"/>
          <w:highlight w:val="none"/>
        </w:rPr>
        <w:t>要求</w:t>
      </w:r>
      <w:r>
        <w:rPr>
          <w:bCs/>
          <w:color w:val="auto"/>
          <w:highlight w:val="none"/>
        </w:rPr>
        <w:t>。</w:t>
      </w:r>
    </w:p>
    <w:p w14:paraId="1FF38055">
      <w:pPr>
        <w:spacing w:line="360" w:lineRule="auto"/>
        <w:ind w:firstLine="420" w:firstLineChars="200"/>
        <w:rPr>
          <w:bCs/>
          <w:color w:val="auto"/>
          <w:highlight w:val="none"/>
        </w:rPr>
      </w:pPr>
      <w:r>
        <w:rPr>
          <w:rFonts w:hint="eastAsia"/>
          <w:bCs/>
          <w:color w:val="auto"/>
          <w:highlight w:val="none"/>
        </w:rPr>
        <w:t>机柜采用模块化封闭冷通道设计，共配置</w:t>
      </w:r>
      <w:r>
        <w:rPr>
          <w:bCs/>
          <w:color w:val="auto"/>
          <w:highlight w:val="none"/>
        </w:rPr>
        <w:t>18</w:t>
      </w:r>
      <w:r>
        <w:rPr>
          <w:rFonts w:hint="eastAsia"/>
          <w:bCs/>
          <w:color w:val="auto"/>
          <w:highlight w:val="none"/>
        </w:rPr>
        <w:t>个机柜位，</w:t>
      </w:r>
      <w:r>
        <w:rPr>
          <w:bCs/>
          <w:color w:val="auto"/>
          <w:highlight w:val="none"/>
        </w:rPr>
        <w:t>包含</w:t>
      </w:r>
      <w:r>
        <w:rPr>
          <w:rFonts w:hint="eastAsia"/>
          <w:bCs/>
          <w:color w:val="auto"/>
          <w:highlight w:val="none"/>
        </w:rPr>
        <w:t>16个IT机柜</w:t>
      </w:r>
      <w:r>
        <w:rPr>
          <w:bCs/>
          <w:color w:val="auto"/>
          <w:highlight w:val="none"/>
        </w:rPr>
        <w:t>、1</w:t>
      </w:r>
      <w:r>
        <w:rPr>
          <w:rFonts w:hint="eastAsia"/>
          <w:bCs/>
          <w:color w:val="auto"/>
          <w:highlight w:val="none"/>
        </w:rPr>
        <w:t>个</w:t>
      </w:r>
      <w:r>
        <w:rPr>
          <w:bCs/>
          <w:color w:val="auto"/>
          <w:highlight w:val="none"/>
        </w:rPr>
        <w:t>弱电列头柜、1个配电列头柜</w:t>
      </w:r>
      <w:r>
        <w:rPr>
          <w:rFonts w:hint="eastAsia"/>
          <w:bCs/>
          <w:color w:val="auto"/>
          <w:highlight w:val="none"/>
        </w:rPr>
        <w:t>。冷通道系统的设计将送风和回风路径完全隔离，形成一个可支持高密度IT负载的独立式系统。此外，冷通道封闭系统不影响周围其它的数据中心基础设施，具有更大的灵活性。机房冷通道配置</w:t>
      </w:r>
      <w:r>
        <w:rPr>
          <w:bCs/>
          <w:color w:val="auto"/>
          <w:highlight w:val="none"/>
        </w:rPr>
        <w:t>16</w:t>
      </w:r>
      <w:r>
        <w:rPr>
          <w:rFonts w:hint="eastAsia"/>
          <w:bCs/>
          <w:color w:val="auto"/>
          <w:highlight w:val="none"/>
        </w:rPr>
        <w:t>台I</w:t>
      </w:r>
      <w:r>
        <w:rPr>
          <w:bCs/>
          <w:color w:val="auto"/>
          <w:highlight w:val="none"/>
        </w:rPr>
        <w:t>T</w:t>
      </w:r>
      <w:r>
        <w:rPr>
          <w:rFonts w:hint="eastAsia"/>
          <w:bCs/>
          <w:color w:val="auto"/>
          <w:highlight w:val="none"/>
        </w:rPr>
        <w:t>机柜（尺寸600*1200*2000mm）。模块化封闭</w:t>
      </w:r>
      <w:r>
        <w:rPr>
          <w:bCs/>
          <w:color w:val="auto"/>
          <w:highlight w:val="none"/>
        </w:rPr>
        <w:t>冷通道</w:t>
      </w:r>
      <w:r>
        <w:rPr>
          <w:rFonts w:hint="eastAsia"/>
          <w:bCs/>
          <w:color w:val="auto"/>
          <w:highlight w:val="none"/>
        </w:rPr>
        <w:t>配置2台40kW行间级精密空调，以满足机房IT设备制冷需求；根据配电间及UPS电池间的面积，配置1台5P基站空调和1台2P壁挂式空调，满足其制冷需求。</w:t>
      </w:r>
    </w:p>
    <w:p w14:paraId="747D2C87">
      <w:pPr>
        <w:spacing w:line="360" w:lineRule="auto"/>
        <w:ind w:firstLine="420" w:firstLineChars="200"/>
        <w:rPr>
          <w:bCs/>
          <w:color w:val="auto"/>
          <w:highlight w:val="none"/>
        </w:rPr>
      </w:pPr>
      <w:r>
        <w:rPr>
          <w:rFonts w:hint="eastAsia"/>
          <w:bCs/>
          <w:color w:val="auto"/>
          <w:highlight w:val="none"/>
        </w:rPr>
        <w:t>具体布置和建设预期效果图如下所示：</w:t>
      </w:r>
    </w:p>
    <w:p w14:paraId="15A550F7">
      <w:pPr>
        <w:spacing w:line="360" w:lineRule="auto"/>
        <w:ind w:firstLine="420" w:firstLineChars="200"/>
        <w:jc w:val="center"/>
        <w:rPr>
          <w:bCs/>
          <w:color w:val="auto"/>
          <w:highlight w:val="none"/>
        </w:rPr>
      </w:pPr>
      <w:r>
        <w:rPr>
          <w:color w:val="auto"/>
          <w:highlight w:val="none"/>
        </w:rPr>
        <w:drawing>
          <wp:inline distT="0" distB="0" distL="114300" distR="114300">
            <wp:extent cx="3370580" cy="2543175"/>
            <wp:effectExtent l="0" t="0" r="9525" b="127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20"/>
                    <a:srcRect l="1031" t="534" r="1045" b="3079"/>
                    <a:stretch>
                      <a:fillRect/>
                    </a:stretch>
                  </pic:blipFill>
                  <pic:spPr>
                    <a:xfrm rot="5400000">
                      <a:off x="0" y="0"/>
                      <a:ext cx="3370580" cy="2543175"/>
                    </a:xfrm>
                    <a:prstGeom prst="rect">
                      <a:avLst/>
                    </a:prstGeom>
                    <a:noFill/>
                    <a:ln>
                      <a:noFill/>
                    </a:ln>
                  </pic:spPr>
                </pic:pic>
              </a:graphicData>
            </a:graphic>
          </wp:inline>
        </w:drawing>
      </w:r>
      <w:r>
        <w:rPr>
          <w:bCs/>
          <w:color w:val="auto"/>
          <w:highlight w:val="none"/>
        </w:rPr>
        <w:drawing>
          <wp:inline distT="0" distB="0" distL="114300" distR="114300">
            <wp:extent cx="2422525" cy="3342640"/>
            <wp:effectExtent l="0" t="0" r="15875" b="10160"/>
            <wp:docPr id="7" name="图片 8" descr="C:\Users\ADMINI~1\AppData\Local\Temp\WeChat Files\44f703ae4ffdea190b6685cb4d992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C:\Users\ADMINI~1\AppData\Local\Temp\WeChat Files\44f703ae4ffdea190b6685cb4d992be.jpg"/>
                    <pic:cNvPicPr>
                      <a:picLocks noChangeAspect="1"/>
                    </pic:cNvPicPr>
                  </pic:nvPicPr>
                  <pic:blipFill>
                    <a:blip r:embed="rId21"/>
                    <a:srcRect l="22778" t="7451" r="22501" b="5490"/>
                    <a:stretch>
                      <a:fillRect/>
                    </a:stretch>
                  </pic:blipFill>
                  <pic:spPr>
                    <a:xfrm>
                      <a:off x="0" y="0"/>
                      <a:ext cx="2422525" cy="3342640"/>
                    </a:xfrm>
                    <a:prstGeom prst="rect">
                      <a:avLst/>
                    </a:prstGeom>
                    <a:noFill/>
                    <a:ln>
                      <a:noFill/>
                    </a:ln>
                  </pic:spPr>
                </pic:pic>
              </a:graphicData>
            </a:graphic>
          </wp:inline>
        </w:drawing>
      </w:r>
    </w:p>
    <w:p w14:paraId="49807404">
      <w:pPr>
        <w:spacing w:line="360" w:lineRule="auto"/>
        <w:ind w:firstLine="420" w:firstLineChars="200"/>
        <w:jc w:val="center"/>
        <w:rPr>
          <w:bCs/>
          <w:color w:val="auto"/>
          <w:highlight w:val="none"/>
        </w:rPr>
      </w:pPr>
    </w:p>
    <w:p w14:paraId="2331A099">
      <w:pPr>
        <w:pStyle w:val="11"/>
        <w:spacing w:before="0" w:after="0" w:line="360" w:lineRule="auto"/>
        <w:ind w:firstLine="562" w:firstLineChars="200"/>
        <w:rPr>
          <w:color w:val="auto"/>
          <w:highlight w:val="none"/>
        </w:rPr>
      </w:pPr>
      <w:r>
        <w:rPr>
          <w:rFonts w:hint="eastAsia"/>
          <w:color w:val="auto"/>
          <w:highlight w:val="none"/>
        </w:rPr>
        <w:t>系统架构</w:t>
      </w:r>
    </w:p>
    <w:p w14:paraId="47545AA6">
      <w:pPr>
        <w:spacing w:line="360" w:lineRule="auto"/>
        <w:ind w:firstLine="420" w:firstLineChars="200"/>
        <w:rPr>
          <w:bCs/>
          <w:color w:val="auto"/>
          <w:highlight w:val="none"/>
        </w:rPr>
      </w:pPr>
      <w:r>
        <w:rPr>
          <w:rFonts w:hint="eastAsia"/>
          <w:bCs/>
          <w:color w:val="auto"/>
          <w:highlight w:val="none"/>
        </w:rPr>
        <w:t>机房工程包括五个子系统，分别是：机房装修、机房电气、机房空调、机房消防及机房弱电。具体架构如下图所示：</w:t>
      </w:r>
    </w:p>
    <w:p w14:paraId="0C27C38B">
      <w:pPr>
        <w:spacing w:line="360" w:lineRule="auto"/>
        <w:ind w:firstLine="420" w:firstLineChars="200"/>
        <w:jc w:val="center"/>
        <w:rPr>
          <w:bCs/>
          <w:color w:val="auto"/>
          <w:highlight w:val="none"/>
        </w:rPr>
      </w:pPr>
      <w:r>
        <w:rPr>
          <w:bCs/>
          <w:color w:val="auto"/>
          <w:highlight w:val="none"/>
        </w:rPr>
        <w:drawing>
          <wp:inline distT="0" distB="0" distL="114300" distR="114300">
            <wp:extent cx="4290060" cy="2209800"/>
            <wp:effectExtent l="0" t="0" r="1524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22"/>
                    <a:stretch>
                      <a:fillRect/>
                    </a:stretch>
                  </pic:blipFill>
                  <pic:spPr>
                    <a:xfrm>
                      <a:off x="0" y="0"/>
                      <a:ext cx="4290060" cy="2209800"/>
                    </a:xfrm>
                    <a:prstGeom prst="rect">
                      <a:avLst/>
                    </a:prstGeom>
                    <a:noFill/>
                    <a:ln>
                      <a:noFill/>
                    </a:ln>
                  </pic:spPr>
                </pic:pic>
              </a:graphicData>
            </a:graphic>
          </wp:inline>
        </w:drawing>
      </w:r>
    </w:p>
    <w:p w14:paraId="3B6931CB">
      <w:pPr>
        <w:pStyle w:val="11"/>
        <w:spacing w:before="0" w:after="0" w:line="360" w:lineRule="auto"/>
        <w:ind w:firstLine="562" w:firstLineChars="200"/>
        <w:rPr>
          <w:color w:val="auto"/>
          <w:highlight w:val="none"/>
        </w:rPr>
      </w:pPr>
      <w:r>
        <w:rPr>
          <w:rFonts w:hint="eastAsia"/>
          <w:color w:val="auto"/>
          <w:highlight w:val="none"/>
        </w:rPr>
        <w:t>设计方案</w:t>
      </w:r>
    </w:p>
    <w:p w14:paraId="277762C1">
      <w:pPr>
        <w:pStyle w:val="12"/>
        <w:tabs>
          <w:tab w:val="left" w:pos="864"/>
        </w:tabs>
        <w:spacing w:line="360" w:lineRule="auto"/>
        <w:ind w:left="0" w:firstLine="420" w:firstLineChars="200"/>
        <w:rPr>
          <w:color w:val="auto"/>
          <w:highlight w:val="none"/>
        </w:rPr>
      </w:pPr>
      <w:r>
        <w:rPr>
          <w:rFonts w:hint="eastAsia"/>
          <w:color w:val="auto"/>
          <w:highlight w:val="none"/>
        </w:rPr>
        <w:t>机房装修</w:t>
      </w:r>
    </w:p>
    <w:p w14:paraId="06E790F0">
      <w:pPr>
        <w:pStyle w:val="13"/>
        <w:ind w:firstLine="440" w:firstLineChars="200"/>
        <w:rPr>
          <w:b w:val="0"/>
          <w:color w:val="auto"/>
          <w:highlight w:val="none"/>
        </w:rPr>
      </w:pPr>
      <w:r>
        <w:rPr>
          <w:rFonts w:hint="eastAsia"/>
          <w:b w:val="0"/>
          <w:color w:val="auto"/>
          <w:highlight w:val="none"/>
        </w:rPr>
        <w:t>吊顶部分</w:t>
      </w:r>
    </w:p>
    <w:p w14:paraId="1B96C29B">
      <w:pPr>
        <w:spacing w:line="360" w:lineRule="auto"/>
        <w:ind w:firstLine="420" w:firstLineChars="200"/>
        <w:rPr>
          <w:bCs/>
          <w:color w:val="auto"/>
          <w:highlight w:val="none"/>
        </w:rPr>
      </w:pPr>
      <w:r>
        <w:rPr>
          <w:rFonts w:hint="eastAsia"/>
          <w:bCs/>
          <w:color w:val="auto"/>
          <w:highlight w:val="none"/>
        </w:rPr>
        <w:t>机房吊顶以上的空间主要用于安装各种管线及探头等；同时，机房吊顶的设计还应充分考虑灯具的尺寸，以保证装修效果。基于以上两点考虑，本次设计采用具有质轻、高强、防火、防潮、吸音、防尘及防污等性能特点的微孔铝合金吊顶，既有一定的屏蔽效果又方便对吊顶上方管线及探头的维护。</w:t>
      </w:r>
    </w:p>
    <w:p w14:paraId="7FCF1136">
      <w:pPr>
        <w:spacing w:line="360" w:lineRule="auto"/>
        <w:ind w:firstLine="420" w:firstLineChars="200"/>
        <w:rPr>
          <w:bCs/>
          <w:color w:val="auto"/>
          <w:highlight w:val="none"/>
        </w:rPr>
      </w:pPr>
      <w:r>
        <w:rPr>
          <w:rFonts w:hint="eastAsia"/>
          <w:bCs/>
          <w:color w:val="auto"/>
          <w:highlight w:val="none"/>
        </w:rPr>
        <w:t>在安装吊顶之前，需先将原楼板清理干净，之后在主机房顶板做防尘处理（刷三遍防尘漆），以避免机房在今后的运行过程中产生灰尘，保证计算机系统的正常运行。另外，所有吊顶龙骨、吊杆等均应作良好接地，通过接地线与机房等电位接地铜排相连。</w:t>
      </w:r>
    </w:p>
    <w:p w14:paraId="7FAD22EE">
      <w:pPr>
        <w:spacing w:line="360" w:lineRule="auto"/>
        <w:ind w:firstLine="420" w:firstLineChars="200"/>
        <w:rPr>
          <w:bCs/>
          <w:color w:val="auto"/>
          <w:highlight w:val="none"/>
        </w:rPr>
      </w:pPr>
      <w:r>
        <w:rPr>
          <w:rFonts w:hint="eastAsia"/>
          <w:bCs/>
          <w:color w:val="auto"/>
          <w:highlight w:val="none"/>
        </w:rPr>
        <w:t>本次机房照明选用的是300*1200mm的LED面板灯，吊顶尺寸与灯具保持一致。</w:t>
      </w:r>
    </w:p>
    <w:p w14:paraId="425D3937">
      <w:pPr>
        <w:pStyle w:val="13"/>
        <w:ind w:firstLine="440" w:firstLineChars="200"/>
        <w:rPr>
          <w:b w:val="0"/>
          <w:color w:val="auto"/>
          <w:highlight w:val="none"/>
        </w:rPr>
      </w:pPr>
      <w:r>
        <w:rPr>
          <w:rFonts w:hint="eastAsia"/>
          <w:b w:val="0"/>
          <w:color w:val="auto"/>
          <w:highlight w:val="none"/>
        </w:rPr>
        <w:t>地面部分</w:t>
      </w:r>
    </w:p>
    <w:p w14:paraId="59848FCD">
      <w:pPr>
        <w:spacing w:line="360" w:lineRule="auto"/>
        <w:ind w:firstLine="420" w:firstLineChars="200"/>
        <w:rPr>
          <w:bCs/>
          <w:color w:val="auto"/>
          <w:highlight w:val="none"/>
        </w:rPr>
      </w:pPr>
      <w:r>
        <w:rPr>
          <w:rFonts w:hint="eastAsia"/>
          <w:bCs/>
          <w:color w:val="auto"/>
          <w:highlight w:val="none"/>
        </w:rPr>
        <w:t>在机房区地面采用600×600×35mm的硫酸钙无边框抗静电地板，放射等级为E1。</w:t>
      </w:r>
    </w:p>
    <w:p w14:paraId="4C3B5F06">
      <w:pPr>
        <w:spacing w:line="360" w:lineRule="auto"/>
        <w:ind w:firstLine="420" w:firstLineChars="200"/>
        <w:rPr>
          <w:bCs/>
          <w:color w:val="auto"/>
          <w:highlight w:val="none"/>
        </w:rPr>
      </w:pPr>
      <w:r>
        <w:rPr>
          <w:rFonts w:hint="eastAsia"/>
          <w:bCs/>
          <w:color w:val="auto"/>
          <w:highlight w:val="none"/>
        </w:rPr>
        <w:t>机房抗静电地板敷设高度为0.5m。地板安装过程中，地板与墙面交界处需精确切割下料，切割边需封胶处理后安装。地板安装后用不锈钢踢脚板压边装饰。</w:t>
      </w:r>
    </w:p>
    <w:p w14:paraId="178F3418">
      <w:pPr>
        <w:spacing w:line="360" w:lineRule="auto"/>
        <w:ind w:firstLine="420" w:firstLineChars="200"/>
        <w:rPr>
          <w:bCs/>
          <w:color w:val="auto"/>
          <w:highlight w:val="none"/>
        </w:rPr>
      </w:pPr>
      <w:r>
        <w:rPr>
          <w:rFonts w:hint="eastAsia"/>
          <w:bCs/>
          <w:color w:val="auto"/>
          <w:highlight w:val="none"/>
        </w:rPr>
        <w:t>目前机房地面属毛坯地面，需要经过处理达到高级抹灰的水平。同时进行防尘处理，在地板下的墙面、柱面、地面均需刷涂防尘漆三遍。</w:t>
      </w:r>
    </w:p>
    <w:p w14:paraId="02A62435">
      <w:pPr>
        <w:pStyle w:val="13"/>
        <w:ind w:firstLine="440" w:firstLineChars="200"/>
        <w:rPr>
          <w:b w:val="0"/>
          <w:color w:val="auto"/>
          <w:highlight w:val="none"/>
        </w:rPr>
      </w:pPr>
      <w:r>
        <w:rPr>
          <w:rFonts w:hint="eastAsia"/>
          <w:b w:val="0"/>
          <w:color w:val="auto"/>
          <w:highlight w:val="none"/>
        </w:rPr>
        <w:t>墙面部分</w:t>
      </w:r>
    </w:p>
    <w:p w14:paraId="1E5D84EE">
      <w:pPr>
        <w:spacing w:line="360" w:lineRule="auto"/>
        <w:ind w:firstLine="420" w:firstLineChars="200"/>
        <w:rPr>
          <w:bCs/>
          <w:color w:val="auto"/>
          <w:highlight w:val="none"/>
        </w:rPr>
      </w:pPr>
      <w:r>
        <w:rPr>
          <w:rFonts w:hint="eastAsia"/>
          <w:bCs/>
          <w:color w:val="auto"/>
          <w:highlight w:val="none"/>
        </w:rPr>
        <w:t>机房内墙采用轻钢龙骨彩钢板板饰面，含龙骨及保温棉等基材厚度12.6mm，彩钢板具有平整、防火、防潮、防尘、易清洁等性能特点。</w:t>
      </w:r>
    </w:p>
    <w:p w14:paraId="53352737">
      <w:pPr>
        <w:pStyle w:val="13"/>
        <w:ind w:firstLine="440" w:firstLineChars="200"/>
        <w:rPr>
          <w:b w:val="0"/>
          <w:color w:val="auto"/>
          <w:highlight w:val="none"/>
        </w:rPr>
      </w:pPr>
      <w:r>
        <w:rPr>
          <w:rFonts w:hint="eastAsia"/>
          <w:b w:val="0"/>
          <w:color w:val="auto"/>
          <w:highlight w:val="none"/>
        </w:rPr>
        <w:t>门窗部分</w:t>
      </w:r>
    </w:p>
    <w:p w14:paraId="3EBA8F56">
      <w:pPr>
        <w:spacing w:line="360" w:lineRule="auto"/>
        <w:ind w:firstLine="420" w:firstLineChars="200"/>
        <w:rPr>
          <w:bCs/>
          <w:color w:val="auto"/>
          <w:highlight w:val="none"/>
        </w:rPr>
      </w:pPr>
      <w:r>
        <w:rPr>
          <w:rFonts w:hint="eastAsia"/>
          <w:bCs/>
          <w:color w:val="auto"/>
          <w:highlight w:val="none"/>
        </w:rPr>
        <w:t>主机房是放置IT核心设备的场所，综合考虑防火、安全、保密及美观等因素，机房的门选用甲级钢质防火门，尺寸为1500*2400mm。考虑机房的特殊性，机房窗户应全部密封，并满足消防防火的要求。</w:t>
      </w:r>
    </w:p>
    <w:p w14:paraId="4F223977">
      <w:pPr>
        <w:pStyle w:val="13"/>
        <w:ind w:firstLine="440" w:firstLineChars="200"/>
        <w:rPr>
          <w:b w:val="0"/>
          <w:color w:val="auto"/>
          <w:highlight w:val="none"/>
        </w:rPr>
      </w:pPr>
      <w:r>
        <w:rPr>
          <w:rFonts w:hint="eastAsia"/>
          <w:b w:val="0"/>
          <w:color w:val="auto"/>
          <w:highlight w:val="none"/>
        </w:rPr>
        <w:t>保温隔热措施</w:t>
      </w:r>
    </w:p>
    <w:p w14:paraId="35D283AC">
      <w:pPr>
        <w:spacing w:line="360" w:lineRule="auto"/>
        <w:ind w:firstLine="420" w:firstLineChars="200"/>
        <w:rPr>
          <w:bCs/>
          <w:color w:val="auto"/>
          <w:highlight w:val="none"/>
        </w:rPr>
      </w:pPr>
      <w:r>
        <w:rPr>
          <w:rFonts w:hint="eastAsia"/>
          <w:bCs/>
          <w:color w:val="auto"/>
          <w:highlight w:val="none"/>
        </w:rPr>
        <w:t>机房区的冬季保温、夏季隔热以及防结露等技术问题是机房设计工作中的重要方面。尤其是开封市地处我国北方，夏冬季室外温度变化较大，同时IT设备运行时又会释放出大量的热，一旦机房受潮，会造成送入机房的风含湿量增大，给IT设备内的各种电器元件和线缆有较大的危害。</w:t>
      </w:r>
    </w:p>
    <w:p w14:paraId="7BB192C0">
      <w:pPr>
        <w:spacing w:line="360" w:lineRule="auto"/>
        <w:ind w:firstLine="420" w:firstLineChars="200"/>
        <w:rPr>
          <w:bCs/>
          <w:color w:val="auto"/>
          <w:highlight w:val="none"/>
        </w:rPr>
      </w:pPr>
      <w:r>
        <w:rPr>
          <w:rFonts w:hint="eastAsia"/>
          <w:bCs/>
          <w:color w:val="auto"/>
          <w:highlight w:val="none"/>
        </w:rPr>
        <w:t>要使机房保持所要求的温度和湿度来保证IT设备的正常运行，就需要对机房内地面采取保温隔热措施。结合本机房工程的结构和特点，在机房专用空调送风区域内的抗静电地板下铺设保温板以提高楼面的隔热功能，保温板形式采用铝箔塑板加0.5mm铝板。在铺设保温板之前需先将地面清理干净并做防尘处理。</w:t>
      </w:r>
    </w:p>
    <w:p w14:paraId="367D577D">
      <w:pPr>
        <w:pStyle w:val="12"/>
        <w:tabs>
          <w:tab w:val="left" w:pos="864"/>
        </w:tabs>
        <w:spacing w:line="360" w:lineRule="auto"/>
        <w:ind w:left="0" w:firstLine="420" w:firstLineChars="200"/>
        <w:rPr>
          <w:color w:val="auto"/>
          <w:highlight w:val="none"/>
        </w:rPr>
      </w:pPr>
      <w:r>
        <w:rPr>
          <w:rFonts w:hint="eastAsia"/>
          <w:color w:val="auto"/>
          <w:highlight w:val="none"/>
        </w:rPr>
        <w:t>机房电气</w:t>
      </w:r>
    </w:p>
    <w:p w14:paraId="4394E418">
      <w:pPr>
        <w:pStyle w:val="13"/>
        <w:ind w:firstLine="440" w:firstLineChars="200"/>
        <w:rPr>
          <w:b w:val="0"/>
          <w:color w:val="auto"/>
          <w:highlight w:val="none"/>
        </w:rPr>
      </w:pPr>
      <w:r>
        <w:rPr>
          <w:rFonts w:hint="eastAsia"/>
          <w:b w:val="0"/>
          <w:color w:val="auto"/>
          <w:highlight w:val="none"/>
        </w:rPr>
        <w:t>供配电系统</w:t>
      </w:r>
    </w:p>
    <w:p w14:paraId="752B842D">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机房电气是整个数据监狱内数据中心机房的基础系统工程。机房电气系统的安全性、可靠性、可维护性、</w:t>
      </w:r>
      <w:r>
        <w:rPr>
          <w:rFonts w:ascii="宋体" w:hAnsi="宋体"/>
          <w:bCs/>
          <w:color w:val="auto"/>
          <w:szCs w:val="21"/>
          <w:highlight w:val="none"/>
        </w:rPr>
        <w:t>绿色节能</w:t>
      </w:r>
      <w:r>
        <w:rPr>
          <w:rFonts w:hint="eastAsia" w:ascii="宋体" w:hAnsi="宋体"/>
          <w:bCs/>
          <w:color w:val="auto"/>
          <w:szCs w:val="21"/>
          <w:highlight w:val="none"/>
        </w:rPr>
        <w:t>是本项目设计的重点。</w:t>
      </w:r>
      <w:r>
        <w:rPr>
          <w:rFonts w:ascii="宋体" w:hAnsi="宋体"/>
          <w:bCs/>
          <w:color w:val="auto"/>
          <w:szCs w:val="21"/>
          <w:highlight w:val="none"/>
        </w:rPr>
        <w:t>本数据</w:t>
      </w:r>
      <w:r>
        <w:rPr>
          <w:rFonts w:hint="eastAsia" w:ascii="宋体" w:hAnsi="宋体"/>
          <w:bCs/>
          <w:color w:val="auto"/>
          <w:szCs w:val="21"/>
          <w:highlight w:val="none"/>
        </w:rPr>
        <w:t>监狱内数据中心机房</w:t>
      </w:r>
      <w:r>
        <w:rPr>
          <w:rFonts w:ascii="宋体" w:hAnsi="宋体"/>
          <w:bCs/>
          <w:color w:val="auto"/>
          <w:szCs w:val="21"/>
          <w:highlight w:val="none"/>
        </w:rPr>
        <w:t>供配</w:t>
      </w:r>
      <w:r>
        <w:rPr>
          <w:rFonts w:hint="eastAsia" w:ascii="宋体" w:hAnsi="宋体"/>
          <w:bCs/>
          <w:color w:val="auto"/>
          <w:szCs w:val="21"/>
          <w:highlight w:val="none"/>
        </w:rPr>
        <w:t>电</w:t>
      </w:r>
      <w:r>
        <w:rPr>
          <w:rFonts w:ascii="宋体" w:hAnsi="宋体"/>
          <w:bCs/>
          <w:color w:val="auto"/>
          <w:szCs w:val="21"/>
          <w:highlight w:val="none"/>
        </w:rPr>
        <w:t>系统按照《</w:t>
      </w:r>
      <w:r>
        <w:rPr>
          <w:rFonts w:hint="eastAsia"/>
          <w:bCs/>
          <w:color w:val="auto"/>
          <w:highlight w:val="none"/>
        </w:rPr>
        <w:t>智慧监狱 技术规范</w:t>
      </w:r>
      <w:r>
        <w:rPr>
          <w:rFonts w:ascii="宋体" w:hAnsi="宋体"/>
          <w:bCs/>
          <w:color w:val="auto"/>
          <w:szCs w:val="21"/>
          <w:highlight w:val="none"/>
        </w:rPr>
        <w:t>》</w:t>
      </w:r>
      <w:r>
        <w:rPr>
          <w:rFonts w:hint="eastAsia" w:ascii="宋体" w:hAnsi="宋体"/>
          <w:bCs/>
          <w:color w:val="auto"/>
          <w:szCs w:val="21"/>
          <w:highlight w:val="none"/>
        </w:rPr>
        <w:t>（</w:t>
      </w:r>
      <w:r>
        <w:rPr>
          <w:rFonts w:ascii="宋体" w:hAnsi="宋体"/>
          <w:bCs/>
          <w:color w:val="auto"/>
          <w:szCs w:val="21"/>
          <w:highlight w:val="none"/>
        </w:rPr>
        <w:t>SF/T 0028-2018</w:t>
      </w:r>
      <w:r>
        <w:rPr>
          <w:rFonts w:hint="eastAsia" w:ascii="宋体" w:hAnsi="宋体"/>
          <w:bCs/>
          <w:color w:val="auto"/>
          <w:szCs w:val="21"/>
          <w:highlight w:val="none"/>
        </w:rPr>
        <w:t>）中机房的</w:t>
      </w:r>
      <w:r>
        <w:rPr>
          <w:rFonts w:ascii="宋体" w:hAnsi="宋体"/>
          <w:bCs/>
          <w:color w:val="auto"/>
          <w:szCs w:val="21"/>
          <w:highlight w:val="none"/>
        </w:rPr>
        <w:t>供电要求进行设计</w:t>
      </w:r>
      <w:r>
        <w:rPr>
          <w:rFonts w:hint="eastAsia" w:ascii="宋体" w:hAnsi="宋体"/>
          <w:bCs/>
          <w:color w:val="auto"/>
          <w:szCs w:val="21"/>
          <w:highlight w:val="none"/>
        </w:rPr>
        <w:t>，采用独立双路供电，满足一级负荷供电要求，分区配备UPS供电。</w:t>
      </w:r>
    </w:p>
    <w:p w14:paraId="07F9A3EF">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开封市监狱数据中心机房供配电系统由智能配电柜向主机电源、外部设备、辅助设备、空调、照明、新风设备等提供相线、电压、频率及额定容量符合要求的交流电。</w:t>
      </w:r>
    </w:p>
    <w:p w14:paraId="61B3B4C8">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本项目所采用的线制为三相五线制，其三相额定电压为380V，单相额定电压为220V。供电频率为50H</w:t>
      </w:r>
      <w:r>
        <w:rPr>
          <w:rFonts w:ascii="宋体" w:hAnsi="宋体"/>
          <w:bCs/>
          <w:color w:val="auto"/>
          <w:szCs w:val="21"/>
          <w:highlight w:val="none"/>
        </w:rPr>
        <w:t>z</w:t>
      </w:r>
      <w:r>
        <w:rPr>
          <w:rFonts w:hint="eastAsia" w:ascii="宋体" w:hAnsi="宋体"/>
          <w:bCs/>
          <w:color w:val="auto"/>
          <w:szCs w:val="21"/>
          <w:highlight w:val="none"/>
        </w:rPr>
        <w:t>。</w:t>
      </w:r>
      <w:r>
        <w:rPr>
          <w:rFonts w:ascii="宋体" w:hAnsi="宋体"/>
          <w:bCs/>
          <w:color w:val="auto"/>
          <w:szCs w:val="21"/>
          <w:highlight w:val="none"/>
        </w:rPr>
        <w:t>低压配电采用</w:t>
      </w:r>
      <w:r>
        <w:rPr>
          <w:rFonts w:hint="eastAsia" w:ascii="宋体" w:hAnsi="宋体"/>
          <w:bCs/>
          <w:color w:val="auto"/>
          <w:szCs w:val="21"/>
          <w:highlight w:val="none"/>
        </w:rPr>
        <w:t>TN-S系统，</w:t>
      </w:r>
      <w:r>
        <w:rPr>
          <w:rFonts w:ascii="宋体" w:hAnsi="宋体"/>
          <w:bCs/>
          <w:color w:val="auto"/>
          <w:szCs w:val="21"/>
          <w:highlight w:val="none"/>
        </w:rPr>
        <w:t>可以对雷电浪涌进行多级保护，</w:t>
      </w:r>
      <w:r>
        <w:rPr>
          <w:rFonts w:hint="eastAsia" w:ascii="宋体" w:hAnsi="宋体"/>
          <w:bCs/>
          <w:color w:val="auto"/>
          <w:szCs w:val="21"/>
          <w:highlight w:val="none"/>
        </w:rPr>
        <w:t>又可</w:t>
      </w:r>
      <w:r>
        <w:rPr>
          <w:rFonts w:ascii="宋体" w:hAnsi="宋体"/>
          <w:bCs/>
          <w:color w:val="auto"/>
          <w:szCs w:val="21"/>
          <w:highlight w:val="none"/>
        </w:rPr>
        <w:t>对</w:t>
      </w:r>
      <w:r>
        <w:rPr>
          <w:rFonts w:hint="eastAsia" w:ascii="宋体" w:hAnsi="宋体"/>
          <w:bCs/>
          <w:color w:val="auto"/>
          <w:szCs w:val="21"/>
          <w:highlight w:val="none"/>
        </w:rPr>
        <w:t>UPS和IT</w:t>
      </w:r>
      <w:r>
        <w:rPr>
          <w:rFonts w:ascii="宋体" w:hAnsi="宋体"/>
          <w:bCs/>
          <w:color w:val="auto"/>
          <w:szCs w:val="21"/>
          <w:highlight w:val="none"/>
        </w:rPr>
        <w:t>设备进行电磁兼容保护。</w:t>
      </w:r>
    </w:p>
    <w:p w14:paraId="0CB029B8">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IT</w:t>
      </w:r>
      <w:r>
        <w:rPr>
          <w:rFonts w:ascii="宋体" w:hAnsi="宋体"/>
          <w:bCs/>
          <w:color w:val="auto"/>
          <w:szCs w:val="21"/>
          <w:highlight w:val="none"/>
        </w:rPr>
        <w:t>设备</w:t>
      </w:r>
      <w:r>
        <w:rPr>
          <w:rFonts w:hint="eastAsia" w:ascii="宋体" w:hAnsi="宋体"/>
          <w:bCs/>
          <w:color w:val="auto"/>
          <w:szCs w:val="21"/>
          <w:highlight w:val="none"/>
        </w:rPr>
        <w:t>交流</w:t>
      </w:r>
      <w:r>
        <w:rPr>
          <w:rFonts w:ascii="宋体" w:hAnsi="宋体"/>
          <w:bCs/>
          <w:color w:val="auto"/>
          <w:szCs w:val="21"/>
          <w:highlight w:val="none"/>
        </w:rPr>
        <w:t>供电时</w:t>
      </w:r>
      <w:r>
        <w:rPr>
          <w:rFonts w:hint="eastAsia" w:ascii="宋体" w:hAnsi="宋体"/>
          <w:bCs/>
          <w:color w:val="auto"/>
          <w:szCs w:val="21"/>
          <w:highlight w:val="none"/>
        </w:rPr>
        <w:t>稳态电压偏移范围为</w:t>
      </w:r>
      <w:r>
        <w:rPr>
          <w:rFonts w:ascii="宋体" w:hAnsi="宋体"/>
          <w:bCs/>
          <w:color w:val="auto"/>
          <w:szCs w:val="21"/>
          <w:highlight w:val="none"/>
        </w:rPr>
        <w:t>：</w:t>
      </w:r>
      <w:r>
        <w:rPr>
          <w:rFonts w:hint="eastAsia" w:ascii="宋体" w:hAnsi="宋体"/>
          <w:bCs/>
          <w:color w:val="auto"/>
          <w:szCs w:val="21"/>
          <w:highlight w:val="none"/>
        </w:rPr>
        <w:t>+7</w:t>
      </w:r>
      <w:r>
        <w:rPr>
          <w:rFonts w:ascii="宋体" w:hAnsi="宋体"/>
          <w:bCs/>
          <w:color w:val="auto"/>
          <w:szCs w:val="21"/>
          <w:highlight w:val="none"/>
        </w:rPr>
        <w:t>%~-10%</w:t>
      </w:r>
      <w:r>
        <w:rPr>
          <w:rFonts w:hint="eastAsia" w:ascii="宋体" w:hAnsi="宋体"/>
          <w:bCs/>
          <w:color w:val="auto"/>
          <w:szCs w:val="21"/>
          <w:highlight w:val="none"/>
        </w:rPr>
        <w:t>，交流</w:t>
      </w:r>
      <w:r>
        <w:rPr>
          <w:rFonts w:ascii="宋体" w:hAnsi="宋体"/>
          <w:bCs/>
          <w:color w:val="auto"/>
          <w:szCs w:val="21"/>
          <w:highlight w:val="none"/>
        </w:rPr>
        <w:t>供电时</w:t>
      </w:r>
      <w:r>
        <w:rPr>
          <w:rFonts w:hint="eastAsia" w:ascii="宋体" w:hAnsi="宋体"/>
          <w:bCs/>
          <w:color w:val="auto"/>
          <w:szCs w:val="21"/>
          <w:highlight w:val="none"/>
        </w:rPr>
        <w:t>稳态频率偏移范围为：50Hz±0.5Hz，IT</w:t>
      </w:r>
      <w:r>
        <w:rPr>
          <w:rFonts w:ascii="宋体" w:hAnsi="宋体"/>
          <w:bCs/>
          <w:color w:val="auto"/>
          <w:szCs w:val="21"/>
          <w:highlight w:val="none"/>
        </w:rPr>
        <w:t>设备正常工作</w:t>
      </w:r>
      <w:r>
        <w:rPr>
          <w:rFonts w:hint="eastAsia" w:ascii="宋体" w:hAnsi="宋体"/>
          <w:bCs/>
          <w:color w:val="auto"/>
          <w:szCs w:val="21"/>
          <w:highlight w:val="none"/>
        </w:rPr>
        <w:t>时输入电压波形失真度≤5%，不同电源</w:t>
      </w:r>
      <w:r>
        <w:rPr>
          <w:rFonts w:ascii="宋体" w:hAnsi="宋体"/>
          <w:bCs/>
          <w:color w:val="auto"/>
          <w:szCs w:val="21"/>
          <w:highlight w:val="none"/>
        </w:rPr>
        <w:t>之间进行切换</w:t>
      </w:r>
      <w:r>
        <w:rPr>
          <w:rFonts w:hint="eastAsia" w:ascii="宋体" w:hAnsi="宋体"/>
          <w:bCs/>
          <w:color w:val="auto"/>
          <w:szCs w:val="21"/>
          <w:highlight w:val="none"/>
        </w:rPr>
        <w:t>时允许断电持续时间为0～</w:t>
      </w:r>
      <w:r>
        <w:rPr>
          <w:rFonts w:ascii="宋体" w:hAnsi="宋体"/>
          <w:bCs/>
          <w:color w:val="auto"/>
          <w:szCs w:val="21"/>
          <w:highlight w:val="none"/>
        </w:rPr>
        <w:t>10</w:t>
      </w:r>
      <w:r>
        <w:rPr>
          <w:rFonts w:hint="eastAsia" w:ascii="宋体" w:hAnsi="宋体"/>
          <w:bCs/>
          <w:color w:val="auto"/>
          <w:szCs w:val="21"/>
          <w:highlight w:val="none"/>
        </w:rPr>
        <w:t>ms。</w:t>
      </w:r>
    </w:p>
    <w:p w14:paraId="58A47D72">
      <w:pPr>
        <w:spacing w:line="360" w:lineRule="auto"/>
        <w:ind w:firstLine="420" w:firstLineChars="200"/>
        <w:rPr>
          <w:rFonts w:ascii="宋体" w:hAnsi="宋体"/>
          <w:bCs/>
          <w:color w:val="auto"/>
          <w:highlight w:val="none"/>
        </w:rPr>
      </w:pPr>
      <w:r>
        <w:rPr>
          <w:rFonts w:hint="eastAsia" w:ascii="宋体" w:hAnsi="宋体"/>
          <w:bCs/>
          <w:color w:val="auto"/>
          <w:highlight w:val="none"/>
        </w:rPr>
        <w:t>1、供配电系统架构</w:t>
      </w:r>
    </w:p>
    <w:p w14:paraId="2134DF14">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市电输入：由</w:t>
      </w:r>
      <w:r>
        <w:rPr>
          <w:rFonts w:ascii="宋体" w:hAnsi="宋体"/>
          <w:bCs/>
          <w:color w:val="auto"/>
          <w:szCs w:val="21"/>
          <w:highlight w:val="none"/>
        </w:rPr>
        <w:t>2</w:t>
      </w:r>
      <w:r>
        <w:rPr>
          <w:rFonts w:hint="eastAsia" w:ascii="宋体" w:hAnsi="宋体"/>
          <w:bCs/>
          <w:color w:val="auto"/>
          <w:szCs w:val="21"/>
          <w:highlight w:val="none"/>
        </w:rPr>
        <w:t>路市电经ATS切换后为配电系统供电。当市电输入</w:t>
      </w:r>
      <w:r>
        <w:rPr>
          <w:rFonts w:ascii="宋体" w:hAnsi="宋体"/>
          <w:bCs/>
          <w:color w:val="auto"/>
          <w:szCs w:val="21"/>
          <w:highlight w:val="none"/>
        </w:rPr>
        <w:t>电源</w:t>
      </w:r>
      <w:r>
        <w:rPr>
          <w:rFonts w:hint="eastAsia" w:ascii="宋体" w:hAnsi="宋体"/>
          <w:bCs/>
          <w:color w:val="auto"/>
          <w:szCs w:val="21"/>
          <w:highlight w:val="none"/>
        </w:rPr>
        <w:t>均出现故障时，UPS自动切换到蓄电池组供电，保证为IT设备提供可靠的电源。</w:t>
      </w:r>
    </w:p>
    <w:p w14:paraId="580E7286">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IT机柜末端供电：所有的IT机柜配置两个总输入电流为32A、12口插座的PDU,这两个PDU分别由两个不同的UPS</w:t>
      </w:r>
      <w:r>
        <w:rPr>
          <w:rFonts w:hint="eastAsia" w:ascii="宋体" w:hAnsi="宋体" w:cs="宋体"/>
          <w:bCs/>
          <w:color w:val="auto"/>
          <w:szCs w:val="21"/>
          <w:highlight w:val="none"/>
        </w:rPr>
        <w:t>供电</w:t>
      </w:r>
      <w:r>
        <w:rPr>
          <w:rFonts w:hint="eastAsia" w:ascii="宋体" w:hAnsi="宋体"/>
          <w:bCs/>
          <w:color w:val="auto"/>
          <w:szCs w:val="21"/>
          <w:highlight w:val="none"/>
        </w:rPr>
        <w:t>；PDU通过ZR-RVV-3×</w:t>
      </w:r>
      <w:r>
        <w:rPr>
          <w:rFonts w:ascii="宋体" w:hAnsi="宋体"/>
          <w:bCs/>
          <w:color w:val="auto"/>
          <w:szCs w:val="21"/>
          <w:highlight w:val="none"/>
        </w:rPr>
        <w:t>6</w:t>
      </w:r>
      <w:r>
        <w:rPr>
          <w:rFonts w:hint="eastAsia" w:ascii="宋体" w:hAnsi="宋体"/>
          <w:bCs/>
          <w:color w:val="auto"/>
          <w:szCs w:val="21"/>
          <w:highlight w:val="none"/>
        </w:rPr>
        <w:t>mm</w:t>
      </w:r>
      <w:r>
        <w:rPr>
          <w:rFonts w:ascii="宋体" w:hAnsi="宋体"/>
          <w:bCs/>
          <w:color w:val="auto"/>
          <w:szCs w:val="21"/>
          <w:highlight w:val="none"/>
          <w:vertAlign w:val="superscript"/>
        </w:rPr>
        <w:t>2</w:t>
      </w:r>
      <w:r>
        <w:rPr>
          <w:rFonts w:hint="eastAsia" w:ascii="宋体" w:hAnsi="宋体"/>
          <w:bCs/>
          <w:color w:val="auto"/>
          <w:szCs w:val="21"/>
          <w:highlight w:val="none"/>
        </w:rPr>
        <w:t>阻燃电线接入精密配电柜。</w:t>
      </w:r>
    </w:p>
    <w:p w14:paraId="7B2A9D58">
      <w:pPr>
        <w:spacing w:line="360" w:lineRule="auto"/>
        <w:ind w:firstLine="420" w:firstLineChars="200"/>
        <w:rPr>
          <w:rFonts w:ascii="宋体" w:hAnsi="宋体"/>
          <w:bCs/>
          <w:color w:val="auto"/>
          <w:highlight w:val="none"/>
        </w:rPr>
      </w:pPr>
      <w:r>
        <w:rPr>
          <w:rFonts w:hint="eastAsia" w:ascii="宋体" w:hAnsi="宋体"/>
          <w:bCs/>
          <w:color w:val="auto"/>
          <w:highlight w:val="none"/>
        </w:rPr>
        <w:t>2、UPS容量设计</w:t>
      </w:r>
    </w:p>
    <w:p w14:paraId="66140372">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（1）机房UPS电池计算</w:t>
      </w:r>
    </w:p>
    <w:p w14:paraId="1C4CBFEC">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本项目每个IT机柜功耗按照3kW考虑，根据机房面积及使用要求，本次设计配置</w:t>
      </w:r>
      <w:r>
        <w:rPr>
          <w:rFonts w:ascii="宋体" w:hAnsi="宋体"/>
          <w:bCs/>
          <w:color w:val="auto"/>
          <w:szCs w:val="21"/>
          <w:highlight w:val="none"/>
        </w:rPr>
        <w:t>16</w:t>
      </w:r>
      <w:r>
        <w:rPr>
          <w:rFonts w:hint="eastAsia" w:ascii="宋体" w:hAnsi="宋体"/>
          <w:bCs/>
          <w:color w:val="auto"/>
          <w:szCs w:val="21"/>
          <w:highlight w:val="none"/>
        </w:rPr>
        <w:t>台IT机柜，机房内IT设备供电需求计算如下（功率因数取0.</w:t>
      </w:r>
      <w:r>
        <w:rPr>
          <w:rFonts w:ascii="宋体" w:hAnsi="宋体"/>
          <w:bCs/>
          <w:color w:val="auto"/>
          <w:szCs w:val="21"/>
          <w:highlight w:val="none"/>
        </w:rPr>
        <w:t>8</w:t>
      </w:r>
      <w:r>
        <w:rPr>
          <w:rFonts w:hint="eastAsia" w:ascii="宋体" w:hAnsi="宋体"/>
          <w:bCs/>
          <w:color w:val="auto"/>
          <w:szCs w:val="21"/>
          <w:highlight w:val="none"/>
        </w:rPr>
        <w:t>）：</w:t>
      </w:r>
    </w:p>
    <w:p w14:paraId="5B016A86">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机房内的负载情况：IT机柜</w:t>
      </w:r>
      <w:r>
        <w:rPr>
          <w:rFonts w:ascii="宋体" w:hAnsi="宋体"/>
          <w:bCs/>
          <w:color w:val="auto"/>
          <w:szCs w:val="21"/>
          <w:highlight w:val="none"/>
        </w:rPr>
        <w:t>16</w:t>
      </w:r>
      <w:r>
        <w:rPr>
          <w:rFonts w:hint="eastAsia" w:ascii="宋体" w:hAnsi="宋体"/>
          <w:bCs/>
          <w:color w:val="auto"/>
          <w:szCs w:val="21"/>
          <w:highlight w:val="none"/>
        </w:rPr>
        <w:t>台（3kW/柜），其他设备（周界安防设施）负载3</w:t>
      </w:r>
      <w:r>
        <w:rPr>
          <w:rFonts w:ascii="宋体" w:hAnsi="宋体"/>
          <w:bCs/>
          <w:color w:val="auto"/>
          <w:szCs w:val="21"/>
          <w:highlight w:val="none"/>
        </w:rPr>
        <w:t>KW</w:t>
      </w:r>
      <w:r>
        <w:rPr>
          <w:rFonts w:hint="eastAsia" w:ascii="宋体" w:hAnsi="宋体"/>
          <w:bCs/>
          <w:color w:val="auto"/>
          <w:szCs w:val="21"/>
          <w:highlight w:val="none"/>
        </w:rPr>
        <w:t>，</w:t>
      </w:r>
      <w:r>
        <w:rPr>
          <w:rFonts w:ascii="宋体" w:hAnsi="宋体"/>
          <w:bCs/>
          <w:color w:val="auto"/>
          <w:szCs w:val="21"/>
          <w:highlight w:val="none"/>
        </w:rPr>
        <w:t>所有</w:t>
      </w:r>
      <w:r>
        <w:rPr>
          <w:rFonts w:hint="eastAsia" w:ascii="宋体" w:hAnsi="宋体"/>
          <w:bCs/>
          <w:color w:val="auto"/>
          <w:szCs w:val="21"/>
          <w:highlight w:val="none"/>
        </w:rPr>
        <w:t>总负载为：</w:t>
      </w:r>
      <w:r>
        <w:rPr>
          <w:rFonts w:ascii="宋体" w:hAnsi="宋体"/>
          <w:bCs/>
          <w:color w:val="auto"/>
          <w:szCs w:val="21"/>
          <w:highlight w:val="none"/>
        </w:rPr>
        <w:t>51</w:t>
      </w:r>
      <w:r>
        <w:rPr>
          <w:rFonts w:hint="eastAsia" w:ascii="宋体" w:hAnsi="宋体"/>
          <w:bCs/>
          <w:color w:val="auto"/>
          <w:szCs w:val="21"/>
          <w:highlight w:val="none"/>
        </w:rPr>
        <w:t>kW；</w:t>
      </w:r>
    </w:p>
    <w:p w14:paraId="77397DD9">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指挥中心内的负载情况</w:t>
      </w:r>
      <w:r>
        <w:rPr>
          <w:rFonts w:hint="eastAsia" w:ascii="宋体" w:hAnsi="宋体"/>
          <w:bCs/>
          <w:color w:val="auto"/>
          <w:szCs w:val="21"/>
          <w:highlight w:val="none"/>
        </w:rPr>
        <w:t>：9个工位（500W），大屏</w:t>
      </w:r>
      <w:r>
        <w:rPr>
          <w:rFonts w:ascii="宋体" w:hAnsi="宋体"/>
          <w:bCs/>
          <w:color w:val="auto"/>
          <w:szCs w:val="21"/>
          <w:highlight w:val="none"/>
        </w:rPr>
        <w:t>27.45KW</w:t>
      </w:r>
      <w:r>
        <w:rPr>
          <w:rFonts w:hint="eastAsia" w:ascii="宋体" w:hAnsi="宋体"/>
          <w:bCs/>
          <w:color w:val="auto"/>
          <w:szCs w:val="21"/>
          <w:highlight w:val="none"/>
        </w:rPr>
        <w:t>，其他设施（含监狱大门门禁、安防供电）</w:t>
      </w:r>
      <w:r>
        <w:rPr>
          <w:rFonts w:ascii="宋体" w:hAnsi="宋体"/>
          <w:bCs/>
          <w:color w:val="auto"/>
          <w:szCs w:val="21"/>
          <w:highlight w:val="none"/>
        </w:rPr>
        <w:t>5</w:t>
      </w:r>
      <w:r>
        <w:rPr>
          <w:rFonts w:hint="eastAsia" w:ascii="宋体" w:hAnsi="宋体"/>
          <w:bCs/>
          <w:color w:val="auto"/>
          <w:szCs w:val="21"/>
          <w:highlight w:val="none"/>
        </w:rPr>
        <w:t>KW，总负载</w:t>
      </w:r>
      <w:r>
        <w:rPr>
          <w:rFonts w:ascii="宋体" w:hAnsi="宋体"/>
          <w:bCs/>
          <w:color w:val="auto"/>
          <w:szCs w:val="21"/>
          <w:highlight w:val="none"/>
        </w:rPr>
        <w:t>36.95</w:t>
      </w:r>
      <w:r>
        <w:rPr>
          <w:rFonts w:hint="eastAsia" w:ascii="宋体" w:hAnsi="宋体"/>
          <w:bCs/>
          <w:color w:val="auto"/>
          <w:szCs w:val="21"/>
          <w:highlight w:val="none"/>
        </w:rPr>
        <w:t>KW。</w:t>
      </w:r>
    </w:p>
    <w:p w14:paraId="7A9B287A">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机房配备</w:t>
      </w:r>
      <w:r>
        <w:rPr>
          <w:rFonts w:hint="eastAsia" w:ascii="宋体" w:hAnsi="宋体"/>
          <w:bCs/>
          <w:color w:val="auto"/>
          <w:szCs w:val="21"/>
          <w:highlight w:val="none"/>
        </w:rPr>
        <w:t>UPS容量需求计算：E=1.2x[</w:t>
      </w:r>
      <w:r>
        <w:rPr>
          <w:rFonts w:ascii="宋体" w:hAnsi="宋体"/>
          <w:bCs/>
          <w:color w:val="auto"/>
          <w:szCs w:val="21"/>
          <w:highlight w:val="none"/>
        </w:rPr>
        <w:t>51</w:t>
      </w:r>
      <w:r>
        <w:rPr>
          <w:rFonts w:hint="eastAsia" w:ascii="宋体" w:hAnsi="宋体"/>
          <w:bCs/>
          <w:color w:val="auto"/>
          <w:szCs w:val="21"/>
          <w:highlight w:val="none"/>
        </w:rPr>
        <w:t>/0.</w:t>
      </w:r>
      <w:r>
        <w:rPr>
          <w:rFonts w:ascii="宋体" w:hAnsi="宋体"/>
          <w:bCs/>
          <w:color w:val="auto"/>
          <w:szCs w:val="21"/>
          <w:highlight w:val="none"/>
        </w:rPr>
        <w:t>8</w:t>
      </w:r>
      <w:r>
        <w:rPr>
          <w:rFonts w:hint="eastAsia" w:ascii="宋体" w:hAnsi="宋体"/>
          <w:bCs/>
          <w:color w:val="auto"/>
          <w:szCs w:val="21"/>
          <w:highlight w:val="none"/>
        </w:rPr>
        <w:t>]≈</w:t>
      </w:r>
      <w:r>
        <w:rPr>
          <w:rFonts w:ascii="宋体" w:hAnsi="宋体"/>
          <w:bCs/>
          <w:color w:val="auto"/>
          <w:szCs w:val="21"/>
          <w:highlight w:val="none"/>
        </w:rPr>
        <w:t>76.5</w:t>
      </w:r>
      <w:r>
        <w:rPr>
          <w:rFonts w:hint="eastAsia" w:ascii="宋体" w:hAnsi="宋体"/>
          <w:bCs/>
          <w:color w:val="auto"/>
          <w:szCs w:val="21"/>
          <w:highlight w:val="none"/>
        </w:rPr>
        <w:t>kVA</w:t>
      </w:r>
    </w:p>
    <w:p w14:paraId="31AE74C3">
      <w:pPr>
        <w:spacing w:line="360" w:lineRule="auto"/>
        <w:ind w:firstLine="420" w:firstLineChars="200"/>
        <w:rPr>
          <w:rFonts w:ascii="宋体" w:hAnsi="宋体"/>
          <w:bCs/>
          <w:color w:val="auto"/>
          <w:szCs w:val="21"/>
          <w:highlight w:val="none"/>
        </w:rPr>
      </w:pPr>
      <w:r>
        <w:rPr>
          <w:rFonts w:ascii="宋体" w:hAnsi="宋体"/>
          <w:bCs/>
          <w:color w:val="auto"/>
          <w:szCs w:val="21"/>
          <w:highlight w:val="none"/>
        </w:rPr>
        <w:t>指挥中心配备</w:t>
      </w:r>
      <w:r>
        <w:rPr>
          <w:rFonts w:hint="eastAsia" w:ascii="宋体" w:hAnsi="宋体"/>
          <w:bCs/>
          <w:color w:val="auto"/>
          <w:szCs w:val="21"/>
          <w:highlight w:val="none"/>
        </w:rPr>
        <w:t>UPS容量需求计算：E=1.2x[(</w:t>
      </w:r>
      <w:r>
        <w:rPr>
          <w:rFonts w:ascii="宋体" w:hAnsi="宋体"/>
          <w:bCs/>
          <w:color w:val="auto"/>
          <w:szCs w:val="21"/>
          <w:highlight w:val="none"/>
        </w:rPr>
        <w:t>36.95</w:t>
      </w:r>
      <w:r>
        <w:rPr>
          <w:rFonts w:hint="eastAsia" w:ascii="宋体" w:hAnsi="宋体"/>
          <w:bCs/>
          <w:color w:val="auto"/>
          <w:szCs w:val="21"/>
          <w:highlight w:val="none"/>
        </w:rPr>
        <w:t>/0.</w:t>
      </w:r>
      <w:r>
        <w:rPr>
          <w:rFonts w:ascii="宋体" w:hAnsi="宋体"/>
          <w:bCs/>
          <w:color w:val="auto"/>
          <w:szCs w:val="21"/>
          <w:highlight w:val="none"/>
        </w:rPr>
        <w:t>8</w:t>
      </w:r>
      <w:r>
        <w:rPr>
          <w:rFonts w:hint="eastAsia" w:ascii="宋体" w:hAnsi="宋体"/>
          <w:bCs/>
          <w:color w:val="auto"/>
          <w:szCs w:val="21"/>
          <w:highlight w:val="none"/>
        </w:rPr>
        <w:t>)]≈</w:t>
      </w:r>
      <w:r>
        <w:rPr>
          <w:rFonts w:ascii="宋体" w:hAnsi="宋体"/>
          <w:bCs/>
          <w:color w:val="auto"/>
          <w:szCs w:val="21"/>
          <w:highlight w:val="none"/>
        </w:rPr>
        <w:t>55.43</w:t>
      </w:r>
      <w:r>
        <w:rPr>
          <w:rFonts w:hint="eastAsia" w:ascii="宋体" w:hAnsi="宋体"/>
          <w:bCs/>
          <w:color w:val="auto"/>
          <w:szCs w:val="21"/>
          <w:highlight w:val="none"/>
        </w:rPr>
        <w:t>kVA</w:t>
      </w:r>
    </w:p>
    <w:p w14:paraId="0095FF57">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注：根据《数据中心设计规范》（GB50174-2017）的相关规定，确定不间断电源系统的基本容量时应留有量，不间断电源系统的基本容量可按下式计算：E≥1.2P。</w:t>
      </w:r>
    </w:p>
    <w:p w14:paraId="27CE3F43">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式中：E--不间断电源系统的基本容量（不包含备份不间断电源系统设备）（kVA）；P—电子信息设备的计算负荷（kW）。</w:t>
      </w:r>
    </w:p>
    <w:p w14:paraId="61768279">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根据以上计算，机房UPS选用容量不小于100KVA的模块化UPS（200KVA机框，配置2个50KVA功率模块），满足系统负荷要求；指挥中心UPS选用容量不小于</w:t>
      </w:r>
      <w:r>
        <w:rPr>
          <w:rFonts w:ascii="宋体" w:hAnsi="宋体"/>
          <w:bCs/>
          <w:color w:val="auto"/>
          <w:szCs w:val="21"/>
          <w:highlight w:val="none"/>
        </w:rPr>
        <w:t>60</w:t>
      </w:r>
      <w:r>
        <w:rPr>
          <w:rFonts w:hint="eastAsia" w:ascii="宋体" w:hAnsi="宋体"/>
          <w:bCs/>
          <w:color w:val="auto"/>
          <w:szCs w:val="21"/>
          <w:highlight w:val="none"/>
        </w:rPr>
        <w:t>KVA，满足系统负荷要求。依据《全国司法行政系统指挥中心建设技术规范》（SF/T 0009-2017）要求，指挥中心设备后备</w:t>
      </w:r>
      <w:r>
        <w:rPr>
          <w:rFonts w:ascii="宋体" w:hAnsi="宋体"/>
          <w:bCs/>
          <w:color w:val="auto"/>
          <w:szCs w:val="21"/>
          <w:highlight w:val="none"/>
        </w:rPr>
        <w:t>时长</w:t>
      </w:r>
      <w:r>
        <w:rPr>
          <w:rFonts w:hint="eastAsia" w:ascii="宋体" w:hAnsi="宋体"/>
          <w:bCs/>
          <w:color w:val="auto"/>
          <w:szCs w:val="21"/>
          <w:highlight w:val="none"/>
        </w:rPr>
        <w:t>4小时，机房设备后备</w:t>
      </w:r>
      <w:r>
        <w:rPr>
          <w:rFonts w:ascii="宋体" w:hAnsi="宋体"/>
          <w:bCs/>
          <w:color w:val="auto"/>
          <w:szCs w:val="21"/>
          <w:highlight w:val="none"/>
        </w:rPr>
        <w:t>时长</w:t>
      </w:r>
      <w:r>
        <w:rPr>
          <w:rFonts w:hint="eastAsia" w:ascii="宋体" w:hAnsi="宋体"/>
          <w:bCs/>
          <w:color w:val="auto"/>
          <w:szCs w:val="21"/>
          <w:highlight w:val="none"/>
        </w:rPr>
        <w:t>2小时</w:t>
      </w:r>
      <w:r>
        <w:rPr>
          <w:rFonts w:ascii="宋体" w:hAnsi="宋体"/>
          <w:bCs/>
          <w:color w:val="auto"/>
          <w:szCs w:val="21"/>
          <w:highlight w:val="none"/>
        </w:rPr>
        <w:t>。</w:t>
      </w:r>
    </w:p>
    <w:p w14:paraId="72FBABB9">
      <w:pPr>
        <w:spacing w:line="360" w:lineRule="auto"/>
        <w:ind w:firstLine="420" w:firstLineChars="200"/>
        <w:rPr>
          <w:bCs/>
          <w:color w:val="auto"/>
          <w:highlight w:val="none"/>
        </w:rPr>
      </w:pPr>
      <w:r>
        <w:rPr>
          <w:bCs/>
          <w:color w:val="auto"/>
          <w:highlight w:val="none"/>
        </w:rPr>
        <w:t>参照</w:t>
      </w:r>
      <w:r>
        <w:rPr>
          <w:rFonts w:hint="eastAsia"/>
          <w:bCs/>
          <w:color w:val="auto"/>
          <w:highlight w:val="none"/>
        </w:rPr>
        <w:t>19DX</w:t>
      </w:r>
      <w:r>
        <w:rPr>
          <w:bCs/>
          <w:color w:val="auto"/>
          <w:highlight w:val="none"/>
        </w:rPr>
        <w:t>101-1图集中常用</w:t>
      </w:r>
      <w:r>
        <w:rPr>
          <w:rFonts w:hint="eastAsia"/>
          <w:bCs/>
          <w:color w:val="auto"/>
          <w:highlight w:val="none"/>
        </w:rPr>
        <w:t>UPS配置电池数量的相关指标，结合</w:t>
      </w:r>
      <w:r>
        <w:rPr>
          <w:bCs/>
          <w:color w:val="auto"/>
          <w:highlight w:val="none"/>
        </w:rPr>
        <w:t>开封市监狱自身情况，</w:t>
      </w:r>
      <w:r>
        <w:rPr>
          <w:rFonts w:hint="eastAsia"/>
          <w:bCs/>
          <w:color w:val="auto"/>
          <w:highlight w:val="none"/>
        </w:rPr>
        <w:t>机房UPS满足后备时长2</w:t>
      </w:r>
      <w:r>
        <w:rPr>
          <w:bCs/>
          <w:color w:val="auto"/>
          <w:highlight w:val="none"/>
        </w:rPr>
        <w:t>h</w:t>
      </w:r>
      <w:r>
        <w:rPr>
          <w:rFonts w:hint="eastAsia"/>
          <w:bCs/>
          <w:color w:val="auto"/>
          <w:highlight w:val="none"/>
        </w:rPr>
        <w:t>需配置至少160节12V</w:t>
      </w:r>
      <w:r>
        <w:rPr>
          <w:bCs/>
          <w:color w:val="auto"/>
          <w:highlight w:val="none"/>
        </w:rPr>
        <w:t>/</w:t>
      </w:r>
      <w:r>
        <w:rPr>
          <w:rFonts w:hint="eastAsia"/>
          <w:bCs/>
          <w:color w:val="auto"/>
          <w:highlight w:val="none"/>
        </w:rPr>
        <w:t>150AH电池（本次</w:t>
      </w:r>
      <w:r>
        <w:rPr>
          <w:bCs/>
          <w:color w:val="auto"/>
          <w:highlight w:val="none"/>
        </w:rPr>
        <w:t>只配置</w:t>
      </w:r>
      <w:r>
        <w:rPr>
          <w:rFonts w:hint="eastAsia"/>
          <w:bCs/>
          <w:color w:val="auto"/>
          <w:highlight w:val="none"/>
        </w:rPr>
        <w:t>80节电池</w:t>
      </w:r>
      <w:r>
        <w:rPr>
          <w:bCs/>
          <w:color w:val="auto"/>
          <w:highlight w:val="none"/>
        </w:rPr>
        <w:t>，保证后备时间达到</w:t>
      </w:r>
      <w:r>
        <w:rPr>
          <w:rFonts w:hint="eastAsia"/>
          <w:bCs/>
          <w:color w:val="auto"/>
          <w:highlight w:val="none"/>
        </w:rPr>
        <w:t>1</w:t>
      </w:r>
      <w:r>
        <w:rPr>
          <w:bCs/>
          <w:color w:val="auto"/>
          <w:highlight w:val="none"/>
        </w:rPr>
        <w:t>h，后期可扩展至2h</w:t>
      </w:r>
      <w:r>
        <w:rPr>
          <w:rFonts w:hint="eastAsia"/>
          <w:bCs/>
          <w:color w:val="auto"/>
          <w:highlight w:val="none"/>
        </w:rPr>
        <w:t>）。指挥中心UPS满足后备时长需配置至少160节12V/150AH电池（本次</w:t>
      </w:r>
      <w:r>
        <w:rPr>
          <w:bCs/>
          <w:color w:val="auto"/>
          <w:highlight w:val="none"/>
        </w:rPr>
        <w:t>只配置40</w:t>
      </w:r>
      <w:r>
        <w:rPr>
          <w:rFonts w:hint="eastAsia"/>
          <w:bCs/>
          <w:color w:val="auto"/>
          <w:highlight w:val="none"/>
        </w:rPr>
        <w:t>节电池</w:t>
      </w:r>
      <w:r>
        <w:rPr>
          <w:bCs/>
          <w:color w:val="auto"/>
          <w:highlight w:val="none"/>
        </w:rPr>
        <w:t>，保证后备时间达到</w:t>
      </w:r>
      <w:r>
        <w:rPr>
          <w:rFonts w:hint="eastAsia"/>
          <w:bCs/>
          <w:color w:val="auto"/>
          <w:highlight w:val="none"/>
        </w:rPr>
        <w:t>1</w:t>
      </w:r>
      <w:r>
        <w:rPr>
          <w:bCs/>
          <w:color w:val="auto"/>
          <w:highlight w:val="none"/>
        </w:rPr>
        <w:t>h，后期可扩展至4h</w:t>
      </w:r>
      <w:r>
        <w:rPr>
          <w:rFonts w:hint="eastAsia"/>
          <w:bCs/>
          <w:color w:val="auto"/>
          <w:highlight w:val="none"/>
        </w:rPr>
        <w:t>），高压电网UPS需配置至少64节12V</w:t>
      </w:r>
      <w:r>
        <w:rPr>
          <w:bCs/>
          <w:color w:val="auto"/>
          <w:highlight w:val="none"/>
        </w:rPr>
        <w:t>/100AH电池</w:t>
      </w:r>
      <w:r>
        <w:rPr>
          <w:rFonts w:hint="eastAsia"/>
          <w:bCs/>
          <w:color w:val="auto"/>
          <w:highlight w:val="none"/>
        </w:rPr>
        <w:t>，</w:t>
      </w:r>
      <w:r>
        <w:rPr>
          <w:bCs/>
          <w:color w:val="auto"/>
          <w:highlight w:val="none"/>
        </w:rPr>
        <w:t>高压按照</w:t>
      </w:r>
      <w:r>
        <w:rPr>
          <w:rFonts w:hint="eastAsia"/>
          <w:bCs/>
          <w:color w:val="auto"/>
          <w:highlight w:val="none"/>
        </w:rPr>
        <w:t>《河南省监狱周界高压脉冲电网系统建设标准》（豫狱监管【2012】28号）要求，</w:t>
      </w:r>
      <w:r>
        <w:rPr>
          <w:bCs/>
          <w:color w:val="auto"/>
          <w:highlight w:val="none"/>
        </w:rPr>
        <w:t>后备时长达到</w:t>
      </w:r>
      <w:r>
        <w:rPr>
          <w:rFonts w:hint="eastAsia"/>
          <w:bCs/>
          <w:color w:val="auto"/>
          <w:highlight w:val="none"/>
        </w:rPr>
        <w:t>4</w:t>
      </w:r>
      <w:r>
        <w:rPr>
          <w:bCs/>
          <w:color w:val="auto"/>
          <w:highlight w:val="none"/>
        </w:rPr>
        <w:t>h</w:t>
      </w:r>
      <w:r>
        <w:rPr>
          <w:rFonts w:hint="eastAsia"/>
          <w:bCs/>
          <w:color w:val="auto"/>
          <w:highlight w:val="none"/>
        </w:rPr>
        <w:t>。具体图集参考表如下：</w:t>
      </w:r>
    </w:p>
    <w:p w14:paraId="09EFCFFA">
      <w:pPr>
        <w:spacing w:line="360" w:lineRule="auto"/>
        <w:ind w:firstLine="420" w:firstLineChars="200"/>
        <w:jc w:val="center"/>
        <w:rPr>
          <w:bCs/>
          <w:color w:val="auto"/>
          <w:highlight w:val="none"/>
        </w:rPr>
      </w:pPr>
      <w:r>
        <w:rPr>
          <w:bCs/>
          <w:color w:val="auto"/>
          <w:highlight w:val="none"/>
        </w:rPr>
        <w:drawing>
          <wp:inline distT="0" distB="0" distL="114300" distR="114300">
            <wp:extent cx="5399405" cy="3549650"/>
            <wp:effectExtent l="0" t="0" r="10795" b="12700"/>
            <wp:docPr id="9" name="图片 10" descr="C:\Users\ADMINI~1\AppData\Local\Temp\WeChat Files\009cd81ea4c8a90d01e59350b0da5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C:\Users\ADMINI~1\AppData\Local\Temp\WeChat Files\009cd81ea4c8a90d01e59350b0da5ea.png"/>
                    <pic:cNvPicPr>
                      <a:picLocks noChangeAspect="1"/>
                    </pic:cNvPicPr>
                  </pic:nvPicPr>
                  <pic:blipFill>
                    <a:blip r:embed="rId23"/>
                    <a:srcRect l="998" t="1866" r="3561" b="4243"/>
                    <a:stretch>
                      <a:fillRect/>
                    </a:stretch>
                  </pic:blipFill>
                  <pic:spPr>
                    <a:xfrm>
                      <a:off x="0" y="0"/>
                      <a:ext cx="5399405" cy="3549650"/>
                    </a:xfrm>
                    <a:prstGeom prst="rect">
                      <a:avLst/>
                    </a:prstGeom>
                    <a:noFill/>
                    <a:ln>
                      <a:noFill/>
                    </a:ln>
                  </pic:spPr>
                </pic:pic>
              </a:graphicData>
            </a:graphic>
          </wp:inline>
        </w:drawing>
      </w:r>
    </w:p>
    <w:p w14:paraId="59776C1F">
      <w:pPr>
        <w:spacing w:line="360" w:lineRule="auto"/>
        <w:ind w:firstLine="420" w:firstLineChars="200"/>
        <w:rPr>
          <w:bCs/>
          <w:color w:val="auto"/>
          <w:highlight w:val="none"/>
        </w:rPr>
      </w:pPr>
      <w:r>
        <w:rPr>
          <w:rFonts w:hint="eastAsia"/>
          <w:bCs/>
          <w:color w:val="auto"/>
          <w:highlight w:val="none"/>
        </w:rPr>
        <w:t>为保证电池间的充分利用，以及便于电池运维检修，需将原电池室的门更换为外开的防火防盗门，机房配套UPS电池间具体规划布局如下：</w:t>
      </w:r>
    </w:p>
    <w:p w14:paraId="601889E9">
      <w:pPr>
        <w:spacing w:line="360" w:lineRule="auto"/>
        <w:ind w:firstLine="420" w:firstLineChars="200"/>
        <w:jc w:val="center"/>
        <w:rPr>
          <w:bCs/>
          <w:color w:val="auto"/>
          <w:highlight w:val="none"/>
        </w:rPr>
      </w:pPr>
      <w:r>
        <w:rPr>
          <w:bCs/>
          <w:color w:val="auto"/>
          <w:highlight w:val="none"/>
        </w:rPr>
        <w:drawing>
          <wp:inline distT="0" distB="0" distL="114300" distR="114300">
            <wp:extent cx="4053840" cy="4090035"/>
            <wp:effectExtent l="0" t="0" r="3810" b="5715"/>
            <wp:docPr id="10" name="图片 11" descr="C:\Users\Administrator\Document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C:\Users\Administrator\Documents\4.jpg"/>
                    <pic:cNvPicPr>
                      <a:picLocks noChangeAspect="1"/>
                    </pic:cNvPicPr>
                  </pic:nvPicPr>
                  <pic:blipFill>
                    <a:blip r:embed="rId24"/>
                    <a:srcRect l="1588" t="16650" r="2766" b="15109"/>
                    <a:stretch>
                      <a:fillRect/>
                    </a:stretch>
                  </pic:blipFill>
                  <pic:spPr>
                    <a:xfrm>
                      <a:off x="0" y="0"/>
                      <a:ext cx="4053840" cy="4090035"/>
                    </a:xfrm>
                    <a:prstGeom prst="rect">
                      <a:avLst/>
                    </a:prstGeom>
                    <a:noFill/>
                    <a:ln>
                      <a:noFill/>
                    </a:ln>
                  </pic:spPr>
                </pic:pic>
              </a:graphicData>
            </a:graphic>
          </wp:inline>
        </w:drawing>
      </w:r>
    </w:p>
    <w:p w14:paraId="41091BC1">
      <w:pPr>
        <w:spacing w:line="360" w:lineRule="auto"/>
        <w:ind w:firstLine="420" w:firstLineChars="200"/>
        <w:rPr>
          <w:bCs/>
          <w:color w:val="auto"/>
          <w:highlight w:val="none"/>
        </w:rPr>
      </w:pPr>
    </w:p>
    <w:p w14:paraId="5232CB45">
      <w:pPr>
        <w:spacing w:line="360" w:lineRule="auto"/>
        <w:ind w:firstLine="420" w:firstLineChars="200"/>
        <w:rPr>
          <w:rFonts w:ascii="宋体" w:hAnsi="宋体"/>
          <w:bCs/>
          <w:color w:val="auto"/>
          <w:highlight w:val="none"/>
        </w:rPr>
      </w:pPr>
      <w:r>
        <w:rPr>
          <w:rFonts w:hint="eastAsia" w:ascii="宋体" w:hAnsi="宋体"/>
          <w:bCs/>
          <w:color w:val="auto"/>
          <w:highlight w:val="none"/>
        </w:rPr>
        <w:t>3、市电容量需求</w:t>
      </w:r>
    </w:p>
    <w:p w14:paraId="1C7AA7DA">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本次机房供配电系统的市电电源管理设备如下：IT设备、精密空调主机、新风机、数据监狱内数据中心机房内所有维修电源、数据中心区照明、应急照明、安全出口指示照明及其它数据中心办公设备电源等。</w:t>
      </w:r>
    </w:p>
    <w:p w14:paraId="77F8D021">
      <w:pPr>
        <w:tabs>
          <w:tab w:val="left" w:pos="900"/>
        </w:tabs>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综上所述，市电容量总需求约为232KW，计算表格如下表所示：</w:t>
      </w:r>
    </w:p>
    <w:tbl>
      <w:tblPr>
        <w:tblStyle w:val="36"/>
        <w:tblW w:w="8910" w:type="dxa"/>
        <w:tblInd w:w="0" w:type="dxa"/>
        <w:tblLayout w:type="fixed"/>
        <w:tblCellMar>
          <w:top w:w="0" w:type="dxa"/>
          <w:left w:w="15" w:type="dxa"/>
          <w:bottom w:w="0" w:type="dxa"/>
          <w:right w:w="15" w:type="dxa"/>
        </w:tblCellMar>
      </w:tblPr>
      <w:tblGrid>
        <w:gridCol w:w="622"/>
        <w:gridCol w:w="2208"/>
        <w:gridCol w:w="2268"/>
        <w:gridCol w:w="3812"/>
      </w:tblGrid>
      <w:tr w14:paraId="607B3BB4">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6C02226C">
            <w:pPr>
              <w:autoSpaceDN w:val="0"/>
              <w:spacing w:line="240" w:lineRule="exact"/>
              <w:jc w:val="center"/>
              <w:textAlignment w:val="center"/>
              <w:rPr>
                <w:rFonts w:ascii="宋体" w:hAnsi="宋体"/>
                <w:bCs/>
                <w:color w:val="auto"/>
                <w:highlight w:val="none"/>
              </w:rPr>
            </w:pPr>
            <w:r>
              <w:rPr>
                <w:rFonts w:ascii="宋体" w:hAnsi="宋体"/>
                <w:bCs/>
                <w:color w:val="auto"/>
                <w:highlight w:val="none"/>
              </w:rPr>
              <w:t>序号</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C4371AB">
            <w:pPr>
              <w:autoSpaceDN w:val="0"/>
              <w:spacing w:line="240" w:lineRule="exact"/>
              <w:jc w:val="center"/>
              <w:textAlignment w:val="center"/>
              <w:rPr>
                <w:rFonts w:ascii="宋体" w:hAnsi="宋体"/>
                <w:bCs/>
                <w:color w:val="auto"/>
                <w:highlight w:val="none"/>
              </w:rPr>
            </w:pPr>
            <w:r>
              <w:rPr>
                <w:rFonts w:ascii="宋体" w:hAnsi="宋体"/>
                <w:bCs/>
                <w:color w:val="auto"/>
                <w:highlight w:val="none"/>
              </w:rPr>
              <w:t>项目</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62E7BF14">
            <w:pPr>
              <w:autoSpaceDN w:val="0"/>
              <w:spacing w:line="240" w:lineRule="exact"/>
              <w:jc w:val="center"/>
              <w:textAlignment w:val="center"/>
              <w:rPr>
                <w:rFonts w:ascii="宋体" w:hAnsi="宋体"/>
                <w:bCs/>
                <w:color w:val="auto"/>
                <w:highlight w:val="none"/>
              </w:rPr>
            </w:pPr>
            <w:r>
              <w:rPr>
                <w:rFonts w:ascii="宋体" w:hAnsi="宋体"/>
                <w:bCs/>
                <w:color w:val="auto"/>
                <w:highlight w:val="none"/>
              </w:rPr>
              <w:t>容量估算</w:t>
            </w:r>
          </w:p>
          <w:p w14:paraId="4C0DB0FE">
            <w:pPr>
              <w:autoSpaceDN w:val="0"/>
              <w:spacing w:line="240" w:lineRule="exact"/>
              <w:jc w:val="center"/>
              <w:textAlignment w:val="center"/>
              <w:rPr>
                <w:rFonts w:ascii="宋体" w:hAnsi="宋体"/>
                <w:bCs/>
                <w:color w:val="auto"/>
                <w:highlight w:val="none"/>
              </w:rPr>
            </w:pPr>
            <w:r>
              <w:rPr>
                <w:rFonts w:ascii="宋体" w:hAnsi="宋体"/>
                <w:bCs/>
                <w:color w:val="auto"/>
                <w:highlight w:val="none"/>
              </w:rPr>
              <w:t>（单位：kW）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5CB340C8">
            <w:pPr>
              <w:autoSpaceDN w:val="0"/>
              <w:spacing w:line="240" w:lineRule="exact"/>
              <w:jc w:val="center"/>
              <w:textAlignment w:val="center"/>
              <w:rPr>
                <w:rFonts w:ascii="宋体" w:hAnsi="宋体"/>
                <w:bCs/>
                <w:color w:val="auto"/>
                <w:highlight w:val="none"/>
              </w:rPr>
            </w:pPr>
            <w:r>
              <w:rPr>
                <w:rFonts w:ascii="宋体" w:hAnsi="宋体"/>
                <w:bCs/>
                <w:color w:val="auto"/>
                <w:highlight w:val="none"/>
              </w:rPr>
              <w:t>备注</w:t>
            </w:r>
          </w:p>
        </w:tc>
      </w:tr>
      <w:tr w14:paraId="25765A2B">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7C3209EA">
            <w:pPr>
              <w:autoSpaceDN w:val="0"/>
              <w:spacing w:line="240" w:lineRule="exact"/>
              <w:jc w:val="center"/>
              <w:textAlignment w:val="center"/>
              <w:rPr>
                <w:rFonts w:ascii="宋体" w:hAnsi="宋体"/>
                <w:bCs/>
                <w:color w:val="auto"/>
                <w:highlight w:val="none"/>
              </w:rPr>
            </w:pPr>
            <w:r>
              <w:rPr>
                <w:rFonts w:ascii="宋体" w:hAnsi="宋体"/>
                <w:bCs/>
                <w:color w:val="auto"/>
                <w:highlight w:val="none"/>
              </w:rPr>
              <w:t>1</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23ED1BDF">
            <w:pPr>
              <w:autoSpaceDN w:val="0"/>
              <w:spacing w:line="240" w:lineRule="exact"/>
              <w:jc w:val="center"/>
              <w:textAlignment w:val="center"/>
              <w:rPr>
                <w:rFonts w:ascii="宋体" w:hAnsi="宋体" w:eastAsia="仿宋"/>
                <w:bCs/>
                <w:color w:val="auto"/>
                <w:highlight w:val="none"/>
              </w:rPr>
            </w:pPr>
            <w:r>
              <w:rPr>
                <w:rFonts w:hint="eastAsia" w:ascii="宋体" w:hAnsi="宋体"/>
                <w:bCs/>
                <w:color w:val="auto"/>
                <w:highlight w:val="none"/>
              </w:rPr>
              <w:t>机房UPS</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0860185F">
            <w:pPr>
              <w:autoSpaceDN w:val="0"/>
              <w:spacing w:line="240" w:lineRule="exact"/>
              <w:jc w:val="center"/>
              <w:textAlignment w:val="center"/>
              <w:rPr>
                <w:rFonts w:ascii="宋体" w:hAnsi="宋体" w:eastAsia="仿宋"/>
                <w:bCs/>
                <w:color w:val="auto"/>
                <w:highlight w:val="none"/>
              </w:rPr>
            </w:pPr>
            <w:r>
              <w:rPr>
                <w:rFonts w:hint="eastAsia" w:ascii="宋体" w:hAnsi="宋体"/>
                <w:bCs/>
                <w:color w:val="auto"/>
                <w:highlight w:val="none"/>
              </w:rPr>
              <w:t>100KW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2B2AE95D">
            <w:pPr>
              <w:autoSpaceDN w:val="0"/>
              <w:spacing w:line="240" w:lineRule="exact"/>
              <w:textAlignment w:val="center"/>
              <w:rPr>
                <w:rFonts w:ascii="宋体" w:hAnsi="宋体"/>
                <w:bCs/>
                <w:color w:val="auto"/>
                <w:highlight w:val="none"/>
              </w:rPr>
            </w:pPr>
          </w:p>
        </w:tc>
      </w:tr>
      <w:tr w14:paraId="45602AB4">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02B037DE">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2</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3ABEB89">
            <w:pPr>
              <w:autoSpaceDN w:val="0"/>
              <w:spacing w:line="240" w:lineRule="exact"/>
              <w:jc w:val="center"/>
              <w:textAlignment w:val="center"/>
              <w:rPr>
                <w:rFonts w:hint="eastAsia" w:ascii="宋体" w:hAnsi="宋体"/>
                <w:bCs/>
                <w:color w:val="auto"/>
                <w:highlight w:val="none"/>
              </w:rPr>
            </w:pPr>
            <w:r>
              <w:rPr>
                <w:rFonts w:hint="eastAsia" w:ascii="宋体" w:hAnsi="宋体"/>
                <w:bCs/>
                <w:color w:val="auto"/>
                <w:highlight w:val="none"/>
              </w:rPr>
              <w:t>指挥中心配备UPS</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432D3502">
            <w:pPr>
              <w:autoSpaceDN w:val="0"/>
              <w:spacing w:line="240" w:lineRule="exact"/>
              <w:jc w:val="center"/>
              <w:textAlignment w:val="center"/>
              <w:rPr>
                <w:rFonts w:hint="eastAsia" w:ascii="宋体" w:hAnsi="宋体"/>
                <w:bCs/>
                <w:color w:val="auto"/>
                <w:highlight w:val="none"/>
              </w:rPr>
            </w:pPr>
            <w:r>
              <w:rPr>
                <w:rFonts w:hint="eastAsia" w:ascii="宋体" w:hAnsi="宋体"/>
                <w:bCs/>
                <w:color w:val="auto"/>
                <w:highlight w:val="none"/>
              </w:rPr>
              <w:t>60KW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4F5D4780">
            <w:pPr>
              <w:autoSpaceDN w:val="0"/>
              <w:spacing w:line="240" w:lineRule="exact"/>
              <w:textAlignment w:val="center"/>
              <w:rPr>
                <w:rFonts w:ascii="宋体" w:hAnsi="宋体"/>
                <w:bCs/>
                <w:color w:val="auto"/>
                <w:highlight w:val="none"/>
              </w:rPr>
            </w:pPr>
          </w:p>
        </w:tc>
      </w:tr>
      <w:tr w14:paraId="1DD2B7FC">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0FD641F3">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3</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08FAE909">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周界高压电网UPS</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40596DFA">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10KW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16E57DF2">
            <w:pPr>
              <w:autoSpaceDN w:val="0"/>
              <w:spacing w:line="240" w:lineRule="exact"/>
              <w:textAlignment w:val="center"/>
              <w:rPr>
                <w:rFonts w:ascii="宋体" w:hAnsi="宋体"/>
                <w:bCs/>
                <w:color w:val="auto"/>
                <w:highlight w:val="none"/>
              </w:rPr>
            </w:pPr>
          </w:p>
        </w:tc>
      </w:tr>
      <w:tr w14:paraId="6545B27A">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1D105DD6">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4</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236E70F">
            <w:pPr>
              <w:autoSpaceDN w:val="0"/>
              <w:spacing w:line="240" w:lineRule="exact"/>
              <w:jc w:val="center"/>
              <w:textAlignment w:val="center"/>
              <w:rPr>
                <w:rFonts w:ascii="宋体" w:hAnsi="宋体"/>
                <w:bCs/>
                <w:color w:val="auto"/>
                <w:highlight w:val="none"/>
              </w:rPr>
            </w:pPr>
            <w:r>
              <w:rPr>
                <w:rFonts w:ascii="宋体" w:hAnsi="宋体"/>
                <w:bCs/>
                <w:color w:val="auto"/>
                <w:highlight w:val="none"/>
              </w:rPr>
              <w:t>照明</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4B8C070A">
            <w:pPr>
              <w:autoSpaceDN w:val="0"/>
              <w:spacing w:line="240" w:lineRule="exact"/>
              <w:jc w:val="center"/>
              <w:textAlignment w:val="center"/>
              <w:rPr>
                <w:rFonts w:ascii="宋体" w:hAnsi="宋体"/>
                <w:bCs/>
                <w:color w:val="auto"/>
                <w:highlight w:val="none"/>
              </w:rPr>
            </w:pPr>
            <w:r>
              <w:rPr>
                <w:rFonts w:ascii="宋体" w:hAnsi="宋体"/>
                <w:bCs/>
                <w:color w:val="auto"/>
                <w:highlight w:val="none"/>
              </w:rPr>
              <w:t>100×0.02=</w:t>
            </w:r>
            <w:r>
              <w:rPr>
                <w:rFonts w:hint="eastAsia" w:ascii="宋体" w:hAnsi="宋体"/>
                <w:bCs/>
                <w:color w:val="auto"/>
                <w:highlight w:val="none"/>
              </w:rPr>
              <w:t>2.8</w:t>
            </w:r>
            <w:r>
              <w:rPr>
                <w:rFonts w:ascii="宋体" w:hAnsi="宋体"/>
                <w:bCs/>
                <w:color w:val="auto"/>
                <w:highlight w:val="none"/>
              </w:rPr>
              <w:t>8kW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22A579D6">
            <w:pPr>
              <w:autoSpaceDN w:val="0"/>
              <w:spacing w:line="240" w:lineRule="exact"/>
              <w:textAlignment w:val="center"/>
              <w:rPr>
                <w:rFonts w:ascii="宋体" w:hAnsi="宋体"/>
                <w:bCs/>
                <w:color w:val="auto"/>
                <w:highlight w:val="none"/>
              </w:rPr>
            </w:pPr>
            <w:r>
              <w:rPr>
                <w:rFonts w:ascii="宋体" w:hAnsi="宋体"/>
                <w:bCs/>
                <w:color w:val="auto"/>
                <w:highlight w:val="none"/>
              </w:rPr>
              <w:t>照明用电按照每平方20W的容量估算，数据中心总面积在100平米</w:t>
            </w:r>
          </w:p>
        </w:tc>
      </w:tr>
      <w:tr w14:paraId="4CA0F021">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44B9258A">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5</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4CBE151D">
            <w:pPr>
              <w:autoSpaceDN w:val="0"/>
              <w:spacing w:line="240" w:lineRule="exact"/>
              <w:jc w:val="center"/>
              <w:textAlignment w:val="center"/>
              <w:rPr>
                <w:rFonts w:ascii="宋体" w:hAnsi="宋体"/>
                <w:bCs/>
                <w:color w:val="auto"/>
                <w:highlight w:val="none"/>
              </w:rPr>
            </w:pPr>
            <w:r>
              <w:rPr>
                <w:rFonts w:ascii="宋体" w:hAnsi="宋体"/>
                <w:bCs/>
                <w:color w:val="auto"/>
                <w:highlight w:val="none"/>
              </w:rPr>
              <w:t>40KW</w:t>
            </w:r>
            <w:r>
              <w:rPr>
                <w:rFonts w:hint="eastAsia" w:ascii="宋体" w:hAnsi="宋体"/>
                <w:bCs/>
                <w:color w:val="auto"/>
                <w:highlight w:val="none"/>
              </w:rPr>
              <w:t>行间空调</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05C68C80">
            <w:pPr>
              <w:autoSpaceDN w:val="0"/>
              <w:spacing w:line="240" w:lineRule="exact"/>
              <w:jc w:val="center"/>
              <w:textAlignment w:val="center"/>
              <w:rPr>
                <w:rFonts w:ascii="宋体" w:hAnsi="宋体"/>
                <w:bCs/>
                <w:color w:val="auto"/>
                <w:highlight w:val="none"/>
              </w:rPr>
            </w:pPr>
            <w:r>
              <w:rPr>
                <w:rFonts w:ascii="宋体" w:hAnsi="宋体"/>
                <w:bCs/>
                <w:color w:val="auto"/>
                <w:highlight w:val="none"/>
              </w:rPr>
              <w:t>2×20=40kW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799961B6">
            <w:pPr>
              <w:autoSpaceDN w:val="0"/>
              <w:spacing w:line="240" w:lineRule="exact"/>
              <w:textAlignment w:val="center"/>
              <w:rPr>
                <w:rFonts w:ascii="宋体" w:hAnsi="宋体"/>
                <w:bCs/>
                <w:color w:val="auto"/>
                <w:highlight w:val="none"/>
              </w:rPr>
            </w:pPr>
            <w:r>
              <w:rPr>
                <w:rFonts w:hint="eastAsia" w:ascii="宋体" w:hAnsi="宋体"/>
                <w:bCs/>
                <w:color w:val="auto"/>
                <w:highlight w:val="none"/>
              </w:rPr>
              <w:t>主机房</w:t>
            </w:r>
            <w:r>
              <w:rPr>
                <w:rFonts w:ascii="宋体" w:hAnsi="宋体"/>
                <w:bCs/>
                <w:color w:val="auto"/>
                <w:highlight w:val="none"/>
              </w:rPr>
              <w:t>采用</w:t>
            </w:r>
            <w:r>
              <w:rPr>
                <w:rFonts w:hint="eastAsia" w:ascii="宋体" w:hAnsi="宋体"/>
                <w:bCs/>
                <w:color w:val="auto"/>
                <w:highlight w:val="none"/>
              </w:rPr>
              <w:t>行间</w:t>
            </w:r>
            <w:r>
              <w:rPr>
                <w:rFonts w:ascii="宋体" w:hAnsi="宋体"/>
                <w:bCs/>
                <w:color w:val="auto"/>
                <w:highlight w:val="none"/>
              </w:rPr>
              <w:t>空调2台，单台空调</w:t>
            </w:r>
            <w:r>
              <w:rPr>
                <w:rFonts w:hint="eastAsia" w:ascii="宋体" w:hAnsi="宋体"/>
                <w:bCs/>
                <w:color w:val="auto"/>
                <w:highlight w:val="none"/>
              </w:rPr>
              <w:t>功耗</w:t>
            </w:r>
            <w:r>
              <w:rPr>
                <w:rFonts w:ascii="宋体" w:hAnsi="宋体"/>
                <w:bCs/>
                <w:color w:val="auto"/>
                <w:highlight w:val="none"/>
              </w:rPr>
              <w:t>最大20kW</w:t>
            </w:r>
          </w:p>
        </w:tc>
      </w:tr>
      <w:tr w14:paraId="444D5656">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4533852A">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6</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601BE6CB">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电池间</w:t>
            </w:r>
            <w:r>
              <w:rPr>
                <w:rFonts w:ascii="宋体" w:hAnsi="宋体"/>
                <w:bCs/>
                <w:color w:val="auto"/>
                <w:highlight w:val="none"/>
              </w:rPr>
              <w:t>5P</w:t>
            </w:r>
            <w:r>
              <w:rPr>
                <w:rFonts w:hint="eastAsia" w:ascii="宋体" w:hAnsi="宋体"/>
                <w:bCs/>
                <w:color w:val="auto"/>
                <w:highlight w:val="none"/>
              </w:rPr>
              <w:t>基站</w:t>
            </w:r>
            <w:r>
              <w:rPr>
                <w:rFonts w:ascii="宋体" w:hAnsi="宋体"/>
                <w:bCs/>
                <w:color w:val="auto"/>
                <w:highlight w:val="none"/>
              </w:rPr>
              <w:t>空调</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514A3932">
            <w:pPr>
              <w:autoSpaceDN w:val="0"/>
              <w:spacing w:line="240" w:lineRule="exact"/>
              <w:jc w:val="center"/>
              <w:textAlignment w:val="center"/>
              <w:rPr>
                <w:rFonts w:ascii="宋体" w:hAnsi="宋体"/>
                <w:bCs/>
                <w:color w:val="auto"/>
                <w:highlight w:val="none"/>
              </w:rPr>
            </w:pPr>
            <w:r>
              <w:rPr>
                <w:rFonts w:ascii="宋体" w:hAnsi="宋体"/>
                <w:bCs/>
                <w:color w:val="auto"/>
                <w:highlight w:val="none"/>
              </w:rPr>
              <w:t>4KW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26969D14">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配置</w:t>
            </w:r>
            <w:r>
              <w:rPr>
                <w:rFonts w:ascii="宋体" w:hAnsi="宋体"/>
                <w:bCs/>
                <w:color w:val="auto"/>
                <w:highlight w:val="none"/>
              </w:rPr>
              <w:t>1</w:t>
            </w:r>
            <w:r>
              <w:rPr>
                <w:rFonts w:hint="eastAsia" w:ascii="宋体" w:hAnsi="宋体"/>
                <w:bCs/>
                <w:color w:val="auto"/>
                <w:highlight w:val="none"/>
              </w:rPr>
              <w:t>台</w:t>
            </w:r>
            <w:r>
              <w:rPr>
                <w:rFonts w:ascii="宋体" w:hAnsi="宋体"/>
                <w:bCs/>
                <w:color w:val="auto"/>
                <w:highlight w:val="none"/>
              </w:rPr>
              <w:t>5P</w:t>
            </w:r>
            <w:r>
              <w:rPr>
                <w:rFonts w:hint="eastAsia" w:ascii="宋体" w:hAnsi="宋体"/>
                <w:bCs/>
                <w:color w:val="auto"/>
                <w:highlight w:val="none"/>
              </w:rPr>
              <w:t>基站空调</w:t>
            </w:r>
          </w:p>
        </w:tc>
      </w:tr>
      <w:tr w14:paraId="2BA41B15">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0DA3A9B6">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7</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3F013B13">
            <w:pPr>
              <w:autoSpaceDN w:val="0"/>
              <w:spacing w:line="240" w:lineRule="exact"/>
              <w:jc w:val="center"/>
              <w:textAlignment w:val="center"/>
              <w:rPr>
                <w:rFonts w:ascii="宋体" w:hAnsi="宋体"/>
                <w:bCs/>
                <w:color w:val="auto"/>
                <w:highlight w:val="none"/>
              </w:rPr>
            </w:pPr>
            <w:r>
              <w:rPr>
                <w:rFonts w:ascii="宋体" w:hAnsi="宋体"/>
                <w:bCs/>
                <w:color w:val="auto"/>
                <w:highlight w:val="none"/>
              </w:rPr>
              <w:t>维修插座及其他设备</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375E6665">
            <w:pPr>
              <w:autoSpaceDN w:val="0"/>
              <w:spacing w:line="240" w:lineRule="exact"/>
              <w:jc w:val="center"/>
              <w:textAlignment w:val="center"/>
              <w:rPr>
                <w:rFonts w:ascii="宋体" w:hAnsi="宋体"/>
                <w:bCs/>
                <w:color w:val="auto"/>
                <w:highlight w:val="none"/>
              </w:rPr>
            </w:pPr>
            <w:r>
              <w:rPr>
                <w:rFonts w:ascii="宋体" w:hAnsi="宋体"/>
                <w:bCs/>
                <w:color w:val="auto"/>
                <w:highlight w:val="none"/>
              </w:rPr>
              <w:t>5kW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46310B62">
            <w:pPr>
              <w:autoSpaceDN w:val="0"/>
              <w:spacing w:line="240" w:lineRule="exact"/>
              <w:jc w:val="center"/>
              <w:textAlignment w:val="center"/>
              <w:rPr>
                <w:rFonts w:ascii="宋体" w:hAnsi="宋体"/>
                <w:bCs/>
                <w:color w:val="auto"/>
                <w:highlight w:val="none"/>
              </w:rPr>
            </w:pPr>
            <w:r>
              <w:rPr>
                <w:rFonts w:ascii="宋体" w:hAnsi="宋体"/>
                <w:bCs/>
                <w:color w:val="auto"/>
                <w:highlight w:val="none"/>
              </w:rPr>
              <w:t>估算为5kW</w:t>
            </w:r>
          </w:p>
        </w:tc>
      </w:tr>
      <w:tr w14:paraId="210A496B">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5AAD03B0">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8</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204E95F9">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其他预留用电</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74BA47FF">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10KW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624D8584">
            <w:pPr>
              <w:autoSpaceDN w:val="0"/>
              <w:spacing w:line="240" w:lineRule="exact"/>
              <w:jc w:val="center"/>
              <w:textAlignment w:val="center"/>
              <w:rPr>
                <w:rFonts w:hint="eastAsia" w:ascii="宋体" w:hAnsi="宋体"/>
                <w:bCs/>
                <w:color w:val="auto"/>
                <w:highlight w:val="none"/>
              </w:rPr>
            </w:pPr>
          </w:p>
        </w:tc>
      </w:tr>
      <w:tr w14:paraId="1830ABFF">
        <w:tblPrEx>
          <w:tblCellMar>
            <w:top w:w="0" w:type="dxa"/>
            <w:left w:w="15" w:type="dxa"/>
            <w:bottom w:w="0" w:type="dxa"/>
            <w:right w:w="15" w:type="dxa"/>
          </w:tblCellMar>
        </w:tblPrEx>
        <w:trPr>
          <w:trHeight w:val="624" w:hRule="atLeast"/>
        </w:trPr>
        <w:tc>
          <w:tcPr>
            <w:tcW w:w="622" w:type="dxa"/>
            <w:tcBorders>
              <w:top w:val="single" w:color="000000" w:sz="4" w:space="0"/>
              <w:left w:val="single" w:color="000000" w:sz="4" w:space="0"/>
              <w:bottom w:val="single" w:color="000000" w:sz="4" w:space="0"/>
              <w:right w:val="single" w:color="000000" w:sz="4" w:space="0"/>
            </w:tcBorders>
            <w:noWrap w:val="0"/>
            <w:vAlign w:val="center"/>
          </w:tcPr>
          <w:p w14:paraId="586B66D2">
            <w:pPr>
              <w:autoSpaceDN w:val="0"/>
              <w:spacing w:line="240" w:lineRule="exact"/>
              <w:jc w:val="center"/>
              <w:textAlignment w:val="center"/>
              <w:rPr>
                <w:rFonts w:hint="eastAsia" w:ascii="宋体" w:hAnsi="宋体" w:eastAsia="仿宋"/>
                <w:bCs/>
                <w:color w:val="auto"/>
                <w:highlight w:val="none"/>
              </w:rPr>
            </w:pPr>
            <w:r>
              <w:rPr>
                <w:rFonts w:hint="eastAsia" w:ascii="宋体" w:hAnsi="宋体"/>
                <w:bCs/>
                <w:color w:val="auto"/>
                <w:highlight w:val="none"/>
              </w:rPr>
              <w:t>9</w:t>
            </w:r>
          </w:p>
        </w:tc>
        <w:tc>
          <w:tcPr>
            <w:tcW w:w="2208" w:type="dxa"/>
            <w:tcBorders>
              <w:top w:val="single" w:color="000000" w:sz="4" w:space="0"/>
              <w:left w:val="single" w:color="000000" w:sz="4" w:space="0"/>
              <w:bottom w:val="single" w:color="000000" w:sz="4" w:space="0"/>
              <w:right w:val="single" w:color="000000" w:sz="4" w:space="0"/>
            </w:tcBorders>
            <w:noWrap w:val="0"/>
            <w:vAlign w:val="center"/>
          </w:tcPr>
          <w:p w14:paraId="4621B823">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小</w:t>
            </w:r>
            <w:r>
              <w:rPr>
                <w:rFonts w:ascii="宋体" w:hAnsi="宋体"/>
                <w:bCs/>
                <w:color w:val="auto"/>
                <w:highlight w:val="none"/>
              </w:rPr>
              <w:t>计</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65DDAB03">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约232</w:t>
            </w:r>
            <w:r>
              <w:rPr>
                <w:rFonts w:ascii="宋体" w:hAnsi="宋体"/>
                <w:bCs/>
                <w:color w:val="auto"/>
                <w:highlight w:val="none"/>
              </w:rPr>
              <w:t>kW</w:t>
            </w:r>
          </w:p>
        </w:tc>
        <w:tc>
          <w:tcPr>
            <w:tcW w:w="3812" w:type="dxa"/>
            <w:tcBorders>
              <w:top w:val="single" w:color="000000" w:sz="4" w:space="0"/>
              <w:left w:val="single" w:color="000000" w:sz="4" w:space="0"/>
              <w:bottom w:val="single" w:color="000000" w:sz="4" w:space="0"/>
              <w:right w:val="single" w:color="000000" w:sz="4" w:space="0"/>
            </w:tcBorders>
            <w:noWrap w:val="0"/>
            <w:vAlign w:val="center"/>
          </w:tcPr>
          <w:p w14:paraId="1D486D4E">
            <w:pPr>
              <w:autoSpaceDN w:val="0"/>
              <w:spacing w:line="240" w:lineRule="exact"/>
              <w:jc w:val="center"/>
              <w:textAlignment w:val="center"/>
              <w:rPr>
                <w:rFonts w:ascii="宋体" w:hAnsi="宋体"/>
                <w:bCs/>
                <w:color w:val="auto"/>
                <w:highlight w:val="none"/>
              </w:rPr>
            </w:pPr>
            <w:r>
              <w:rPr>
                <w:rFonts w:hint="eastAsia" w:ascii="宋体" w:hAnsi="宋体"/>
                <w:bCs/>
                <w:color w:val="auto"/>
                <w:highlight w:val="none"/>
              </w:rPr>
              <w:t>机房计算合计负荷</w:t>
            </w:r>
          </w:p>
        </w:tc>
      </w:tr>
    </w:tbl>
    <w:p w14:paraId="25A173F4">
      <w:pPr>
        <w:pStyle w:val="13"/>
        <w:ind w:firstLine="440" w:firstLineChars="200"/>
        <w:rPr>
          <w:b w:val="0"/>
          <w:color w:val="auto"/>
          <w:highlight w:val="none"/>
        </w:rPr>
      </w:pPr>
      <w:r>
        <w:rPr>
          <w:rFonts w:hint="eastAsia"/>
          <w:b w:val="0"/>
          <w:color w:val="auto"/>
          <w:highlight w:val="none"/>
        </w:rPr>
        <w:t>照明系统</w:t>
      </w:r>
    </w:p>
    <w:p w14:paraId="3ABDF705">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按照《数据中心设计规范》（GB50174-2017）的相关规定，主机房照度≥500lx，其它辅助区≥300lx；结合房间面积计算后，共配置LED面板灯26套。</w:t>
      </w:r>
    </w:p>
    <w:p w14:paraId="2C7355DF">
      <w:pPr>
        <w:pStyle w:val="13"/>
        <w:ind w:firstLine="440" w:firstLineChars="200"/>
        <w:rPr>
          <w:b w:val="0"/>
          <w:color w:val="auto"/>
          <w:highlight w:val="none"/>
        </w:rPr>
      </w:pPr>
      <w:r>
        <w:rPr>
          <w:rFonts w:hint="eastAsia"/>
          <w:b w:val="0"/>
          <w:color w:val="auto"/>
          <w:highlight w:val="none"/>
        </w:rPr>
        <w:t>防雷接地系统</w:t>
      </w:r>
    </w:p>
    <w:p w14:paraId="7081A680">
      <w:pPr>
        <w:spacing w:line="360" w:lineRule="auto"/>
        <w:ind w:firstLine="420" w:firstLineChars="200"/>
        <w:rPr>
          <w:bCs/>
          <w:color w:val="auto"/>
          <w:highlight w:val="none"/>
        </w:rPr>
      </w:pPr>
      <w:r>
        <w:rPr>
          <w:rFonts w:hint="eastAsia"/>
          <w:bCs/>
          <w:color w:val="auto"/>
          <w:highlight w:val="none"/>
        </w:rPr>
        <w:t>根据防雷要求现对监狱内数据中心机房内的UPS供电部份做电源三级保护。具体如下：</w:t>
      </w:r>
    </w:p>
    <w:p w14:paraId="08074662">
      <w:pPr>
        <w:spacing w:line="360" w:lineRule="auto"/>
        <w:ind w:firstLine="420" w:firstLineChars="200"/>
        <w:rPr>
          <w:bCs/>
          <w:color w:val="auto"/>
          <w:highlight w:val="none"/>
        </w:rPr>
      </w:pPr>
      <w:r>
        <w:rPr>
          <w:rFonts w:hint="eastAsia"/>
          <w:bCs/>
          <w:color w:val="auto"/>
          <w:highlight w:val="none"/>
        </w:rPr>
        <w:t>机房UPS电源供电线路是来自于大门总配电箱，本次设计对数据监狱内数据中心机房电源实行三级保护。</w:t>
      </w:r>
    </w:p>
    <w:p w14:paraId="12CA4DFB">
      <w:pPr>
        <w:pStyle w:val="53"/>
        <w:numPr>
          <w:ilvl w:val="0"/>
          <w:numId w:val="17"/>
        </w:numPr>
        <w:spacing w:line="360" w:lineRule="auto"/>
        <w:ind w:left="0" w:right="0" w:firstLine="420" w:firstLineChars="200"/>
        <w:rPr>
          <w:bCs/>
          <w:color w:val="auto"/>
          <w:highlight w:val="none"/>
        </w:rPr>
      </w:pPr>
      <w:r>
        <w:rPr>
          <w:rFonts w:hint="eastAsia"/>
          <w:bCs/>
          <w:color w:val="auto"/>
          <w:highlight w:val="none"/>
        </w:rPr>
        <w:t>电源一级防雷</w:t>
      </w:r>
    </w:p>
    <w:p w14:paraId="2A589A5F">
      <w:pPr>
        <w:spacing w:line="360" w:lineRule="auto"/>
        <w:ind w:firstLine="420" w:firstLineChars="200"/>
        <w:rPr>
          <w:bCs/>
          <w:color w:val="auto"/>
          <w:highlight w:val="none"/>
        </w:rPr>
      </w:pPr>
      <w:r>
        <w:rPr>
          <w:rFonts w:hint="eastAsia"/>
          <w:bCs/>
          <w:color w:val="auto"/>
          <w:highlight w:val="none"/>
        </w:rPr>
        <w:t>由电气专业负责设置；</w:t>
      </w:r>
    </w:p>
    <w:p w14:paraId="7E9852D7">
      <w:pPr>
        <w:pStyle w:val="53"/>
        <w:numPr>
          <w:ilvl w:val="0"/>
          <w:numId w:val="17"/>
        </w:numPr>
        <w:spacing w:line="360" w:lineRule="auto"/>
        <w:ind w:left="0" w:right="0" w:firstLine="420" w:firstLineChars="200"/>
        <w:rPr>
          <w:bCs/>
          <w:color w:val="auto"/>
          <w:highlight w:val="none"/>
        </w:rPr>
      </w:pPr>
      <w:r>
        <w:rPr>
          <w:rFonts w:hint="eastAsia"/>
          <w:bCs/>
          <w:color w:val="auto"/>
          <w:highlight w:val="none"/>
        </w:rPr>
        <w:t>电源二级防雷</w:t>
      </w:r>
    </w:p>
    <w:p w14:paraId="2839D55B">
      <w:pPr>
        <w:spacing w:line="360" w:lineRule="auto"/>
        <w:ind w:firstLine="420" w:firstLineChars="200"/>
        <w:rPr>
          <w:bCs/>
          <w:color w:val="auto"/>
          <w:highlight w:val="none"/>
        </w:rPr>
      </w:pPr>
      <w:r>
        <w:rPr>
          <w:rFonts w:hint="eastAsia"/>
          <w:bCs/>
          <w:color w:val="auto"/>
          <w:highlight w:val="none"/>
        </w:rPr>
        <w:t>UPS机房配电：选用合适三相电源防雷器并联安装于UPS机房配电箱总空气开关后端、UPS前端及后端；</w:t>
      </w:r>
    </w:p>
    <w:p w14:paraId="6BFD597A">
      <w:pPr>
        <w:pStyle w:val="53"/>
        <w:numPr>
          <w:ilvl w:val="0"/>
          <w:numId w:val="17"/>
        </w:numPr>
        <w:spacing w:line="360" w:lineRule="auto"/>
        <w:ind w:left="0" w:right="0" w:firstLine="420" w:firstLineChars="200"/>
        <w:rPr>
          <w:bCs/>
          <w:color w:val="auto"/>
          <w:highlight w:val="none"/>
        </w:rPr>
      </w:pPr>
      <w:r>
        <w:rPr>
          <w:rFonts w:hint="eastAsia"/>
          <w:bCs/>
          <w:color w:val="auto"/>
          <w:highlight w:val="none"/>
        </w:rPr>
        <w:t>电源三级防雷</w:t>
      </w:r>
    </w:p>
    <w:p w14:paraId="34FE9E3A">
      <w:pPr>
        <w:spacing w:line="360" w:lineRule="auto"/>
        <w:ind w:firstLine="420" w:firstLineChars="200"/>
        <w:rPr>
          <w:bCs/>
          <w:color w:val="auto"/>
          <w:highlight w:val="none"/>
        </w:rPr>
      </w:pPr>
      <w:r>
        <w:rPr>
          <w:rFonts w:hint="eastAsia"/>
          <w:bCs/>
          <w:color w:val="auto"/>
          <w:highlight w:val="none"/>
        </w:rPr>
        <w:t>电源三级防雷采用插座型电源防雷器，适用于机房内重要设备的插座处，如的服务器、交换机、路由器、报警主机、数字视频录像机等插座处。</w:t>
      </w:r>
    </w:p>
    <w:p w14:paraId="5D3AECCA">
      <w:pPr>
        <w:spacing w:line="360" w:lineRule="auto"/>
        <w:ind w:firstLine="420" w:firstLineChars="200"/>
        <w:rPr>
          <w:bCs/>
          <w:color w:val="auto"/>
          <w:highlight w:val="none"/>
        </w:rPr>
      </w:pPr>
      <w:r>
        <w:rPr>
          <w:rFonts w:hint="eastAsia"/>
          <w:bCs/>
          <w:color w:val="auto"/>
          <w:highlight w:val="none"/>
        </w:rPr>
        <w:t>接地与等电位处理：所有被保护设备必须通过三极电源连到PE母排上，否则须另外引线（≥2.5mm2）与PE母排就近相连。服务器、交换机及机房各工作站等重要设备的外壳就近用2.5mm2的铜线与PE母排相连。</w:t>
      </w:r>
    </w:p>
    <w:p w14:paraId="5FE1135F">
      <w:pPr>
        <w:spacing w:line="360" w:lineRule="auto"/>
        <w:ind w:firstLine="420" w:firstLineChars="200"/>
        <w:rPr>
          <w:bCs/>
          <w:color w:val="auto"/>
          <w:highlight w:val="none"/>
        </w:rPr>
      </w:pPr>
      <w:r>
        <w:rPr>
          <w:rFonts w:hint="eastAsia"/>
          <w:bCs/>
          <w:color w:val="auto"/>
          <w:highlight w:val="none"/>
        </w:rPr>
        <w:t>对上述各个PE 母排进行等电位处理；并且统一接地，接地电阻小于1Ω。对监狱内数据中心机房内的所有金属门窗等设备进行等电位处理，并与PE母排连接进行接地。</w:t>
      </w:r>
    </w:p>
    <w:p w14:paraId="657DD3BA">
      <w:pPr>
        <w:spacing w:line="360" w:lineRule="auto"/>
        <w:ind w:firstLine="420" w:firstLineChars="200"/>
        <w:rPr>
          <w:bCs/>
          <w:color w:val="auto"/>
          <w:highlight w:val="none"/>
        </w:rPr>
      </w:pPr>
      <w:r>
        <w:rPr>
          <w:rFonts w:hint="eastAsia"/>
          <w:bCs/>
          <w:color w:val="auto"/>
          <w:highlight w:val="none"/>
        </w:rPr>
        <w:t>机房内采用铜带做等电位接地网。抗静电地板、金属墙板、金属吊顶板及设备机架机柜等均应做安全可靠的接地。</w:t>
      </w:r>
    </w:p>
    <w:p w14:paraId="543E075C">
      <w:pPr>
        <w:spacing w:line="360" w:lineRule="auto"/>
        <w:ind w:firstLine="420" w:firstLineChars="200"/>
        <w:rPr>
          <w:rFonts w:ascii="宋体" w:hAnsi="宋体"/>
          <w:bCs/>
          <w:color w:val="auto"/>
          <w:szCs w:val="21"/>
          <w:highlight w:val="none"/>
        </w:rPr>
      </w:pPr>
      <w:r>
        <w:rPr>
          <w:rFonts w:hint="eastAsia"/>
          <w:bCs/>
          <w:color w:val="auto"/>
          <w:highlight w:val="none"/>
        </w:rPr>
        <w:t>机房接地系统采用由20*3mm紫铜排（沿机房四周地面敷设）+15*3mm紫铜排（机房地面交叉敷设）组成的600*600接地网，再由BVR-35mm2引到机房等电位连接箱。每平方米活动地板支撑脚上引一根BVR-6mm2双色导线和接地网相连。所有金属吊顶板，墙面板均用BVR-6mm2双色导线和接地网相连。机房内设备机柜各引一根BVR-6mm2至接地网。机房接地系统采用综合接地方案，综合接地电阻小于1Ω。</w:t>
      </w:r>
    </w:p>
    <w:p w14:paraId="5E1A96C6">
      <w:pPr>
        <w:pStyle w:val="12"/>
        <w:tabs>
          <w:tab w:val="left" w:pos="864"/>
        </w:tabs>
        <w:spacing w:line="360" w:lineRule="auto"/>
        <w:ind w:left="0" w:firstLine="420" w:firstLineChars="200"/>
        <w:rPr>
          <w:color w:val="auto"/>
          <w:highlight w:val="none"/>
        </w:rPr>
      </w:pPr>
      <w:r>
        <w:rPr>
          <w:rFonts w:hint="eastAsia"/>
          <w:color w:val="auto"/>
          <w:highlight w:val="none"/>
        </w:rPr>
        <w:t>机房空调</w:t>
      </w:r>
    </w:p>
    <w:p w14:paraId="778B7C27">
      <w:pPr>
        <w:pStyle w:val="13"/>
        <w:ind w:firstLine="440" w:firstLineChars="200"/>
        <w:rPr>
          <w:b w:val="0"/>
          <w:color w:val="auto"/>
          <w:highlight w:val="none"/>
        </w:rPr>
      </w:pPr>
      <w:r>
        <w:rPr>
          <w:rFonts w:hint="eastAsia"/>
          <w:b w:val="0"/>
          <w:color w:val="auto"/>
          <w:highlight w:val="none"/>
        </w:rPr>
        <w:t>新风系统</w:t>
      </w:r>
    </w:p>
    <w:p w14:paraId="4D26A6B0">
      <w:pPr>
        <w:spacing w:line="360" w:lineRule="auto"/>
        <w:ind w:firstLine="420" w:firstLineChars="200"/>
        <w:rPr>
          <w:bCs/>
          <w:color w:val="auto"/>
          <w:highlight w:val="none"/>
        </w:rPr>
      </w:pPr>
      <w:r>
        <w:rPr>
          <w:rFonts w:hint="eastAsia"/>
          <w:bCs/>
          <w:color w:val="auto"/>
          <w:highlight w:val="none"/>
        </w:rPr>
        <w:t>新风系统的作用在于形成室内微正压系统，主动引进经过处理的室外洁净空气，塑造我们需要的空气环境。具体作用包括两个方面：一，通过主动引进温湿度，洁净度受控的室外新风，形成机房区的空气微正压，防止机房外空气不可控的进入机房内，因此达到对机房空气环境的完全控制。二，促使室内空气循环维持良好健康的室内空气品质，保证工作人员对健康空气的需要。</w:t>
      </w:r>
    </w:p>
    <w:p w14:paraId="2D42189A">
      <w:pPr>
        <w:spacing w:line="360" w:lineRule="auto"/>
        <w:ind w:firstLine="420" w:firstLineChars="200"/>
        <w:rPr>
          <w:bCs/>
          <w:color w:val="auto"/>
          <w:highlight w:val="none"/>
        </w:rPr>
      </w:pPr>
      <w:r>
        <w:rPr>
          <w:rFonts w:hint="eastAsia"/>
          <w:bCs/>
          <w:color w:val="auto"/>
          <w:highlight w:val="none"/>
        </w:rPr>
        <w:t>为保证房间空气新鲜，房间中应含有15—20%的新鲜空气，工作人员才不会感到胸闷、头晕。机房的新风需求量：</w:t>
      </w:r>
    </w:p>
    <w:p w14:paraId="123A489F">
      <w:pPr>
        <w:spacing w:line="360" w:lineRule="auto"/>
        <w:ind w:firstLine="420" w:firstLineChars="200"/>
        <w:rPr>
          <w:bCs/>
          <w:color w:val="auto"/>
          <w:highlight w:val="none"/>
        </w:rPr>
      </w:pPr>
      <w:r>
        <w:rPr>
          <w:rFonts w:hint="eastAsia"/>
          <w:bCs/>
          <w:color w:val="auto"/>
          <w:highlight w:val="none"/>
        </w:rPr>
        <w:t>机房的新风需求量计算公式如下：</w:t>
      </w:r>
    </w:p>
    <w:p w14:paraId="2502CBF4">
      <w:pPr>
        <w:spacing w:line="360" w:lineRule="auto"/>
        <w:ind w:firstLine="420" w:firstLineChars="200"/>
        <w:rPr>
          <w:bCs/>
          <w:color w:val="auto"/>
          <w:highlight w:val="none"/>
        </w:rPr>
      </w:pPr>
      <w:r>
        <w:rPr>
          <w:rFonts w:hint="eastAsia"/>
          <w:bCs/>
          <w:color w:val="auto"/>
          <w:highlight w:val="none"/>
        </w:rPr>
        <w:t>L1 =机房的体积（V）*每小时换气次数（N）* 20%（一般取N=5）；</w:t>
      </w:r>
    </w:p>
    <w:p w14:paraId="4A8E5ADC">
      <w:pPr>
        <w:spacing w:line="360" w:lineRule="auto"/>
        <w:ind w:firstLine="420" w:firstLineChars="200"/>
        <w:rPr>
          <w:bCs/>
          <w:color w:val="auto"/>
          <w:highlight w:val="none"/>
        </w:rPr>
      </w:pPr>
      <w:r>
        <w:rPr>
          <w:rFonts w:hint="eastAsia"/>
          <w:bCs/>
          <w:color w:val="auto"/>
          <w:highlight w:val="none"/>
        </w:rPr>
        <w:t>机房体积 V =房间面积*高度；</w:t>
      </w:r>
    </w:p>
    <w:p w14:paraId="33963D5B">
      <w:pPr>
        <w:spacing w:line="360" w:lineRule="auto"/>
        <w:ind w:firstLine="420" w:firstLineChars="200"/>
        <w:rPr>
          <w:bCs/>
          <w:color w:val="auto"/>
          <w:highlight w:val="none"/>
        </w:rPr>
      </w:pPr>
      <w:r>
        <w:rPr>
          <w:rFonts w:hint="eastAsia"/>
          <w:bCs/>
          <w:color w:val="auto"/>
          <w:highlight w:val="none"/>
        </w:rPr>
        <w:t>机房的新风需求量L1= V*5*20%（m</w:t>
      </w:r>
      <w:r>
        <w:rPr>
          <w:bCs/>
          <w:color w:val="auto"/>
          <w:highlight w:val="none"/>
          <w:vertAlign w:val="superscript"/>
        </w:rPr>
        <w:t>3</w:t>
      </w:r>
      <w:r>
        <w:rPr>
          <w:bCs/>
          <w:color w:val="auto"/>
          <w:highlight w:val="none"/>
        </w:rPr>
        <w:t>/</w:t>
      </w:r>
      <w:r>
        <w:rPr>
          <w:rFonts w:hint="eastAsia"/>
          <w:bCs/>
          <w:color w:val="auto"/>
          <w:highlight w:val="none"/>
        </w:rPr>
        <w:t>h）。</w:t>
      </w:r>
    </w:p>
    <w:p w14:paraId="049D34CA">
      <w:pPr>
        <w:spacing w:line="360" w:lineRule="auto"/>
        <w:ind w:firstLine="420" w:firstLineChars="200"/>
        <w:rPr>
          <w:bCs/>
          <w:color w:val="auto"/>
          <w:highlight w:val="none"/>
        </w:rPr>
      </w:pPr>
      <w:r>
        <w:rPr>
          <w:rFonts w:hint="eastAsia"/>
          <w:bCs/>
          <w:color w:val="auto"/>
          <w:highlight w:val="none"/>
        </w:rPr>
        <w:t>机房内空气洁净度设计要求如下：</w:t>
      </w:r>
    </w:p>
    <w:tbl>
      <w:tblPr>
        <w:tblStyle w:val="3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2227"/>
        <w:gridCol w:w="2227"/>
        <w:gridCol w:w="2231"/>
      </w:tblGrid>
      <w:tr w14:paraId="7A90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834" w:type="dxa"/>
            <w:tcBorders>
              <w:top w:val="single" w:color="auto" w:sz="4" w:space="0"/>
              <w:left w:val="single" w:color="auto" w:sz="4" w:space="0"/>
              <w:bottom w:val="single" w:color="auto" w:sz="4" w:space="0"/>
              <w:right w:val="single" w:color="auto" w:sz="4" w:space="0"/>
            </w:tcBorders>
            <w:noWrap w:val="0"/>
            <w:vAlign w:val="top"/>
          </w:tcPr>
          <w:p w14:paraId="6021E8FB">
            <w:pPr>
              <w:pStyle w:val="58"/>
              <w:spacing w:line="360" w:lineRule="auto"/>
              <w:ind w:firstLine="420" w:firstLineChars="200"/>
              <w:rPr>
                <w:bCs/>
                <w:color w:val="auto"/>
                <w:highlight w:val="none"/>
              </w:rPr>
            </w:pPr>
            <w:r>
              <w:rPr>
                <w:rFonts w:hint="eastAsia"/>
                <w:bCs/>
                <w:color w:val="auto"/>
                <w:highlight w:val="none"/>
              </w:rPr>
              <w:t>夏季温度</w:t>
            </w:r>
          </w:p>
        </w:tc>
        <w:tc>
          <w:tcPr>
            <w:tcW w:w="2227" w:type="dxa"/>
            <w:tcBorders>
              <w:top w:val="single" w:color="auto" w:sz="4" w:space="0"/>
              <w:left w:val="single" w:color="auto" w:sz="4" w:space="0"/>
              <w:bottom w:val="single" w:color="auto" w:sz="4" w:space="0"/>
              <w:right w:val="single" w:color="auto" w:sz="4" w:space="0"/>
            </w:tcBorders>
            <w:noWrap w:val="0"/>
            <w:vAlign w:val="top"/>
          </w:tcPr>
          <w:p w14:paraId="0EFB3A7F">
            <w:pPr>
              <w:pStyle w:val="58"/>
              <w:spacing w:line="360" w:lineRule="auto"/>
              <w:ind w:firstLine="420" w:firstLineChars="200"/>
              <w:rPr>
                <w:bCs/>
                <w:color w:val="auto"/>
                <w:highlight w:val="none"/>
              </w:rPr>
            </w:pPr>
            <w:r>
              <w:rPr>
                <w:bCs/>
                <w:color w:val="auto"/>
                <w:highlight w:val="none"/>
              </w:rPr>
              <w:t>23</w:t>
            </w:r>
            <w:r>
              <w:rPr>
                <w:rFonts w:hint="eastAsia"/>
                <w:bCs/>
                <w:color w:val="auto"/>
                <w:highlight w:val="none"/>
              </w:rPr>
              <w:t>±</w:t>
            </w:r>
            <w:r>
              <w:rPr>
                <w:bCs/>
                <w:color w:val="auto"/>
                <w:highlight w:val="none"/>
              </w:rPr>
              <w:t>2</w:t>
            </w:r>
            <w:r>
              <w:rPr>
                <w:rFonts w:hint="eastAsia"/>
                <w:bCs/>
                <w:color w:val="auto"/>
                <w:highlight w:val="none"/>
              </w:rPr>
              <w:t>℃</w:t>
            </w:r>
          </w:p>
        </w:tc>
        <w:tc>
          <w:tcPr>
            <w:tcW w:w="2227" w:type="dxa"/>
            <w:tcBorders>
              <w:top w:val="single" w:color="auto" w:sz="4" w:space="0"/>
              <w:left w:val="single" w:color="auto" w:sz="4" w:space="0"/>
              <w:bottom w:val="single" w:color="auto" w:sz="4" w:space="0"/>
              <w:right w:val="single" w:color="auto" w:sz="4" w:space="0"/>
            </w:tcBorders>
            <w:noWrap w:val="0"/>
            <w:vAlign w:val="top"/>
          </w:tcPr>
          <w:p w14:paraId="28BAC5FE">
            <w:pPr>
              <w:pStyle w:val="58"/>
              <w:spacing w:line="360" w:lineRule="auto"/>
              <w:ind w:firstLine="420" w:firstLineChars="200"/>
              <w:rPr>
                <w:bCs/>
                <w:color w:val="auto"/>
                <w:highlight w:val="none"/>
              </w:rPr>
            </w:pPr>
            <w:r>
              <w:rPr>
                <w:rFonts w:hint="eastAsia"/>
                <w:bCs/>
                <w:color w:val="auto"/>
                <w:highlight w:val="none"/>
              </w:rPr>
              <w:t>冬季温度</w:t>
            </w:r>
          </w:p>
        </w:tc>
        <w:tc>
          <w:tcPr>
            <w:tcW w:w="2231" w:type="dxa"/>
            <w:tcBorders>
              <w:top w:val="single" w:color="auto" w:sz="4" w:space="0"/>
              <w:left w:val="single" w:color="auto" w:sz="4" w:space="0"/>
              <w:bottom w:val="single" w:color="auto" w:sz="4" w:space="0"/>
              <w:right w:val="single" w:color="auto" w:sz="4" w:space="0"/>
            </w:tcBorders>
            <w:noWrap w:val="0"/>
            <w:vAlign w:val="top"/>
          </w:tcPr>
          <w:p w14:paraId="595F22CB">
            <w:pPr>
              <w:pStyle w:val="58"/>
              <w:spacing w:line="360" w:lineRule="auto"/>
              <w:ind w:firstLine="420" w:firstLineChars="200"/>
              <w:rPr>
                <w:bCs/>
                <w:color w:val="auto"/>
                <w:highlight w:val="none"/>
              </w:rPr>
            </w:pPr>
            <w:r>
              <w:rPr>
                <w:bCs/>
                <w:color w:val="auto"/>
                <w:highlight w:val="none"/>
              </w:rPr>
              <w:t>20</w:t>
            </w:r>
            <w:r>
              <w:rPr>
                <w:rFonts w:hint="eastAsia"/>
                <w:bCs/>
                <w:color w:val="auto"/>
                <w:highlight w:val="none"/>
              </w:rPr>
              <w:t>±</w:t>
            </w:r>
            <w:r>
              <w:rPr>
                <w:bCs/>
                <w:color w:val="auto"/>
                <w:highlight w:val="none"/>
              </w:rPr>
              <w:t>2</w:t>
            </w:r>
            <w:r>
              <w:rPr>
                <w:rFonts w:hint="eastAsia"/>
                <w:bCs/>
                <w:color w:val="auto"/>
                <w:highlight w:val="none"/>
              </w:rPr>
              <w:t>℃</w:t>
            </w:r>
          </w:p>
        </w:tc>
      </w:tr>
      <w:tr w14:paraId="6EE0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834" w:type="dxa"/>
            <w:tcBorders>
              <w:top w:val="single" w:color="auto" w:sz="4" w:space="0"/>
              <w:left w:val="single" w:color="auto" w:sz="4" w:space="0"/>
              <w:bottom w:val="single" w:color="auto" w:sz="4" w:space="0"/>
              <w:right w:val="single" w:color="auto" w:sz="4" w:space="0"/>
            </w:tcBorders>
            <w:noWrap w:val="0"/>
            <w:vAlign w:val="top"/>
          </w:tcPr>
          <w:p w14:paraId="1F16C0D3">
            <w:pPr>
              <w:pStyle w:val="58"/>
              <w:spacing w:line="360" w:lineRule="auto"/>
              <w:ind w:firstLine="420" w:firstLineChars="200"/>
              <w:rPr>
                <w:bCs/>
                <w:color w:val="auto"/>
                <w:highlight w:val="none"/>
              </w:rPr>
            </w:pPr>
            <w:r>
              <w:rPr>
                <w:rFonts w:hint="eastAsia"/>
                <w:bCs/>
                <w:color w:val="auto"/>
                <w:highlight w:val="none"/>
              </w:rPr>
              <w:t>夏季湿度</w:t>
            </w:r>
          </w:p>
        </w:tc>
        <w:tc>
          <w:tcPr>
            <w:tcW w:w="2227" w:type="dxa"/>
            <w:tcBorders>
              <w:top w:val="single" w:color="auto" w:sz="4" w:space="0"/>
              <w:left w:val="single" w:color="auto" w:sz="4" w:space="0"/>
              <w:bottom w:val="single" w:color="auto" w:sz="4" w:space="0"/>
              <w:right w:val="single" w:color="auto" w:sz="4" w:space="0"/>
            </w:tcBorders>
            <w:noWrap w:val="0"/>
            <w:vAlign w:val="top"/>
          </w:tcPr>
          <w:p w14:paraId="5B16B5C1">
            <w:pPr>
              <w:pStyle w:val="58"/>
              <w:spacing w:line="360" w:lineRule="auto"/>
              <w:ind w:firstLine="420" w:firstLineChars="200"/>
              <w:rPr>
                <w:bCs/>
                <w:color w:val="auto"/>
                <w:highlight w:val="none"/>
              </w:rPr>
            </w:pPr>
            <w:r>
              <w:rPr>
                <w:bCs/>
                <w:color w:val="auto"/>
                <w:highlight w:val="none"/>
              </w:rPr>
              <w:t>55</w:t>
            </w:r>
            <w:r>
              <w:rPr>
                <w:rFonts w:hint="eastAsia"/>
                <w:bCs/>
                <w:color w:val="auto"/>
                <w:highlight w:val="none"/>
              </w:rPr>
              <w:t>±</w:t>
            </w:r>
            <w:r>
              <w:rPr>
                <w:bCs/>
                <w:color w:val="auto"/>
                <w:highlight w:val="none"/>
              </w:rPr>
              <w:t>10%</w:t>
            </w:r>
          </w:p>
        </w:tc>
        <w:tc>
          <w:tcPr>
            <w:tcW w:w="2227" w:type="dxa"/>
            <w:tcBorders>
              <w:top w:val="single" w:color="auto" w:sz="4" w:space="0"/>
              <w:left w:val="single" w:color="auto" w:sz="4" w:space="0"/>
              <w:bottom w:val="single" w:color="auto" w:sz="4" w:space="0"/>
              <w:right w:val="single" w:color="auto" w:sz="4" w:space="0"/>
            </w:tcBorders>
            <w:noWrap w:val="0"/>
            <w:vAlign w:val="top"/>
          </w:tcPr>
          <w:p w14:paraId="01B036FF">
            <w:pPr>
              <w:pStyle w:val="58"/>
              <w:spacing w:line="360" w:lineRule="auto"/>
              <w:ind w:firstLine="420" w:firstLineChars="200"/>
              <w:rPr>
                <w:bCs/>
                <w:color w:val="auto"/>
                <w:highlight w:val="none"/>
              </w:rPr>
            </w:pPr>
            <w:r>
              <w:rPr>
                <w:rFonts w:hint="eastAsia"/>
                <w:bCs/>
                <w:color w:val="auto"/>
                <w:highlight w:val="none"/>
              </w:rPr>
              <w:t>冬季湿度</w:t>
            </w:r>
          </w:p>
        </w:tc>
        <w:tc>
          <w:tcPr>
            <w:tcW w:w="2231" w:type="dxa"/>
            <w:tcBorders>
              <w:top w:val="single" w:color="auto" w:sz="4" w:space="0"/>
              <w:left w:val="single" w:color="auto" w:sz="4" w:space="0"/>
              <w:bottom w:val="single" w:color="auto" w:sz="4" w:space="0"/>
              <w:right w:val="single" w:color="auto" w:sz="4" w:space="0"/>
            </w:tcBorders>
            <w:noWrap w:val="0"/>
            <w:vAlign w:val="top"/>
          </w:tcPr>
          <w:p w14:paraId="2550FF54">
            <w:pPr>
              <w:pStyle w:val="58"/>
              <w:spacing w:line="360" w:lineRule="auto"/>
              <w:ind w:firstLine="420" w:firstLineChars="200"/>
              <w:rPr>
                <w:bCs/>
                <w:color w:val="auto"/>
                <w:highlight w:val="none"/>
              </w:rPr>
            </w:pPr>
            <w:r>
              <w:rPr>
                <w:bCs/>
                <w:color w:val="auto"/>
                <w:highlight w:val="none"/>
              </w:rPr>
              <w:t>55</w:t>
            </w:r>
            <w:r>
              <w:rPr>
                <w:rFonts w:hint="eastAsia"/>
                <w:bCs/>
                <w:color w:val="auto"/>
                <w:highlight w:val="none"/>
              </w:rPr>
              <w:t>±</w:t>
            </w:r>
            <w:r>
              <w:rPr>
                <w:bCs/>
                <w:color w:val="auto"/>
                <w:highlight w:val="none"/>
              </w:rPr>
              <w:t>10%</w:t>
            </w:r>
          </w:p>
        </w:tc>
      </w:tr>
      <w:tr w14:paraId="002C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834" w:type="dxa"/>
            <w:tcBorders>
              <w:top w:val="single" w:color="auto" w:sz="4" w:space="0"/>
              <w:left w:val="single" w:color="auto" w:sz="4" w:space="0"/>
              <w:bottom w:val="single" w:color="auto" w:sz="4" w:space="0"/>
              <w:right w:val="single" w:color="auto" w:sz="4" w:space="0"/>
            </w:tcBorders>
            <w:noWrap w:val="0"/>
            <w:vAlign w:val="center"/>
          </w:tcPr>
          <w:p w14:paraId="202D999A">
            <w:pPr>
              <w:pStyle w:val="58"/>
              <w:spacing w:line="360" w:lineRule="auto"/>
              <w:ind w:firstLine="420" w:firstLineChars="200"/>
              <w:rPr>
                <w:rFonts w:ascii="仿宋" w:hAnsi="仿宋"/>
                <w:bCs/>
                <w:color w:val="auto"/>
                <w:highlight w:val="none"/>
              </w:rPr>
            </w:pPr>
            <w:r>
              <w:rPr>
                <w:rFonts w:hint="eastAsia" w:ascii="仿宋" w:hAnsi="仿宋"/>
                <w:bCs/>
                <w:color w:val="auto"/>
                <w:highlight w:val="none"/>
              </w:rPr>
              <w:t>洁净度</w:t>
            </w:r>
          </w:p>
        </w:tc>
        <w:tc>
          <w:tcPr>
            <w:tcW w:w="2227" w:type="dxa"/>
            <w:tcBorders>
              <w:top w:val="single" w:color="auto" w:sz="4" w:space="0"/>
              <w:left w:val="single" w:color="auto" w:sz="4" w:space="0"/>
              <w:bottom w:val="single" w:color="auto" w:sz="4" w:space="0"/>
              <w:right w:val="single" w:color="auto" w:sz="4" w:space="0"/>
            </w:tcBorders>
            <w:noWrap w:val="0"/>
            <w:vAlign w:val="center"/>
          </w:tcPr>
          <w:p w14:paraId="5F72ED9D">
            <w:pPr>
              <w:pStyle w:val="58"/>
              <w:spacing w:line="360" w:lineRule="auto"/>
              <w:ind w:firstLine="420" w:firstLineChars="200"/>
              <w:rPr>
                <w:rFonts w:ascii="仿宋" w:hAnsi="仿宋"/>
                <w:bCs/>
                <w:color w:val="auto"/>
                <w:highlight w:val="none"/>
              </w:rPr>
            </w:pPr>
            <w:r>
              <w:rPr>
                <w:rFonts w:hint="eastAsia" w:ascii="仿宋" w:hAnsi="仿宋"/>
                <w:bCs/>
                <w:color w:val="auto"/>
                <w:highlight w:val="none"/>
              </w:rPr>
              <w:t>粒度≥</w:t>
            </w:r>
            <w:r>
              <w:rPr>
                <w:rFonts w:ascii="仿宋" w:hAnsi="仿宋"/>
                <w:bCs/>
                <w:color w:val="auto"/>
                <w:highlight w:val="none"/>
              </w:rPr>
              <w:t>0.5</w:t>
            </w:r>
            <w:r>
              <w:rPr>
                <w:rFonts w:hint="eastAsia" w:ascii="仿宋" w:hAnsi="仿宋"/>
                <w:bCs/>
                <w:color w:val="auto"/>
                <w:highlight w:val="none"/>
              </w:rPr>
              <w:t>μ</w:t>
            </w:r>
            <w:r>
              <w:rPr>
                <w:rFonts w:ascii="仿宋" w:hAnsi="仿宋"/>
                <w:bCs/>
                <w:color w:val="auto"/>
                <w:highlight w:val="none"/>
              </w:rPr>
              <w:t>m</w:t>
            </w:r>
          </w:p>
        </w:tc>
        <w:tc>
          <w:tcPr>
            <w:tcW w:w="4458" w:type="dxa"/>
            <w:gridSpan w:val="2"/>
            <w:tcBorders>
              <w:top w:val="single" w:color="auto" w:sz="4" w:space="0"/>
              <w:left w:val="single" w:color="auto" w:sz="4" w:space="0"/>
              <w:bottom w:val="single" w:color="auto" w:sz="4" w:space="0"/>
              <w:right w:val="single" w:color="auto" w:sz="4" w:space="0"/>
            </w:tcBorders>
            <w:noWrap w:val="0"/>
            <w:vAlign w:val="center"/>
          </w:tcPr>
          <w:p w14:paraId="14FC6F85">
            <w:pPr>
              <w:pStyle w:val="58"/>
              <w:spacing w:line="360" w:lineRule="auto"/>
              <w:ind w:firstLine="420" w:firstLineChars="200"/>
              <w:rPr>
                <w:rFonts w:ascii="仿宋" w:hAnsi="仿宋"/>
                <w:bCs/>
                <w:color w:val="auto"/>
                <w:highlight w:val="none"/>
              </w:rPr>
            </w:pPr>
            <w:r>
              <w:rPr>
                <w:rFonts w:hint="eastAsia" w:ascii="仿宋" w:hAnsi="仿宋"/>
                <w:bCs/>
                <w:color w:val="auto"/>
                <w:highlight w:val="none"/>
              </w:rPr>
              <w:t>个数≤</w:t>
            </w:r>
            <w:r>
              <w:rPr>
                <w:rFonts w:ascii="仿宋" w:hAnsi="仿宋"/>
                <w:bCs/>
                <w:color w:val="auto"/>
                <w:highlight w:val="none"/>
              </w:rPr>
              <w:t>18000</w:t>
            </w:r>
            <w:r>
              <w:rPr>
                <w:rFonts w:hint="eastAsia" w:ascii="仿宋" w:hAnsi="仿宋"/>
                <w:bCs/>
                <w:color w:val="auto"/>
                <w:highlight w:val="none"/>
              </w:rPr>
              <w:t>粒</w:t>
            </w:r>
            <w:r>
              <w:rPr>
                <w:rFonts w:ascii="仿宋" w:hAnsi="仿宋"/>
                <w:bCs/>
                <w:color w:val="auto"/>
                <w:highlight w:val="none"/>
              </w:rPr>
              <w:t>/</w:t>
            </w:r>
            <w:r>
              <w:rPr>
                <w:rFonts w:hint="eastAsia" w:ascii="仿宋" w:hAnsi="仿宋"/>
                <w:bCs/>
                <w:color w:val="auto"/>
                <w:highlight w:val="none"/>
              </w:rPr>
              <w:t>dm</w:t>
            </w:r>
            <w:r>
              <w:rPr>
                <w:rFonts w:ascii="Calibri" w:hAnsi="Calibri" w:cs="Calibri"/>
                <w:bCs/>
                <w:color w:val="auto"/>
                <w:highlight w:val="none"/>
              </w:rPr>
              <w:t>³</w:t>
            </w:r>
          </w:p>
        </w:tc>
      </w:tr>
      <w:tr w14:paraId="78B2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1834" w:type="dxa"/>
            <w:tcBorders>
              <w:top w:val="single" w:color="auto" w:sz="4" w:space="0"/>
              <w:left w:val="single" w:color="auto" w:sz="4" w:space="0"/>
              <w:bottom w:val="single" w:color="auto" w:sz="4" w:space="0"/>
              <w:right w:val="single" w:color="auto" w:sz="4" w:space="0"/>
            </w:tcBorders>
            <w:noWrap w:val="0"/>
            <w:vAlign w:val="top"/>
          </w:tcPr>
          <w:p w14:paraId="762E7383">
            <w:pPr>
              <w:pStyle w:val="58"/>
              <w:spacing w:line="360" w:lineRule="auto"/>
              <w:ind w:firstLine="420" w:firstLineChars="200"/>
              <w:rPr>
                <w:bCs/>
                <w:color w:val="auto"/>
                <w:highlight w:val="none"/>
              </w:rPr>
            </w:pPr>
            <w:r>
              <w:rPr>
                <w:rFonts w:hint="eastAsia"/>
                <w:bCs/>
                <w:color w:val="auto"/>
                <w:highlight w:val="none"/>
              </w:rPr>
              <w:t>温度变化率</w:t>
            </w:r>
          </w:p>
        </w:tc>
        <w:tc>
          <w:tcPr>
            <w:tcW w:w="2227" w:type="dxa"/>
            <w:tcBorders>
              <w:top w:val="single" w:color="auto" w:sz="4" w:space="0"/>
              <w:left w:val="single" w:color="auto" w:sz="4" w:space="0"/>
              <w:bottom w:val="single" w:color="auto" w:sz="4" w:space="0"/>
              <w:right w:val="single" w:color="auto" w:sz="4" w:space="0"/>
            </w:tcBorders>
            <w:noWrap w:val="0"/>
            <w:vAlign w:val="top"/>
          </w:tcPr>
          <w:p w14:paraId="1B800342">
            <w:pPr>
              <w:pStyle w:val="58"/>
              <w:spacing w:line="360" w:lineRule="auto"/>
              <w:ind w:firstLine="420" w:firstLineChars="200"/>
              <w:rPr>
                <w:bCs/>
                <w:color w:val="auto"/>
                <w:highlight w:val="none"/>
              </w:rPr>
            </w:pPr>
            <w:r>
              <w:rPr>
                <w:rFonts w:hint="eastAsia"/>
                <w:bCs/>
                <w:color w:val="auto"/>
                <w:highlight w:val="none"/>
              </w:rPr>
              <w:t>≤</w:t>
            </w:r>
            <w:r>
              <w:rPr>
                <w:bCs/>
                <w:color w:val="auto"/>
                <w:highlight w:val="none"/>
              </w:rPr>
              <w:t>5</w:t>
            </w:r>
            <w:r>
              <w:rPr>
                <w:rFonts w:hint="eastAsia"/>
                <w:bCs/>
                <w:color w:val="auto"/>
                <w:highlight w:val="none"/>
              </w:rPr>
              <w:t>℃</w:t>
            </w:r>
            <w:r>
              <w:rPr>
                <w:bCs/>
                <w:color w:val="auto"/>
                <w:highlight w:val="none"/>
              </w:rPr>
              <w:t>/</w:t>
            </w:r>
            <w:r>
              <w:rPr>
                <w:rFonts w:hint="eastAsia"/>
                <w:bCs/>
                <w:color w:val="auto"/>
                <w:highlight w:val="none"/>
              </w:rPr>
              <w:t>时</w:t>
            </w:r>
          </w:p>
        </w:tc>
        <w:tc>
          <w:tcPr>
            <w:tcW w:w="4458" w:type="dxa"/>
            <w:gridSpan w:val="2"/>
            <w:tcBorders>
              <w:top w:val="single" w:color="auto" w:sz="4" w:space="0"/>
              <w:left w:val="single" w:color="auto" w:sz="4" w:space="0"/>
              <w:bottom w:val="single" w:color="auto" w:sz="4" w:space="0"/>
              <w:right w:val="single" w:color="auto" w:sz="4" w:space="0"/>
            </w:tcBorders>
            <w:noWrap w:val="0"/>
            <w:vAlign w:val="top"/>
          </w:tcPr>
          <w:p w14:paraId="12A2FDE2">
            <w:pPr>
              <w:pStyle w:val="58"/>
              <w:spacing w:line="360" w:lineRule="auto"/>
              <w:ind w:firstLine="420" w:firstLineChars="200"/>
              <w:rPr>
                <w:bCs/>
                <w:color w:val="auto"/>
                <w:highlight w:val="none"/>
              </w:rPr>
            </w:pPr>
          </w:p>
        </w:tc>
      </w:tr>
    </w:tbl>
    <w:p w14:paraId="3760A5FB">
      <w:pPr>
        <w:spacing w:line="360" w:lineRule="auto"/>
        <w:ind w:firstLine="420" w:firstLineChars="200"/>
        <w:rPr>
          <w:bCs/>
          <w:color w:val="auto"/>
          <w:highlight w:val="none"/>
        </w:rPr>
      </w:pPr>
      <w:r>
        <w:rPr>
          <w:rFonts w:hint="eastAsia"/>
          <w:bCs/>
          <w:color w:val="auto"/>
          <w:highlight w:val="none"/>
        </w:rPr>
        <w:t>根据机房新风设计规范，本机房所需新风量计算如下：</w:t>
      </w:r>
    </w:p>
    <w:tbl>
      <w:tblPr>
        <w:tblStyle w:val="36"/>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20"/>
        <w:gridCol w:w="2700"/>
      </w:tblGrid>
      <w:tr w14:paraId="212C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5820" w:type="dxa"/>
            <w:tcBorders>
              <w:top w:val="single" w:color="auto" w:sz="4" w:space="0"/>
              <w:left w:val="single" w:color="auto" w:sz="4" w:space="0"/>
              <w:bottom w:val="single" w:color="auto" w:sz="4" w:space="0"/>
              <w:right w:val="single" w:color="auto" w:sz="4" w:space="0"/>
            </w:tcBorders>
            <w:noWrap w:val="0"/>
            <w:vAlign w:val="center"/>
          </w:tcPr>
          <w:p w14:paraId="398A710E">
            <w:pPr>
              <w:pStyle w:val="58"/>
              <w:spacing w:line="360" w:lineRule="auto"/>
              <w:ind w:firstLine="420" w:firstLineChars="200"/>
              <w:rPr>
                <w:bCs/>
                <w:color w:val="auto"/>
                <w:highlight w:val="none"/>
              </w:rPr>
            </w:pPr>
            <w:r>
              <w:rPr>
                <w:rFonts w:hint="eastAsia"/>
                <w:bCs/>
                <w:color w:val="auto"/>
                <w:highlight w:val="none"/>
              </w:rPr>
              <w:t>机房容积</w:t>
            </w:r>
            <w:r>
              <w:rPr>
                <w:bCs/>
                <w:color w:val="auto"/>
                <w:highlight w:val="none"/>
              </w:rPr>
              <w:t>(</w:t>
            </w:r>
            <w:r>
              <w:rPr>
                <w:rFonts w:hint="eastAsia"/>
                <w:bCs/>
                <w:color w:val="auto"/>
                <w:highlight w:val="none"/>
              </w:rPr>
              <w:t>估</w:t>
            </w:r>
            <w:r>
              <w:rPr>
                <w:bCs/>
                <w:color w:val="auto"/>
                <w:highlight w:val="none"/>
              </w:rPr>
              <w:t>)</w:t>
            </w:r>
            <w:r>
              <w:rPr>
                <w:rFonts w:hint="eastAsia"/>
                <w:bCs/>
                <w:color w:val="auto"/>
                <w:highlight w:val="none"/>
              </w:rPr>
              <w:t>：m</w:t>
            </w:r>
            <w:r>
              <w:rPr>
                <w:rFonts w:hint="eastAsia"/>
                <w:bCs/>
                <w:color w:val="auto"/>
                <w:highlight w:val="none"/>
                <w:vertAlign w:val="superscript"/>
              </w:rPr>
              <w:t>3</w:t>
            </w:r>
            <w:r>
              <w:rPr>
                <w:bCs/>
                <w:color w:val="auto"/>
                <w:highlight w:val="none"/>
              </w:rPr>
              <w:t>/h</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21371CB">
            <w:pPr>
              <w:pStyle w:val="58"/>
              <w:spacing w:line="360" w:lineRule="auto"/>
              <w:ind w:firstLine="420" w:firstLineChars="200"/>
              <w:rPr>
                <w:bCs/>
                <w:color w:val="auto"/>
                <w:highlight w:val="none"/>
              </w:rPr>
            </w:pPr>
            <w:r>
              <w:rPr>
                <w:rFonts w:hint="eastAsia"/>
                <w:bCs/>
                <w:color w:val="auto"/>
                <w:highlight w:val="none"/>
              </w:rPr>
              <w:t>（104m</w:t>
            </w:r>
            <w:r>
              <w:rPr>
                <w:rFonts w:ascii="Calibri" w:hAnsi="Calibri" w:cs="Calibri"/>
                <w:bCs/>
                <w:color w:val="auto"/>
                <w:highlight w:val="none"/>
              </w:rPr>
              <w:t>²</w:t>
            </w:r>
            <w:r>
              <w:rPr>
                <w:rFonts w:hint="eastAsia"/>
                <w:bCs/>
                <w:color w:val="auto"/>
                <w:highlight w:val="none"/>
              </w:rPr>
              <w:t>）</w:t>
            </w:r>
            <w:r>
              <w:rPr>
                <w:bCs/>
                <w:color w:val="auto"/>
                <w:highlight w:val="none"/>
              </w:rPr>
              <w:t>*</w:t>
            </w:r>
            <w:r>
              <w:rPr>
                <w:rFonts w:hint="eastAsia"/>
                <w:bCs/>
                <w:color w:val="auto"/>
                <w:highlight w:val="none"/>
              </w:rPr>
              <w:t>4m</w:t>
            </w:r>
            <w:r>
              <w:rPr>
                <w:bCs/>
                <w:color w:val="auto"/>
                <w:highlight w:val="none"/>
              </w:rPr>
              <w:t>=</w:t>
            </w:r>
            <w:r>
              <w:rPr>
                <w:rFonts w:hint="eastAsia"/>
                <w:bCs/>
                <w:color w:val="auto"/>
                <w:highlight w:val="none"/>
              </w:rPr>
              <w:t>416m</w:t>
            </w:r>
            <w:r>
              <w:rPr>
                <w:bCs/>
                <w:color w:val="auto"/>
                <w:highlight w:val="none"/>
                <w:vertAlign w:val="superscript"/>
              </w:rPr>
              <w:t>3</w:t>
            </w:r>
          </w:p>
        </w:tc>
      </w:tr>
      <w:tr w14:paraId="6045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820" w:type="dxa"/>
            <w:tcBorders>
              <w:top w:val="single" w:color="auto" w:sz="4" w:space="0"/>
              <w:left w:val="single" w:color="auto" w:sz="4" w:space="0"/>
              <w:bottom w:val="single" w:color="auto" w:sz="4" w:space="0"/>
              <w:right w:val="single" w:color="auto" w:sz="4" w:space="0"/>
            </w:tcBorders>
            <w:noWrap w:val="0"/>
            <w:vAlign w:val="center"/>
          </w:tcPr>
          <w:p w14:paraId="6D3CF846">
            <w:pPr>
              <w:pStyle w:val="58"/>
              <w:spacing w:line="360" w:lineRule="auto"/>
              <w:ind w:firstLine="420" w:firstLineChars="200"/>
              <w:rPr>
                <w:bCs/>
                <w:color w:val="auto"/>
                <w:highlight w:val="none"/>
              </w:rPr>
            </w:pPr>
            <w:r>
              <w:rPr>
                <w:rFonts w:hint="eastAsia"/>
                <w:bCs/>
                <w:color w:val="auto"/>
                <w:highlight w:val="none"/>
              </w:rPr>
              <w:t>新风需要量：m</w:t>
            </w:r>
            <w:r>
              <w:rPr>
                <w:bCs/>
                <w:color w:val="auto"/>
                <w:highlight w:val="none"/>
                <w:vertAlign w:val="superscript"/>
              </w:rPr>
              <w:t>3</w:t>
            </w:r>
            <w:r>
              <w:rPr>
                <w:bCs/>
                <w:color w:val="auto"/>
                <w:highlight w:val="none"/>
              </w:rPr>
              <w:t>/</w:t>
            </w:r>
            <w:r>
              <w:rPr>
                <w:rFonts w:hint="eastAsia"/>
                <w:bCs/>
                <w:color w:val="auto"/>
                <w:highlight w:val="none"/>
              </w:rPr>
              <w:t>h</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239C111">
            <w:pPr>
              <w:pStyle w:val="58"/>
              <w:spacing w:line="360" w:lineRule="auto"/>
              <w:ind w:firstLine="420" w:firstLineChars="200"/>
              <w:rPr>
                <w:bCs/>
                <w:color w:val="auto"/>
                <w:highlight w:val="none"/>
              </w:rPr>
            </w:pPr>
            <w:r>
              <w:rPr>
                <w:rFonts w:hint="eastAsia"/>
                <w:bCs/>
                <w:color w:val="auto"/>
                <w:highlight w:val="none"/>
              </w:rPr>
              <w:t>416*5*20%，取416</w:t>
            </w:r>
          </w:p>
        </w:tc>
      </w:tr>
    </w:tbl>
    <w:p w14:paraId="462F931A">
      <w:pPr>
        <w:spacing w:line="360" w:lineRule="auto"/>
        <w:ind w:firstLine="420" w:firstLineChars="200"/>
        <w:rPr>
          <w:bCs/>
          <w:color w:val="auto"/>
          <w:highlight w:val="none"/>
        </w:rPr>
      </w:pPr>
      <w:r>
        <w:rPr>
          <w:rFonts w:hint="eastAsia"/>
          <w:bCs/>
          <w:color w:val="auto"/>
          <w:highlight w:val="none"/>
        </w:rPr>
        <w:t>根据需要在本次机房设计中选用对应新风容量（≥416m</w:t>
      </w:r>
      <w:r>
        <w:rPr>
          <w:bCs/>
          <w:color w:val="auto"/>
          <w:highlight w:val="none"/>
          <w:vertAlign w:val="superscript"/>
        </w:rPr>
        <w:t>3</w:t>
      </w:r>
      <w:r>
        <w:rPr>
          <w:bCs/>
          <w:color w:val="auto"/>
          <w:highlight w:val="none"/>
        </w:rPr>
        <w:t>/</w:t>
      </w:r>
      <w:r>
        <w:rPr>
          <w:rFonts w:hint="eastAsia"/>
          <w:bCs/>
          <w:color w:val="auto"/>
          <w:highlight w:val="none"/>
        </w:rPr>
        <w:t>h）的一套正压温度预处理型洁净新风机。</w:t>
      </w:r>
    </w:p>
    <w:p w14:paraId="08D36FA6">
      <w:pPr>
        <w:pStyle w:val="13"/>
        <w:ind w:firstLine="440" w:firstLineChars="200"/>
        <w:rPr>
          <w:b w:val="0"/>
          <w:color w:val="auto"/>
          <w:highlight w:val="none"/>
        </w:rPr>
      </w:pPr>
      <w:r>
        <w:rPr>
          <w:rFonts w:hint="eastAsia"/>
          <w:b w:val="0"/>
          <w:color w:val="auto"/>
          <w:highlight w:val="none"/>
        </w:rPr>
        <w:t>排烟系统</w:t>
      </w:r>
    </w:p>
    <w:p w14:paraId="2C0F427B">
      <w:pPr>
        <w:spacing w:line="360" w:lineRule="auto"/>
        <w:ind w:firstLine="420" w:firstLineChars="200"/>
        <w:rPr>
          <w:bCs/>
          <w:color w:val="auto"/>
          <w:highlight w:val="none"/>
        </w:rPr>
      </w:pPr>
      <w:r>
        <w:rPr>
          <w:rFonts w:hint="eastAsia"/>
          <w:bCs/>
          <w:color w:val="auto"/>
          <w:highlight w:val="none"/>
        </w:rPr>
        <w:t>根据机房消防设计规范，在气体灭火区域设置事故排气系统，排气按房间容积</w:t>
      </w:r>
      <w:r>
        <w:rPr>
          <w:bCs/>
          <w:color w:val="auto"/>
          <w:highlight w:val="none"/>
        </w:rPr>
        <w:t>5</w:t>
      </w:r>
      <w:r>
        <w:rPr>
          <w:rFonts w:hint="eastAsia"/>
          <w:bCs/>
          <w:color w:val="auto"/>
          <w:highlight w:val="none"/>
        </w:rPr>
        <w:t>次</w:t>
      </w:r>
      <w:r>
        <w:rPr>
          <w:bCs/>
          <w:color w:val="auto"/>
          <w:highlight w:val="none"/>
        </w:rPr>
        <w:t>/h</w:t>
      </w:r>
      <w:r>
        <w:rPr>
          <w:rFonts w:hint="eastAsia"/>
          <w:bCs/>
          <w:color w:val="auto"/>
          <w:highlight w:val="none"/>
        </w:rPr>
        <w:t>计。监区大门二层主机房的排气量应大于（104*4）</w:t>
      </w:r>
      <w:r>
        <w:rPr>
          <w:bCs/>
          <w:color w:val="auto"/>
          <w:highlight w:val="none"/>
        </w:rPr>
        <w:t>m</w:t>
      </w:r>
      <w:r>
        <w:rPr>
          <w:bCs/>
          <w:color w:val="auto"/>
          <w:highlight w:val="none"/>
          <w:vertAlign w:val="superscript"/>
        </w:rPr>
        <w:t>3</w:t>
      </w:r>
      <w:r>
        <w:rPr>
          <w:bCs/>
          <w:color w:val="auto"/>
          <w:highlight w:val="none"/>
        </w:rPr>
        <w:t>/h*5=</w:t>
      </w:r>
      <w:r>
        <w:rPr>
          <w:rFonts w:hint="eastAsia"/>
          <w:bCs/>
          <w:color w:val="auto"/>
          <w:highlight w:val="none"/>
        </w:rPr>
        <w:t>2080</w:t>
      </w:r>
      <w:r>
        <w:rPr>
          <w:bCs/>
          <w:color w:val="auto"/>
          <w:highlight w:val="none"/>
        </w:rPr>
        <w:t>m</w:t>
      </w:r>
      <w:r>
        <w:rPr>
          <w:bCs/>
          <w:color w:val="auto"/>
          <w:highlight w:val="none"/>
          <w:vertAlign w:val="superscript"/>
        </w:rPr>
        <w:t>3</w:t>
      </w:r>
      <w:r>
        <w:rPr>
          <w:bCs/>
          <w:color w:val="auto"/>
          <w:highlight w:val="none"/>
        </w:rPr>
        <w:t>/h</w:t>
      </w:r>
      <w:r>
        <w:rPr>
          <w:rFonts w:hint="eastAsia"/>
          <w:bCs/>
          <w:color w:val="auto"/>
          <w:highlight w:val="none"/>
        </w:rPr>
        <w:t>；监区大门一层UPS间及二层配电间的所需排气量应大于（20*4）</w:t>
      </w:r>
      <w:r>
        <w:rPr>
          <w:bCs/>
          <w:color w:val="auto"/>
          <w:highlight w:val="none"/>
        </w:rPr>
        <w:t>m</w:t>
      </w:r>
      <w:r>
        <w:rPr>
          <w:bCs/>
          <w:color w:val="auto"/>
          <w:highlight w:val="none"/>
          <w:vertAlign w:val="superscript"/>
        </w:rPr>
        <w:t>3</w:t>
      </w:r>
      <w:r>
        <w:rPr>
          <w:bCs/>
          <w:color w:val="auto"/>
          <w:highlight w:val="none"/>
        </w:rPr>
        <w:t>/h*5=</w:t>
      </w:r>
      <w:r>
        <w:rPr>
          <w:rFonts w:hint="eastAsia"/>
          <w:bCs/>
          <w:color w:val="auto"/>
          <w:highlight w:val="none"/>
        </w:rPr>
        <w:t>400</w:t>
      </w:r>
      <w:r>
        <w:rPr>
          <w:bCs/>
          <w:color w:val="auto"/>
          <w:highlight w:val="none"/>
        </w:rPr>
        <w:t>m</w:t>
      </w:r>
      <w:r>
        <w:rPr>
          <w:bCs/>
          <w:color w:val="auto"/>
          <w:highlight w:val="none"/>
          <w:vertAlign w:val="superscript"/>
        </w:rPr>
        <w:t>3</w:t>
      </w:r>
      <w:r>
        <w:rPr>
          <w:bCs/>
          <w:color w:val="auto"/>
          <w:highlight w:val="none"/>
        </w:rPr>
        <w:t>/h</w:t>
      </w:r>
      <w:r>
        <w:rPr>
          <w:rFonts w:hint="eastAsia"/>
          <w:bCs/>
          <w:color w:val="auto"/>
          <w:highlight w:val="none"/>
        </w:rPr>
        <w:t>。故本次设计选用对应排烟容量的三套高静压耐高温的轴流排烟风机。</w:t>
      </w:r>
    </w:p>
    <w:p w14:paraId="1A03B9D8">
      <w:pPr>
        <w:pStyle w:val="13"/>
        <w:ind w:firstLine="440" w:firstLineChars="200"/>
        <w:rPr>
          <w:b w:val="0"/>
          <w:color w:val="auto"/>
          <w:highlight w:val="none"/>
        </w:rPr>
      </w:pPr>
      <w:r>
        <w:rPr>
          <w:rFonts w:hint="eastAsia"/>
          <w:b w:val="0"/>
          <w:color w:val="auto"/>
          <w:highlight w:val="none"/>
        </w:rPr>
        <w:t>精密空调系统</w:t>
      </w:r>
    </w:p>
    <w:p w14:paraId="6D7588B3">
      <w:pPr>
        <w:spacing w:line="360" w:lineRule="auto"/>
        <w:ind w:firstLine="420" w:firstLineChars="200"/>
        <w:rPr>
          <w:bCs/>
          <w:color w:val="auto"/>
          <w:highlight w:val="none"/>
        </w:rPr>
      </w:pPr>
      <w:r>
        <w:rPr>
          <w:rFonts w:hint="eastAsia"/>
          <w:bCs/>
          <w:color w:val="auto"/>
          <w:highlight w:val="none"/>
        </w:rPr>
        <w:t>IT设备对机房的环境要求是普通舒适性空调无法达到的，但是，机房精密空调可以很好地满足上述环境要求，主要表现在以下四个方面：</w:t>
      </w:r>
    </w:p>
    <w:p w14:paraId="214CBD9D">
      <w:pPr>
        <w:spacing w:line="360" w:lineRule="auto"/>
        <w:ind w:firstLine="420" w:firstLineChars="200"/>
        <w:rPr>
          <w:bCs/>
          <w:color w:val="auto"/>
          <w:highlight w:val="none"/>
        </w:rPr>
      </w:pPr>
      <w:r>
        <w:rPr>
          <w:rFonts w:hint="eastAsia"/>
          <w:bCs/>
          <w:color w:val="auto"/>
          <w:highlight w:val="none"/>
        </w:rPr>
        <w:t>温度控制：服务器及交换机工作时产生大量热量，其密度是普通办公室的6～10倍。为了保证IT设备能够发挥最佳功效，IT设备的最佳进风温度控制范围为22±1°C。这就要求空调机组一定要有足够的制冷能力和及时的反应调控能力，以应对温度急剧变化。</w:t>
      </w:r>
    </w:p>
    <w:p w14:paraId="4AB419BB">
      <w:pPr>
        <w:spacing w:line="360" w:lineRule="auto"/>
        <w:ind w:firstLine="420" w:firstLineChars="200"/>
        <w:rPr>
          <w:bCs/>
          <w:color w:val="auto"/>
          <w:highlight w:val="none"/>
        </w:rPr>
      </w:pPr>
      <w:r>
        <w:rPr>
          <w:rFonts w:hint="eastAsia"/>
          <w:bCs/>
          <w:color w:val="auto"/>
          <w:highlight w:val="none"/>
        </w:rPr>
        <w:t>湿度控制：在机房中，过高或过低的湿度都会对IT设备造成破坏。过高的湿度会使空气中的水分在IT设备内凝结产生冷凝水，致使主机硬件短路或损坏。而湿度过低时，机房内会产生静电，造IT设备无法运行甚至死机。</w:t>
      </w:r>
    </w:p>
    <w:p w14:paraId="41345DBE">
      <w:pPr>
        <w:spacing w:line="360" w:lineRule="auto"/>
        <w:ind w:firstLine="420" w:firstLineChars="200"/>
        <w:rPr>
          <w:bCs/>
          <w:color w:val="auto"/>
          <w:highlight w:val="none"/>
        </w:rPr>
      </w:pPr>
      <w:r>
        <w:rPr>
          <w:rFonts w:hint="eastAsia"/>
          <w:bCs/>
          <w:color w:val="auto"/>
          <w:highlight w:val="none"/>
        </w:rPr>
        <w:t>风量/洁净度控制：服务器及交换机工作时产生大量的显热，为了能迅速地排除这些热量，要求空调具有足够大的冷却循环风量和足够远的送风距离。同时，机房对空气洁净度的严格需求要求空调机组应提供相当于30次/小时换气次数的风量，以便对空气进行过滤。</w:t>
      </w:r>
    </w:p>
    <w:p w14:paraId="675CA9FF">
      <w:pPr>
        <w:spacing w:line="360" w:lineRule="auto"/>
        <w:ind w:firstLine="420" w:firstLineChars="200"/>
        <w:rPr>
          <w:bCs/>
          <w:color w:val="auto"/>
          <w:highlight w:val="none"/>
        </w:rPr>
      </w:pPr>
      <w:r>
        <w:rPr>
          <w:rFonts w:hint="eastAsia"/>
          <w:bCs/>
          <w:color w:val="auto"/>
          <w:highlight w:val="none"/>
        </w:rPr>
        <w:t>全年运行：一般民用空调（制冷运行）只用于夏季，而且每天只工作8h～10h。但是机房空调需要全年365天、每天24小时不停地运转，甚至在冬季室外环境下都需正常制冷运行。</w:t>
      </w:r>
    </w:p>
    <w:p w14:paraId="5A57CCD2">
      <w:pPr>
        <w:spacing w:line="360" w:lineRule="auto"/>
        <w:ind w:firstLine="420" w:firstLineChars="200"/>
        <w:rPr>
          <w:bCs/>
          <w:color w:val="auto"/>
          <w:highlight w:val="none"/>
        </w:rPr>
      </w:pPr>
      <w:r>
        <w:rPr>
          <w:rFonts w:hint="eastAsia"/>
          <w:bCs/>
          <w:color w:val="auto"/>
          <w:highlight w:val="none"/>
        </w:rPr>
        <w:t>鉴于本监狱内数据中心机房严格的温湿度环境要求和24小时不间断的持续运行要求，本次设计在主机房采用行间级恒温恒湿精密空调。</w:t>
      </w:r>
    </w:p>
    <w:p w14:paraId="5686FBE2">
      <w:pPr>
        <w:spacing w:line="360" w:lineRule="auto"/>
        <w:ind w:firstLine="420" w:firstLineChars="200"/>
        <w:rPr>
          <w:bCs/>
          <w:color w:val="auto"/>
          <w:highlight w:val="none"/>
        </w:rPr>
      </w:pPr>
      <w:r>
        <w:rPr>
          <w:rFonts w:hint="eastAsia"/>
          <w:bCs/>
          <w:color w:val="auto"/>
          <w:highlight w:val="none"/>
        </w:rPr>
        <w:t>按照机房空调设计相关规范要求，计算空调制冷量采用功率及面积法，具体计算过程如下：</w:t>
      </w:r>
    </w:p>
    <w:p w14:paraId="0067D58F">
      <w:pPr>
        <w:spacing w:line="360" w:lineRule="auto"/>
        <w:ind w:firstLine="420" w:firstLineChars="200"/>
        <w:rPr>
          <w:bCs/>
          <w:color w:val="auto"/>
          <w:highlight w:val="none"/>
        </w:rPr>
      </w:pPr>
      <w:r>
        <w:rPr>
          <w:rFonts w:hint="eastAsia"/>
          <w:bCs/>
          <w:color w:val="auto"/>
          <w:highlight w:val="none"/>
        </w:rPr>
        <w:t>Qt=Q1+Q2</w:t>
      </w:r>
    </w:p>
    <w:p w14:paraId="0F12FA8E">
      <w:pPr>
        <w:spacing w:line="360" w:lineRule="auto"/>
        <w:ind w:firstLine="420" w:firstLineChars="200"/>
        <w:rPr>
          <w:bCs/>
          <w:color w:val="auto"/>
          <w:highlight w:val="none"/>
        </w:rPr>
      </w:pPr>
      <w:r>
        <w:rPr>
          <w:rFonts w:hint="eastAsia"/>
          <w:bCs/>
          <w:color w:val="auto"/>
          <w:highlight w:val="none"/>
        </w:rPr>
        <w:t>Qt：总制冷量（kW）；</w:t>
      </w:r>
    </w:p>
    <w:p w14:paraId="2A2C2347">
      <w:pPr>
        <w:spacing w:line="360" w:lineRule="auto"/>
        <w:ind w:firstLine="420" w:firstLineChars="200"/>
        <w:rPr>
          <w:bCs/>
          <w:color w:val="auto"/>
          <w:highlight w:val="none"/>
        </w:rPr>
      </w:pPr>
      <w:r>
        <w:rPr>
          <w:rFonts w:hint="eastAsia"/>
          <w:bCs/>
          <w:color w:val="auto"/>
          <w:highlight w:val="none"/>
        </w:rPr>
        <w:t>Q1：室内设备负荷=设备功率*发热系数（取0.8）；</w:t>
      </w:r>
    </w:p>
    <w:p w14:paraId="6F0AC7C2">
      <w:pPr>
        <w:spacing w:line="360" w:lineRule="auto"/>
        <w:ind w:firstLine="420" w:firstLineChars="200"/>
        <w:rPr>
          <w:bCs/>
          <w:color w:val="auto"/>
          <w:highlight w:val="none"/>
        </w:rPr>
      </w:pPr>
      <w:r>
        <w:rPr>
          <w:rFonts w:hint="eastAsia"/>
          <w:bCs/>
          <w:color w:val="auto"/>
          <w:highlight w:val="none"/>
        </w:rPr>
        <w:t>Q2：环境热负荷=0.12~0.18kW/m</w:t>
      </w:r>
      <w:r>
        <w:rPr>
          <w:rFonts w:ascii="Calibri" w:hAnsi="Calibri" w:cs="Calibri"/>
          <w:bCs/>
          <w:color w:val="auto"/>
          <w:highlight w:val="none"/>
        </w:rPr>
        <w:t>²</w:t>
      </w:r>
      <w:r>
        <w:rPr>
          <w:rFonts w:hint="eastAsia"/>
          <w:bCs/>
          <w:color w:val="auto"/>
          <w:highlight w:val="none"/>
        </w:rPr>
        <w:t>*机房面积（系数取中间值0.15）。</w:t>
      </w:r>
    </w:p>
    <w:p w14:paraId="0EC12F09">
      <w:pPr>
        <w:spacing w:line="360" w:lineRule="auto"/>
        <w:ind w:firstLine="420" w:firstLineChars="200"/>
        <w:rPr>
          <w:bCs/>
          <w:color w:val="auto"/>
          <w:highlight w:val="none"/>
        </w:rPr>
      </w:pPr>
      <w:r>
        <w:rPr>
          <w:rFonts w:hint="eastAsia"/>
          <w:bCs/>
          <w:color w:val="auto"/>
          <w:highlight w:val="none"/>
        </w:rPr>
        <w:t>根据以上公式，总制冷量计算如下：（</w:t>
      </w:r>
      <w:r>
        <w:rPr>
          <w:bCs/>
          <w:color w:val="auto"/>
          <w:highlight w:val="none"/>
        </w:rPr>
        <w:t>16</w:t>
      </w:r>
      <w:r>
        <w:rPr>
          <w:rFonts w:hint="eastAsia"/>
          <w:bCs/>
          <w:color w:val="auto"/>
          <w:highlight w:val="none"/>
        </w:rPr>
        <w:t>×3×0.8）+（</w:t>
      </w:r>
      <w:r>
        <w:rPr>
          <w:bCs/>
          <w:color w:val="auto"/>
          <w:highlight w:val="none"/>
        </w:rPr>
        <w:t>23</w:t>
      </w:r>
      <w:r>
        <w:rPr>
          <w:rFonts w:hint="eastAsia"/>
          <w:bCs/>
          <w:color w:val="auto"/>
          <w:highlight w:val="none"/>
        </w:rPr>
        <w:t>×0.15）=</w:t>
      </w:r>
      <w:r>
        <w:rPr>
          <w:bCs/>
          <w:color w:val="auto"/>
          <w:highlight w:val="none"/>
        </w:rPr>
        <w:t>41.85</w:t>
      </w:r>
      <w:r>
        <w:rPr>
          <w:rFonts w:hint="eastAsia"/>
          <w:bCs/>
          <w:color w:val="auto"/>
          <w:highlight w:val="none"/>
        </w:rPr>
        <w:t>kW，考虑机柜有</w:t>
      </w:r>
      <w:r>
        <w:rPr>
          <w:bCs/>
          <w:color w:val="auto"/>
          <w:highlight w:val="none"/>
        </w:rPr>
        <w:t>所预留，因此</w:t>
      </w:r>
      <w:r>
        <w:rPr>
          <w:rFonts w:hint="eastAsia"/>
          <w:bCs/>
          <w:color w:val="auto"/>
          <w:highlight w:val="none"/>
        </w:rPr>
        <w:t>配置2台</w:t>
      </w:r>
      <w:r>
        <w:rPr>
          <w:bCs/>
          <w:color w:val="auto"/>
          <w:highlight w:val="none"/>
        </w:rPr>
        <w:t>40</w:t>
      </w:r>
      <w:r>
        <w:rPr>
          <w:rFonts w:hint="eastAsia"/>
          <w:bCs/>
          <w:color w:val="auto"/>
          <w:highlight w:val="none"/>
        </w:rPr>
        <w:t>kW行间级精密空调，以满足机房设备制冷需求。</w:t>
      </w:r>
    </w:p>
    <w:p w14:paraId="57CB718D">
      <w:pPr>
        <w:spacing w:line="360" w:lineRule="auto"/>
        <w:ind w:firstLine="420" w:firstLineChars="200"/>
        <w:rPr>
          <w:bCs/>
          <w:color w:val="auto"/>
          <w:highlight w:val="none"/>
        </w:rPr>
      </w:pPr>
      <w:r>
        <w:rPr>
          <w:rFonts w:hint="eastAsia"/>
          <w:bCs/>
          <w:color w:val="auto"/>
          <w:highlight w:val="none"/>
        </w:rPr>
        <w:t>根据配电间及UPS电池间的面积，配置1台5</w:t>
      </w:r>
      <w:r>
        <w:rPr>
          <w:bCs/>
          <w:color w:val="auto"/>
          <w:highlight w:val="none"/>
        </w:rPr>
        <w:t>P</w:t>
      </w:r>
      <w:r>
        <w:rPr>
          <w:rFonts w:hint="eastAsia"/>
          <w:bCs/>
          <w:color w:val="auto"/>
          <w:highlight w:val="none"/>
        </w:rPr>
        <w:t>基站</w:t>
      </w:r>
      <w:r>
        <w:rPr>
          <w:bCs/>
          <w:color w:val="auto"/>
          <w:highlight w:val="none"/>
        </w:rPr>
        <w:t>空调</w:t>
      </w:r>
      <w:r>
        <w:rPr>
          <w:rFonts w:hint="eastAsia"/>
          <w:bCs/>
          <w:color w:val="auto"/>
          <w:highlight w:val="none"/>
        </w:rPr>
        <w:t>和1台2P壁挂式空调，满足其制冷需求。</w:t>
      </w:r>
    </w:p>
    <w:p w14:paraId="3A179784">
      <w:pPr>
        <w:pStyle w:val="12"/>
        <w:tabs>
          <w:tab w:val="left" w:pos="864"/>
        </w:tabs>
        <w:spacing w:line="360" w:lineRule="auto"/>
        <w:ind w:left="0" w:firstLine="420" w:firstLineChars="200"/>
        <w:rPr>
          <w:color w:val="auto"/>
          <w:highlight w:val="none"/>
        </w:rPr>
      </w:pPr>
      <w:r>
        <w:rPr>
          <w:rFonts w:hint="eastAsia"/>
          <w:color w:val="auto"/>
          <w:highlight w:val="none"/>
        </w:rPr>
        <w:t>机房消防</w:t>
      </w:r>
    </w:p>
    <w:p w14:paraId="12CD7710">
      <w:pPr>
        <w:pStyle w:val="13"/>
        <w:ind w:firstLine="440" w:firstLineChars="200"/>
        <w:rPr>
          <w:b w:val="0"/>
          <w:color w:val="auto"/>
          <w:highlight w:val="none"/>
        </w:rPr>
      </w:pPr>
      <w:r>
        <w:rPr>
          <w:rFonts w:hint="eastAsia"/>
          <w:b w:val="0"/>
          <w:color w:val="auto"/>
          <w:highlight w:val="none"/>
        </w:rPr>
        <w:t>气体灭火系统</w:t>
      </w:r>
    </w:p>
    <w:p w14:paraId="2E12C5C6">
      <w:pPr>
        <w:spacing w:line="360" w:lineRule="auto"/>
        <w:ind w:firstLine="420" w:firstLineChars="200"/>
        <w:rPr>
          <w:bCs/>
          <w:color w:val="auto"/>
          <w:highlight w:val="none"/>
        </w:rPr>
      </w:pPr>
      <w:r>
        <w:rPr>
          <w:rFonts w:hint="eastAsia"/>
          <w:bCs/>
          <w:color w:val="auto"/>
          <w:highlight w:val="none"/>
        </w:rPr>
        <w:t>本次设计在监狱内数据中心机房采用无管网七氟丙烷气体灭火系统，根据机房规范要求，该区域设置直接面向走廊的通道，可在不进入机房的条件下更换钢瓶药剂。</w:t>
      </w:r>
    </w:p>
    <w:p w14:paraId="2171CA24">
      <w:pPr>
        <w:spacing w:line="360" w:lineRule="auto"/>
        <w:ind w:firstLine="420" w:firstLineChars="200"/>
        <w:rPr>
          <w:bCs/>
          <w:color w:val="auto"/>
          <w:highlight w:val="none"/>
        </w:rPr>
      </w:pPr>
      <w:r>
        <w:rPr>
          <w:rFonts w:hint="eastAsia"/>
          <w:bCs/>
          <w:color w:val="auto"/>
          <w:highlight w:val="none"/>
        </w:rPr>
        <w:t>七氟丙烷是一种含氟烃化合物，由于其中不含氯、溴等元素，因此对大气臭氧无破坏作用，其大气臭氧消耗潜能值（</w:t>
      </w:r>
      <w:r>
        <w:rPr>
          <w:bCs/>
          <w:color w:val="auto"/>
          <w:highlight w:val="none"/>
        </w:rPr>
        <w:t>ODP</w:t>
      </w:r>
      <w:r>
        <w:rPr>
          <w:rFonts w:hint="eastAsia"/>
          <w:bCs/>
          <w:color w:val="auto"/>
          <w:highlight w:val="none"/>
        </w:rPr>
        <w:t>值）为零。七氟丙烷灭火剂的灭火机理类似于哈龙，主要利用化学抑制的作用来扑灭火灾，对燃烧反应起负催化作用。</w:t>
      </w:r>
    </w:p>
    <w:p w14:paraId="7A001B44">
      <w:pPr>
        <w:spacing w:line="360" w:lineRule="auto"/>
        <w:ind w:firstLine="420" w:firstLineChars="200"/>
        <w:rPr>
          <w:bCs/>
          <w:color w:val="auto"/>
          <w:highlight w:val="none"/>
        </w:rPr>
      </w:pPr>
      <w:r>
        <w:rPr>
          <w:rFonts w:hint="eastAsia"/>
          <w:bCs/>
          <w:color w:val="auto"/>
          <w:highlight w:val="none"/>
        </w:rPr>
        <w:t>根据主机房、配电间和UPS电池间的面积，考虑主机房设置2套</w:t>
      </w:r>
      <w:r>
        <w:rPr>
          <w:bCs/>
          <w:color w:val="auto"/>
          <w:highlight w:val="none"/>
        </w:rPr>
        <w:t>150</w:t>
      </w:r>
      <w:r>
        <w:rPr>
          <w:rFonts w:hint="eastAsia"/>
          <w:bCs/>
          <w:color w:val="auto"/>
          <w:highlight w:val="none"/>
        </w:rPr>
        <w:t>L/2.5A的无管网气体灭火装置，配电间设置一套120L/2.5A的无管网气体灭火装置， UPS电池间设置</w:t>
      </w:r>
      <w:r>
        <w:rPr>
          <w:bCs/>
          <w:color w:val="auto"/>
          <w:highlight w:val="none"/>
        </w:rPr>
        <w:t>一套90L/2.5A</w:t>
      </w:r>
      <w:r>
        <w:rPr>
          <w:rFonts w:hint="eastAsia"/>
          <w:bCs/>
          <w:color w:val="auto"/>
          <w:highlight w:val="none"/>
        </w:rPr>
        <w:t>。其中每套包括灭火剂钢瓶一只，容器阀件组一套，电磁阀一个，收口喷头一个，无管网箱体一个，各</w:t>
      </w:r>
      <w:r>
        <w:rPr>
          <w:bCs/>
          <w:color w:val="auto"/>
          <w:highlight w:val="none"/>
        </w:rPr>
        <w:t>灭火剂钢瓶充气</w:t>
      </w:r>
      <w:r>
        <w:rPr>
          <w:rFonts w:hint="eastAsia"/>
          <w:bCs/>
          <w:color w:val="auto"/>
          <w:highlight w:val="none"/>
        </w:rPr>
        <w:t>90</w:t>
      </w:r>
      <w:r>
        <w:rPr>
          <w:bCs/>
          <w:color w:val="auto"/>
          <w:highlight w:val="none"/>
        </w:rPr>
        <w:t>%，共计</w:t>
      </w:r>
      <w:r>
        <w:rPr>
          <w:rFonts w:hint="eastAsia"/>
          <w:bCs/>
          <w:color w:val="auto"/>
          <w:highlight w:val="none"/>
        </w:rPr>
        <w:t>450公</w:t>
      </w:r>
      <w:r>
        <w:rPr>
          <w:bCs/>
          <w:color w:val="auto"/>
          <w:highlight w:val="none"/>
        </w:rPr>
        <w:t>斤</w:t>
      </w:r>
      <w:r>
        <w:rPr>
          <w:rFonts w:hint="eastAsia"/>
          <w:bCs/>
          <w:color w:val="auto"/>
          <w:highlight w:val="none"/>
        </w:rPr>
        <w:t>七氟丙烷灭火药剂。</w:t>
      </w:r>
    </w:p>
    <w:p w14:paraId="0947B933">
      <w:pPr>
        <w:pStyle w:val="13"/>
        <w:ind w:firstLine="440" w:firstLineChars="200"/>
        <w:rPr>
          <w:b w:val="0"/>
          <w:color w:val="auto"/>
          <w:highlight w:val="none"/>
        </w:rPr>
      </w:pPr>
      <w:r>
        <w:rPr>
          <w:rFonts w:hint="eastAsia"/>
          <w:b w:val="0"/>
          <w:color w:val="auto"/>
          <w:highlight w:val="none"/>
        </w:rPr>
        <w:t>火灾自动报警系统</w:t>
      </w:r>
    </w:p>
    <w:p w14:paraId="0ABB5D7E">
      <w:pPr>
        <w:spacing w:line="360" w:lineRule="auto"/>
        <w:ind w:firstLine="420" w:firstLineChars="200"/>
        <w:rPr>
          <w:bCs/>
          <w:color w:val="auto"/>
          <w:highlight w:val="none"/>
        </w:rPr>
      </w:pPr>
      <w:r>
        <w:rPr>
          <w:rFonts w:hint="eastAsia"/>
          <w:bCs/>
          <w:color w:val="auto"/>
          <w:highlight w:val="none"/>
        </w:rPr>
        <w:t>气体自动灭火系统的使用要与火灾自动报警灭火控制系统相结合才能发挥作用。本机房工程中，火灾自动报警灭火系统由火灾报警灭火控制器，感烟探测器，感温探测器，手动控制盒，声光报警器和放气指示灯及线路部分等组成，不包含其他电器设备的联动控制。</w:t>
      </w:r>
    </w:p>
    <w:p w14:paraId="7C1A0C27">
      <w:pPr>
        <w:spacing w:line="360" w:lineRule="auto"/>
        <w:ind w:firstLine="420" w:firstLineChars="200"/>
        <w:rPr>
          <w:bCs/>
          <w:color w:val="auto"/>
          <w:highlight w:val="none"/>
        </w:rPr>
      </w:pPr>
      <w:r>
        <w:rPr>
          <w:rFonts w:hint="eastAsia"/>
          <w:bCs/>
          <w:color w:val="auto"/>
          <w:highlight w:val="none"/>
        </w:rPr>
        <w:t>火灾报警和气体灭火联动控制器安装在指挥中心右侧值班室内，在主机房及UPS电池间房间的门口上方设置声光报警器（门内）和放气指示灯（门外），在整个保护区外直通室外的门旁设置一只手动控制盒，而手动控制盒则设置在保护区外，安装在距地</w:t>
      </w:r>
      <w:r>
        <w:rPr>
          <w:bCs/>
          <w:color w:val="auto"/>
          <w:highlight w:val="none"/>
        </w:rPr>
        <w:t>1.5</w:t>
      </w:r>
      <w:r>
        <w:rPr>
          <w:rFonts w:hint="eastAsia"/>
          <w:bCs/>
          <w:color w:val="auto"/>
          <w:highlight w:val="none"/>
        </w:rPr>
        <w:t>米的高度。</w:t>
      </w:r>
    </w:p>
    <w:p w14:paraId="6A7542F0">
      <w:pPr>
        <w:pStyle w:val="13"/>
        <w:ind w:firstLine="440" w:firstLineChars="200"/>
        <w:rPr>
          <w:b w:val="0"/>
          <w:color w:val="auto"/>
          <w:highlight w:val="none"/>
        </w:rPr>
      </w:pPr>
      <w:r>
        <w:rPr>
          <w:rFonts w:hint="eastAsia"/>
          <w:b w:val="0"/>
          <w:color w:val="auto"/>
          <w:highlight w:val="none"/>
        </w:rPr>
        <w:t>其他消防设施</w:t>
      </w:r>
    </w:p>
    <w:p w14:paraId="43465C60">
      <w:pPr>
        <w:spacing w:line="360" w:lineRule="auto"/>
        <w:ind w:firstLine="420" w:firstLineChars="200"/>
        <w:rPr>
          <w:bCs/>
          <w:color w:val="auto"/>
          <w:highlight w:val="none"/>
        </w:rPr>
      </w:pPr>
      <w:r>
        <w:rPr>
          <w:rFonts w:hint="eastAsia"/>
          <w:bCs/>
          <w:color w:val="auto"/>
          <w:highlight w:val="none"/>
        </w:rPr>
        <w:t>根据机房房间布局，在机房门口等处按需设置磷酸氨盐干粉灭火器、灭火器箱及防毒面具。</w:t>
      </w:r>
    </w:p>
    <w:p w14:paraId="43C57564">
      <w:pPr>
        <w:pStyle w:val="12"/>
        <w:tabs>
          <w:tab w:val="left" w:pos="864"/>
        </w:tabs>
        <w:spacing w:line="360" w:lineRule="auto"/>
        <w:ind w:left="0" w:firstLine="420" w:firstLineChars="200"/>
        <w:rPr>
          <w:color w:val="auto"/>
          <w:highlight w:val="none"/>
        </w:rPr>
      </w:pPr>
      <w:r>
        <w:rPr>
          <w:rFonts w:hint="eastAsia"/>
          <w:color w:val="auto"/>
          <w:highlight w:val="none"/>
        </w:rPr>
        <w:t>机房弱电</w:t>
      </w:r>
    </w:p>
    <w:p w14:paraId="1C21882C">
      <w:pPr>
        <w:spacing w:line="360" w:lineRule="auto"/>
        <w:ind w:firstLine="420" w:firstLineChars="200"/>
        <w:rPr>
          <w:color w:val="auto"/>
          <w:highlight w:val="none"/>
        </w:rPr>
      </w:pPr>
      <w:r>
        <w:rPr>
          <w:rFonts w:hint="eastAsia"/>
          <w:color w:val="auto"/>
          <w:highlight w:val="none"/>
        </w:rPr>
        <w:t>模块化</w:t>
      </w:r>
      <w:r>
        <w:rPr>
          <w:color w:val="auto"/>
          <w:highlight w:val="none"/>
        </w:rPr>
        <w:t>机房的弱电工程主要包括机房封闭冷通道、机房环境监控、机房综合布线系统等组成</w:t>
      </w:r>
      <w:r>
        <w:rPr>
          <w:rFonts w:hint="eastAsia"/>
          <w:color w:val="auto"/>
          <w:highlight w:val="none"/>
        </w:rPr>
        <w:t>。</w:t>
      </w:r>
    </w:p>
    <w:p w14:paraId="4A2C9C09">
      <w:pPr>
        <w:pStyle w:val="13"/>
        <w:ind w:firstLine="440" w:firstLineChars="200"/>
        <w:rPr>
          <w:b w:val="0"/>
          <w:color w:val="auto"/>
          <w:highlight w:val="none"/>
        </w:rPr>
      </w:pPr>
      <w:r>
        <w:rPr>
          <w:rFonts w:hint="eastAsia"/>
          <w:b w:val="0"/>
          <w:color w:val="auto"/>
          <w:highlight w:val="none"/>
        </w:rPr>
        <w:t>机柜</w:t>
      </w:r>
      <w:r>
        <w:rPr>
          <w:b w:val="0"/>
          <w:color w:val="auto"/>
          <w:highlight w:val="none"/>
        </w:rPr>
        <w:t>规划</w:t>
      </w:r>
    </w:p>
    <w:p w14:paraId="79A54739">
      <w:pPr>
        <w:spacing w:line="360" w:lineRule="auto"/>
        <w:ind w:firstLine="420" w:firstLineChars="200"/>
        <w:rPr>
          <w:color w:val="auto"/>
          <w:highlight w:val="none"/>
          <w:lang w:bidi="en-US"/>
        </w:rPr>
      </w:pPr>
      <w:r>
        <w:rPr>
          <w:rFonts w:hint="eastAsia"/>
          <w:color w:val="auto"/>
          <w:highlight w:val="none"/>
          <w:lang w:bidi="en-US"/>
        </w:rPr>
        <w:t>根据</w:t>
      </w:r>
      <w:r>
        <w:rPr>
          <w:color w:val="auto"/>
          <w:highlight w:val="none"/>
          <w:lang w:bidi="en-US"/>
        </w:rPr>
        <w:t>服务器及存储系统、</w:t>
      </w:r>
      <w:r>
        <w:rPr>
          <w:rFonts w:hint="eastAsia"/>
          <w:color w:val="auto"/>
          <w:highlight w:val="none"/>
          <w:lang w:bidi="en-US"/>
        </w:rPr>
        <w:t>计算机</w:t>
      </w:r>
      <w:r>
        <w:rPr>
          <w:color w:val="auto"/>
          <w:highlight w:val="none"/>
          <w:lang w:bidi="en-US"/>
        </w:rPr>
        <w:t>网络系统及</w:t>
      </w:r>
      <w:r>
        <w:rPr>
          <w:rFonts w:hint="eastAsia"/>
          <w:color w:val="auto"/>
          <w:highlight w:val="none"/>
          <w:lang w:bidi="en-US"/>
        </w:rPr>
        <w:t>视频</w:t>
      </w:r>
      <w:r>
        <w:rPr>
          <w:color w:val="auto"/>
          <w:highlight w:val="none"/>
          <w:lang w:bidi="en-US"/>
        </w:rPr>
        <w:t>监控系统的后台</w:t>
      </w:r>
      <w:r>
        <w:rPr>
          <w:rFonts w:hint="eastAsia"/>
          <w:color w:val="auto"/>
          <w:highlight w:val="none"/>
          <w:lang w:bidi="en-US"/>
        </w:rPr>
        <w:t>硬件设备</w:t>
      </w:r>
      <w:r>
        <w:rPr>
          <w:color w:val="auto"/>
          <w:highlight w:val="none"/>
          <w:lang w:bidi="en-US"/>
        </w:rPr>
        <w:t>数量及各类设备的空间大小，所需IT</w:t>
      </w:r>
      <w:r>
        <w:rPr>
          <w:rFonts w:hint="eastAsia"/>
          <w:color w:val="auto"/>
          <w:highlight w:val="none"/>
          <w:lang w:bidi="en-US"/>
        </w:rPr>
        <w:t>机柜主要分为</w:t>
      </w:r>
      <w:r>
        <w:rPr>
          <w:color w:val="auto"/>
          <w:highlight w:val="none"/>
          <w:lang w:bidi="en-US"/>
        </w:rPr>
        <w:t>网络柜</w:t>
      </w:r>
      <w:r>
        <w:rPr>
          <w:rFonts w:hint="eastAsia"/>
          <w:color w:val="auto"/>
          <w:highlight w:val="none"/>
          <w:lang w:bidi="en-US"/>
        </w:rPr>
        <w:t>2台</w:t>
      </w:r>
      <w:r>
        <w:rPr>
          <w:color w:val="auto"/>
          <w:highlight w:val="none"/>
          <w:lang w:bidi="en-US"/>
        </w:rPr>
        <w:t>、服务器及存储</w:t>
      </w:r>
      <w:r>
        <w:rPr>
          <w:rFonts w:hint="eastAsia"/>
          <w:color w:val="auto"/>
          <w:highlight w:val="none"/>
          <w:lang w:bidi="en-US"/>
        </w:rPr>
        <w:t>2台</w:t>
      </w:r>
      <w:r>
        <w:rPr>
          <w:color w:val="auto"/>
          <w:highlight w:val="none"/>
          <w:lang w:bidi="en-US"/>
        </w:rPr>
        <w:t>、其他各类安防系统</w:t>
      </w:r>
      <w:r>
        <w:rPr>
          <w:rFonts w:hint="eastAsia"/>
          <w:color w:val="auto"/>
          <w:highlight w:val="none"/>
          <w:lang w:bidi="en-US"/>
        </w:rPr>
        <w:t>4台，</w:t>
      </w:r>
      <w:r>
        <w:rPr>
          <w:color w:val="auto"/>
          <w:highlight w:val="none"/>
          <w:lang w:bidi="en-US"/>
        </w:rPr>
        <w:t>共计</w:t>
      </w:r>
      <w:r>
        <w:rPr>
          <w:rFonts w:hint="eastAsia"/>
          <w:color w:val="auto"/>
          <w:highlight w:val="none"/>
          <w:lang w:bidi="en-US"/>
        </w:rPr>
        <w:t>8台IT机柜</w:t>
      </w:r>
      <w:r>
        <w:rPr>
          <w:color w:val="auto"/>
          <w:highlight w:val="none"/>
          <w:lang w:bidi="en-US"/>
        </w:rPr>
        <w:t>。考虑</w:t>
      </w:r>
      <w:r>
        <w:rPr>
          <w:rFonts w:hint="eastAsia"/>
          <w:color w:val="auto"/>
          <w:highlight w:val="none"/>
          <w:lang w:bidi="en-US"/>
        </w:rPr>
        <w:t>到</w:t>
      </w:r>
      <w:r>
        <w:rPr>
          <w:color w:val="auto"/>
          <w:highlight w:val="none"/>
          <w:lang w:bidi="en-US"/>
        </w:rPr>
        <w:t>未来信息化发展</w:t>
      </w:r>
      <w:r>
        <w:rPr>
          <w:rFonts w:hint="eastAsia"/>
          <w:color w:val="auto"/>
          <w:highlight w:val="none"/>
          <w:lang w:bidi="en-US"/>
        </w:rPr>
        <w:t>，配套</w:t>
      </w:r>
      <w:r>
        <w:rPr>
          <w:color w:val="auto"/>
          <w:highlight w:val="none"/>
          <w:lang w:bidi="en-US"/>
        </w:rPr>
        <w:t>的机房服务设施增加，本次</w:t>
      </w:r>
      <w:r>
        <w:rPr>
          <w:rFonts w:hint="eastAsia"/>
          <w:color w:val="auto"/>
          <w:highlight w:val="none"/>
          <w:lang w:bidi="en-US"/>
        </w:rPr>
        <w:t>规划</w:t>
      </w:r>
      <w:r>
        <w:rPr>
          <w:color w:val="auto"/>
          <w:highlight w:val="none"/>
          <w:lang w:bidi="en-US"/>
        </w:rPr>
        <w:t>设计按照</w:t>
      </w:r>
      <w:r>
        <w:rPr>
          <w:rFonts w:hint="eastAsia"/>
          <w:bCs/>
          <w:color w:val="auto"/>
          <w:highlight w:val="none"/>
        </w:rPr>
        <w:t>16个IT机柜设计</w:t>
      </w:r>
      <w:r>
        <w:rPr>
          <w:bCs/>
          <w:color w:val="auto"/>
          <w:highlight w:val="none"/>
        </w:rPr>
        <w:t>配置</w:t>
      </w:r>
      <w:r>
        <w:rPr>
          <w:rFonts w:hint="eastAsia"/>
          <w:bCs/>
          <w:color w:val="auto"/>
          <w:highlight w:val="none"/>
        </w:rPr>
        <w:t>，建设</w:t>
      </w:r>
      <w:r>
        <w:rPr>
          <w:bCs/>
          <w:color w:val="auto"/>
          <w:highlight w:val="none"/>
        </w:rPr>
        <w:t>单位后期可以根据自身信息化</w:t>
      </w:r>
      <w:r>
        <w:rPr>
          <w:rFonts w:hint="eastAsia"/>
          <w:bCs/>
          <w:color w:val="auto"/>
          <w:highlight w:val="none"/>
        </w:rPr>
        <w:t>发展</w:t>
      </w:r>
      <w:r>
        <w:rPr>
          <w:bCs/>
          <w:color w:val="auto"/>
          <w:highlight w:val="none"/>
        </w:rPr>
        <w:t>，</w:t>
      </w:r>
      <w:r>
        <w:rPr>
          <w:rFonts w:hint="eastAsia"/>
          <w:bCs/>
          <w:color w:val="auto"/>
          <w:highlight w:val="none"/>
        </w:rPr>
        <w:t>逐步</w:t>
      </w:r>
      <w:r>
        <w:rPr>
          <w:bCs/>
          <w:color w:val="auto"/>
          <w:highlight w:val="none"/>
        </w:rPr>
        <w:t>有序</w:t>
      </w:r>
      <w:r>
        <w:rPr>
          <w:rFonts w:hint="eastAsia"/>
          <w:bCs/>
          <w:color w:val="auto"/>
          <w:highlight w:val="none"/>
        </w:rPr>
        <w:t>启用</w:t>
      </w:r>
      <w:r>
        <w:rPr>
          <w:bCs/>
          <w:color w:val="auto"/>
          <w:highlight w:val="none"/>
        </w:rPr>
        <w:t>。</w:t>
      </w:r>
    </w:p>
    <w:p w14:paraId="7260A8E8">
      <w:pPr>
        <w:pStyle w:val="13"/>
        <w:ind w:firstLine="440" w:firstLineChars="200"/>
        <w:rPr>
          <w:b w:val="0"/>
          <w:color w:val="auto"/>
          <w:highlight w:val="none"/>
        </w:rPr>
      </w:pPr>
      <w:r>
        <w:rPr>
          <w:rFonts w:hint="eastAsia"/>
          <w:b w:val="0"/>
          <w:color w:val="auto"/>
          <w:highlight w:val="none"/>
        </w:rPr>
        <w:t>机柜封闭冷通道</w:t>
      </w:r>
    </w:p>
    <w:p w14:paraId="0869333A">
      <w:pPr>
        <w:spacing w:line="360" w:lineRule="auto"/>
        <w:ind w:firstLine="420" w:firstLineChars="200"/>
        <w:rPr>
          <w:bCs/>
          <w:color w:val="auto"/>
          <w:highlight w:val="none"/>
        </w:rPr>
      </w:pPr>
      <w:r>
        <w:rPr>
          <w:rFonts w:hint="eastAsia"/>
          <w:color w:val="auto"/>
          <w:highlight w:val="none"/>
          <w:lang w:bidi="en-US"/>
        </w:rPr>
        <w:t>机柜封闭冷通道结构由服务器机柜、通道门、天窗、活动天窗磁力锁、天窗控制模块、桥架、LED显示屏、封闭组件（侧门、盲板、承板）及紧急按钮等组成。</w:t>
      </w:r>
    </w:p>
    <w:p w14:paraId="04676A72">
      <w:pPr>
        <w:pStyle w:val="13"/>
        <w:ind w:firstLine="440" w:firstLineChars="200"/>
        <w:rPr>
          <w:b w:val="0"/>
          <w:color w:val="auto"/>
          <w:highlight w:val="none"/>
        </w:rPr>
      </w:pPr>
      <w:r>
        <w:rPr>
          <w:rFonts w:hint="eastAsia"/>
          <w:b w:val="0"/>
          <w:color w:val="auto"/>
          <w:highlight w:val="none"/>
        </w:rPr>
        <w:t>机房环境监控</w:t>
      </w:r>
    </w:p>
    <w:p w14:paraId="6AAAE3A4">
      <w:pPr>
        <w:spacing w:line="360" w:lineRule="auto"/>
        <w:ind w:firstLine="420" w:firstLineChars="200"/>
        <w:rPr>
          <w:bCs/>
          <w:color w:val="auto"/>
          <w:highlight w:val="none"/>
        </w:rPr>
      </w:pPr>
      <w:r>
        <w:rPr>
          <w:rFonts w:hint="eastAsia"/>
          <w:bCs/>
          <w:color w:val="auto"/>
          <w:highlight w:val="none"/>
        </w:rPr>
        <w:t>1、监控对象</w:t>
      </w:r>
    </w:p>
    <w:p w14:paraId="358FB946">
      <w:pPr>
        <w:spacing w:line="360" w:lineRule="auto"/>
        <w:ind w:firstLine="420" w:firstLineChars="200"/>
        <w:rPr>
          <w:bCs/>
          <w:color w:val="auto"/>
          <w:highlight w:val="none"/>
        </w:rPr>
      </w:pPr>
      <w:r>
        <w:rPr>
          <w:rFonts w:hint="eastAsia"/>
          <w:bCs/>
          <w:color w:val="auto"/>
          <w:highlight w:val="none"/>
        </w:rPr>
        <w:t>本次机房环境监控系统主要涉及环境监控设备、各种IT设备、机电设备和安防系统，主要监控对象包括：</w:t>
      </w:r>
    </w:p>
    <w:p w14:paraId="69E713DA">
      <w:pPr>
        <w:numPr>
          <w:ilvl w:val="0"/>
          <w:numId w:val="18"/>
        </w:numPr>
        <w:spacing w:line="360" w:lineRule="auto"/>
        <w:ind w:left="0" w:firstLine="420" w:firstLineChars="200"/>
        <w:rPr>
          <w:bCs/>
          <w:color w:val="auto"/>
          <w:highlight w:val="none"/>
        </w:rPr>
      </w:pPr>
      <w:r>
        <w:rPr>
          <w:rFonts w:hint="eastAsia"/>
          <w:bCs/>
          <w:color w:val="auto"/>
          <w:highlight w:val="none"/>
        </w:rPr>
        <w:t>动力监控部分</w:t>
      </w:r>
    </w:p>
    <w:p w14:paraId="385691A6">
      <w:pPr>
        <w:spacing w:line="360" w:lineRule="auto"/>
        <w:ind w:firstLine="420" w:firstLineChars="200"/>
        <w:rPr>
          <w:bCs/>
          <w:color w:val="auto"/>
          <w:highlight w:val="none"/>
        </w:rPr>
      </w:pPr>
      <w:r>
        <w:rPr>
          <w:rFonts w:hint="eastAsia"/>
          <w:bCs/>
          <w:color w:val="auto"/>
          <w:highlight w:val="none"/>
        </w:rPr>
        <w:t>市电输入：监测市电的实时供电参数，如三相电压、电流等。</w:t>
      </w:r>
    </w:p>
    <w:p w14:paraId="689E55AF">
      <w:pPr>
        <w:spacing w:line="360" w:lineRule="auto"/>
        <w:ind w:firstLine="420" w:firstLineChars="200"/>
        <w:rPr>
          <w:bCs/>
          <w:color w:val="auto"/>
          <w:highlight w:val="none"/>
        </w:rPr>
      </w:pPr>
      <w:r>
        <w:rPr>
          <w:rFonts w:hint="eastAsia"/>
          <w:bCs/>
          <w:color w:val="auto"/>
          <w:highlight w:val="none"/>
        </w:rPr>
        <w:t xml:space="preserve">精密配电柜：监测配电柜内的供电输入参数，各支路配电开关状态及负载电流等。 </w:t>
      </w:r>
    </w:p>
    <w:p w14:paraId="69423299">
      <w:pPr>
        <w:spacing w:line="360" w:lineRule="auto"/>
        <w:ind w:firstLine="420" w:firstLineChars="200"/>
        <w:rPr>
          <w:bCs/>
          <w:color w:val="auto"/>
          <w:highlight w:val="none"/>
        </w:rPr>
      </w:pPr>
      <w:r>
        <w:rPr>
          <w:rFonts w:hint="eastAsia"/>
          <w:bCs/>
          <w:color w:val="auto"/>
          <w:highlight w:val="none"/>
        </w:rPr>
        <w:t>交流配电屏：监测配电屏的输出电压、输出电流、各分路电流、电压等参数。</w:t>
      </w:r>
    </w:p>
    <w:p w14:paraId="3F1E2C18">
      <w:pPr>
        <w:spacing w:line="360" w:lineRule="auto"/>
        <w:ind w:firstLine="420" w:firstLineChars="200"/>
        <w:rPr>
          <w:bCs/>
          <w:color w:val="auto"/>
          <w:highlight w:val="none"/>
        </w:rPr>
      </w:pPr>
      <w:r>
        <w:rPr>
          <w:rFonts w:hint="eastAsia"/>
          <w:bCs/>
          <w:color w:val="auto"/>
          <w:highlight w:val="none"/>
        </w:rPr>
        <w:t>UPS：监测UPS的输入、输出电流、电压、频率、温度、旁路等运行参数和工作状态。</w:t>
      </w:r>
    </w:p>
    <w:p w14:paraId="551A2CEC">
      <w:pPr>
        <w:numPr>
          <w:ilvl w:val="0"/>
          <w:numId w:val="18"/>
        </w:numPr>
        <w:spacing w:line="360" w:lineRule="auto"/>
        <w:ind w:left="0" w:firstLine="420" w:firstLineChars="200"/>
        <w:rPr>
          <w:bCs/>
          <w:color w:val="auto"/>
          <w:highlight w:val="none"/>
        </w:rPr>
      </w:pPr>
      <w:r>
        <w:rPr>
          <w:rFonts w:hint="eastAsia"/>
          <w:bCs/>
          <w:color w:val="auto"/>
          <w:highlight w:val="none"/>
        </w:rPr>
        <w:t>环境监控部分</w:t>
      </w:r>
    </w:p>
    <w:p w14:paraId="7881AC0E">
      <w:pPr>
        <w:spacing w:line="360" w:lineRule="auto"/>
        <w:ind w:firstLine="420" w:firstLineChars="200"/>
        <w:rPr>
          <w:bCs/>
          <w:color w:val="auto"/>
          <w:highlight w:val="none"/>
        </w:rPr>
      </w:pPr>
      <w:r>
        <w:rPr>
          <w:rFonts w:hint="eastAsia"/>
          <w:bCs/>
          <w:color w:val="auto"/>
          <w:highlight w:val="none"/>
        </w:rPr>
        <w:t>精密空调：监测精密空调的运行参数及状态，并可实现远程开关机启停控制和参数设置。</w:t>
      </w:r>
    </w:p>
    <w:p w14:paraId="5C87CD29">
      <w:pPr>
        <w:spacing w:line="360" w:lineRule="auto"/>
        <w:ind w:firstLine="420" w:firstLineChars="200"/>
        <w:rPr>
          <w:bCs/>
          <w:color w:val="auto"/>
          <w:highlight w:val="none"/>
        </w:rPr>
      </w:pPr>
      <w:r>
        <w:rPr>
          <w:rFonts w:hint="eastAsia"/>
          <w:bCs/>
          <w:color w:val="auto"/>
          <w:highlight w:val="none"/>
        </w:rPr>
        <w:t>新风机：监测新风机的开关机运行状态及过滤网堵塞状态，并可实现远程开关机启停控制、定时启停功能。</w:t>
      </w:r>
    </w:p>
    <w:p w14:paraId="398ECC4E">
      <w:pPr>
        <w:spacing w:line="360" w:lineRule="auto"/>
        <w:ind w:firstLine="420" w:firstLineChars="200"/>
        <w:rPr>
          <w:bCs/>
          <w:color w:val="auto"/>
          <w:highlight w:val="none"/>
        </w:rPr>
      </w:pPr>
      <w:r>
        <w:rPr>
          <w:rFonts w:hint="eastAsia"/>
          <w:bCs/>
          <w:color w:val="auto"/>
          <w:highlight w:val="none"/>
        </w:rPr>
        <w:t>温湿度：监测机房内重要区域的温度、湿度数值及变化情况。</w:t>
      </w:r>
    </w:p>
    <w:p w14:paraId="218F6144">
      <w:pPr>
        <w:spacing w:line="360" w:lineRule="auto"/>
        <w:ind w:firstLine="420" w:firstLineChars="200"/>
        <w:rPr>
          <w:bCs/>
          <w:color w:val="auto"/>
          <w:highlight w:val="none"/>
        </w:rPr>
      </w:pPr>
      <w:r>
        <w:rPr>
          <w:rFonts w:hint="eastAsia"/>
          <w:bCs/>
          <w:color w:val="auto"/>
          <w:highlight w:val="none"/>
        </w:rPr>
        <w:t>漏水：定位式漏水（区域式漏水），漏水感应绳，监测机房内空调四周有无漏水发生。</w:t>
      </w:r>
    </w:p>
    <w:p w14:paraId="07DC02E2">
      <w:pPr>
        <w:numPr>
          <w:ilvl w:val="0"/>
          <w:numId w:val="18"/>
        </w:numPr>
        <w:spacing w:line="360" w:lineRule="auto"/>
        <w:ind w:left="0" w:firstLine="420" w:firstLineChars="200"/>
        <w:rPr>
          <w:bCs/>
          <w:color w:val="auto"/>
          <w:highlight w:val="none"/>
        </w:rPr>
      </w:pPr>
      <w:r>
        <w:rPr>
          <w:rFonts w:hint="eastAsia"/>
          <w:bCs/>
          <w:color w:val="auto"/>
          <w:highlight w:val="none"/>
        </w:rPr>
        <w:t>安保监控部分</w:t>
      </w:r>
    </w:p>
    <w:p w14:paraId="1C4660DA">
      <w:pPr>
        <w:spacing w:line="360" w:lineRule="auto"/>
        <w:ind w:firstLine="420" w:firstLineChars="200"/>
        <w:rPr>
          <w:bCs/>
          <w:color w:val="auto"/>
          <w:highlight w:val="none"/>
        </w:rPr>
      </w:pPr>
      <w:r>
        <w:rPr>
          <w:rFonts w:hint="eastAsia"/>
          <w:bCs/>
          <w:color w:val="auto"/>
          <w:highlight w:val="none"/>
        </w:rPr>
        <w:t>门禁管理：采用进门刷卡（或指纹）+出门按按钮（或刷卡、指纹）的验证方式，实现对人员出入情况的管理。</w:t>
      </w:r>
    </w:p>
    <w:p w14:paraId="5BBEFB39">
      <w:pPr>
        <w:spacing w:line="360" w:lineRule="auto"/>
        <w:ind w:firstLine="420" w:firstLineChars="200"/>
        <w:rPr>
          <w:bCs/>
          <w:color w:val="auto"/>
          <w:highlight w:val="none"/>
        </w:rPr>
      </w:pPr>
      <w:r>
        <w:rPr>
          <w:rFonts w:hint="eastAsia"/>
          <w:bCs/>
          <w:color w:val="auto"/>
          <w:highlight w:val="none"/>
        </w:rPr>
        <w:t>视频图像：监视机房区域的实时图像，并进行视频录像。</w:t>
      </w:r>
    </w:p>
    <w:p w14:paraId="2BE80CF5">
      <w:pPr>
        <w:spacing w:line="360" w:lineRule="auto"/>
        <w:ind w:firstLine="420" w:firstLineChars="200"/>
        <w:rPr>
          <w:bCs/>
          <w:color w:val="auto"/>
          <w:highlight w:val="none"/>
        </w:rPr>
      </w:pPr>
      <w:r>
        <w:rPr>
          <w:rFonts w:hint="eastAsia"/>
          <w:bCs/>
          <w:color w:val="auto"/>
          <w:highlight w:val="none"/>
        </w:rPr>
        <w:t>消防：监测消防控制箱提供的干接点火警信号。（在机房内安装烟感探测器，监测机房内的火警情况。）</w:t>
      </w:r>
    </w:p>
    <w:p w14:paraId="7AFEE33D">
      <w:pPr>
        <w:numPr>
          <w:ilvl w:val="0"/>
          <w:numId w:val="19"/>
        </w:numPr>
        <w:spacing w:line="360" w:lineRule="auto"/>
        <w:ind w:firstLine="420" w:firstLineChars="200"/>
        <w:rPr>
          <w:bCs/>
          <w:color w:val="auto"/>
          <w:highlight w:val="none"/>
        </w:rPr>
      </w:pPr>
      <w:r>
        <w:rPr>
          <w:rFonts w:hint="eastAsia"/>
          <w:bCs/>
          <w:color w:val="auto"/>
          <w:highlight w:val="none"/>
        </w:rPr>
        <w:t>系统组成</w:t>
      </w:r>
    </w:p>
    <w:p w14:paraId="0345EB5A">
      <w:pPr>
        <w:spacing w:line="360" w:lineRule="auto"/>
        <w:ind w:firstLine="420" w:firstLineChars="200"/>
        <w:rPr>
          <w:bCs/>
          <w:color w:val="auto"/>
          <w:highlight w:val="none"/>
        </w:rPr>
      </w:pPr>
      <w:r>
        <w:rPr>
          <w:rFonts w:hint="eastAsia"/>
          <w:bCs/>
          <w:color w:val="auto"/>
          <w:highlight w:val="none"/>
        </w:rPr>
        <w:t>机房环境监控组成如下图所示：</w:t>
      </w:r>
    </w:p>
    <w:p w14:paraId="1027A342">
      <w:pPr>
        <w:spacing w:line="360" w:lineRule="auto"/>
        <w:ind w:firstLine="294" w:firstLineChars="200"/>
        <w:jc w:val="center"/>
        <w:rPr>
          <w:bCs/>
          <w:color w:val="auto"/>
          <w:highlight w:val="none"/>
        </w:rPr>
      </w:pPr>
      <w:r>
        <w:rPr>
          <w:bCs/>
          <w:color w:val="auto"/>
          <w:w w:val="70"/>
          <w:highlight w:val="none"/>
          <w:bdr w:val="single" w:color="auto" w:sz="4" w:space="0"/>
        </w:rPr>
        <w:drawing>
          <wp:inline distT="0" distB="0" distL="114300" distR="114300">
            <wp:extent cx="4122420" cy="3253740"/>
            <wp:effectExtent l="0" t="0" r="11430" b="3810"/>
            <wp:docPr id="11" name="图片 12" descr="090915财达数据中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090915财达数据中心"/>
                    <pic:cNvPicPr>
                      <a:picLocks noChangeAspect="1"/>
                    </pic:cNvPicPr>
                  </pic:nvPicPr>
                  <pic:blipFill>
                    <a:blip r:embed="rId25"/>
                    <a:stretch>
                      <a:fillRect/>
                    </a:stretch>
                  </pic:blipFill>
                  <pic:spPr>
                    <a:xfrm>
                      <a:off x="0" y="0"/>
                      <a:ext cx="4122420" cy="3253740"/>
                    </a:xfrm>
                    <a:prstGeom prst="rect">
                      <a:avLst/>
                    </a:prstGeom>
                    <a:noFill/>
                    <a:ln>
                      <a:noFill/>
                    </a:ln>
                  </pic:spPr>
                </pic:pic>
              </a:graphicData>
            </a:graphic>
          </wp:inline>
        </w:drawing>
      </w:r>
    </w:p>
    <w:p w14:paraId="1D307426">
      <w:pPr>
        <w:spacing w:line="360" w:lineRule="auto"/>
        <w:ind w:firstLine="420" w:firstLineChars="200"/>
        <w:rPr>
          <w:bCs/>
          <w:color w:val="auto"/>
          <w:highlight w:val="none"/>
        </w:rPr>
      </w:pPr>
      <w:r>
        <w:rPr>
          <w:rFonts w:hint="eastAsia"/>
          <w:bCs/>
          <w:color w:val="auto"/>
          <w:highlight w:val="none"/>
        </w:rPr>
        <w:t>整个系统主要由以下三部分组成：现场设备采集层、监控主机、WEB浏览终端。各部分的主要作用如下：</w:t>
      </w:r>
    </w:p>
    <w:p w14:paraId="38FC38C1">
      <w:pPr>
        <w:spacing w:line="360" w:lineRule="auto"/>
        <w:ind w:firstLine="420" w:firstLineChars="200"/>
        <w:rPr>
          <w:bCs/>
          <w:color w:val="auto"/>
          <w:highlight w:val="none"/>
        </w:rPr>
      </w:pPr>
      <w:r>
        <w:rPr>
          <w:rFonts w:hint="eastAsia"/>
          <w:bCs/>
          <w:color w:val="auto"/>
          <w:highlight w:val="none"/>
        </w:rPr>
        <w:t>现场设备/信号采集层:由各种设备、传感器组成，如UPS、空调、温湿度、漏水，烟感等的现场信号，将采集的现场信号通过DI,RS232，RS485方式上传到监控主机。</w:t>
      </w:r>
    </w:p>
    <w:p w14:paraId="78AF785F">
      <w:pPr>
        <w:spacing w:line="360" w:lineRule="auto"/>
        <w:ind w:firstLine="420" w:firstLineChars="200"/>
        <w:rPr>
          <w:bCs/>
          <w:color w:val="auto"/>
          <w:highlight w:val="none"/>
        </w:rPr>
      </w:pPr>
      <w:r>
        <w:rPr>
          <w:rFonts w:hint="eastAsia"/>
          <w:bCs/>
          <w:color w:val="auto"/>
          <w:highlight w:val="none"/>
        </w:rPr>
        <w:t>监控主机：WEB管理，可脱网工作并具有独立数据处理及数据存储能力，用于将现场设备采集层传输来的的各种信息进行存储、实时处理、分析和输出，处理所有的报警信息，记录报警事件，并负责将控制命令发往前端设备，实现对现场设备的远程控制。</w:t>
      </w:r>
    </w:p>
    <w:p w14:paraId="5199331F">
      <w:pPr>
        <w:spacing w:line="360" w:lineRule="auto"/>
        <w:ind w:firstLine="420" w:firstLineChars="200"/>
        <w:rPr>
          <w:bCs/>
          <w:color w:val="auto"/>
          <w:highlight w:val="none"/>
        </w:rPr>
      </w:pPr>
      <w:r>
        <w:rPr>
          <w:rFonts w:hint="eastAsia"/>
          <w:bCs/>
          <w:color w:val="auto"/>
          <w:highlight w:val="none"/>
        </w:rPr>
        <w:t>WEB浏览终端：用于进行远程的WEB浏览，便于管理人员随时随地了解机房的工作状况，可直接观看到与监控主机一致的监控画面，在具有相应权限下还可对设备实现远程控制，如空调的开关机等。</w:t>
      </w:r>
    </w:p>
    <w:p w14:paraId="6BBAC4F6">
      <w:pPr>
        <w:spacing w:line="360" w:lineRule="auto"/>
        <w:ind w:firstLine="420" w:firstLineChars="200"/>
        <w:rPr>
          <w:bCs/>
          <w:color w:val="auto"/>
          <w:highlight w:val="none"/>
        </w:rPr>
      </w:pPr>
      <w:r>
        <w:rPr>
          <w:rFonts w:hint="eastAsia"/>
          <w:bCs/>
          <w:color w:val="auto"/>
          <w:highlight w:val="none"/>
        </w:rPr>
        <w:t>系统采用B/S分布模式的模块化结构，软硬件的安装与维护集中于监控主机端，易于实施和维护。同时采用B/S结构，客户端只负责用户界面显示，数据处理放在监控主机端，当监控需求增加时，只需对监控主机进行升级或扩展成多个监控主机即可。</w:t>
      </w:r>
    </w:p>
    <w:p w14:paraId="018BEC26">
      <w:pPr>
        <w:spacing w:line="360" w:lineRule="auto"/>
        <w:ind w:firstLine="420" w:firstLineChars="200"/>
        <w:rPr>
          <w:bCs/>
          <w:color w:val="auto"/>
          <w:highlight w:val="none"/>
        </w:rPr>
      </w:pPr>
      <w:r>
        <w:rPr>
          <w:rFonts w:hint="eastAsia"/>
          <w:bCs/>
          <w:color w:val="auto"/>
          <w:highlight w:val="none"/>
        </w:rPr>
        <w:t>本系统可实现如下功能：</w:t>
      </w:r>
    </w:p>
    <w:p w14:paraId="07156317">
      <w:pPr>
        <w:numPr>
          <w:ilvl w:val="0"/>
          <w:numId w:val="10"/>
        </w:numPr>
        <w:spacing w:line="360" w:lineRule="auto"/>
        <w:ind w:left="0" w:firstLine="420" w:firstLineChars="200"/>
        <w:rPr>
          <w:bCs/>
          <w:color w:val="auto"/>
          <w:highlight w:val="none"/>
        </w:rPr>
      </w:pPr>
      <w:r>
        <w:rPr>
          <w:bCs/>
          <w:color w:val="auto"/>
          <w:highlight w:val="none"/>
        </w:rPr>
        <w:t>确保</w:t>
      </w:r>
      <w:r>
        <w:rPr>
          <w:rFonts w:hint="eastAsia"/>
          <w:bCs/>
          <w:color w:val="auto"/>
          <w:highlight w:val="none"/>
        </w:rPr>
        <w:t>统一管理平台和业务系统的计算、交换、存储、控制等核心设备</w:t>
      </w:r>
      <w:r>
        <w:rPr>
          <w:bCs/>
          <w:color w:val="auto"/>
          <w:highlight w:val="none"/>
        </w:rPr>
        <w:t>能安全、稳定和可靠运行</w:t>
      </w:r>
      <w:r>
        <w:rPr>
          <w:rFonts w:hint="eastAsia"/>
          <w:bCs/>
          <w:color w:val="auto"/>
          <w:highlight w:val="none"/>
        </w:rPr>
        <w:t>。</w:t>
      </w:r>
    </w:p>
    <w:p w14:paraId="756EEA01">
      <w:pPr>
        <w:numPr>
          <w:ilvl w:val="0"/>
          <w:numId w:val="10"/>
        </w:numPr>
        <w:spacing w:line="360" w:lineRule="auto"/>
        <w:ind w:left="0" w:firstLine="420" w:firstLineChars="200"/>
        <w:rPr>
          <w:bCs/>
          <w:color w:val="auto"/>
          <w:highlight w:val="none"/>
        </w:rPr>
      </w:pPr>
      <w:r>
        <w:rPr>
          <w:bCs/>
          <w:color w:val="auto"/>
          <w:highlight w:val="none"/>
        </w:rPr>
        <w:t>为机房中的系统设备</w:t>
      </w:r>
      <w:r>
        <w:rPr>
          <w:rFonts w:hint="eastAsia"/>
          <w:bCs/>
          <w:color w:val="auto"/>
          <w:highlight w:val="none"/>
        </w:rPr>
        <w:t>运行</w:t>
      </w:r>
      <w:r>
        <w:rPr>
          <w:bCs/>
          <w:color w:val="auto"/>
          <w:highlight w:val="none"/>
        </w:rPr>
        <w:t>和</w:t>
      </w:r>
      <w:r>
        <w:rPr>
          <w:color w:val="auto"/>
          <w:highlight w:val="none"/>
        </w:rPr>
        <w:fldChar w:fldCharType="begin"/>
      </w:r>
      <w:r>
        <w:rPr>
          <w:color w:val="auto"/>
          <w:highlight w:val="none"/>
        </w:rPr>
        <w:instrText xml:space="preserve"> HYPERLINK "http://baike.baidu.com/view/4764430.htm" \t "_blank" </w:instrText>
      </w:r>
      <w:r>
        <w:rPr>
          <w:color w:val="auto"/>
          <w:highlight w:val="none"/>
        </w:rPr>
        <w:fldChar w:fldCharType="separate"/>
      </w:r>
      <w:r>
        <w:rPr>
          <w:bCs/>
          <w:color w:val="auto"/>
          <w:highlight w:val="none"/>
        </w:rPr>
        <w:t>数据信息安全</w:t>
      </w:r>
      <w:r>
        <w:rPr>
          <w:bCs/>
          <w:color w:val="auto"/>
          <w:highlight w:val="none"/>
        </w:rPr>
        <w:fldChar w:fldCharType="end"/>
      </w:r>
      <w:r>
        <w:rPr>
          <w:bCs/>
          <w:color w:val="auto"/>
          <w:highlight w:val="none"/>
        </w:rPr>
        <w:t>提供保障环境，还要为</w:t>
      </w:r>
      <w:r>
        <w:rPr>
          <w:rFonts w:hint="eastAsia"/>
          <w:bCs/>
          <w:color w:val="auto"/>
          <w:highlight w:val="none"/>
        </w:rPr>
        <w:t>监狱</w:t>
      </w:r>
      <w:r>
        <w:rPr>
          <w:bCs/>
          <w:color w:val="auto"/>
          <w:highlight w:val="none"/>
        </w:rPr>
        <w:t>工作人员创造健康适宜的工作环境</w:t>
      </w:r>
      <w:r>
        <w:rPr>
          <w:rFonts w:hint="eastAsia"/>
          <w:bCs/>
          <w:color w:val="auto"/>
          <w:highlight w:val="none"/>
        </w:rPr>
        <w:t>。</w:t>
      </w:r>
    </w:p>
    <w:p w14:paraId="3F8B13B0">
      <w:pPr>
        <w:pStyle w:val="13"/>
        <w:ind w:firstLine="442" w:firstLineChars="200"/>
        <w:rPr>
          <w:color w:val="auto"/>
          <w:highlight w:val="none"/>
        </w:rPr>
      </w:pPr>
      <w:r>
        <w:rPr>
          <w:rFonts w:hint="eastAsia"/>
          <w:color w:val="auto"/>
          <w:highlight w:val="none"/>
        </w:rPr>
        <w:t>机房</w:t>
      </w:r>
      <w:r>
        <w:rPr>
          <w:color w:val="auto"/>
          <w:highlight w:val="none"/>
        </w:rPr>
        <w:t>综合布线</w:t>
      </w:r>
    </w:p>
    <w:p w14:paraId="4BB913C7">
      <w:pPr>
        <w:spacing w:line="360" w:lineRule="auto"/>
        <w:ind w:firstLine="420" w:firstLineChars="200"/>
        <w:rPr>
          <w:color w:val="auto"/>
          <w:highlight w:val="none"/>
          <w:lang w:bidi="en-US"/>
        </w:rPr>
      </w:pPr>
      <w:r>
        <w:rPr>
          <w:rFonts w:hint="eastAsia"/>
          <w:color w:val="auto"/>
          <w:highlight w:val="none"/>
          <w:lang w:bidi="en-US"/>
        </w:rPr>
        <w:t>机房</w:t>
      </w:r>
      <w:r>
        <w:rPr>
          <w:color w:val="auto"/>
          <w:highlight w:val="none"/>
          <w:lang w:bidi="en-US"/>
        </w:rPr>
        <w:t>设置弱电列头柜</w:t>
      </w:r>
      <w:r>
        <w:rPr>
          <w:rFonts w:hint="eastAsia"/>
          <w:color w:val="auto"/>
          <w:highlight w:val="none"/>
          <w:lang w:bidi="en-US"/>
        </w:rPr>
        <w:t>，用于</w:t>
      </w:r>
      <w:r>
        <w:rPr>
          <w:color w:val="auto"/>
          <w:highlight w:val="none"/>
          <w:lang w:bidi="en-US"/>
        </w:rPr>
        <w:t>各类线缆跳接。在弱电列头柜中设置</w:t>
      </w:r>
      <w:r>
        <w:rPr>
          <w:rFonts w:hint="eastAsia"/>
          <w:color w:val="auto"/>
          <w:highlight w:val="none"/>
          <w:lang w:bidi="en-US"/>
        </w:rPr>
        <w:t>48口光纤配线</w:t>
      </w:r>
      <w:r>
        <w:rPr>
          <w:color w:val="auto"/>
          <w:highlight w:val="none"/>
          <w:lang w:bidi="en-US"/>
        </w:rPr>
        <w:t>架，用于</w:t>
      </w:r>
      <w:r>
        <w:rPr>
          <w:rFonts w:hint="eastAsia"/>
          <w:color w:val="auto"/>
          <w:highlight w:val="none"/>
          <w:lang w:bidi="en-US"/>
        </w:rPr>
        <w:t>其他各建筑物进入机房的线缆跳接；</w:t>
      </w:r>
      <w:r>
        <w:rPr>
          <w:color w:val="auto"/>
          <w:highlight w:val="none"/>
          <w:lang w:bidi="en-US"/>
        </w:rPr>
        <w:t>在各</w:t>
      </w:r>
      <w:r>
        <w:rPr>
          <w:rFonts w:hint="eastAsia"/>
          <w:color w:val="auto"/>
          <w:highlight w:val="none"/>
          <w:lang w:bidi="en-US"/>
        </w:rPr>
        <w:t>IT机柜</w:t>
      </w:r>
      <w:r>
        <w:rPr>
          <w:color w:val="auto"/>
          <w:highlight w:val="none"/>
          <w:lang w:bidi="en-US"/>
        </w:rPr>
        <w:t>设置</w:t>
      </w:r>
      <w:r>
        <w:rPr>
          <w:rFonts w:hint="eastAsia"/>
          <w:color w:val="auto"/>
          <w:highlight w:val="none"/>
          <w:lang w:bidi="en-US"/>
        </w:rPr>
        <w:t>24口</w:t>
      </w:r>
      <w:r>
        <w:rPr>
          <w:color w:val="auto"/>
          <w:highlight w:val="none"/>
          <w:lang w:bidi="en-US"/>
        </w:rPr>
        <w:t>光纤配线架、24</w:t>
      </w:r>
      <w:r>
        <w:rPr>
          <w:rFonts w:hint="eastAsia"/>
          <w:color w:val="auto"/>
          <w:highlight w:val="none"/>
          <w:lang w:bidi="en-US"/>
        </w:rPr>
        <w:t>口</w:t>
      </w:r>
      <w:r>
        <w:rPr>
          <w:color w:val="auto"/>
          <w:highlight w:val="none"/>
          <w:lang w:bidi="en-US"/>
        </w:rPr>
        <w:t>数据配线架</w:t>
      </w:r>
      <w:r>
        <w:rPr>
          <w:rFonts w:hint="eastAsia"/>
          <w:color w:val="auto"/>
          <w:highlight w:val="none"/>
          <w:lang w:bidi="en-US"/>
        </w:rPr>
        <w:t>各1套，</w:t>
      </w:r>
      <w:r>
        <w:rPr>
          <w:color w:val="auto"/>
          <w:highlight w:val="none"/>
          <w:lang w:bidi="en-US"/>
        </w:rPr>
        <w:t>实现各</w:t>
      </w:r>
      <w:r>
        <w:rPr>
          <w:rFonts w:hint="eastAsia"/>
          <w:color w:val="auto"/>
          <w:highlight w:val="none"/>
          <w:lang w:bidi="en-US"/>
        </w:rPr>
        <w:t>IT机柜链路</w:t>
      </w:r>
      <w:r>
        <w:rPr>
          <w:color w:val="auto"/>
          <w:highlight w:val="none"/>
          <w:lang w:bidi="en-US"/>
        </w:rPr>
        <w:t>接入弱电列头柜，实现网络跳接。</w:t>
      </w:r>
    </w:p>
    <w:p w14:paraId="27258C54">
      <w:pPr>
        <w:pStyle w:val="11"/>
        <w:spacing w:before="0" w:after="0" w:line="360" w:lineRule="auto"/>
        <w:ind w:firstLine="562" w:firstLineChars="200"/>
        <w:rPr>
          <w:color w:val="auto"/>
          <w:highlight w:val="none"/>
        </w:rPr>
      </w:pPr>
      <w:r>
        <w:rPr>
          <w:rFonts w:hint="eastAsia"/>
          <w:color w:val="auto"/>
          <w:highlight w:val="none"/>
        </w:rPr>
        <w:t>部署方案</w:t>
      </w:r>
    </w:p>
    <w:p w14:paraId="302CECC3">
      <w:pPr>
        <w:numPr>
          <w:ilvl w:val="0"/>
          <w:numId w:val="20"/>
        </w:numPr>
        <w:spacing w:line="360" w:lineRule="auto"/>
        <w:ind w:firstLine="420" w:firstLineChars="200"/>
        <w:rPr>
          <w:bCs/>
          <w:color w:val="auto"/>
          <w:highlight w:val="none"/>
        </w:rPr>
      </w:pPr>
      <w:r>
        <w:rPr>
          <w:rFonts w:hint="eastAsia"/>
          <w:bCs/>
          <w:color w:val="auto"/>
          <w:highlight w:val="none"/>
        </w:rPr>
        <w:t>机房装修</w:t>
      </w:r>
    </w:p>
    <w:p w14:paraId="47B2B8C1">
      <w:pPr>
        <w:spacing w:line="360" w:lineRule="auto"/>
        <w:ind w:firstLine="420" w:firstLineChars="200"/>
        <w:rPr>
          <w:bCs/>
          <w:color w:val="auto"/>
          <w:highlight w:val="none"/>
        </w:rPr>
      </w:pPr>
      <w:r>
        <w:rPr>
          <w:rFonts w:hint="eastAsia"/>
          <w:bCs/>
          <w:color w:val="auto"/>
          <w:highlight w:val="none"/>
        </w:rPr>
        <w:t>微孔铝合金吊顶（规格：300*1200*0.8mm,含吊杆及主副龙骨）安装于主机房、配电间与UPS电池间顶板下，吊顶高度0.3m，共需144㎡；在主机房、配电间与UPS电池间地面采用600×600×35mm的硫酸钙无边框抗静电地板，敷设高度为0.5m，共需144㎡；在主机房、配电间与UPS电池间地面采用铝箔塑板加0.5mm铝板，共需144㎡。在主机房、配电间与UPS电池间墙面采用12.6mm彩钢板，共需297㎡。</w:t>
      </w:r>
    </w:p>
    <w:p w14:paraId="6A2697E0">
      <w:pPr>
        <w:numPr>
          <w:ilvl w:val="0"/>
          <w:numId w:val="20"/>
        </w:numPr>
        <w:spacing w:line="360" w:lineRule="auto"/>
        <w:ind w:firstLine="420" w:firstLineChars="200"/>
        <w:rPr>
          <w:bCs/>
          <w:color w:val="auto"/>
          <w:highlight w:val="none"/>
        </w:rPr>
      </w:pPr>
      <w:r>
        <w:rPr>
          <w:rFonts w:hint="eastAsia"/>
          <w:bCs/>
          <w:color w:val="auto"/>
          <w:highlight w:val="none"/>
        </w:rPr>
        <w:t>机房电气</w:t>
      </w:r>
    </w:p>
    <w:p w14:paraId="39BCD1E5">
      <w:pPr>
        <w:spacing w:line="360" w:lineRule="auto"/>
        <w:ind w:firstLine="420" w:firstLineChars="200"/>
        <w:rPr>
          <w:bCs/>
          <w:color w:val="auto"/>
          <w:highlight w:val="none"/>
        </w:rPr>
      </w:pPr>
      <w:r>
        <w:rPr>
          <w:rFonts w:hint="eastAsia"/>
          <w:bCs/>
          <w:color w:val="auto"/>
          <w:highlight w:val="none"/>
        </w:rPr>
        <w:t>在二层配电间部署一台市电ATS配电柜、一台UPS输出配电柜、一台模块</w:t>
      </w:r>
      <w:r>
        <w:rPr>
          <w:bCs/>
          <w:color w:val="auto"/>
          <w:highlight w:val="none"/>
        </w:rPr>
        <w:t>容量不小于100</w:t>
      </w:r>
      <w:r>
        <w:rPr>
          <w:rFonts w:hint="eastAsia"/>
          <w:bCs/>
          <w:color w:val="auto"/>
          <w:highlight w:val="none"/>
        </w:rPr>
        <w:t>KVA的 UPS主机。三层主机房与一层UPS电池间均布LED面板灯（300*1200/36W）共计</w:t>
      </w:r>
      <w:r>
        <w:rPr>
          <w:bCs/>
          <w:color w:val="auto"/>
          <w:highlight w:val="none"/>
        </w:rPr>
        <w:t>26</w:t>
      </w:r>
      <w:r>
        <w:rPr>
          <w:rFonts w:hint="eastAsia"/>
          <w:bCs/>
          <w:color w:val="auto"/>
          <w:highlight w:val="none"/>
        </w:rPr>
        <w:t>盏。规格为</w:t>
      </w:r>
      <w:r>
        <w:rPr>
          <w:bCs/>
          <w:color w:val="auto"/>
          <w:highlight w:val="none"/>
        </w:rPr>
        <w:t>20mm*3mm</w:t>
      </w:r>
      <w:r>
        <w:rPr>
          <w:rFonts w:hint="eastAsia"/>
          <w:bCs/>
          <w:color w:val="auto"/>
          <w:highlight w:val="none"/>
        </w:rPr>
        <w:t>的紫铜排分别沿三层主机房、二层配电间与一层UPS电池间敷设一圈，规格为15</w:t>
      </w:r>
      <w:r>
        <w:rPr>
          <w:bCs/>
          <w:color w:val="auto"/>
          <w:highlight w:val="none"/>
        </w:rPr>
        <w:t>mm*3mm</w:t>
      </w:r>
      <w:r>
        <w:rPr>
          <w:rFonts w:hint="eastAsia"/>
          <w:bCs/>
          <w:color w:val="auto"/>
          <w:highlight w:val="none"/>
        </w:rPr>
        <w:t>的紫铜排组成600*600mm的接地网。</w:t>
      </w:r>
    </w:p>
    <w:p w14:paraId="342AEF15">
      <w:pPr>
        <w:numPr>
          <w:ilvl w:val="0"/>
          <w:numId w:val="20"/>
        </w:numPr>
        <w:spacing w:line="360" w:lineRule="auto"/>
        <w:ind w:firstLine="420" w:firstLineChars="200"/>
        <w:rPr>
          <w:bCs/>
          <w:color w:val="auto"/>
          <w:highlight w:val="none"/>
        </w:rPr>
      </w:pPr>
      <w:r>
        <w:rPr>
          <w:rFonts w:hint="eastAsia"/>
          <w:bCs/>
          <w:color w:val="auto"/>
          <w:highlight w:val="none"/>
        </w:rPr>
        <w:t>机房空调</w:t>
      </w:r>
    </w:p>
    <w:p w14:paraId="479F79A5">
      <w:pPr>
        <w:spacing w:line="360" w:lineRule="auto"/>
        <w:ind w:firstLine="420" w:firstLineChars="200"/>
        <w:rPr>
          <w:bCs/>
          <w:color w:val="auto"/>
          <w:highlight w:val="none"/>
        </w:rPr>
      </w:pPr>
      <w:r>
        <w:rPr>
          <w:rFonts w:hint="eastAsia"/>
          <w:bCs/>
          <w:color w:val="auto"/>
          <w:highlight w:val="none"/>
        </w:rPr>
        <w:t>三层主机房部署一台新风机，三层主机房、一层UPS电池间各部署一台轴流排烟风机，三层主机房部署2台</w:t>
      </w:r>
      <w:r>
        <w:rPr>
          <w:bCs/>
          <w:color w:val="auto"/>
          <w:highlight w:val="none"/>
        </w:rPr>
        <w:t>40kW</w:t>
      </w:r>
      <w:r>
        <w:rPr>
          <w:rFonts w:hint="eastAsia"/>
          <w:bCs/>
          <w:color w:val="auto"/>
          <w:highlight w:val="none"/>
        </w:rPr>
        <w:t>行间空调，配电间部署1台</w:t>
      </w:r>
      <w:r>
        <w:rPr>
          <w:bCs/>
          <w:color w:val="auto"/>
          <w:highlight w:val="none"/>
        </w:rPr>
        <w:t>基站式</w:t>
      </w:r>
      <w:r>
        <w:rPr>
          <w:rFonts w:hint="eastAsia"/>
          <w:bCs/>
          <w:color w:val="auto"/>
          <w:highlight w:val="none"/>
        </w:rPr>
        <w:t>5P空调</w:t>
      </w:r>
      <w:r>
        <w:rPr>
          <w:bCs/>
          <w:color w:val="auto"/>
          <w:highlight w:val="none"/>
        </w:rPr>
        <w:t>，</w:t>
      </w:r>
      <w:r>
        <w:rPr>
          <w:rFonts w:hint="eastAsia"/>
          <w:bCs/>
          <w:color w:val="auto"/>
          <w:highlight w:val="none"/>
        </w:rPr>
        <w:t>一层UPS电池间部署</w:t>
      </w:r>
      <w:r>
        <w:rPr>
          <w:bCs/>
          <w:color w:val="auto"/>
          <w:highlight w:val="none"/>
        </w:rPr>
        <w:t>1</w:t>
      </w:r>
      <w:r>
        <w:rPr>
          <w:rFonts w:hint="eastAsia"/>
          <w:bCs/>
          <w:color w:val="auto"/>
          <w:highlight w:val="none"/>
        </w:rPr>
        <w:t>台</w:t>
      </w:r>
      <w:r>
        <w:rPr>
          <w:bCs/>
          <w:color w:val="auto"/>
          <w:highlight w:val="none"/>
        </w:rPr>
        <w:t>2</w:t>
      </w:r>
      <w:r>
        <w:rPr>
          <w:rFonts w:hint="eastAsia"/>
          <w:bCs/>
          <w:color w:val="auto"/>
          <w:highlight w:val="none"/>
        </w:rPr>
        <w:t>P壁挂式空调。</w:t>
      </w:r>
    </w:p>
    <w:p w14:paraId="20B2328F">
      <w:pPr>
        <w:numPr>
          <w:ilvl w:val="0"/>
          <w:numId w:val="20"/>
        </w:numPr>
        <w:spacing w:line="360" w:lineRule="auto"/>
        <w:ind w:firstLine="420" w:firstLineChars="200"/>
        <w:rPr>
          <w:bCs/>
          <w:color w:val="auto"/>
          <w:highlight w:val="none"/>
        </w:rPr>
      </w:pPr>
      <w:r>
        <w:rPr>
          <w:rFonts w:hint="eastAsia"/>
          <w:bCs/>
          <w:color w:val="auto"/>
          <w:highlight w:val="none"/>
        </w:rPr>
        <w:t>机房消防</w:t>
      </w:r>
    </w:p>
    <w:p w14:paraId="6C0FB512">
      <w:pPr>
        <w:spacing w:line="360" w:lineRule="auto"/>
        <w:ind w:firstLine="420" w:firstLineChars="200"/>
        <w:rPr>
          <w:bCs/>
          <w:color w:val="auto"/>
          <w:highlight w:val="none"/>
        </w:rPr>
      </w:pPr>
      <w:r>
        <w:rPr>
          <w:rFonts w:hint="eastAsia"/>
          <w:bCs/>
          <w:color w:val="auto"/>
          <w:highlight w:val="none"/>
        </w:rPr>
        <w:t>主机房设置2套150L/2.5A的无管网气体灭火装置，配电间设置一套120L/2.5A的无管网气体灭火装置， UPS电池间设置一套90L/2.5A；其中每套无管网气体灭火装置包括灭火剂钢瓶一只，容器阀件组一套，电磁阀一个，收口喷头一个，无管网箱体一个，各灭火剂钢瓶充气90%，共计450公斤七氟丙烷灭火药剂。火灾自动报警系统设备按照规范要求部署在相应位置；在机房门口等处设置磷酸氨盐干粉灭火器4套、灭火器箱2个及防毒面具4具。</w:t>
      </w:r>
    </w:p>
    <w:p w14:paraId="16B23E4D">
      <w:pPr>
        <w:numPr>
          <w:ilvl w:val="0"/>
          <w:numId w:val="20"/>
        </w:numPr>
        <w:spacing w:line="360" w:lineRule="auto"/>
        <w:ind w:firstLine="420" w:firstLineChars="200"/>
        <w:rPr>
          <w:bCs/>
          <w:color w:val="auto"/>
          <w:highlight w:val="none"/>
        </w:rPr>
      </w:pPr>
      <w:r>
        <w:rPr>
          <w:rFonts w:hint="eastAsia"/>
          <w:bCs/>
          <w:color w:val="auto"/>
          <w:highlight w:val="none"/>
        </w:rPr>
        <w:t>机房弱电</w:t>
      </w:r>
    </w:p>
    <w:p w14:paraId="44F36EF9">
      <w:pPr>
        <w:spacing w:line="360" w:lineRule="auto"/>
        <w:ind w:firstLine="420" w:firstLineChars="200"/>
        <w:rPr>
          <w:bCs/>
          <w:color w:val="auto"/>
          <w:highlight w:val="none"/>
        </w:rPr>
      </w:pPr>
      <w:r>
        <w:rPr>
          <w:rFonts w:hint="eastAsia"/>
          <w:bCs/>
          <w:color w:val="auto"/>
          <w:highlight w:val="none"/>
        </w:rPr>
        <w:t>在三层主机房部署一套模块化封闭冷通道，共配置</w:t>
      </w:r>
      <w:r>
        <w:rPr>
          <w:bCs/>
          <w:color w:val="auto"/>
          <w:highlight w:val="none"/>
        </w:rPr>
        <w:t>16</w:t>
      </w:r>
      <w:r>
        <w:rPr>
          <w:rFonts w:hint="eastAsia"/>
          <w:bCs/>
          <w:color w:val="auto"/>
          <w:highlight w:val="none"/>
        </w:rPr>
        <w:t>个IT机柜位；另外，部署环境监控系统一套对环境、各种动力设备、IT设备和安防系统进行集中管控。</w:t>
      </w:r>
    </w:p>
    <w:p w14:paraId="1ACDB95F">
      <w:pPr>
        <w:pStyle w:val="10"/>
        <w:spacing w:before="0" w:after="0" w:line="360" w:lineRule="auto"/>
        <w:ind w:firstLine="643" w:firstLineChars="200"/>
        <w:rPr>
          <w:color w:val="auto"/>
          <w:highlight w:val="none"/>
        </w:rPr>
      </w:pPr>
      <w:r>
        <w:rPr>
          <w:rFonts w:hint="eastAsia"/>
          <w:color w:val="auto"/>
          <w:highlight w:val="none"/>
        </w:rPr>
        <w:t>4.6固话及通讯终端智能管理系统</w:t>
      </w:r>
    </w:p>
    <w:p w14:paraId="194F904E">
      <w:pPr>
        <w:pStyle w:val="11"/>
        <w:spacing w:before="0" w:after="0" w:line="360" w:lineRule="auto"/>
        <w:ind w:firstLine="562" w:firstLineChars="200"/>
        <w:rPr>
          <w:color w:val="auto"/>
          <w:highlight w:val="none"/>
        </w:rPr>
      </w:pPr>
      <w:r>
        <w:rPr>
          <w:rFonts w:hint="eastAsia"/>
          <w:color w:val="auto"/>
          <w:highlight w:val="none"/>
        </w:rPr>
        <w:t>概述及需求</w:t>
      </w:r>
    </w:p>
    <w:p w14:paraId="790A1E88">
      <w:pPr>
        <w:spacing w:line="360" w:lineRule="auto"/>
        <w:ind w:firstLine="420" w:firstLineChars="200"/>
        <w:rPr>
          <w:bCs/>
          <w:color w:val="auto"/>
          <w:highlight w:val="none"/>
        </w:rPr>
      </w:pPr>
      <w:r>
        <w:rPr>
          <w:rFonts w:hint="eastAsia"/>
          <w:bCs/>
          <w:color w:val="auto"/>
          <w:highlight w:val="none"/>
        </w:rPr>
        <w:t>本系统是一种全新的多媒体业务形式，它能够满足本监狱更新颖、更多样化多媒体业务的需求。系统采用语音、数据、视频三重融合方式，</w:t>
      </w:r>
      <w:r>
        <w:rPr>
          <w:bCs/>
          <w:color w:val="auto"/>
          <w:highlight w:val="none"/>
        </w:rPr>
        <w:t>完美实现了语音、网络的</w:t>
      </w:r>
      <w:r>
        <w:rPr>
          <w:rFonts w:hint="eastAsia"/>
          <w:bCs/>
          <w:color w:val="auto"/>
          <w:highlight w:val="none"/>
        </w:rPr>
        <w:t>共同</w:t>
      </w:r>
      <w:r>
        <w:rPr>
          <w:bCs/>
          <w:color w:val="auto"/>
          <w:highlight w:val="none"/>
        </w:rPr>
        <w:t>传输</w:t>
      </w:r>
      <w:r>
        <w:rPr>
          <w:rFonts w:hint="eastAsia"/>
          <w:bCs/>
          <w:color w:val="auto"/>
          <w:highlight w:val="none"/>
        </w:rPr>
        <w:t>。</w:t>
      </w:r>
    </w:p>
    <w:p w14:paraId="17A8D2DD">
      <w:pPr>
        <w:pStyle w:val="11"/>
        <w:spacing w:before="0" w:after="0" w:line="360" w:lineRule="auto"/>
        <w:ind w:firstLine="562" w:firstLineChars="200"/>
        <w:rPr>
          <w:color w:val="auto"/>
          <w:highlight w:val="none"/>
        </w:rPr>
      </w:pPr>
      <w:r>
        <w:rPr>
          <w:rFonts w:hint="eastAsia"/>
          <w:color w:val="auto"/>
          <w:highlight w:val="none"/>
        </w:rPr>
        <w:t>系统架构</w:t>
      </w:r>
    </w:p>
    <w:p w14:paraId="628D9AF6">
      <w:pPr>
        <w:spacing w:line="360" w:lineRule="auto"/>
        <w:ind w:firstLine="420" w:firstLineChars="200"/>
        <w:rPr>
          <w:bCs/>
          <w:color w:val="auto"/>
          <w:highlight w:val="none"/>
        </w:rPr>
      </w:pPr>
      <w:r>
        <w:rPr>
          <w:rFonts w:hint="eastAsia"/>
          <w:bCs/>
          <w:color w:val="auto"/>
          <w:highlight w:val="none"/>
        </w:rPr>
        <w:t>本系统采用IP多媒体架构，语音信息基于本监狱电子狱务专网局域网传输。IP电话交换机（IPPBX）默认支持300分机，90并发，可扩展至500分机；支持100条VOIP中继；支持自动录音（内置存储硬盘）。</w:t>
      </w:r>
    </w:p>
    <w:p w14:paraId="3C214F61">
      <w:pPr>
        <w:pStyle w:val="11"/>
        <w:spacing w:before="0" w:after="0" w:line="360" w:lineRule="auto"/>
        <w:ind w:firstLine="562" w:firstLineChars="200"/>
        <w:rPr>
          <w:color w:val="auto"/>
          <w:highlight w:val="none"/>
        </w:rPr>
      </w:pPr>
      <w:r>
        <w:rPr>
          <w:rFonts w:hint="eastAsia"/>
          <w:color w:val="auto"/>
          <w:highlight w:val="none"/>
        </w:rPr>
        <w:t>设计方案</w:t>
      </w:r>
    </w:p>
    <w:p w14:paraId="734D4302">
      <w:pPr>
        <w:spacing w:line="360" w:lineRule="auto"/>
        <w:ind w:firstLine="420" w:firstLineChars="200"/>
        <w:rPr>
          <w:bCs/>
          <w:color w:val="auto"/>
          <w:highlight w:val="none"/>
        </w:rPr>
      </w:pPr>
      <w:r>
        <w:rPr>
          <w:rFonts w:hint="eastAsia"/>
          <w:bCs/>
          <w:color w:val="auto"/>
          <w:highlight w:val="none"/>
        </w:rPr>
        <w:t>系统主要包网络IP电话交换机（IPPBX）、综合接入网关（IAD）和</w:t>
      </w:r>
      <w:r>
        <w:rPr>
          <w:bCs/>
          <w:color w:val="auto"/>
          <w:highlight w:val="none"/>
        </w:rPr>
        <w:t>IP</w:t>
      </w:r>
      <w:r>
        <w:rPr>
          <w:rFonts w:hint="eastAsia"/>
          <w:bCs/>
          <w:color w:val="auto"/>
          <w:highlight w:val="none"/>
        </w:rPr>
        <w:t>电话等终端设备，可将用户端设备（电话机、传真机、PC等）接入到分组交换网中，为本监狱提供灵活、便捷、丰富的语音数据业务。</w:t>
      </w:r>
    </w:p>
    <w:p w14:paraId="32C58409">
      <w:pPr>
        <w:spacing w:line="360" w:lineRule="auto"/>
        <w:ind w:firstLine="420" w:firstLineChars="200"/>
        <w:rPr>
          <w:bCs/>
          <w:color w:val="auto"/>
          <w:highlight w:val="none"/>
        </w:rPr>
      </w:pPr>
      <w:r>
        <w:rPr>
          <w:rFonts w:hint="eastAsia"/>
          <w:bCs/>
          <w:color w:val="auto"/>
          <w:highlight w:val="none"/>
        </w:rPr>
        <w:t>本系统部署后可使得监狱内部都通过IP网络实现免费通话，其特点如下：</w:t>
      </w:r>
    </w:p>
    <w:p w14:paraId="62EB0B0F">
      <w:pPr>
        <w:numPr>
          <w:ilvl w:val="0"/>
          <w:numId w:val="21"/>
        </w:numPr>
        <w:spacing w:line="360" w:lineRule="auto"/>
        <w:ind w:left="0" w:firstLine="420" w:firstLineChars="200"/>
        <w:rPr>
          <w:bCs/>
          <w:color w:val="auto"/>
          <w:highlight w:val="none"/>
        </w:rPr>
      </w:pPr>
      <w:r>
        <w:rPr>
          <w:rFonts w:hint="eastAsia"/>
          <w:bCs/>
          <w:color w:val="auto"/>
          <w:highlight w:val="none"/>
        </w:rPr>
        <w:t>本监狱各级部门之间实现通话和传真的“免费”；</w:t>
      </w:r>
    </w:p>
    <w:p w14:paraId="6825FAAD">
      <w:pPr>
        <w:numPr>
          <w:ilvl w:val="0"/>
          <w:numId w:val="21"/>
        </w:numPr>
        <w:spacing w:line="360" w:lineRule="auto"/>
        <w:ind w:left="0" w:firstLine="420" w:firstLineChars="200"/>
        <w:rPr>
          <w:bCs/>
          <w:color w:val="auto"/>
          <w:highlight w:val="none"/>
        </w:rPr>
      </w:pPr>
      <w:r>
        <w:rPr>
          <w:rFonts w:hint="eastAsia"/>
          <w:bCs/>
          <w:color w:val="auto"/>
          <w:highlight w:val="none"/>
        </w:rPr>
        <w:t>加强本监狱各级部门之间的沟通，部署简单灵活，拓展性强；</w:t>
      </w:r>
    </w:p>
    <w:p w14:paraId="2E0A3196">
      <w:pPr>
        <w:numPr>
          <w:ilvl w:val="0"/>
          <w:numId w:val="21"/>
        </w:numPr>
        <w:spacing w:line="360" w:lineRule="auto"/>
        <w:ind w:left="0" w:firstLine="420" w:firstLineChars="200"/>
        <w:rPr>
          <w:bCs/>
          <w:color w:val="auto"/>
          <w:highlight w:val="none"/>
        </w:rPr>
      </w:pPr>
      <w:r>
        <w:rPr>
          <w:rFonts w:hint="eastAsia"/>
          <w:bCs/>
          <w:color w:val="auto"/>
          <w:highlight w:val="none"/>
        </w:rPr>
        <w:t>所有IP设备都可以不同权限通过Web方式进行集中的配置、管理和维护；</w:t>
      </w:r>
    </w:p>
    <w:p w14:paraId="3003E3F2">
      <w:pPr>
        <w:numPr>
          <w:ilvl w:val="0"/>
          <w:numId w:val="21"/>
        </w:numPr>
        <w:spacing w:line="360" w:lineRule="auto"/>
        <w:ind w:left="0" w:firstLine="420" w:firstLineChars="200"/>
        <w:rPr>
          <w:bCs/>
          <w:color w:val="auto"/>
          <w:highlight w:val="none"/>
        </w:rPr>
      </w:pPr>
      <w:r>
        <w:rPr>
          <w:rFonts w:hint="eastAsia"/>
          <w:bCs/>
          <w:color w:val="auto"/>
          <w:highlight w:val="none"/>
        </w:rPr>
        <w:t>局域网内部任何PC安装维护软件，实现数据配置；</w:t>
      </w:r>
    </w:p>
    <w:p w14:paraId="69A9757D">
      <w:pPr>
        <w:numPr>
          <w:ilvl w:val="0"/>
          <w:numId w:val="21"/>
        </w:numPr>
        <w:spacing w:line="360" w:lineRule="auto"/>
        <w:ind w:left="0" w:firstLine="420" w:firstLineChars="200"/>
        <w:rPr>
          <w:bCs/>
          <w:color w:val="auto"/>
          <w:highlight w:val="none"/>
        </w:rPr>
      </w:pPr>
      <w:r>
        <w:rPr>
          <w:rFonts w:hint="eastAsia"/>
          <w:bCs/>
          <w:color w:val="auto"/>
          <w:highlight w:val="none"/>
        </w:rPr>
        <w:t>终端设备支持在线平滑升级；</w:t>
      </w:r>
    </w:p>
    <w:p w14:paraId="658FCA08">
      <w:pPr>
        <w:numPr>
          <w:ilvl w:val="0"/>
          <w:numId w:val="21"/>
        </w:numPr>
        <w:spacing w:line="360" w:lineRule="auto"/>
        <w:ind w:left="0" w:firstLine="420" w:firstLineChars="200"/>
        <w:rPr>
          <w:bCs/>
          <w:color w:val="auto"/>
          <w:highlight w:val="none"/>
        </w:rPr>
      </w:pPr>
      <w:r>
        <w:rPr>
          <w:rFonts w:hint="eastAsia"/>
          <w:bCs/>
          <w:color w:val="auto"/>
          <w:highlight w:val="none"/>
        </w:rPr>
        <w:t>IAD设备可以为监狱警察提供传统PSTN业务，例如语音通话、传真、Modem等，也可以实现各种补充业务，例如三方通话、呼叫等待、来电显示、呼叫转移等。为监狱警察在节省费用的同时提供可以和PSTN媲美的业务能力；</w:t>
      </w:r>
    </w:p>
    <w:p w14:paraId="21F0A2AA">
      <w:pPr>
        <w:numPr>
          <w:ilvl w:val="0"/>
          <w:numId w:val="21"/>
        </w:numPr>
        <w:spacing w:line="360" w:lineRule="auto"/>
        <w:ind w:left="0" w:firstLine="420" w:firstLineChars="200"/>
        <w:rPr>
          <w:bCs/>
          <w:color w:val="auto"/>
          <w:highlight w:val="none"/>
        </w:rPr>
      </w:pPr>
      <w:r>
        <w:rPr>
          <w:rFonts w:hint="eastAsia"/>
          <w:bCs/>
          <w:color w:val="auto"/>
          <w:highlight w:val="none"/>
        </w:rPr>
        <w:t>IAD设备通过内嵌的DSP进行语音编解码，使得语音信号可以在数字网中传输。主流的语音编解码标准有G.711、G.723、G.729等。</w:t>
      </w:r>
    </w:p>
    <w:p w14:paraId="7D685EAE">
      <w:pPr>
        <w:spacing w:line="360" w:lineRule="auto"/>
        <w:ind w:firstLine="420" w:firstLineChars="200"/>
        <w:rPr>
          <w:bCs/>
          <w:color w:val="auto"/>
          <w:highlight w:val="none"/>
        </w:rPr>
      </w:pPr>
      <w:r>
        <w:rPr>
          <w:rFonts w:hint="eastAsia"/>
          <w:bCs/>
          <w:color w:val="auto"/>
          <w:highlight w:val="none"/>
        </w:rPr>
        <w:t>本系统可实现如下功能：</w:t>
      </w:r>
    </w:p>
    <w:p w14:paraId="1B7BFD53">
      <w:pPr>
        <w:numPr>
          <w:ilvl w:val="0"/>
          <w:numId w:val="10"/>
        </w:numPr>
        <w:spacing w:line="360" w:lineRule="auto"/>
        <w:ind w:left="0" w:firstLine="420" w:firstLineChars="200"/>
        <w:rPr>
          <w:bCs/>
          <w:color w:val="auto"/>
          <w:highlight w:val="none"/>
        </w:rPr>
      </w:pPr>
      <w:r>
        <w:rPr>
          <w:rFonts w:hint="eastAsia"/>
          <w:bCs/>
          <w:color w:val="auto"/>
          <w:highlight w:val="none"/>
        </w:rPr>
        <w:t>支持语音、数据、视频三重融合，</w:t>
      </w:r>
      <w:r>
        <w:rPr>
          <w:bCs/>
          <w:color w:val="auto"/>
          <w:highlight w:val="none"/>
        </w:rPr>
        <w:t>实现语音、网络的</w:t>
      </w:r>
      <w:r>
        <w:rPr>
          <w:rFonts w:hint="eastAsia"/>
          <w:bCs/>
          <w:color w:val="auto"/>
          <w:highlight w:val="none"/>
        </w:rPr>
        <w:t>共同</w:t>
      </w:r>
      <w:r>
        <w:rPr>
          <w:bCs/>
          <w:color w:val="auto"/>
          <w:highlight w:val="none"/>
        </w:rPr>
        <w:t>传输</w:t>
      </w:r>
      <w:r>
        <w:rPr>
          <w:rFonts w:hint="eastAsia"/>
          <w:bCs/>
          <w:color w:val="auto"/>
          <w:highlight w:val="none"/>
        </w:rPr>
        <w:t>。</w:t>
      </w:r>
    </w:p>
    <w:p w14:paraId="75641843">
      <w:pPr>
        <w:pStyle w:val="11"/>
        <w:spacing w:before="0" w:after="0" w:line="360" w:lineRule="auto"/>
        <w:ind w:firstLine="562" w:firstLineChars="200"/>
        <w:rPr>
          <w:color w:val="auto"/>
          <w:highlight w:val="none"/>
        </w:rPr>
      </w:pPr>
      <w:r>
        <w:rPr>
          <w:rFonts w:hint="eastAsia"/>
          <w:color w:val="auto"/>
          <w:highlight w:val="none"/>
        </w:rPr>
        <w:t>部署方案</w:t>
      </w:r>
    </w:p>
    <w:p w14:paraId="281E5DE8">
      <w:pPr>
        <w:spacing w:line="360" w:lineRule="auto"/>
        <w:ind w:firstLine="420" w:firstLineChars="200"/>
        <w:rPr>
          <w:bCs/>
          <w:color w:val="auto"/>
          <w:highlight w:val="none"/>
        </w:rPr>
      </w:pPr>
      <w:r>
        <w:rPr>
          <w:rFonts w:hint="eastAsia"/>
          <w:bCs/>
          <w:color w:val="auto"/>
          <w:highlight w:val="none"/>
        </w:rPr>
        <w:t>网络IP电话交换机（IPPBX）部署于本监狱大门数据中心机房内，综合接入网关（IAD）部署于电子狱务专网局域网的接入层，根据使用需求在各建筑物的接入机柜内安装，具体部署如下表所示：</w:t>
      </w:r>
    </w:p>
    <w:tbl>
      <w:tblPr>
        <w:tblStyle w:val="36"/>
        <w:tblW w:w="8784" w:type="dxa"/>
        <w:tblInd w:w="0" w:type="dxa"/>
        <w:tblLayout w:type="fixed"/>
        <w:tblCellMar>
          <w:top w:w="0" w:type="dxa"/>
          <w:left w:w="0" w:type="dxa"/>
          <w:bottom w:w="0" w:type="dxa"/>
          <w:right w:w="0" w:type="dxa"/>
        </w:tblCellMar>
      </w:tblPr>
      <w:tblGrid>
        <w:gridCol w:w="451"/>
        <w:gridCol w:w="1812"/>
        <w:gridCol w:w="3202"/>
        <w:gridCol w:w="3319"/>
      </w:tblGrid>
      <w:tr w14:paraId="5E5B5693">
        <w:tblPrEx>
          <w:tblCellMar>
            <w:top w:w="0" w:type="dxa"/>
            <w:left w:w="0" w:type="dxa"/>
            <w:bottom w:w="0" w:type="dxa"/>
            <w:right w:w="0" w:type="dxa"/>
          </w:tblCellMar>
        </w:tblPrEx>
        <w:trPr>
          <w:trHeight w:val="536"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9F2C92">
            <w:pPr>
              <w:spacing w:line="240" w:lineRule="exact"/>
              <w:jc w:val="center"/>
              <w:rPr>
                <w:bCs/>
                <w:color w:val="auto"/>
                <w:szCs w:val="21"/>
                <w:highlight w:val="none"/>
              </w:rPr>
            </w:pPr>
            <w:r>
              <w:rPr>
                <w:rFonts w:hint="eastAsia"/>
                <w:bCs/>
                <w:color w:val="auto"/>
                <w:szCs w:val="21"/>
                <w:highlight w:val="none"/>
              </w:rPr>
              <w:t>序号</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727A4A">
            <w:pPr>
              <w:spacing w:line="240" w:lineRule="exact"/>
              <w:jc w:val="center"/>
              <w:rPr>
                <w:bCs/>
                <w:color w:val="auto"/>
                <w:szCs w:val="21"/>
                <w:highlight w:val="none"/>
              </w:rPr>
            </w:pPr>
            <w:r>
              <w:rPr>
                <w:rFonts w:hint="eastAsia"/>
                <w:bCs/>
                <w:color w:val="auto"/>
                <w:szCs w:val="21"/>
                <w:highlight w:val="none"/>
              </w:rPr>
              <w:t>楼宇名称</w:t>
            </w:r>
          </w:p>
        </w:tc>
        <w:tc>
          <w:tcPr>
            <w:tcW w:w="3202"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516F1F97">
            <w:pPr>
              <w:spacing w:line="240" w:lineRule="exact"/>
              <w:jc w:val="center"/>
              <w:rPr>
                <w:bCs/>
                <w:color w:val="auto"/>
                <w:szCs w:val="21"/>
                <w:highlight w:val="none"/>
              </w:rPr>
            </w:pPr>
            <w:r>
              <w:rPr>
                <w:rFonts w:hint="eastAsia"/>
                <w:bCs/>
                <w:color w:val="auto"/>
                <w:szCs w:val="21"/>
                <w:highlight w:val="none"/>
              </w:rPr>
              <w:t>8口IAD综合接入网关数量（台）</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0A7B2B">
            <w:pPr>
              <w:spacing w:line="240" w:lineRule="exact"/>
              <w:jc w:val="center"/>
              <w:rPr>
                <w:bCs/>
                <w:color w:val="auto"/>
                <w:szCs w:val="21"/>
                <w:highlight w:val="none"/>
              </w:rPr>
            </w:pPr>
            <w:r>
              <w:rPr>
                <w:rFonts w:hint="eastAsia"/>
                <w:bCs/>
                <w:color w:val="auto"/>
                <w:szCs w:val="21"/>
                <w:highlight w:val="none"/>
              </w:rPr>
              <w:t>32口IAD综合接入网关数量（台）</w:t>
            </w:r>
          </w:p>
        </w:tc>
      </w:tr>
      <w:tr w14:paraId="1CBC66A3">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AE28552">
            <w:pPr>
              <w:spacing w:line="240" w:lineRule="exact"/>
              <w:jc w:val="center"/>
              <w:rPr>
                <w:bCs/>
                <w:color w:val="auto"/>
                <w:szCs w:val="21"/>
                <w:highlight w:val="none"/>
              </w:rPr>
            </w:pPr>
            <w:r>
              <w:rPr>
                <w:rFonts w:hint="eastAsia"/>
                <w:bCs/>
                <w:color w:val="auto"/>
                <w:szCs w:val="21"/>
                <w:highlight w:val="none"/>
              </w:rPr>
              <w:t>1</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D0C678">
            <w:pPr>
              <w:spacing w:line="240" w:lineRule="exact"/>
              <w:jc w:val="center"/>
              <w:rPr>
                <w:bCs/>
                <w:color w:val="auto"/>
                <w:szCs w:val="21"/>
                <w:highlight w:val="none"/>
              </w:rPr>
            </w:pPr>
            <w:r>
              <w:rPr>
                <w:rFonts w:hint="eastAsia"/>
                <w:bCs/>
                <w:color w:val="auto"/>
                <w:szCs w:val="21"/>
                <w:highlight w:val="none"/>
              </w:rPr>
              <w:t>1#监舍楼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CD8909E">
            <w:pPr>
              <w:spacing w:line="240" w:lineRule="exact"/>
              <w:jc w:val="center"/>
              <w:rPr>
                <w:bCs/>
                <w:color w:val="auto"/>
                <w:szCs w:val="21"/>
                <w:highlight w:val="none"/>
              </w:rPr>
            </w:pPr>
            <w:r>
              <w:rPr>
                <w:rFonts w:hint="eastAsia"/>
                <w:bCs/>
                <w:color w:val="auto"/>
                <w:szCs w:val="21"/>
                <w:highlight w:val="none"/>
              </w:rPr>
              <w:t>10</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4B9474B">
            <w:pPr>
              <w:spacing w:line="240" w:lineRule="exact"/>
              <w:jc w:val="center"/>
              <w:rPr>
                <w:bCs/>
                <w:color w:val="auto"/>
                <w:szCs w:val="21"/>
                <w:highlight w:val="none"/>
              </w:rPr>
            </w:pPr>
          </w:p>
        </w:tc>
      </w:tr>
      <w:tr w14:paraId="5C9352C7">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E9B6771">
            <w:pPr>
              <w:spacing w:line="240" w:lineRule="exact"/>
              <w:jc w:val="center"/>
              <w:rPr>
                <w:bCs/>
                <w:color w:val="auto"/>
                <w:szCs w:val="21"/>
                <w:highlight w:val="none"/>
              </w:rPr>
            </w:pPr>
            <w:r>
              <w:rPr>
                <w:rFonts w:hint="eastAsia"/>
                <w:bCs/>
                <w:color w:val="auto"/>
                <w:szCs w:val="21"/>
                <w:highlight w:val="none"/>
              </w:rPr>
              <w:t>2</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7E99BD">
            <w:pPr>
              <w:spacing w:line="240" w:lineRule="exact"/>
              <w:jc w:val="center"/>
              <w:rPr>
                <w:bCs/>
                <w:color w:val="auto"/>
                <w:szCs w:val="21"/>
                <w:highlight w:val="none"/>
              </w:rPr>
            </w:pPr>
            <w:r>
              <w:rPr>
                <w:rFonts w:hint="eastAsia"/>
                <w:bCs/>
                <w:color w:val="auto"/>
                <w:szCs w:val="21"/>
                <w:highlight w:val="none"/>
              </w:rPr>
              <w:t>2#习艺楼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1DCE2B0">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F09B0CD">
            <w:pPr>
              <w:spacing w:line="240" w:lineRule="exact"/>
              <w:jc w:val="center"/>
              <w:rPr>
                <w:bCs/>
                <w:color w:val="auto"/>
                <w:szCs w:val="21"/>
                <w:highlight w:val="none"/>
              </w:rPr>
            </w:pPr>
          </w:p>
        </w:tc>
      </w:tr>
      <w:tr w14:paraId="235828BC">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C28FC90">
            <w:pPr>
              <w:spacing w:line="240" w:lineRule="exact"/>
              <w:jc w:val="center"/>
              <w:rPr>
                <w:bCs/>
                <w:color w:val="auto"/>
                <w:szCs w:val="21"/>
                <w:highlight w:val="none"/>
              </w:rPr>
            </w:pPr>
            <w:r>
              <w:rPr>
                <w:rFonts w:hint="eastAsia"/>
                <w:bCs/>
                <w:color w:val="auto"/>
                <w:szCs w:val="21"/>
                <w:highlight w:val="none"/>
              </w:rPr>
              <w:t>3</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CC0AC5">
            <w:pPr>
              <w:spacing w:line="240" w:lineRule="exact"/>
              <w:jc w:val="center"/>
              <w:rPr>
                <w:bCs/>
                <w:color w:val="auto"/>
                <w:szCs w:val="21"/>
                <w:highlight w:val="none"/>
              </w:rPr>
            </w:pPr>
            <w:r>
              <w:rPr>
                <w:rFonts w:hint="eastAsia"/>
                <w:bCs/>
                <w:color w:val="auto"/>
                <w:szCs w:val="21"/>
                <w:highlight w:val="none"/>
              </w:rPr>
              <w:t>3#习艺楼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C0D01BF">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77FA49D">
            <w:pPr>
              <w:spacing w:line="240" w:lineRule="exact"/>
              <w:jc w:val="center"/>
              <w:rPr>
                <w:bCs/>
                <w:color w:val="auto"/>
                <w:szCs w:val="21"/>
                <w:highlight w:val="none"/>
              </w:rPr>
            </w:pPr>
          </w:p>
        </w:tc>
      </w:tr>
      <w:tr w14:paraId="10BABC3D">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EE3A7A0">
            <w:pPr>
              <w:spacing w:line="240" w:lineRule="exact"/>
              <w:jc w:val="center"/>
              <w:rPr>
                <w:bCs/>
                <w:color w:val="auto"/>
                <w:szCs w:val="21"/>
                <w:highlight w:val="none"/>
              </w:rPr>
            </w:pPr>
            <w:r>
              <w:rPr>
                <w:rFonts w:hint="eastAsia"/>
                <w:bCs/>
                <w:color w:val="auto"/>
                <w:szCs w:val="21"/>
                <w:highlight w:val="none"/>
              </w:rPr>
              <w:t>4</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E78FCCF">
            <w:pPr>
              <w:spacing w:line="240" w:lineRule="exact"/>
              <w:jc w:val="center"/>
              <w:rPr>
                <w:bCs/>
                <w:color w:val="auto"/>
                <w:szCs w:val="21"/>
                <w:highlight w:val="none"/>
              </w:rPr>
            </w:pPr>
            <w:r>
              <w:rPr>
                <w:rFonts w:hint="eastAsia"/>
                <w:bCs/>
                <w:color w:val="auto"/>
                <w:szCs w:val="21"/>
                <w:highlight w:val="none"/>
              </w:rPr>
              <w:t>4#会见教学楼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7A05E1F">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45288C3">
            <w:pPr>
              <w:spacing w:line="240" w:lineRule="exact"/>
              <w:jc w:val="center"/>
              <w:rPr>
                <w:bCs/>
                <w:color w:val="auto"/>
                <w:szCs w:val="21"/>
                <w:highlight w:val="none"/>
              </w:rPr>
            </w:pPr>
            <w:r>
              <w:rPr>
                <w:rFonts w:hint="eastAsia"/>
                <w:bCs/>
                <w:color w:val="auto"/>
                <w:szCs w:val="21"/>
                <w:highlight w:val="none"/>
              </w:rPr>
              <w:t>1</w:t>
            </w:r>
          </w:p>
        </w:tc>
      </w:tr>
      <w:tr w14:paraId="3DD68160">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6838C3C">
            <w:pPr>
              <w:spacing w:line="240" w:lineRule="exact"/>
              <w:jc w:val="center"/>
              <w:rPr>
                <w:bCs/>
                <w:color w:val="auto"/>
                <w:szCs w:val="21"/>
                <w:highlight w:val="none"/>
              </w:rPr>
            </w:pPr>
            <w:r>
              <w:rPr>
                <w:rFonts w:hint="eastAsia"/>
                <w:bCs/>
                <w:color w:val="auto"/>
                <w:szCs w:val="21"/>
                <w:highlight w:val="none"/>
              </w:rPr>
              <w:t>5</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0AB6BBB">
            <w:pPr>
              <w:spacing w:line="240" w:lineRule="exact"/>
              <w:jc w:val="center"/>
              <w:rPr>
                <w:bCs/>
                <w:color w:val="auto"/>
                <w:szCs w:val="21"/>
                <w:highlight w:val="none"/>
              </w:rPr>
            </w:pPr>
            <w:r>
              <w:rPr>
                <w:rFonts w:hint="eastAsia"/>
                <w:bCs/>
                <w:color w:val="auto"/>
                <w:szCs w:val="21"/>
                <w:highlight w:val="none"/>
              </w:rPr>
              <w:t>5#监狱大门</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B4AB0EA">
            <w:pPr>
              <w:spacing w:line="240" w:lineRule="exact"/>
              <w:jc w:val="center"/>
              <w:rPr>
                <w:bCs/>
                <w:color w:val="auto"/>
                <w:szCs w:val="21"/>
                <w:highlight w:val="none"/>
              </w:rPr>
            </w:pPr>
            <w:r>
              <w:rPr>
                <w:rFonts w:hint="eastAsia"/>
                <w:bCs/>
                <w:color w:val="auto"/>
                <w:szCs w:val="21"/>
                <w:highlight w:val="none"/>
              </w:rPr>
              <w:t>2</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B0D52EF">
            <w:pPr>
              <w:spacing w:line="240" w:lineRule="exact"/>
              <w:jc w:val="center"/>
              <w:rPr>
                <w:bCs/>
                <w:color w:val="auto"/>
                <w:szCs w:val="21"/>
                <w:highlight w:val="none"/>
              </w:rPr>
            </w:pPr>
          </w:p>
        </w:tc>
      </w:tr>
      <w:tr w14:paraId="516ADF66">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937F2AC">
            <w:pPr>
              <w:spacing w:line="240" w:lineRule="exact"/>
              <w:jc w:val="center"/>
              <w:rPr>
                <w:bCs/>
                <w:color w:val="auto"/>
                <w:szCs w:val="21"/>
                <w:highlight w:val="none"/>
              </w:rPr>
            </w:pPr>
            <w:r>
              <w:rPr>
                <w:rFonts w:hint="eastAsia"/>
                <w:bCs/>
                <w:color w:val="auto"/>
                <w:szCs w:val="21"/>
                <w:highlight w:val="none"/>
              </w:rPr>
              <w:t>6</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3167A1B">
            <w:pPr>
              <w:spacing w:line="240" w:lineRule="exact"/>
              <w:jc w:val="center"/>
              <w:rPr>
                <w:bCs/>
                <w:color w:val="auto"/>
                <w:szCs w:val="21"/>
                <w:highlight w:val="none"/>
              </w:rPr>
            </w:pPr>
            <w:r>
              <w:rPr>
                <w:rFonts w:hint="eastAsia"/>
                <w:bCs/>
                <w:color w:val="auto"/>
                <w:szCs w:val="21"/>
                <w:highlight w:val="none"/>
              </w:rPr>
              <w:t>6#备勤综合楼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216CCEE">
            <w:pPr>
              <w:spacing w:line="240" w:lineRule="exact"/>
              <w:jc w:val="center"/>
              <w:rPr>
                <w:bCs/>
                <w:color w:val="auto"/>
                <w:szCs w:val="21"/>
                <w:highlight w:val="none"/>
              </w:rPr>
            </w:pP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29C7D41">
            <w:pPr>
              <w:spacing w:line="240" w:lineRule="exact"/>
              <w:jc w:val="center"/>
              <w:rPr>
                <w:bCs/>
                <w:color w:val="auto"/>
                <w:szCs w:val="21"/>
                <w:highlight w:val="none"/>
              </w:rPr>
            </w:pPr>
            <w:r>
              <w:rPr>
                <w:bCs/>
                <w:color w:val="auto"/>
                <w:szCs w:val="21"/>
                <w:highlight w:val="none"/>
              </w:rPr>
              <w:t>2</w:t>
            </w:r>
          </w:p>
        </w:tc>
      </w:tr>
      <w:tr w14:paraId="4B315EC9">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594DE91">
            <w:pPr>
              <w:spacing w:line="240" w:lineRule="exact"/>
              <w:jc w:val="center"/>
              <w:rPr>
                <w:bCs/>
                <w:color w:val="auto"/>
                <w:szCs w:val="21"/>
                <w:highlight w:val="none"/>
              </w:rPr>
            </w:pPr>
            <w:r>
              <w:rPr>
                <w:rFonts w:hint="eastAsia"/>
                <w:bCs/>
                <w:color w:val="auto"/>
                <w:szCs w:val="21"/>
                <w:highlight w:val="none"/>
              </w:rPr>
              <w:t>7</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035F8B4">
            <w:pPr>
              <w:spacing w:line="240" w:lineRule="exact"/>
              <w:jc w:val="center"/>
              <w:rPr>
                <w:bCs/>
                <w:color w:val="auto"/>
                <w:szCs w:val="21"/>
                <w:highlight w:val="none"/>
              </w:rPr>
            </w:pPr>
            <w:r>
              <w:rPr>
                <w:rFonts w:hint="eastAsia"/>
                <w:bCs/>
                <w:color w:val="auto"/>
                <w:szCs w:val="21"/>
                <w:highlight w:val="none"/>
              </w:rPr>
              <w:t>7#后勤服务楼</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EFA387C">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A010566">
            <w:pPr>
              <w:spacing w:line="240" w:lineRule="exact"/>
              <w:jc w:val="center"/>
              <w:rPr>
                <w:bCs/>
                <w:color w:val="auto"/>
                <w:szCs w:val="21"/>
                <w:highlight w:val="none"/>
              </w:rPr>
            </w:pPr>
          </w:p>
        </w:tc>
      </w:tr>
      <w:tr w14:paraId="264D4709">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EB3D4E1">
            <w:pPr>
              <w:spacing w:line="240" w:lineRule="exact"/>
              <w:jc w:val="center"/>
              <w:rPr>
                <w:bCs/>
                <w:color w:val="auto"/>
                <w:szCs w:val="21"/>
                <w:highlight w:val="none"/>
              </w:rPr>
            </w:pPr>
            <w:r>
              <w:rPr>
                <w:rFonts w:hint="eastAsia"/>
                <w:bCs/>
                <w:color w:val="auto"/>
                <w:szCs w:val="21"/>
                <w:highlight w:val="none"/>
              </w:rPr>
              <w:t>8</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9CDC5A8">
            <w:pPr>
              <w:spacing w:line="240" w:lineRule="exact"/>
              <w:jc w:val="center"/>
              <w:rPr>
                <w:bCs/>
                <w:color w:val="auto"/>
                <w:szCs w:val="21"/>
                <w:highlight w:val="none"/>
              </w:rPr>
            </w:pPr>
            <w:r>
              <w:rPr>
                <w:rFonts w:hint="eastAsia"/>
                <w:bCs/>
                <w:color w:val="auto"/>
                <w:szCs w:val="21"/>
                <w:highlight w:val="none"/>
              </w:rPr>
              <w:t>罪犯伙房</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5B4AA64">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6DEBB04">
            <w:pPr>
              <w:spacing w:line="240" w:lineRule="exact"/>
              <w:jc w:val="center"/>
              <w:rPr>
                <w:bCs/>
                <w:color w:val="auto"/>
                <w:szCs w:val="21"/>
                <w:highlight w:val="none"/>
              </w:rPr>
            </w:pPr>
          </w:p>
        </w:tc>
      </w:tr>
      <w:tr w14:paraId="30A118BB">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C7C075E">
            <w:pPr>
              <w:spacing w:line="240" w:lineRule="exact"/>
              <w:jc w:val="center"/>
              <w:rPr>
                <w:bCs/>
                <w:color w:val="auto"/>
                <w:szCs w:val="21"/>
                <w:highlight w:val="none"/>
              </w:rPr>
            </w:pPr>
            <w:r>
              <w:rPr>
                <w:rFonts w:hint="eastAsia"/>
                <w:bCs/>
                <w:color w:val="auto"/>
                <w:szCs w:val="21"/>
                <w:highlight w:val="none"/>
              </w:rPr>
              <w:t>9</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825DF7C">
            <w:pPr>
              <w:spacing w:line="240" w:lineRule="exact"/>
              <w:jc w:val="center"/>
              <w:rPr>
                <w:bCs/>
                <w:color w:val="auto"/>
                <w:szCs w:val="21"/>
                <w:highlight w:val="none"/>
              </w:rPr>
            </w:pPr>
            <w:r>
              <w:rPr>
                <w:rFonts w:hint="eastAsia"/>
                <w:bCs/>
                <w:color w:val="auto"/>
                <w:szCs w:val="21"/>
                <w:highlight w:val="none"/>
              </w:rPr>
              <w:t>物流安检中心</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63897CB">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95B7C82">
            <w:pPr>
              <w:spacing w:line="240" w:lineRule="exact"/>
              <w:jc w:val="center"/>
              <w:rPr>
                <w:bCs/>
                <w:color w:val="auto"/>
                <w:szCs w:val="21"/>
                <w:highlight w:val="none"/>
              </w:rPr>
            </w:pPr>
          </w:p>
        </w:tc>
      </w:tr>
      <w:tr w14:paraId="0C7DD935">
        <w:tblPrEx>
          <w:tblCellMar>
            <w:top w:w="0" w:type="dxa"/>
            <w:left w:w="0" w:type="dxa"/>
            <w:bottom w:w="0" w:type="dxa"/>
            <w:right w:w="0" w:type="dxa"/>
          </w:tblCellMar>
        </w:tblPrEx>
        <w:trPr>
          <w:trHeight w:val="9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4B9C1B5">
            <w:pPr>
              <w:spacing w:line="240" w:lineRule="exact"/>
              <w:jc w:val="center"/>
              <w:rPr>
                <w:bCs/>
                <w:color w:val="auto"/>
                <w:szCs w:val="21"/>
                <w:highlight w:val="none"/>
              </w:rPr>
            </w:pPr>
            <w:r>
              <w:rPr>
                <w:bCs/>
                <w:color w:val="auto"/>
                <w:szCs w:val="21"/>
                <w:highlight w:val="none"/>
              </w:rPr>
              <w:t>10</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7A10C9">
            <w:pPr>
              <w:spacing w:line="240" w:lineRule="exact"/>
              <w:jc w:val="center"/>
              <w:rPr>
                <w:bCs/>
                <w:color w:val="auto"/>
                <w:szCs w:val="21"/>
                <w:highlight w:val="none"/>
              </w:rPr>
            </w:pPr>
            <w:r>
              <w:rPr>
                <w:rFonts w:hint="eastAsia"/>
                <w:bCs/>
                <w:color w:val="auto"/>
                <w:szCs w:val="21"/>
                <w:highlight w:val="none"/>
              </w:rPr>
              <w:t>岗楼1</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7B98BB7">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DF1F12E">
            <w:pPr>
              <w:spacing w:line="240" w:lineRule="exact"/>
              <w:jc w:val="center"/>
              <w:rPr>
                <w:bCs/>
                <w:color w:val="auto"/>
                <w:szCs w:val="21"/>
                <w:highlight w:val="none"/>
              </w:rPr>
            </w:pPr>
          </w:p>
        </w:tc>
      </w:tr>
      <w:tr w14:paraId="7A16C6E2">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D3FF8AD">
            <w:pPr>
              <w:spacing w:line="240" w:lineRule="exact"/>
              <w:jc w:val="center"/>
              <w:rPr>
                <w:bCs/>
                <w:color w:val="auto"/>
                <w:szCs w:val="21"/>
                <w:highlight w:val="none"/>
              </w:rPr>
            </w:pPr>
            <w:r>
              <w:rPr>
                <w:bCs/>
                <w:color w:val="auto"/>
                <w:szCs w:val="21"/>
                <w:highlight w:val="none"/>
              </w:rPr>
              <w:t>11</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3F28B2">
            <w:pPr>
              <w:spacing w:line="240" w:lineRule="exact"/>
              <w:jc w:val="center"/>
              <w:rPr>
                <w:bCs/>
                <w:color w:val="auto"/>
                <w:szCs w:val="21"/>
                <w:highlight w:val="none"/>
              </w:rPr>
            </w:pPr>
            <w:r>
              <w:rPr>
                <w:rFonts w:hint="eastAsia"/>
                <w:bCs/>
                <w:color w:val="auto"/>
                <w:szCs w:val="21"/>
                <w:highlight w:val="none"/>
              </w:rPr>
              <w:t>岗楼2</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A865C7C">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F3C6FB5">
            <w:pPr>
              <w:spacing w:line="240" w:lineRule="exact"/>
              <w:jc w:val="center"/>
              <w:rPr>
                <w:bCs/>
                <w:color w:val="auto"/>
                <w:szCs w:val="21"/>
                <w:highlight w:val="none"/>
              </w:rPr>
            </w:pPr>
          </w:p>
        </w:tc>
      </w:tr>
      <w:tr w14:paraId="582DEF2E">
        <w:tblPrEx>
          <w:tblCellMar>
            <w:top w:w="0" w:type="dxa"/>
            <w:left w:w="0" w:type="dxa"/>
            <w:bottom w:w="0" w:type="dxa"/>
            <w:right w:w="0" w:type="dxa"/>
          </w:tblCellMar>
        </w:tblPrEx>
        <w:trPr>
          <w:trHeight w:val="270" w:hRule="atLeast"/>
        </w:trPr>
        <w:tc>
          <w:tcPr>
            <w:tcW w:w="4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23FB638">
            <w:pPr>
              <w:spacing w:line="240" w:lineRule="exact"/>
              <w:jc w:val="center"/>
              <w:rPr>
                <w:bCs/>
                <w:color w:val="auto"/>
                <w:szCs w:val="21"/>
                <w:highlight w:val="none"/>
              </w:rPr>
            </w:pPr>
            <w:r>
              <w:rPr>
                <w:bCs/>
                <w:color w:val="auto"/>
                <w:szCs w:val="21"/>
                <w:highlight w:val="none"/>
              </w:rPr>
              <w:t>12</w:t>
            </w:r>
          </w:p>
        </w:tc>
        <w:tc>
          <w:tcPr>
            <w:tcW w:w="18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0B568E">
            <w:pPr>
              <w:spacing w:line="240" w:lineRule="exact"/>
              <w:jc w:val="center"/>
              <w:rPr>
                <w:bCs/>
                <w:color w:val="auto"/>
                <w:szCs w:val="21"/>
                <w:highlight w:val="none"/>
              </w:rPr>
            </w:pPr>
            <w:r>
              <w:rPr>
                <w:rFonts w:hint="eastAsia"/>
                <w:bCs/>
                <w:color w:val="auto"/>
                <w:szCs w:val="21"/>
                <w:highlight w:val="none"/>
              </w:rPr>
              <w:t>行政区大门</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72E3B43">
            <w:pPr>
              <w:spacing w:line="240" w:lineRule="exact"/>
              <w:jc w:val="center"/>
              <w:rPr>
                <w:bCs/>
                <w:color w:val="auto"/>
                <w:szCs w:val="21"/>
                <w:highlight w:val="none"/>
              </w:rPr>
            </w:pPr>
            <w:r>
              <w:rPr>
                <w:rFonts w:hint="eastAsia"/>
                <w:bCs/>
                <w:color w:val="auto"/>
                <w:szCs w:val="21"/>
                <w:highlight w:val="none"/>
              </w:rPr>
              <w:t>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9B747FB">
            <w:pPr>
              <w:spacing w:line="240" w:lineRule="exact"/>
              <w:jc w:val="center"/>
              <w:rPr>
                <w:bCs/>
                <w:color w:val="auto"/>
                <w:szCs w:val="21"/>
                <w:highlight w:val="none"/>
              </w:rPr>
            </w:pPr>
          </w:p>
        </w:tc>
      </w:tr>
      <w:tr w14:paraId="514BED82">
        <w:tblPrEx>
          <w:tblCellMar>
            <w:top w:w="0" w:type="dxa"/>
            <w:left w:w="0" w:type="dxa"/>
            <w:bottom w:w="0" w:type="dxa"/>
            <w:right w:w="0" w:type="dxa"/>
          </w:tblCellMar>
        </w:tblPrEx>
        <w:trPr>
          <w:trHeight w:val="270" w:hRule="atLeast"/>
        </w:trPr>
        <w:tc>
          <w:tcPr>
            <w:tcW w:w="226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2820EC4F">
            <w:pPr>
              <w:spacing w:line="240" w:lineRule="exact"/>
              <w:jc w:val="center"/>
              <w:rPr>
                <w:bCs/>
                <w:color w:val="auto"/>
                <w:szCs w:val="21"/>
                <w:highlight w:val="none"/>
              </w:rPr>
            </w:pPr>
            <w:r>
              <w:rPr>
                <w:rFonts w:hint="eastAsia"/>
                <w:bCs/>
                <w:color w:val="auto"/>
                <w:szCs w:val="21"/>
                <w:highlight w:val="none"/>
              </w:rPr>
              <w:t>合计</w:t>
            </w:r>
          </w:p>
        </w:tc>
        <w:tc>
          <w:tcPr>
            <w:tcW w:w="320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895FCA4">
            <w:pPr>
              <w:spacing w:line="240" w:lineRule="exact"/>
              <w:jc w:val="center"/>
              <w:rPr>
                <w:bCs/>
                <w:color w:val="auto"/>
                <w:szCs w:val="21"/>
                <w:highlight w:val="none"/>
              </w:rPr>
            </w:pPr>
            <w:r>
              <w:rPr>
                <w:rFonts w:hint="eastAsia"/>
                <w:bCs/>
                <w:color w:val="auto"/>
                <w:szCs w:val="21"/>
                <w:highlight w:val="none"/>
              </w:rPr>
              <w:t>21</w:t>
            </w:r>
          </w:p>
        </w:tc>
        <w:tc>
          <w:tcPr>
            <w:tcW w:w="33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DE8205B">
            <w:pPr>
              <w:spacing w:line="240" w:lineRule="exact"/>
              <w:jc w:val="center"/>
              <w:rPr>
                <w:bCs/>
                <w:color w:val="auto"/>
                <w:szCs w:val="21"/>
                <w:highlight w:val="none"/>
              </w:rPr>
            </w:pPr>
            <w:r>
              <w:rPr>
                <w:bCs/>
                <w:color w:val="auto"/>
                <w:szCs w:val="21"/>
                <w:highlight w:val="none"/>
              </w:rPr>
              <w:t>3</w:t>
            </w:r>
          </w:p>
        </w:tc>
      </w:tr>
    </w:tbl>
    <w:p w14:paraId="4161DC10">
      <w:pPr>
        <w:pStyle w:val="10"/>
        <w:spacing w:before="0" w:after="0" w:line="360" w:lineRule="auto"/>
        <w:ind w:firstLine="643" w:firstLineChars="200"/>
        <w:rPr>
          <w:color w:val="auto"/>
          <w:highlight w:val="none"/>
        </w:rPr>
      </w:pPr>
      <w:r>
        <w:rPr>
          <w:rFonts w:hint="eastAsia"/>
          <w:color w:val="auto"/>
          <w:highlight w:val="none"/>
        </w:rPr>
        <w:t xml:space="preserve">4.7 </w:t>
      </w:r>
      <w:r>
        <w:rPr>
          <w:color w:val="auto"/>
          <w:highlight w:val="none"/>
        </w:rPr>
        <w:t>会议系统</w:t>
      </w:r>
    </w:p>
    <w:p w14:paraId="3D367ACA">
      <w:pPr>
        <w:pStyle w:val="11"/>
        <w:spacing w:before="0" w:after="0" w:line="360" w:lineRule="auto"/>
        <w:ind w:firstLine="562" w:firstLineChars="200"/>
        <w:rPr>
          <w:color w:val="auto"/>
          <w:highlight w:val="none"/>
        </w:rPr>
      </w:pPr>
      <w:r>
        <w:rPr>
          <w:rFonts w:hint="eastAsia"/>
          <w:color w:val="auto"/>
          <w:highlight w:val="none"/>
        </w:rPr>
        <w:t>概述及需求</w:t>
      </w:r>
    </w:p>
    <w:p w14:paraId="199D88F7">
      <w:pPr>
        <w:spacing w:line="360" w:lineRule="auto"/>
        <w:ind w:firstLine="420" w:firstLineChars="200"/>
        <w:rPr>
          <w:bCs/>
          <w:color w:val="auto"/>
          <w:highlight w:val="none"/>
        </w:rPr>
      </w:pPr>
      <w:r>
        <w:rPr>
          <w:rFonts w:hint="eastAsia"/>
          <w:bCs/>
          <w:color w:val="auto"/>
          <w:highlight w:val="none"/>
        </w:rPr>
        <w:t>会议系统建设需要从专业角度及使用目的出发，选用先进的、符合发展方向的技术作为依据对本系统进行设计。本系统是实施开封市监狱本地会议、视频会议、会商、培训、突发事件处理、运维管理等的信息平台。</w:t>
      </w:r>
    </w:p>
    <w:p w14:paraId="44BB9FCE">
      <w:pPr>
        <w:spacing w:line="360" w:lineRule="auto"/>
        <w:ind w:firstLine="420" w:firstLineChars="200"/>
        <w:rPr>
          <w:bCs/>
          <w:color w:val="auto"/>
          <w:highlight w:val="none"/>
        </w:rPr>
      </w:pPr>
      <w:r>
        <w:rPr>
          <w:bCs/>
          <w:color w:val="auto"/>
          <w:highlight w:val="none"/>
        </w:rPr>
        <w:t>计划在</w:t>
      </w:r>
      <w:r>
        <w:rPr>
          <w:rFonts w:hint="eastAsia"/>
          <w:bCs/>
          <w:color w:val="auto"/>
          <w:highlight w:val="none"/>
        </w:rPr>
        <w:t>监狱大门指挥中心、备勤综合楼小会议室、备勤综合楼大会议室、备勤综合楼休息厅等建设会议系统。</w:t>
      </w:r>
    </w:p>
    <w:p w14:paraId="46E9FAD8">
      <w:pPr>
        <w:spacing w:line="360" w:lineRule="auto"/>
        <w:ind w:firstLine="420" w:firstLineChars="200"/>
        <w:rPr>
          <w:bCs/>
          <w:color w:val="auto"/>
          <w:highlight w:val="none"/>
        </w:rPr>
      </w:pPr>
      <w:r>
        <w:rPr>
          <w:rFonts w:hint="eastAsia"/>
          <w:bCs/>
          <w:color w:val="auto"/>
          <w:highlight w:val="none"/>
        </w:rPr>
        <w:t>监狱大门指挥中心主要用于日常会议、指挥调度等；备勤综合楼小会议室主要用于日常会议、视频播放、小型研讨、汇报演示、远程电视电话会议等；备勤综合楼大会议室主要用于日常会议、视频播放、大型研讨、大型汇报、远程电视电话会议等；备勤综合楼休息厅主要用于文体活动、文艺演出、大型会议、组织动员活动会、</w:t>
      </w:r>
      <w:r>
        <w:rPr>
          <w:bCs/>
          <w:color w:val="auto"/>
          <w:highlight w:val="none"/>
        </w:rPr>
        <w:t>远程电视电话会议</w:t>
      </w:r>
      <w:r>
        <w:rPr>
          <w:rFonts w:hint="eastAsia"/>
          <w:bCs/>
          <w:color w:val="auto"/>
          <w:highlight w:val="none"/>
        </w:rPr>
        <w:t>等。</w:t>
      </w:r>
    </w:p>
    <w:p w14:paraId="530A21A6">
      <w:pPr>
        <w:pStyle w:val="11"/>
        <w:spacing w:before="0" w:after="0" w:line="360" w:lineRule="auto"/>
        <w:ind w:firstLine="562" w:firstLineChars="200"/>
        <w:rPr>
          <w:color w:val="auto"/>
          <w:highlight w:val="none"/>
        </w:rPr>
      </w:pPr>
      <w:r>
        <w:rPr>
          <w:rFonts w:hint="eastAsia"/>
          <w:color w:val="auto"/>
          <w:highlight w:val="none"/>
        </w:rPr>
        <w:t>系统架构</w:t>
      </w:r>
    </w:p>
    <w:p w14:paraId="0E1F9137">
      <w:pPr>
        <w:spacing w:line="360" w:lineRule="auto"/>
        <w:ind w:firstLine="420" w:firstLineChars="200"/>
        <w:rPr>
          <w:bCs/>
          <w:color w:val="auto"/>
          <w:highlight w:val="none"/>
        </w:rPr>
      </w:pPr>
      <w:r>
        <w:rPr>
          <w:bCs/>
          <w:color w:val="auto"/>
          <w:highlight w:val="none"/>
        </w:rPr>
        <w:t>会议</w:t>
      </w:r>
      <w:r>
        <w:rPr>
          <w:rFonts w:hint="eastAsia"/>
          <w:bCs/>
          <w:color w:val="auto"/>
          <w:highlight w:val="none"/>
        </w:rPr>
        <w:t>系统设计主要涵盖：监狱大门指挥中心、备勤综合楼小会议室、备勤综合楼大会议室等。系统主要由以下子系统组成：显示系统、发言扩声系统、会议录播系统、中控系统等。</w:t>
      </w:r>
    </w:p>
    <w:p w14:paraId="6BBA2791">
      <w:pPr>
        <w:pStyle w:val="11"/>
        <w:spacing w:before="0" w:after="0" w:line="360" w:lineRule="auto"/>
        <w:ind w:firstLine="562" w:firstLineChars="200"/>
        <w:rPr>
          <w:color w:val="auto"/>
          <w:highlight w:val="none"/>
        </w:rPr>
      </w:pPr>
      <w:r>
        <w:rPr>
          <w:rFonts w:hint="eastAsia"/>
          <w:color w:val="auto"/>
          <w:highlight w:val="none"/>
        </w:rPr>
        <w:t>设计方案</w:t>
      </w:r>
    </w:p>
    <w:p w14:paraId="68B496F0">
      <w:pPr>
        <w:pStyle w:val="12"/>
        <w:tabs>
          <w:tab w:val="left" w:pos="864"/>
        </w:tabs>
        <w:spacing w:line="360" w:lineRule="auto"/>
        <w:ind w:left="0" w:firstLine="420" w:firstLineChars="200"/>
        <w:rPr>
          <w:color w:val="auto"/>
          <w:highlight w:val="none"/>
        </w:rPr>
      </w:pPr>
      <w:r>
        <w:rPr>
          <w:rFonts w:hint="eastAsia"/>
          <w:color w:val="auto"/>
          <w:highlight w:val="none"/>
        </w:rPr>
        <w:t>监狱大门指挥中心</w:t>
      </w:r>
    </w:p>
    <w:p w14:paraId="6CE17E8E">
      <w:pPr>
        <w:spacing w:line="360" w:lineRule="auto"/>
        <w:ind w:firstLine="420" w:firstLineChars="200"/>
        <w:jc w:val="left"/>
        <w:rPr>
          <w:bCs/>
          <w:color w:val="auto"/>
          <w:highlight w:val="none"/>
        </w:rPr>
      </w:pPr>
      <w:r>
        <w:rPr>
          <w:rFonts w:hint="eastAsia"/>
          <w:bCs/>
          <w:color w:val="auto"/>
          <w:highlight w:val="none"/>
        </w:rPr>
        <w:t>监狱大门指挥中心面积为224平，其功能主要有日常会议、指挥调度等。</w:t>
      </w:r>
    </w:p>
    <w:p w14:paraId="1A4A4C70">
      <w:pPr>
        <w:spacing w:line="360" w:lineRule="auto"/>
        <w:ind w:firstLine="420" w:firstLineChars="200"/>
        <w:jc w:val="left"/>
        <w:rPr>
          <w:bCs/>
          <w:color w:val="auto"/>
          <w:highlight w:val="none"/>
        </w:rPr>
      </w:pPr>
      <w:r>
        <w:rPr>
          <w:rFonts w:hint="eastAsia"/>
          <w:bCs/>
          <w:color w:val="auto"/>
          <w:highlight w:val="none"/>
        </w:rPr>
        <w:t>根据使用功能，主要设置显示系统、发言扩声系统等，</w:t>
      </w:r>
      <w:r>
        <w:rPr>
          <w:bCs/>
          <w:color w:val="auto"/>
          <w:highlight w:val="none"/>
        </w:rPr>
        <w:t>视频会议功能利用现有司法部视频点名和会议系统实现</w:t>
      </w:r>
      <w:r>
        <w:rPr>
          <w:rFonts w:hint="eastAsia"/>
          <w:bCs/>
          <w:color w:val="auto"/>
          <w:highlight w:val="none"/>
        </w:rPr>
        <w:t>。</w:t>
      </w:r>
    </w:p>
    <w:p w14:paraId="2B644A0D">
      <w:pPr>
        <w:spacing w:line="360" w:lineRule="auto"/>
        <w:ind w:firstLine="420" w:firstLineChars="200"/>
        <w:jc w:val="left"/>
        <w:rPr>
          <w:bCs/>
          <w:color w:val="auto"/>
          <w:highlight w:val="none"/>
        </w:rPr>
      </w:pPr>
      <w:r>
        <w:rPr>
          <w:rFonts w:hint="eastAsia"/>
          <w:bCs/>
          <w:color w:val="auto"/>
          <w:highlight w:val="none"/>
        </w:rPr>
        <w:t>1、显示系统</w:t>
      </w:r>
    </w:p>
    <w:p w14:paraId="6D569FF7">
      <w:pPr>
        <w:spacing w:line="360" w:lineRule="auto"/>
        <w:ind w:firstLine="420" w:firstLineChars="200"/>
        <w:jc w:val="left"/>
        <w:rPr>
          <w:bCs/>
          <w:color w:val="auto"/>
          <w:highlight w:val="none"/>
        </w:rPr>
      </w:pPr>
      <w:r>
        <w:rPr>
          <w:rFonts w:hint="eastAsia"/>
          <w:bCs/>
          <w:color w:val="auto"/>
          <w:highlight w:val="none"/>
        </w:rPr>
        <w:t>计入指挥中心统一建设。</w:t>
      </w:r>
    </w:p>
    <w:p w14:paraId="4CD67A6D">
      <w:pPr>
        <w:pStyle w:val="53"/>
        <w:numPr>
          <w:ilvl w:val="0"/>
          <w:numId w:val="22"/>
        </w:numPr>
        <w:spacing w:line="360" w:lineRule="auto"/>
        <w:ind w:left="0" w:right="0" w:firstLine="420" w:firstLineChars="200"/>
        <w:jc w:val="left"/>
        <w:rPr>
          <w:bCs/>
          <w:color w:val="auto"/>
          <w:highlight w:val="none"/>
        </w:rPr>
      </w:pPr>
      <w:r>
        <w:rPr>
          <w:rFonts w:hint="eastAsia"/>
          <w:bCs/>
          <w:color w:val="auto"/>
          <w:highlight w:val="none"/>
        </w:rPr>
        <w:t>发言扩声系统</w:t>
      </w:r>
    </w:p>
    <w:p w14:paraId="1268358F">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设2只350W主音箱（由1台2*500W功放驱动）音箱壁挂安装在会场前端；</w:t>
      </w:r>
    </w:p>
    <w:p w14:paraId="72EB4D50">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设无线话筒(</w:t>
      </w:r>
      <w:r>
        <w:rPr>
          <w:rFonts w:ascii="宋体" w:hAnsi="宋体" w:cs="宋体"/>
          <w:bCs/>
          <w:color w:val="auto"/>
          <w:kern w:val="0"/>
          <w:szCs w:val="21"/>
          <w:highlight w:val="none"/>
        </w:rPr>
        <w:t>1</w:t>
      </w:r>
      <w:r>
        <w:rPr>
          <w:rFonts w:hint="eastAsia" w:ascii="宋体" w:hAnsi="宋体" w:cs="宋体"/>
          <w:bCs/>
          <w:color w:val="auto"/>
          <w:kern w:val="0"/>
          <w:szCs w:val="21"/>
          <w:highlight w:val="none"/>
        </w:rPr>
        <w:t>拖</w:t>
      </w:r>
      <w:r>
        <w:rPr>
          <w:rFonts w:ascii="宋体" w:hAnsi="宋体" w:cs="宋体"/>
          <w:bCs/>
          <w:color w:val="auto"/>
          <w:kern w:val="0"/>
          <w:szCs w:val="21"/>
          <w:highlight w:val="none"/>
        </w:rPr>
        <w:t>四</w:t>
      </w:r>
      <w:r>
        <w:rPr>
          <w:rFonts w:hint="eastAsia" w:ascii="宋体" w:hAnsi="宋体" w:cs="宋体"/>
          <w:bCs/>
          <w:color w:val="auto"/>
          <w:kern w:val="0"/>
          <w:szCs w:val="21"/>
          <w:highlight w:val="none"/>
        </w:rPr>
        <w:t>)一套，用于会议主持、用移动发言等。</w:t>
      </w:r>
    </w:p>
    <w:p w14:paraId="468F739F">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3、其他配套辅件等。</w:t>
      </w:r>
    </w:p>
    <w:p w14:paraId="589FE357">
      <w:pPr>
        <w:pStyle w:val="12"/>
        <w:tabs>
          <w:tab w:val="left" w:pos="864"/>
        </w:tabs>
        <w:spacing w:line="360" w:lineRule="auto"/>
        <w:ind w:left="0" w:firstLine="420" w:firstLineChars="200"/>
        <w:rPr>
          <w:color w:val="auto"/>
          <w:highlight w:val="none"/>
        </w:rPr>
      </w:pPr>
      <w:r>
        <w:rPr>
          <w:rFonts w:hint="eastAsia"/>
          <w:color w:val="auto"/>
          <w:highlight w:val="none"/>
        </w:rPr>
        <w:t>备勤综合楼小会议室</w:t>
      </w:r>
    </w:p>
    <w:p w14:paraId="620D745D">
      <w:pPr>
        <w:spacing w:line="360" w:lineRule="auto"/>
        <w:ind w:firstLine="420" w:firstLineChars="200"/>
        <w:jc w:val="left"/>
        <w:rPr>
          <w:bCs/>
          <w:color w:val="auto"/>
          <w:highlight w:val="none"/>
        </w:rPr>
      </w:pPr>
      <w:r>
        <w:rPr>
          <w:rFonts w:hint="eastAsia"/>
          <w:bCs/>
          <w:color w:val="auto"/>
          <w:highlight w:val="none"/>
        </w:rPr>
        <w:t>备勤综合楼面积为</w:t>
      </w:r>
      <w:r>
        <w:rPr>
          <w:bCs/>
          <w:color w:val="auto"/>
          <w:highlight w:val="none"/>
        </w:rPr>
        <w:t>70</w:t>
      </w:r>
      <w:r>
        <w:rPr>
          <w:rFonts w:hint="eastAsia"/>
          <w:bCs/>
          <w:color w:val="auto"/>
          <w:highlight w:val="none"/>
        </w:rPr>
        <w:t>平方米，其功能主要有日常会议、视频播放、小型研讨、汇报演示、远程电视电话会议等。采用75寸</w:t>
      </w:r>
      <w:r>
        <w:rPr>
          <w:bCs/>
          <w:color w:val="auto"/>
          <w:highlight w:val="none"/>
        </w:rPr>
        <w:t>触控平板一体机</w:t>
      </w:r>
      <w:r>
        <w:rPr>
          <w:rFonts w:hint="eastAsia"/>
          <w:bCs/>
          <w:color w:val="auto"/>
          <w:highlight w:val="none"/>
        </w:rPr>
        <w:t>，实现音视频播放及日常会议投屏，可连接多路音源。</w:t>
      </w:r>
    </w:p>
    <w:p w14:paraId="1BF5CA37">
      <w:pPr>
        <w:pStyle w:val="12"/>
        <w:tabs>
          <w:tab w:val="left" w:pos="864"/>
        </w:tabs>
        <w:spacing w:line="360" w:lineRule="auto"/>
        <w:ind w:left="0" w:firstLine="420" w:firstLineChars="200"/>
        <w:rPr>
          <w:color w:val="auto"/>
          <w:highlight w:val="none"/>
        </w:rPr>
      </w:pPr>
      <w:r>
        <w:rPr>
          <w:rFonts w:hint="eastAsia"/>
          <w:color w:val="auto"/>
          <w:highlight w:val="none"/>
        </w:rPr>
        <w:t>备勤综合楼大会议室</w:t>
      </w:r>
    </w:p>
    <w:p w14:paraId="59FCC90A">
      <w:pPr>
        <w:spacing w:line="360" w:lineRule="auto"/>
        <w:ind w:firstLine="420" w:firstLineChars="200"/>
        <w:jc w:val="left"/>
        <w:rPr>
          <w:bCs/>
          <w:color w:val="auto"/>
          <w:highlight w:val="none"/>
        </w:rPr>
      </w:pPr>
      <w:r>
        <w:rPr>
          <w:rFonts w:hint="eastAsia"/>
          <w:bCs/>
          <w:color w:val="auto"/>
          <w:highlight w:val="none"/>
        </w:rPr>
        <w:t>会见教学楼多功能厅面积为9</w:t>
      </w:r>
      <w:r>
        <w:rPr>
          <w:bCs/>
          <w:color w:val="auto"/>
          <w:highlight w:val="none"/>
        </w:rPr>
        <w:t>3</w:t>
      </w:r>
      <w:r>
        <w:rPr>
          <w:rFonts w:hint="eastAsia"/>
          <w:bCs/>
          <w:color w:val="auto"/>
          <w:highlight w:val="none"/>
        </w:rPr>
        <w:t>平，其功能主要有日常会议、视频播放、大型研讨、大型汇报演示、远程电视电话会议等。</w:t>
      </w:r>
    </w:p>
    <w:p w14:paraId="7D92E635">
      <w:pPr>
        <w:spacing w:line="360" w:lineRule="auto"/>
        <w:ind w:firstLine="420" w:firstLineChars="200"/>
        <w:rPr>
          <w:bCs/>
          <w:color w:val="auto"/>
          <w:highlight w:val="none"/>
        </w:rPr>
      </w:pPr>
      <w:r>
        <w:rPr>
          <w:rFonts w:hint="eastAsia"/>
          <w:bCs/>
          <w:color w:val="auto"/>
          <w:highlight w:val="none"/>
        </w:rPr>
        <w:t>根据使用功能，主要设置显示系统，数字会议系统，音频扩声系统，视频会议系统等。</w:t>
      </w:r>
    </w:p>
    <w:p w14:paraId="17588C35">
      <w:pPr>
        <w:spacing w:line="360" w:lineRule="auto"/>
        <w:ind w:firstLine="420" w:firstLineChars="200"/>
        <w:jc w:val="left"/>
        <w:rPr>
          <w:bCs/>
          <w:color w:val="auto"/>
          <w:highlight w:val="none"/>
        </w:rPr>
      </w:pPr>
      <w:r>
        <w:rPr>
          <w:rFonts w:hint="eastAsia"/>
          <w:bCs/>
          <w:color w:val="auto"/>
          <w:highlight w:val="none"/>
        </w:rPr>
        <w:t>1、显示系统</w:t>
      </w:r>
    </w:p>
    <w:p w14:paraId="7F4B6580">
      <w:pPr>
        <w:spacing w:line="360" w:lineRule="auto"/>
        <w:ind w:firstLine="420" w:firstLineChars="200"/>
        <w:jc w:val="left"/>
        <w:rPr>
          <w:bCs/>
          <w:color w:val="auto"/>
          <w:highlight w:val="none"/>
        </w:rPr>
      </w:pPr>
      <w:r>
        <w:rPr>
          <w:rFonts w:hint="eastAsia"/>
          <w:bCs/>
          <w:color w:val="auto"/>
          <w:highlight w:val="none"/>
        </w:rPr>
        <w:t>根据会场实际使用环境设计一套投影显示系统，主要用于显示信号源的文字、图片、视频画面等信号，视频接口可随时接入电脑、摄像头、DVD、视频终端等信号源，这些信号源通过显示设备显示出来。</w:t>
      </w:r>
    </w:p>
    <w:p w14:paraId="2912B907">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设投影设备1套（含投影仪及120英寸投影幕）；</w:t>
      </w:r>
    </w:p>
    <w:p w14:paraId="3FF6E5BD">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设多功能地插2只。</w:t>
      </w:r>
    </w:p>
    <w:p w14:paraId="7DFC6DF1">
      <w:pPr>
        <w:spacing w:line="360" w:lineRule="auto"/>
        <w:ind w:firstLine="420" w:firstLineChars="200"/>
        <w:jc w:val="left"/>
        <w:rPr>
          <w:bCs/>
          <w:color w:val="auto"/>
          <w:highlight w:val="none"/>
        </w:rPr>
      </w:pPr>
      <w:r>
        <w:rPr>
          <w:rFonts w:hint="eastAsia" w:ascii="宋体" w:hAnsi="宋体" w:cs="宋体"/>
          <w:bCs/>
          <w:color w:val="auto"/>
          <w:kern w:val="0"/>
          <w:szCs w:val="21"/>
          <w:highlight w:val="none"/>
        </w:rPr>
        <w:t>2、发言</w:t>
      </w:r>
      <w:r>
        <w:rPr>
          <w:rFonts w:hint="eastAsia"/>
          <w:bCs/>
          <w:color w:val="auto"/>
          <w:highlight w:val="none"/>
        </w:rPr>
        <w:t>扩声系统</w:t>
      </w:r>
    </w:p>
    <w:p w14:paraId="6D57588F">
      <w:pPr>
        <w:spacing w:line="360" w:lineRule="auto"/>
        <w:ind w:firstLine="420" w:firstLineChars="200"/>
        <w:jc w:val="left"/>
        <w:rPr>
          <w:bCs/>
          <w:color w:val="auto"/>
          <w:highlight w:val="none"/>
        </w:rPr>
      </w:pPr>
      <w:r>
        <w:rPr>
          <w:rFonts w:hint="eastAsia" w:ascii="宋体" w:hAnsi="宋体" w:cs="宋体"/>
          <w:bCs/>
          <w:color w:val="auto"/>
          <w:szCs w:val="21"/>
          <w:highlight w:val="none"/>
        </w:rPr>
        <w:t>参考国家厅堂扩声设计标准一级进行设计，声场不均匀度在1kHz和4kHz时测量≤8dB；传声增益在125~4 kHz的平均值≥-8dB。</w:t>
      </w:r>
    </w:p>
    <w:p w14:paraId="363CD191">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设4只300W专业音箱（由2台2*500W功放驱动）音箱壁挂安装在会场四周；</w:t>
      </w:r>
    </w:p>
    <w:p w14:paraId="02945173">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设调音台、音频处理器各一台（给音频提供接口，处理音色效果）；</w:t>
      </w:r>
    </w:p>
    <w:p w14:paraId="7BE63DE5">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设设无线话筒（1拖八）一套；</w:t>
      </w:r>
    </w:p>
    <w:p w14:paraId="0509DCA3">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设8路电源时序器1台。</w:t>
      </w:r>
    </w:p>
    <w:p w14:paraId="4CBAE4E2">
      <w:pPr>
        <w:spacing w:line="360" w:lineRule="auto"/>
        <w:ind w:firstLine="420" w:firstLineChars="200"/>
        <w:jc w:val="left"/>
        <w:rPr>
          <w:bCs/>
          <w:color w:val="auto"/>
          <w:highlight w:val="none"/>
        </w:rPr>
      </w:pPr>
      <w:r>
        <w:rPr>
          <w:rFonts w:hint="eastAsia"/>
          <w:bCs/>
          <w:color w:val="auto"/>
          <w:highlight w:val="none"/>
        </w:rPr>
        <w:t>3、视频会议系统</w:t>
      </w:r>
    </w:p>
    <w:p w14:paraId="0CEA275F">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配置高清视频终端1台</w:t>
      </w:r>
      <w:r>
        <w:rPr>
          <w:rFonts w:ascii="宋体" w:hAnsi="宋体" w:cs="宋体"/>
          <w:bCs/>
          <w:color w:val="auto"/>
          <w:kern w:val="0"/>
          <w:szCs w:val="21"/>
          <w:highlight w:val="none"/>
        </w:rPr>
        <w:t>,</w:t>
      </w:r>
      <w:r>
        <w:rPr>
          <w:rFonts w:hint="eastAsia" w:ascii="宋体" w:hAnsi="宋体" w:cs="宋体"/>
          <w:bCs/>
          <w:color w:val="auto"/>
          <w:kern w:val="0"/>
          <w:szCs w:val="21"/>
          <w:highlight w:val="none"/>
        </w:rPr>
        <w:t>注册到9楼的视频会议主机；</w:t>
      </w:r>
    </w:p>
    <w:p w14:paraId="4936649B">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配置摄像机1台；</w:t>
      </w:r>
    </w:p>
    <w:p w14:paraId="02D03CA9">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4、其他配套辅件等。</w:t>
      </w:r>
    </w:p>
    <w:p w14:paraId="0CE2E30F">
      <w:pPr>
        <w:pStyle w:val="12"/>
        <w:tabs>
          <w:tab w:val="left" w:pos="864"/>
        </w:tabs>
        <w:spacing w:line="360" w:lineRule="auto"/>
        <w:ind w:left="0" w:firstLine="420" w:firstLineChars="200"/>
        <w:rPr>
          <w:color w:val="auto"/>
          <w:highlight w:val="none"/>
        </w:rPr>
      </w:pPr>
      <w:r>
        <w:rPr>
          <w:rFonts w:hint="eastAsia"/>
          <w:color w:val="auto"/>
          <w:highlight w:val="none"/>
        </w:rPr>
        <w:t>备勤综合楼休息厅</w:t>
      </w:r>
    </w:p>
    <w:p w14:paraId="4C30DC45">
      <w:pPr>
        <w:spacing w:line="360" w:lineRule="auto"/>
        <w:ind w:firstLine="420" w:firstLineChars="200"/>
        <w:jc w:val="left"/>
        <w:rPr>
          <w:bCs/>
          <w:color w:val="auto"/>
          <w:highlight w:val="none"/>
        </w:rPr>
      </w:pPr>
      <w:r>
        <w:rPr>
          <w:rFonts w:hint="eastAsia"/>
          <w:bCs/>
          <w:color w:val="auto"/>
          <w:highlight w:val="none"/>
        </w:rPr>
        <w:t>备勤综合楼休息厅面积为300平，其功能主要有文体活动、文艺演出、大型会议、组织动员活动会等。结合实际</w:t>
      </w:r>
      <w:r>
        <w:rPr>
          <w:bCs/>
          <w:color w:val="auto"/>
          <w:highlight w:val="none"/>
        </w:rPr>
        <w:t>需求，使用功能主要包括：</w:t>
      </w:r>
      <w:r>
        <w:rPr>
          <w:rFonts w:hint="eastAsia"/>
          <w:bCs/>
          <w:color w:val="auto"/>
          <w:highlight w:val="none"/>
        </w:rPr>
        <w:t>显示系统、音频扩声系统、视频会议系统。</w:t>
      </w:r>
    </w:p>
    <w:p w14:paraId="345A7491">
      <w:pPr>
        <w:spacing w:line="360" w:lineRule="auto"/>
        <w:ind w:firstLine="420" w:firstLineChars="200"/>
        <w:jc w:val="left"/>
        <w:rPr>
          <w:bCs/>
          <w:color w:val="auto"/>
          <w:highlight w:val="none"/>
        </w:rPr>
      </w:pPr>
      <w:r>
        <w:rPr>
          <w:rFonts w:hint="eastAsia"/>
          <w:bCs/>
          <w:color w:val="auto"/>
          <w:highlight w:val="none"/>
        </w:rPr>
        <w:t>1、显示系统</w:t>
      </w:r>
    </w:p>
    <w:p w14:paraId="4D76302C">
      <w:pPr>
        <w:spacing w:line="360" w:lineRule="auto"/>
        <w:ind w:firstLine="420" w:firstLineChars="200"/>
        <w:jc w:val="left"/>
        <w:rPr>
          <w:bCs/>
          <w:color w:val="auto"/>
          <w:highlight w:val="none"/>
        </w:rPr>
      </w:pPr>
      <w:r>
        <w:rPr>
          <w:rFonts w:hint="eastAsia"/>
          <w:bCs/>
          <w:color w:val="auto"/>
          <w:highlight w:val="none"/>
        </w:rPr>
        <w:t>根据会场实际使用环境设计2套120寸投影融合显示图像，主要用于显示信号源的文字、图片、视频画面等信号，视频接口可随时接入电脑、摄像头、DVD、视频终端等信号源，这些信号源通过显示设备显示出来。</w:t>
      </w:r>
    </w:p>
    <w:p w14:paraId="3F15AB91">
      <w:pPr>
        <w:spacing w:line="360" w:lineRule="auto"/>
        <w:ind w:firstLine="420" w:firstLineChars="200"/>
        <w:jc w:val="left"/>
        <w:rPr>
          <w:bCs/>
          <w:color w:val="auto"/>
          <w:highlight w:val="none"/>
        </w:rPr>
      </w:pPr>
      <w:r>
        <w:rPr>
          <w:rFonts w:hint="eastAsia"/>
          <w:bCs/>
          <w:color w:val="auto"/>
          <w:highlight w:val="none"/>
        </w:rPr>
        <w:t>2、发言扩声系统</w:t>
      </w:r>
    </w:p>
    <w:p w14:paraId="2DFD49B0">
      <w:pPr>
        <w:spacing w:line="360" w:lineRule="auto"/>
        <w:ind w:firstLine="420" w:firstLineChars="200"/>
        <w:jc w:val="left"/>
        <w:rPr>
          <w:bCs/>
          <w:color w:val="auto"/>
          <w:highlight w:val="none"/>
        </w:rPr>
      </w:pPr>
      <w:r>
        <w:rPr>
          <w:rFonts w:hint="eastAsia" w:ascii="宋体" w:hAnsi="宋体" w:cs="宋体"/>
          <w:bCs/>
          <w:color w:val="auto"/>
          <w:szCs w:val="21"/>
          <w:highlight w:val="none"/>
        </w:rPr>
        <w:t>参考国家厅堂扩声设计标准一级进行设计，声场不均匀度在1kHz和4kHz时测量≤8dB；传声增益在125~4 kHz的平均值≥-8dB。</w:t>
      </w:r>
    </w:p>
    <w:p w14:paraId="102F8BDF">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设4只450W辅助音箱（由2台2*500W功放驱动）音箱壁挂安装在会场四周；</w:t>
      </w:r>
    </w:p>
    <w:p w14:paraId="02FE80E1">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设12路2编组调音台、音频处理器各一台（给音频提供接口，处理音色效果）；</w:t>
      </w:r>
    </w:p>
    <w:p w14:paraId="0057981E">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设无线话筒（1托八）一套；</w:t>
      </w:r>
    </w:p>
    <w:p w14:paraId="2AFE0DCB">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设8路电源时序器1台。</w:t>
      </w:r>
    </w:p>
    <w:p w14:paraId="63F408D7">
      <w:pPr>
        <w:spacing w:line="360" w:lineRule="auto"/>
        <w:ind w:firstLine="420" w:firstLineChars="200"/>
        <w:jc w:val="left"/>
        <w:rPr>
          <w:bCs/>
          <w:color w:val="auto"/>
          <w:highlight w:val="none"/>
        </w:rPr>
      </w:pPr>
      <w:r>
        <w:rPr>
          <w:bCs/>
          <w:color w:val="auto"/>
          <w:highlight w:val="none"/>
        </w:rPr>
        <w:t>3</w:t>
      </w:r>
      <w:r>
        <w:rPr>
          <w:rFonts w:hint="eastAsia"/>
          <w:bCs/>
          <w:color w:val="auto"/>
          <w:highlight w:val="none"/>
        </w:rPr>
        <w:t>、视频会议系统</w:t>
      </w:r>
    </w:p>
    <w:p w14:paraId="66D6EB2E">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配置视频</w:t>
      </w:r>
      <w:r>
        <w:rPr>
          <w:rFonts w:ascii="宋体" w:hAnsi="宋体" w:cs="宋体"/>
          <w:bCs/>
          <w:color w:val="auto"/>
          <w:kern w:val="0"/>
          <w:szCs w:val="21"/>
          <w:highlight w:val="none"/>
        </w:rPr>
        <w:t>会议主机</w:t>
      </w:r>
      <w:r>
        <w:rPr>
          <w:rFonts w:hint="eastAsia" w:ascii="宋体" w:hAnsi="宋体" w:cs="宋体"/>
          <w:bCs/>
          <w:color w:val="auto"/>
          <w:kern w:val="0"/>
          <w:szCs w:val="21"/>
          <w:highlight w:val="none"/>
        </w:rPr>
        <w:t>MCU</w:t>
      </w:r>
      <w:r>
        <w:rPr>
          <w:rFonts w:ascii="宋体" w:hAnsi="宋体" w:cs="宋体"/>
          <w:bCs/>
          <w:color w:val="auto"/>
          <w:kern w:val="0"/>
          <w:szCs w:val="21"/>
          <w:highlight w:val="none"/>
        </w:rPr>
        <w:t xml:space="preserve"> </w:t>
      </w:r>
      <w:r>
        <w:rPr>
          <w:rFonts w:hint="eastAsia" w:ascii="宋体" w:hAnsi="宋体" w:cs="宋体"/>
          <w:bCs/>
          <w:color w:val="auto"/>
          <w:kern w:val="0"/>
          <w:szCs w:val="21"/>
          <w:highlight w:val="none"/>
        </w:rPr>
        <w:t>1台，实现与</w:t>
      </w:r>
      <w:r>
        <w:rPr>
          <w:rFonts w:ascii="宋体" w:hAnsi="宋体" w:cs="宋体"/>
          <w:bCs/>
          <w:color w:val="auto"/>
          <w:kern w:val="0"/>
          <w:szCs w:val="21"/>
          <w:highlight w:val="none"/>
        </w:rPr>
        <w:t>上级</w:t>
      </w:r>
      <w:r>
        <w:rPr>
          <w:rFonts w:hint="eastAsia" w:ascii="宋体" w:hAnsi="宋体" w:cs="宋体"/>
          <w:bCs/>
          <w:color w:val="auto"/>
          <w:kern w:val="0"/>
          <w:szCs w:val="21"/>
          <w:highlight w:val="none"/>
        </w:rPr>
        <w:t>视频</w:t>
      </w:r>
      <w:r>
        <w:rPr>
          <w:rFonts w:ascii="宋体" w:hAnsi="宋体" w:cs="宋体"/>
          <w:bCs/>
          <w:color w:val="auto"/>
          <w:kern w:val="0"/>
          <w:szCs w:val="21"/>
          <w:highlight w:val="none"/>
        </w:rPr>
        <w:t>互联</w:t>
      </w:r>
      <w:r>
        <w:rPr>
          <w:rFonts w:hint="eastAsia" w:ascii="宋体" w:hAnsi="宋体" w:cs="宋体"/>
          <w:bCs/>
          <w:color w:val="auto"/>
          <w:kern w:val="0"/>
          <w:szCs w:val="21"/>
          <w:highlight w:val="none"/>
        </w:rPr>
        <w:t>；</w:t>
      </w:r>
    </w:p>
    <w:p w14:paraId="56404BDB">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配置高清视频会议终端1台，</w:t>
      </w:r>
      <w:r>
        <w:rPr>
          <w:rFonts w:ascii="宋体" w:hAnsi="宋体" w:cs="宋体"/>
          <w:bCs/>
          <w:color w:val="auto"/>
          <w:kern w:val="0"/>
          <w:szCs w:val="21"/>
          <w:highlight w:val="none"/>
        </w:rPr>
        <w:t>直接接入本会议室视频会议主机</w:t>
      </w:r>
      <w:r>
        <w:rPr>
          <w:rFonts w:hint="eastAsia" w:ascii="宋体" w:hAnsi="宋体" w:cs="宋体"/>
          <w:bCs/>
          <w:color w:val="auto"/>
          <w:kern w:val="0"/>
          <w:szCs w:val="21"/>
          <w:highlight w:val="none"/>
        </w:rPr>
        <w:t>；</w:t>
      </w:r>
    </w:p>
    <w:p w14:paraId="19F00168">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配置摄像机1台；</w:t>
      </w:r>
    </w:p>
    <w:p w14:paraId="7CA2940F">
      <w:pPr>
        <w:spacing w:line="360" w:lineRule="auto"/>
        <w:ind w:firstLine="420" w:firstLineChars="200"/>
        <w:rPr>
          <w:rFonts w:ascii="宋体" w:hAnsi="宋体" w:cs="宋体"/>
          <w:bCs/>
          <w:color w:val="auto"/>
          <w:kern w:val="0"/>
          <w:szCs w:val="21"/>
          <w:highlight w:val="none"/>
        </w:rPr>
      </w:pPr>
      <w:r>
        <w:rPr>
          <w:rFonts w:hint="eastAsia" w:ascii="宋体" w:hAnsi="宋体" w:cs="宋体"/>
          <w:bCs/>
          <w:color w:val="auto"/>
          <w:kern w:val="0"/>
          <w:szCs w:val="21"/>
          <w:highlight w:val="none"/>
        </w:rPr>
        <w:t>配置麦克风1台。</w:t>
      </w:r>
    </w:p>
    <w:p w14:paraId="74A2B6A9">
      <w:pPr>
        <w:spacing w:line="360" w:lineRule="auto"/>
        <w:ind w:firstLine="420" w:firstLineChars="200"/>
        <w:jc w:val="left"/>
        <w:rPr>
          <w:bCs/>
          <w:color w:val="auto"/>
          <w:highlight w:val="none"/>
        </w:rPr>
      </w:pPr>
      <w:r>
        <w:rPr>
          <w:bCs/>
          <w:color w:val="auto"/>
          <w:highlight w:val="none"/>
        </w:rPr>
        <w:t>5</w:t>
      </w:r>
      <w:r>
        <w:rPr>
          <w:rFonts w:hint="eastAsia"/>
          <w:bCs/>
          <w:color w:val="auto"/>
          <w:highlight w:val="none"/>
        </w:rPr>
        <w:t>、设一套软件以及其他配套辅件等。</w:t>
      </w:r>
    </w:p>
    <w:p w14:paraId="1CCC6F86">
      <w:pPr>
        <w:spacing w:line="360" w:lineRule="auto"/>
        <w:ind w:firstLine="420" w:firstLineChars="200"/>
        <w:jc w:val="left"/>
        <w:rPr>
          <w:bCs/>
          <w:color w:val="auto"/>
          <w:highlight w:val="none"/>
        </w:rPr>
      </w:pPr>
      <w:r>
        <w:rPr>
          <w:rFonts w:hint="eastAsia"/>
          <w:bCs/>
          <w:color w:val="auto"/>
          <w:highlight w:val="none"/>
        </w:rPr>
        <w:t>本系统可实现如下功能：</w:t>
      </w:r>
    </w:p>
    <w:p w14:paraId="2B0745AF">
      <w:pPr>
        <w:numPr>
          <w:ilvl w:val="0"/>
          <w:numId w:val="10"/>
        </w:numPr>
        <w:spacing w:line="360" w:lineRule="auto"/>
        <w:ind w:left="0" w:firstLine="420" w:firstLineChars="200"/>
        <w:rPr>
          <w:bCs/>
          <w:color w:val="auto"/>
          <w:highlight w:val="none"/>
        </w:rPr>
      </w:pPr>
      <w:r>
        <w:rPr>
          <w:rFonts w:hint="eastAsia"/>
          <w:bCs/>
          <w:color w:val="auto"/>
          <w:highlight w:val="none"/>
        </w:rPr>
        <w:t>本地会议；</w:t>
      </w:r>
    </w:p>
    <w:p w14:paraId="1D0CCBB0">
      <w:pPr>
        <w:numPr>
          <w:ilvl w:val="0"/>
          <w:numId w:val="10"/>
        </w:numPr>
        <w:spacing w:line="360" w:lineRule="auto"/>
        <w:ind w:left="0" w:firstLine="420" w:firstLineChars="200"/>
        <w:rPr>
          <w:bCs/>
          <w:color w:val="auto"/>
          <w:highlight w:val="none"/>
        </w:rPr>
      </w:pPr>
      <w:r>
        <w:rPr>
          <w:rFonts w:hint="eastAsia"/>
          <w:bCs/>
          <w:color w:val="auto"/>
          <w:highlight w:val="none"/>
        </w:rPr>
        <w:t>视频会议；</w:t>
      </w:r>
    </w:p>
    <w:p w14:paraId="39788E8D">
      <w:pPr>
        <w:numPr>
          <w:ilvl w:val="0"/>
          <w:numId w:val="10"/>
        </w:numPr>
        <w:spacing w:line="360" w:lineRule="auto"/>
        <w:ind w:left="0" w:firstLine="420" w:firstLineChars="200"/>
        <w:rPr>
          <w:bCs/>
          <w:color w:val="auto"/>
          <w:highlight w:val="none"/>
        </w:rPr>
      </w:pPr>
      <w:r>
        <w:rPr>
          <w:rFonts w:hint="eastAsia"/>
          <w:bCs/>
          <w:color w:val="auto"/>
          <w:highlight w:val="none"/>
        </w:rPr>
        <w:t>会商；</w:t>
      </w:r>
    </w:p>
    <w:p w14:paraId="11B5C80C">
      <w:pPr>
        <w:numPr>
          <w:ilvl w:val="0"/>
          <w:numId w:val="10"/>
        </w:numPr>
        <w:spacing w:line="360" w:lineRule="auto"/>
        <w:ind w:left="0" w:firstLine="420" w:firstLineChars="200"/>
        <w:rPr>
          <w:bCs/>
          <w:color w:val="auto"/>
          <w:highlight w:val="none"/>
        </w:rPr>
      </w:pPr>
      <w:r>
        <w:rPr>
          <w:rFonts w:hint="eastAsia"/>
          <w:bCs/>
          <w:color w:val="auto"/>
          <w:highlight w:val="none"/>
        </w:rPr>
        <w:t>培训；</w:t>
      </w:r>
    </w:p>
    <w:p w14:paraId="1324577C">
      <w:pPr>
        <w:numPr>
          <w:ilvl w:val="0"/>
          <w:numId w:val="10"/>
        </w:numPr>
        <w:spacing w:line="360" w:lineRule="auto"/>
        <w:ind w:left="0" w:firstLine="420" w:firstLineChars="200"/>
        <w:rPr>
          <w:bCs/>
          <w:color w:val="auto"/>
          <w:highlight w:val="none"/>
        </w:rPr>
      </w:pPr>
      <w:r>
        <w:rPr>
          <w:rFonts w:hint="eastAsia"/>
          <w:bCs/>
          <w:color w:val="auto"/>
          <w:highlight w:val="none"/>
        </w:rPr>
        <w:t>突发事件处理</w:t>
      </w:r>
    </w:p>
    <w:p w14:paraId="620F1A4E">
      <w:pPr>
        <w:numPr>
          <w:ilvl w:val="0"/>
          <w:numId w:val="10"/>
        </w:numPr>
        <w:spacing w:line="360" w:lineRule="auto"/>
        <w:ind w:left="0" w:firstLine="420" w:firstLineChars="200"/>
        <w:rPr>
          <w:bCs/>
          <w:color w:val="auto"/>
          <w:highlight w:val="none"/>
        </w:rPr>
      </w:pPr>
      <w:r>
        <w:rPr>
          <w:rFonts w:hint="eastAsia"/>
          <w:bCs/>
          <w:color w:val="auto"/>
          <w:highlight w:val="none"/>
        </w:rPr>
        <w:t>运维管理。</w:t>
      </w:r>
    </w:p>
    <w:p w14:paraId="14B5923B">
      <w:pPr>
        <w:pStyle w:val="11"/>
        <w:spacing w:before="0" w:after="0" w:line="360" w:lineRule="auto"/>
        <w:ind w:firstLine="562" w:firstLineChars="200"/>
        <w:rPr>
          <w:color w:val="auto"/>
          <w:highlight w:val="none"/>
        </w:rPr>
      </w:pPr>
      <w:r>
        <w:rPr>
          <w:rFonts w:hint="eastAsia"/>
          <w:color w:val="auto"/>
          <w:highlight w:val="none"/>
        </w:rPr>
        <w:t>部署方案</w:t>
      </w:r>
    </w:p>
    <w:p w14:paraId="7A145F50">
      <w:pPr>
        <w:pStyle w:val="12"/>
        <w:tabs>
          <w:tab w:val="left" w:pos="864"/>
        </w:tabs>
        <w:spacing w:line="360" w:lineRule="auto"/>
        <w:ind w:left="0" w:firstLine="420" w:firstLineChars="200"/>
        <w:rPr>
          <w:color w:val="auto"/>
          <w:highlight w:val="none"/>
        </w:rPr>
      </w:pPr>
      <w:r>
        <w:rPr>
          <w:rFonts w:hint="eastAsia"/>
          <w:color w:val="auto"/>
          <w:highlight w:val="none"/>
        </w:rPr>
        <w:t>监管区大门指挥中心</w:t>
      </w:r>
    </w:p>
    <w:p w14:paraId="08EBEF1D">
      <w:pPr>
        <w:spacing w:line="360" w:lineRule="auto"/>
        <w:ind w:firstLine="420" w:firstLineChars="200"/>
        <w:rPr>
          <w:bCs/>
          <w:color w:val="auto"/>
          <w:highlight w:val="none"/>
        </w:rPr>
      </w:pPr>
      <w:r>
        <w:rPr>
          <w:rFonts w:hint="eastAsia"/>
          <w:bCs/>
          <w:color w:val="auto"/>
          <w:highlight w:val="none"/>
          <w:lang w:bidi="en-US"/>
        </w:rPr>
        <w:t>1、</w:t>
      </w:r>
      <w:r>
        <w:rPr>
          <w:rFonts w:hint="eastAsia"/>
          <w:bCs/>
          <w:color w:val="auto"/>
          <w:highlight w:val="none"/>
        </w:rPr>
        <w:t>显示系统</w:t>
      </w:r>
    </w:p>
    <w:p w14:paraId="72635909">
      <w:pPr>
        <w:spacing w:line="360" w:lineRule="auto"/>
        <w:ind w:firstLine="420" w:firstLineChars="200"/>
        <w:rPr>
          <w:bCs/>
          <w:color w:val="auto"/>
          <w:highlight w:val="none"/>
        </w:rPr>
      </w:pPr>
      <w:r>
        <w:rPr>
          <w:rFonts w:hint="eastAsia"/>
          <w:bCs/>
          <w:color w:val="auto"/>
          <w:highlight w:val="none"/>
        </w:rPr>
        <w:t>计入指挥中心建设。</w:t>
      </w:r>
    </w:p>
    <w:p w14:paraId="5320B8D8">
      <w:pPr>
        <w:spacing w:line="360" w:lineRule="auto"/>
        <w:ind w:firstLine="420" w:firstLineChars="200"/>
        <w:rPr>
          <w:bCs/>
          <w:color w:val="auto"/>
          <w:highlight w:val="none"/>
        </w:rPr>
      </w:pPr>
      <w:r>
        <w:rPr>
          <w:rFonts w:hint="eastAsia"/>
          <w:bCs/>
          <w:color w:val="auto"/>
          <w:highlight w:val="none"/>
          <w:lang w:bidi="en-US"/>
        </w:rPr>
        <w:t>2、</w:t>
      </w:r>
      <w:r>
        <w:rPr>
          <w:rFonts w:hint="eastAsia"/>
          <w:bCs/>
          <w:color w:val="auto"/>
          <w:highlight w:val="none"/>
        </w:rPr>
        <w:t>发言扩声系统</w:t>
      </w:r>
    </w:p>
    <w:p w14:paraId="4D849275">
      <w:pPr>
        <w:widowControl/>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kern w:val="0"/>
          <w:szCs w:val="21"/>
          <w:highlight w:val="none"/>
        </w:rPr>
        <w:t>专业</w:t>
      </w:r>
      <w:r>
        <w:rPr>
          <w:rFonts w:ascii="宋体" w:hAnsi="宋体" w:cs="宋体"/>
          <w:bCs/>
          <w:color w:val="auto"/>
          <w:kern w:val="0"/>
          <w:szCs w:val="21"/>
          <w:highlight w:val="none"/>
        </w:rPr>
        <w:t>功放</w:t>
      </w:r>
      <w:r>
        <w:rPr>
          <w:rFonts w:hint="eastAsia" w:ascii="宋体" w:hAnsi="宋体" w:cs="宋体"/>
          <w:bCs/>
          <w:color w:val="auto"/>
          <w:kern w:val="0"/>
          <w:szCs w:val="21"/>
          <w:highlight w:val="none"/>
        </w:rPr>
        <w:t>、</w:t>
      </w:r>
      <w:r>
        <w:rPr>
          <w:rFonts w:ascii="宋体" w:hAnsi="宋体" w:cs="宋体"/>
          <w:bCs/>
          <w:color w:val="auto"/>
          <w:kern w:val="0"/>
          <w:szCs w:val="21"/>
          <w:highlight w:val="none"/>
        </w:rPr>
        <w:t>一拖四无线话筒主机均部署</w:t>
      </w:r>
      <w:r>
        <w:rPr>
          <w:rFonts w:hint="eastAsia" w:ascii="宋体" w:hAnsi="宋体" w:cs="宋体"/>
          <w:bCs/>
          <w:color w:val="auto"/>
          <w:kern w:val="0"/>
          <w:szCs w:val="21"/>
          <w:highlight w:val="none"/>
        </w:rPr>
        <w:t>安装在</w:t>
      </w:r>
      <w:r>
        <w:rPr>
          <w:rFonts w:hint="eastAsia"/>
          <w:bCs/>
          <w:color w:val="auto"/>
          <w:highlight w:val="none"/>
        </w:rPr>
        <w:t>监狱大门指挥中心会议控制台</w:t>
      </w:r>
      <w:r>
        <w:rPr>
          <w:rFonts w:hint="eastAsia" w:ascii="宋体" w:hAnsi="宋体" w:cs="宋体"/>
          <w:bCs/>
          <w:color w:val="auto"/>
          <w:szCs w:val="21"/>
          <w:highlight w:val="none"/>
        </w:rPr>
        <w:t>；</w:t>
      </w:r>
      <w:r>
        <w:rPr>
          <w:rFonts w:ascii="宋体" w:hAnsi="宋体" w:cs="宋体"/>
          <w:bCs/>
          <w:color w:val="auto"/>
          <w:szCs w:val="21"/>
          <w:highlight w:val="none"/>
        </w:rPr>
        <w:t>2</w:t>
      </w:r>
      <w:r>
        <w:rPr>
          <w:rFonts w:hint="eastAsia" w:ascii="宋体" w:hAnsi="宋体" w:cs="宋体"/>
          <w:bCs/>
          <w:color w:val="auto"/>
          <w:szCs w:val="21"/>
          <w:highlight w:val="none"/>
        </w:rPr>
        <w:t>只音箱安装在会场中后部。</w:t>
      </w:r>
    </w:p>
    <w:p w14:paraId="37DACCCF">
      <w:pPr>
        <w:pStyle w:val="12"/>
        <w:tabs>
          <w:tab w:val="left" w:pos="864"/>
        </w:tabs>
        <w:spacing w:line="360" w:lineRule="auto"/>
        <w:ind w:left="0" w:firstLine="420" w:firstLineChars="200"/>
        <w:rPr>
          <w:color w:val="auto"/>
          <w:highlight w:val="none"/>
        </w:rPr>
      </w:pPr>
      <w:r>
        <w:rPr>
          <w:rFonts w:hint="eastAsia"/>
          <w:color w:val="auto"/>
          <w:highlight w:val="none"/>
        </w:rPr>
        <w:t>备勤综合楼小会议室</w:t>
      </w:r>
    </w:p>
    <w:p w14:paraId="2B3B5E75">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部署75寸触控平板一体机，实现音视频播放及日常会议投屏，可连接多路音源。</w:t>
      </w:r>
    </w:p>
    <w:p w14:paraId="078B6E88">
      <w:pPr>
        <w:pStyle w:val="12"/>
        <w:tabs>
          <w:tab w:val="left" w:pos="864"/>
        </w:tabs>
        <w:spacing w:line="360" w:lineRule="auto"/>
        <w:ind w:left="0" w:firstLine="420" w:firstLineChars="200"/>
        <w:rPr>
          <w:color w:val="auto"/>
          <w:highlight w:val="none"/>
        </w:rPr>
      </w:pPr>
      <w:r>
        <w:rPr>
          <w:rFonts w:hint="eastAsia"/>
          <w:color w:val="auto"/>
          <w:highlight w:val="none"/>
        </w:rPr>
        <w:t xml:space="preserve">备勤综合楼大会议室 </w:t>
      </w:r>
    </w:p>
    <w:p w14:paraId="086430A0">
      <w:pPr>
        <w:spacing w:line="360" w:lineRule="auto"/>
        <w:ind w:firstLine="420" w:firstLineChars="200"/>
        <w:rPr>
          <w:bCs/>
          <w:color w:val="auto"/>
          <w:highlight w:val="none"/>
        </w:rPr>
      </w:pPr>
      <w:r>
        <w:rPr>
          <w:rFonts w:hint="eastAsia"/>
          <w:bCs/>
          <w:color w:val="auto"/>
          <w:highlight w:val="none"/>
          <w:lang w:bidi="en-US"/>
        </w:rPr>
        <w:t>1、</w:t>
      </w:r>
      <w:r>
        <w:rPr>
          <w:rFonts w:hint="eastAsia"/>
          <w:bCs/>
          <w:color w:val="auto"/>
          <w:highlight w:val="none"/>
        </w:rPr>
        <w:t>显示系统</w:t>
      </w:r>
    </w:p>
    <w:p w14:paraId="2F6FF6AB">
      <w:pPr>
        <w:spacing w:line="360" w:lineRule="auto"/>
        <w:ind w:firstLine="420" w:firstLineChars="200"/>
        <w:rPr>
          <w:bCs/>
          <w:color w:val="auto"/>
          <w:highlight w:val="none"/>
        </w:rPr>
      </w:pPr>
      <w:r>
        <w:rPr>
          <w:rFonts w:hint="eastAsia"/>
          <w:bCs/>
          <w:color w:val="auto"/>
          <w:highlight w:val="none"/>
        </w:rPr>
        <w:t>在主席台后方设置一套电动升降幕布，前端设置一台液晶投影机。</w:t>
      </w:r>
    </w:p>
    <w:p w14:paraId="157668C9">
      <w:pPr>
        <w:spacing w:line="360" w:lineRule="auto"/>
        <w:ind w:firstLine="420" w:firstLineChars="200"/>
        <w:rPr>
          <w:bCs/>
          <w:color w:val="auto"/>
          <w:highlight w:val="none"/>
        </w:rPr>
      </w:pPr>
      <w:r>
        <w:rPr>
          <w:rFonts w:hint="eastAsia"/>
          <w:bCs/>
          <w:color w:val="auto"/>
          <w:highlight w:val="none"/>
          <w:lang w:bidi="en-US"/>
        </w:rPr>
        <w:t>2、</w:t>
      </w:r>
      <w:r>
        <w:rPr>
          <w:rFonts w:hint="eastAsia"/>
          <w:bCs/>
          <w:color w:val="auto"/>
          <w:highlight w:val="none"/>
        </w:rPr>
        <w:t>发言扩声系统</w:t>
      </w:r>
    </w:p>
    <w:p w14:paraId="47B9570E">
      <w:pPr>
        <w:spacing w:line="360" w:lineRule="auto"/>
        <w:ind w:firstLine="420" w:firstLineChars="200"/>
        <w:rPr>
          <w:rFonts w:ascii="宋体" w:hAnsi="宋体" w:cs="宋体"/>
          <w:bCs/>
          <w:color w:val="auto"/>
          <w:szCs w:val="21"/>
          <w:highlight w:val="none"/>
        </w:rPr>
      </w:pPr>
      <w:r>
        <w:rPr>
          <w:rFonts w:hint="eastAsia" w:ascii="宋体" w:hAnsi="宋体" w:cs="宋体"/>
          <w:bCs/>
          <w:color w:val="auto"/>
          <w:kern w:val="0"/>
          <w:szCs w:val="21"/>
          <w:highlight w:val="none"/>
        </w:rPr>
        <w:t>一拖</w:t>
      </w:r>
      <w:r>
        <w:rPr>
          <w:rFonts w:ascii="宋体" w:hAnsi="宋体" w:cs="宋体"/>
          <w:bCs/>
          <w:color w:val="auto"/>
          <w:kern w:val="0"/>
          <w:szCs w:val="21"/>
          <w:highlight w:val="none"/>
        </w:rPr>
        <w:t>八无线话筒主机</w:t>
      </w:r>
      <w:r>
        <w:rPr>
          <w:rFonts w:hint="eastAsia" w:ascii="宋体" w:hAnsi="宋体" w:cs="宋体"/>
          <w:bCs/>
          <w:color w:val="auto"/>
          <w:kern w:val="0"/>
          <w:szCs w:val="21"/>
          <w:highlight w:val="none"/>
        </w:rPr>
        <w:t>、</w:t>
      </w:r>
      <w:r>
        <w:rPr>
          <w:rFonts w:hint="eastAsia" w:ascii="宋体" w:hAnsi="宋体" w:cs="宋体"/>
          <w:bCs/>
          <w:color w:val="auto"/>
          <w:szCs w:val="21"/>
          <w:highlight w:val="none"/>
        </w:rPr>
        <w:t>音频处理器安装于本建筑物弱电机柜</w:t>
      </w:r>
      <w:r>
        <w:rPr>
          <w:rFonts w:hint="eastAsia" w:ascii="宋体" w:hAnsi="宋体" w:cs="宋体"/>
          <w:bCs/>
          <w:color w:val="auto"/>
          <w:kern w:val="0"/>
          <w:szCs w:val="21"/>
          <w:highlight w:val="none"/>
        </w:rPr>
        <w:t>；无线话筒</w:t>
      </w:r>
      <w:r>
        <w:rPr>
          <w:rFonts w:ascii="宋体" w:hAnsi="宋体" w:cs="宋体"/>
          <w:bCs/>
          <w:color w:val="auto"/>
          <w:kern w:val="0"/>
          <w:szCs w:val="21"/>
          <w:highlight w:val="none"/>
        </w:rPr>
        <w:t>设置于</w:t>
      </w:r>
      <w:r>
        <w:rPr>
          <w:rFonts w:hint="eastAsia" w:ascii="宋体" w:hAnsi="宋体" w:cs="宋体"/>
          <w:bCs/>
          <w:color w:val="auto"/>
          <w:kern w:val="0"/>
          <w:szCs w:val="21"/>
          <w:highlight w:val="none"/>
        </w:rPr>
        <w:t>主席台桌面；</w:t>
      </w:r>
      <w:r>
        <w:rPr>
          <w:rFonts w:hint="eastAsia" w:ascii="宋体" w:hAnsi="宋体" w:cs="宋体"/>
          <w:bCs/>
          <w:color w:val="auto"/>
          <w:szCs w:val="21"/>
          <w:highlight w:val="none"/>
        </w:rPr>
        <w:t>2只主音箱安装在会场前端；4只辅助扩声音箱安装在会场中后部。</w:t>
      </w:r>
    </w:p>
    <w:p w14:paraId="7FAAFFB4">
      <w:pPr>
        <w:numPr>
          <w:ilvl w:val="0"/>
          <w:numId w:val="22"/>
        </w:num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视频会议系统</w:t>
      </w:r>
    </w:p>
    <w:p w14:paraId="0D55CDE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在本会议室机柜内设置会议室内配置高清视频终端1台、摄像机1台、配置麦克风1台。</w:t>
      </w:r>
    </w:p>
    <w:p w14:paraId="71A4D61A">
      <w:pPr>
        <w:pStyle w:val="12"/>
        <w:tabs>
          <w:tab w:val="left" w:pos="864"/>
        </w:tabs>
        <w:spacing w:line="360" w:lineRule="auto"/>
        <w:ind w:left="0" w:firstLine="420" w:firstLineChars="200"/>
        <w:rPr>
          <w:color w:val="auto"/>
          <w:highlight w:val="none"/>
        </w:rPr>
      </w:pPr>
      <w:r>
        <w:rPr>
          <w:rFonts w:hint="eastAsia"/>
          <w:color w:val="auto"/>
          <w:highlight w:val="none"/>
        </w:rPr>
        <w:t>备勤综合楼休息厅</w:t>
      </w:r>
    </w:p>
    <w:p w14:paraId="229C1F3B">
      <w:pPr>
        <w:spacing w:line="360" w:lineRule="auto"/>
        <w:ind w:firstLine="420" w:firstLineChars="200"/>
        <w:rPr>
          <w:bCs/>
          <w:color w:val="auto"/>
          <w:highlight w:val="none"/>
        </w:rPr>
      </w:pPr>
      <w:r>
        <w:rPr>
          <w:rFonts w:hint="eastAsia"/>
          <w:bCs/>
          <w:color w:val="auto"/>
          <w:highlight w:val="none"/>
          <w:lang w:bidi="en-US"/>
        </w:rPr>
        <w:t>1、</w:t>
      </w:r>
      <w:r>
        <w:rPr>
          <w:rFonts w:hint="eastAsia"/>
          <w:bCs/>
          <w:color w:val="auto"/>
          <w:highlight w:val="none"/>
        </w:rPr>
        <w:t>显示系统</w:t>
      </w:r>
    </w:p>
    <w:p w14:paraId="7D94A366">
      <w:pPr>
        <w:spacing w:line="360" w:lineRule="auto"/>
        <w:ind w:firstLine="420" w:firstLineChars="200"/>
        <w:rPr>
          <w:bCs/>
          <w:color w:val="auto"/>
          <w:highlight w:val="none"/>
        </w:rPr>
      </w:pPr>
      <w:r>
        <w:rPr>
          <w:rFonts w:hint="eastAsia"/>
          <w:bCs/>
          <w:color w:val="auto"/>
          <w:highlight w:val="none"/>
        </w:rPr>
        <w:t>部署2台120寸</w:t>
      </w:r>
      <w:r>
        <w:rPr>
          <w:bCs/>
          <w:color w:val="auto"/>
          <w:highlight w:val="none"/>
        </w:rPr>
        <w:t>投影仪及幕布</w:t>
      </w:r>
      <w:r>
        <w:rPr>
          <w:rFonts w:hint="eastAsia"/>
          <w:bCs/>
          <w:color w:val="auto"/>
          <w:highlight w:val="none"/>
        </w:rPr>
        <w:t>。</w:t>
      </w:r>
    </w:p>
    <w:p w14:paraId="68EEFCB2">
      <w:pPr>
        <w:spacing w:line="360" w:lineRule="auto"/>
        <w:ind w:firstLine="420" w:firstLineChars="200"/>
        <w:rPr>
          <w:bCs/>
          <w:color w:val="auto"/>
          <w:highlight w:val="none"/>
        </w:rPr>
      </w:pPr>
      <w:r>
        <w:rPr>
          <w:rFonts w:hint="eastAsia"/>
          <w:bCs/>
          <w:color w:val="auto"/>
          <w:highlight w:val="none"/>
          <w:lang w:bidi="en-US"/>
        </w:rPr>
        <w:t>2、</w:t>
      </w:r>
      <w:r>
        <w:rPr>
          <w:rFonts w:hint="eastAsia"/>
          <w:bCs/>
          <w:color w:val="auto"/>
          <w:highlight w:val="none"/>
        </w:rPr>
        <w:t>发言扩声系统</w:t>
      </w:r>
    </w:p>
    <w:p w14:paraId="1E64750A">
      <w:pPr>
        <w:widowControl/>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kern w:val="0"/>
          <w:szCs w:val="21"/>
          <w:highlight w:val="none"/>
        </w:rPr>
        <w:t>一拖八无线话筒主机、</w:t>
      </w:r>
      <w:r>
        <w:rPr>
          <w:rFonts w:hint="eastAsia" w:ascii="宋体" w:hAnsi="宋体" w:cs="宋体"/>
          <w:bCs/>
          <w:color w:val="auto"/>
          <w:szCs w:val="21"/>
          <w:highlight w:val="none"/>
        </w:rPr>
        <w:t>调音台、音频处理器</w:t>
      </w:r>
      <w:r>
        <w:rPr>
          <w:rFonts w:hint="eastAsia" w:ascii="宋体" w:hAnsi="宋体" w:cs="宋体"/>
          <w:bCs/>
          <w:color w:val="auto"/>
          <w:kern w:val="0"/>
          <w:szCs w:val="21"/>
          <w:highlight w:val="none"/>
        </w:rPr>
        <w:t>安装在</w:t>
      </w:r>
      <w:r>
        <w:rPr>
          <w:rFonts w:hint="eastAsia"/>
          <w:bCs/>
          <w:color w:val="auto"/>
          <w:highlight w:val="none"/>
        </w:rPr>
        <w:t>控制机房会议</w:t>
      </w:r>
      <w:r>
        <w:rPr>
          <w:bCs/>
          <w:color w:val="auto"/>
          <w:highlight w:val="none"/>
        </w:rPr>
        <w:t>控制台</w:t>
      </w:r>
      <w:r>
        <w:rPr>
          <w:rFonts w:hint="eastAsia" w:ascii="宋体" w:hAnsi="宋体" w:cs="宋体"/>
          <w:bCs/>
          <w:color w:val="auto"/>
          <w:kern w:val="0"/>
          <w:szCs w:val="21"/>
          <w:highlight w:val="none"/>
        </w:rPr>
        <w:t>；无线话筒</w:t>
      </w:r>
      <w:r>
        <w:rPr>
          <w:rFonts w:ascii="宋体" w:hAnsi="宋体" w:cs="宋体"/>
          <w:bCs/>
          <w:color w:val="auto"/>
          <w:kern w:val="0"/>
          <w:szCs w:val="21"/>
          <w:highlight w:val="none"/>
        </w:rPr>
        <w:t>设置于</w:t>
      </w:r>
      <w:r>
        <w:rPr>
          <w:rFonts w:hint="eastAsia" w:ascii="宋体" w:hAnsi="宋体" w:cs="宋体"/>
          <w:bCs/>
          <w:color w:val="auto"/>
          <w:kern w:val="0"/>
          <w:szCs w:val="21"/>
          <w:highlight w:val="none"/>
        </w:rPr>
        <w:t>主席台桌面；</w:t>
      </w:r>
      <w:r>
        <w:rPr>
          <w:rFonts w:hint="eastAsia" w:ascii="宋体" w:hAnsi="宋体" w:cs="宋体"/>
          <w:bCs/>
          <w:color w:val="auto"/>
          <w:szCs w:val="21"/>
          <w:highlight w:val="none"/>
        </w:rPr>
        <w:t>2只主音箱安装在会场前端；4只辅助扩声音箱安装在会场中后部。</w:t>
      </w:r>
    </w:p>
    <w:p w14:paraId="373AA8C1">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3、视频会议系统</w:t>
      </w:r>
    </w:p>
    <w:p w14:paraId="5748970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在本会议室内配置视频</w:t>
      </w:r>
      <w:r>
        <w:rPr>
          <w:rFonts w:ascii="宋体" w:hAnsi="宋体" w:cs="宋体"/>
          <w:bCs/>
          <w:color w:val="auto"/>
          <w:szCs w:val="21"/>
          <w:highlight w:val="none"/>
        </w:rPr>
        <w:t>会议主机、</w:t>
      </w:r>
      <w:r>
        <w:rPr>
          <w:rFonts w:hint="eastAsia" w:ascii="宋体" w:hAnsi="宋体" w:cs="宋体"/>
          <w:bCs/>
          <w:color w:val="auto"/>
          <w:szCs w:val="21"/>
          <w:highlight w:val="none"/>
        </w:rPr>
        <w:t>高清视频终端1台、摄像机1台、配置麦克风1台。</w:t>
      </w:r>
    </w:p>
    <w:p w14:paraId="6313DEC6">
      <w:pPr>
        <w:pStyle w:val="10"/>
        <w:spacing w:before="0" w:after="0" w:line="360" w:lineRule="auto"/>
        <w:ind w:firstLine="643" w:firstLineChars="200"/>
        <w:rPr>
          <w:color w:val="auto"/>
          <w:highlight w:val="none"/>
        </w:rPr>
      </w:pPr>
      <w:r>
        <w:rPr>
          <w:rFonts w:hint="eastAsia"/>
          <w:color w:val="auto"/>
          <w:highlight w:val="none"/>
        </w:rPr>
        <w:t>4.8周界安防工程</w:t>
      </w:r>
    </w:p>
    <w:p w14:paraId="5C16A8E6">
      <w:pPr>
        <w:pStyle w:val="11"/>
        <w:spacing w:before="0" w:after="0" w:line="360" w:lineRule="auto"/>
        <w:ind w:firstLine="562" w:firstLineChars="200"/>
        <w:rPr>
          <w:color w:val="auto"/>
          <w:highlight w:val="none"/>
        </w:rPr>
      </w:pPr>
      <w:r>
        <w:rPr>
          <w:rFonts w:hint="eastAsia"/>
          <w:color w:val="auto"/>
          <w:highlight w:val="none"/>
        </w:rPr>
        <w:t>概述及需求</w:t>
      </w:r>
    </w:p>
    <w:p w14:paraId="7F85F3F1">
      <w:pPr>
        <w:spacing w:line="360" w:lineRule="auto"/>
        <w:ind w:firstLine="420" w:firstLineChars="200"/>
        <w:rPr>
          <w:bCs/>
          <w:color w:val="auto"/>
          <w:highlight w:val="none"/>
        </w:rPr>
      </w:pPr>
      <w:r>
        <w:rPr>
          <w:rFonts w:hint="eastAsia"/>
          <w:bCs/>
          <w:color w:val="auto"/>
          <w:highlight w:val="none"/>
        </w:rPr>
        <w:t>周界安防工程是开封市监狱安防体系的重要组成部分，它主要对企图接近、翻越和破坏周界围栏及建筑物的非法入侵行为及时发出报警信号，通过发出威慑警告并实施打击，及时发现和阻止罪犯逃脱。</w:t>
      </w:r>
    </w:p>
    <w:p w14:paraId="5D0E226E">
      <w:pPr>
        <w:spacing w:line="360" w:lineRule="auto"/>
        <w:ind w:firstLine="420" w:firstLineChars="200"/>
        <w:rPr>
          <w:bCs/>
          <w:color w:val="auto"/>
          <w:highlight w:val="none"/>
        </w:rPr>
      </w:pPr>
      <w:r>
        <w:rPr>
          <w:rFonts w:hint="eastAsia"/>
          <w:bCs/>
          <w:color w:val="auto"/>
          <w:highlight w:val="none"/>
        </w:rPr>
        <w:t>周界安防工程由微振动周界报警系统、微波对射系统、周界高压脉冲电网系统、周界语音广播系统、周界照明系统及周界视频监控系统组成。</w:t>
      </w:r>
    </w:p>
    <w:p w14:paraId="1A5338EB">
      <w:pPr>
        <w:spacing w:line="360" w:lineRule="auto"/>
        <w:ind w:firstLine="420" w:firstLineChars="200"/>
        <w:rPr>
          <w:bCs/>
          <w:color w:val="auto"/>
          <w:highlight w:val="none"/>
        </w:rPr>
      </w:pPr>
      <w:r>
        <w:rPr>
          <w:rFonts w:hint="eastAsia"/>
          <w:bCs/>
          <w:color w:val="auto"/>
          <w:highlight w:val="none"/>
        </w:rPr>
        <w:t>开封市监狱的周界长度为700m，周界的防护内容按照分层次、纵深防御的理念进行规划设计。周界视频监控系统为周界防范提供全方位的图像视频支持，周界区域智能安全防范手段，从内至外共分为三道屏障：第一道：微振动周界报警系统；第二道：微波对射系统；第三道：周界高压脉冲电网系统。</w:t>
      </w:r>
    </w:p>
    <w:p w14:paraId="51A032B8">
      <w:pPr>
        <w:spacing w:line="360" w:lineRule="auto"/>
        <w:ind w:firstLine="420" w:firstLineChars="200"/>
        <w:rPr>
          <w:bCs/>
          <w:color w:val="auto"/>
          <w:highlight w:val="none"/>
        </w:rPr>
      </w:pPr>
      <w:r>
        <w:rPr>
          <w:rFonts w:hint="eastAsia"/>
          <w:bCs/>
          <w:color w:val="auto"/>
          <w:highlight w:val="none"/>
        </w:rPr>
        <w:t>周界安防智能集成平台接收来自周界电网、周界入侵检测（微波对射、微振动）、大门门禁等的报警信号，同时联动周界语音广播、周界照明、周界视频监控等系统，构成开封市监狱周界的整个技防体系。</w:t>
      </w:r>
    </w:p>
    <w:p w14:paraId="0E50CEE9">
      <w:pPr>
        <w:spacing w:line="360" w:lineRule="auto"/>
        <w:ind w:firstLine="420" w:firstLineChars="200"/>
        <w:rPr>
          <w:bCs/>
          <w:color w:val="auto"/>
          <w:highlight w:val="none"/>
        </w:rPr>
      </w:pPr>
      <w:r>
        <w:rPr>
          <w:rFonts w:hint="eastAsia"/>
          <w:bCs/>
          <w:color w:val="auto"/>
          <w:highlight w:val="none"/>
        </w:rPr>
        <w:t>本工程通过与监狱执法警察的人防体系的结合，能够提高预警的应急反应能力，而且还能提供事件发生前后一定时间内的查证资料。从而为监狱提供了更有效的管理手段，大大减轻了监狱监管人员的压力，提高监管的效率和质量。</w:t>
      </w:r>
    </w:p>
    <w:p w14:paraId="0A9FE755">
      <w:pPr>
        <w:pStyle w:val="11"/>
        <w:spacing w:before="0" w:after="0" w:line="360" w:lineRule="auto"/>
        <w:ind w:firstLine="562" w:firstLineChars="200"/>
        <w:rPr>
          <w:color w:val="auto"/>
          <w:highlight w:val="none"/>
        </w:rPr>
      </w:pPr>
      <w:r>
        <w:rPr>
          <w:rFonts w:hint="eastAsia"/>
          <w:color w:val="auto"/>
          <w:highlight w:val="none"/>
        </w:rPr>
        <w:t>4.8.1微振动周界报警系统</w:t>
      </w:r>
    </w:p>
    <w:p w14:paraId="7D0EE51D">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425B04BD">
      <w:pPr>
        <w:pStyle w:val="59"/>
        <w:spacing w:line="360" w:lineRule="auto"/>
        <w:ind w:firstLine="420" w:firstLineChars="200"/>
        <w:rPr>
          <w:bCs/>
          <w:color w:val="auto"/>
          <w:highlight w:val="none"/>
        </w:rPr>
      </w:pPr>
      <w:r>
        <w:rPr>
          <w:rFonts w:hint="eastAsia"/>
          <w:bCs/>
          <w:color w:val="auto"/>
          <w:highlight w:val="none"/>
        </w:rPr>
        <w:t>本系统的探测设备及线缆设备安装在监墙内的隔离网上，可作为一道入侵监测</w:t>
      </w:r>
      <w:r>
        <w:rPr>
          <w:bCs/>
          <w:color w:val="auto"/>
          <w:highlight w:val="none"/>
        </w:rPr>
        <w:t>的电子屏障</w:t>
      </w:r>
      <w:r>
        <w:rPr>
          <w:rFonts w:hint="eastAsia"/>
          <w:bCs/>
          <w:color w:val="auto"/>
          <w:highlight w:val="none"/>
        </w:rPr>
        <w:t>，具有误报率低且</w:t>
      </w:r>
      <w:r>
        <w:rPr>
          <w:bCs/>
          <w:color w:val="auto"/>
          <w:highlight w:val="none"/>
        </w:rPr>
        <w:t>不</w:t>
      </w:r>
      <w:r>
        <w:rPr>
          <w:rFonts w:hint="eastAsia"/>
          <w:bCs/>
          <w:color w:val="auto"/>
          <w:highlight w:val="none"/>
        </w:rPr>
        <w:t>易</w:t>
      </w:r>
      <w:r>
        <w:rPr>
          <w:bCs/>
          <w:color w:val="auto"/>
          <w:highlight w:val="none"/>
        </w:rPr>
        <w:t>受外界极端环境的影响</w:t>
      </w:r>
      <w:r>
        <w:rPr>
          <w:rFonts w:hint="eastAsia"/>
          <w:bCs/>
          <w:color w:val="auto"/>
          <w:highlight w:val="none"/>
        </w:rPr>
        <w:t>的特点</w:t>
      </w:r>
      <w:r>
        <w:rPr>
          <w:bCs/>
          <w:color w:val="auto"/>
          <w:highlight w:val="none"/>
        </w:rPr>
        <w:t>。对企图破坏</w:t>
      </w:r>
      <w:r>
        <w:rPr>
          <w:rFonts w:hint="eastAsia"/>
          <w:bCs/>
          <w:color w:val="auto"/>
          <w:highlight w:val="none"/>
        </w:rPr>
        <w:t>、</w:t>
      </w:r>
      <w:r>
        <w:rPr>
          <w:bCs/>
          <w:color w:val="auto"/>
          <w:highlight w:val="none"/>
        </w:rPr>
        <w:t>翻阅内隔离网的行为进行报警</w:t>
      </w:r>
      <w:r>
        <w:rPr>
          <w:rFonts w:hint="eastAsia"/>
          <w:bCs/>
          <w:color w:val="auto"/>
          <w:highlight w:val="none"/>
        </w:rPr>
        <w:t>。</w:t>
      </w:r>
    </w:p>
    <w:p w14:paraId="73365C07">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3377C2A4">
      <w:pPr>
        <w:spacing w:line="360" w:lineRule="auto"/>
        <w:ind w:firstLine="420" w:firstLineChars="200"/>
        <w:rPr>
          <w:bCs/>
          <w:color w:val="auto"/>
          <w:highlight w:val="none"/>
        </w:rPr>
      </w:pPr>
      <w:r>
        <w:rPr>
          <w:rFonts w:hint="eastAsia"/>
          <w:bCs/>
          <w:color w:val="auto"/>
          <w:highlight w:val="none"/>
        </w:rPr>
        <w:t>本系统由振动入侵探测器、探测器连接电缆、远程控制器、控制主机及软件平台构成，系统架构如下图所示：</w:t>
      </w:r>
    </w:p>
    <w:p w14:paraId="2014CDDF">
      <w:pPr>
        <w:spacing w:line="360" w:lineRule="auto"/>
        <w:ind w:firstLine="420" w:firstLineChars="200"/>
        <w:rPr>
          <w:bCs/>
          <w:color w:val="auto"/>
          <w:highlight w:val="none"/>
        </w:rPr>
      </w:pPr>
      <w:r>
        <w:rPr>
          <w:bCs/>
          <w:color w:val="auto"/>
          <w:highlight w:val="none"/>
        </w:rPr>
        <w:object>
          <v:shape id="_x0000_i1026" o:spt="75" type="#_x0000_t75" style="height:255.6pt;width:414pt;" o:ole="t" filled="f" o:preferrelative="t" stroked="f" coordsize="21600,21600">
            <v:path/>
            <v:fill on="f" focussize="0,0"/>
            <v:stroke on="f"/>
            <v:imagedata r:id="rId27" embosscolor="#FFFFFF" o:title=""/>
            <o:lock v:ext="edit" grouping="f" rotation="f" text="f" aspectratio="t"/>
            <w10:wrap type="none"/>
            <w10:anchorlock/>
          </v:shape>
          <o:OLEObject Type="Embed" ProgID="Visio.Drawing.11" ShapeID="_x0000_i1026" DrawAspect="Content" ObjectID="_1468075726" r:id="rId26">
            <o:LockedField>false</o:LockedField>
          </o:OLEObject>
        </w:object>
      </w:r>
    </w:p>
    <w:p w14:paraId="55B45F9B">
      <w:pPr>
        <w:spacing w:line="360" w:lineRule="auto"/>
        <w:ind w:firstLine="420" w:firstLineChars="200"/>
        <w:rPr>
          <w:bCs/>
          <w:color w:val="auto"/>
          <w:highlight w:val="none"/>
        </w:rPr>
      </w:pPr>
      <w:r>
        <w:rPr>
          <w:rFonts w:hint="eastAsia"/>
          <w:bCs/>
          <w:color w:val="auto"/>
          <w:highlight w:val="none"/>
        </w:rPr>
        <w:t>根据开封市</w:t>
      </w:r>
      <w:r>
        <w:rPr>
          <w:bCs/>
          <w:color w:val="auto"/>
          <w:highlight w:val="none"/>
        </w:rPr>
        <w:t>监狱内隔离网长度</w:t>
      </w:r>
      <w:r>
        <w:rPr>
          <w:rFonts w:hint="eastAsia"/>
          <w:bCs/>
          <w:color w:val="auto"/>
          <w:highlight w:val="none"/>
        </w:rPr>
        <w:t>规划设计</w:t>
      </w:r>
      <w:r>
        <w:rPr>
          <w:bCs/>
          <w:color w:val="auto"/>
          <w:highlight w:val="none"/>
        </w:rPr>
        <w:t>12</w:t>
      </w:r>
      <w:r>
        <w:rPr>
          <w:rFonts w:hint="eastAsia"/>
          <w:bCs/>
          <w:color w:val="auto"/>
          <w:highlight w:val="none"/>
        </w:rPr>
        <w:t>个</w:t>
      </w:r>
      <w:r>
        <w:rPr>
          <w:bCs/>
          <w:color w:val="auto"/>
          <w:highlight w:val="none"/>
        </w:rPr>
        <w:t>防区</w:t>
      </w:r>
      <w:r>
        <w:rPr>
          <w:rFonts w:hint="eastAsia"/>
          <w:bCs/>
          <w:color w:val="auto"/>
          <w:highlight w:val="none"/>
        </w:rPr>
        <w:t>，单防区长度≤</w:t>
      </w:r>
      <w:r>
        <w:rPr>
          <w:bCs/>
          <w:color w:val="auto"/>
          <w:highlight w:val="none"/>
        </w:rPr>
        <w:t>50</w:t>
      </w:r>
      <w:r>
        <w:rPr>
          <w:rFonts w:hint="eastAsia"/>
          <w:bCs/>
          <w:color w:val="auto"/>
          <w:highlight w:val="none"/>
        </w:rPr>
        <w:t>m，每个防区设置一台声光报警器，本系统探测出某防区有入侵行为后给控制主机发出报警信号，报警信号通过安防集成平台联动声光报警器进行声光报警。</w:t>
      </w:r>
    </w:p>
    <w:p w14:paraId="03D7E9EC">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150E7274">
      <w:pPr>
        <w:spacing w:line="360" w:lineRule="auto"/>
        <w:ind w:firstLine="420" w:firstLineChars="200"/>
        <w:rPr>
          <w:bCs/>
          <w:color w:val="auto"/>
          <w:highlight w:val="none"/>
        </w:rPr>
      </w:pPr>
      <w:r>
        <w:rPr>
          <w:rFonts w:hint="eastAsia"/>
          <w:bCs/>
          <w:color w:val="auto"/>
          <w:highlight w:val="none"/>
        </w:rPr>
        <w:t>本系统基于时域反射波技术进行设计，工作原理如下：每个</w:t>
      </w:r>
      <w:r>
        <w:rPr>
          <w:bCs/>
          <w:color w:val="auto"/>
          <w:highlight w:val="none"/>
        </w:rPr>
        <w:t>远程控制装置不停的向感应线发出电脉冲</w:t>
      </w:r>
      <w:r>
        <w:rPr>
          <w:rFonts w:hint="eastAsia"/>
          <w:bCs/>
          <w:color w:val="auto"/>
          <w:highlight w:val="none"/>
        </w:rPr>
        <w:t>，</w:t>
      </w:r>
      <w:r>
        <w:rPr>
          <w:bCs/>
          <w:color w:val="auto"/>
          <w:highlight w:val="none"/>
        </w:rPr>
        <w:t>当入侵行为发生时，将被最近的感应器发出的反射波检测到</w:t>
      </w:r>
      <w:r>
        <w:rPr>
          <w:rFonts w:hint="eastAsia"/>
          <w:bCs/>
          <w:color w:val="auto"/>
          <w:highlight w:val="none"/>
        </w:rPr>
        <w:t>，然后通过</w:t>
      </w:r>
      <w:r>
        <w:rPr>
          <w:bCs/>
          <w:color w:val="auto"/>
          <w:highlight w:val="none"/>
        </w:rPr>
        <w:t>电子脉冲发出至反射回所用的延误时间长短</w:t>
      </w:r>
      <w:r>
        <w:rPr>
          <w:rFonts w:hint="eastAsia"/>
          <w:bCs/>
          <w:color w:val="auto"/>
          <w:highlight w:val="none"/>
        </w:rPr>
        <w:t>来</w:t>
      </w:r>
      <w:r>
        <w:rPr>
          <w:bCs/>
          <w:color w:val="auto"/>
          <w:highlight w:val="none"/>
        </w:rPr>
        <w:t>定位入侵点</w:t>
      </w:r>
      <w:r>
        <w:rPr>
          <w:rFonts w:hint="eastAsia"/>
          <w:bCs/>
          <w:color w:val="auto"/>
          <w:highlight w:val="none"/>
        </w:rPr>
        <w:t>的具体位置</w:t>
      </w:r>
      <w:r>
        <w:rPr>
          <w:bCs/>
          <w:color w:val="auto"/>
          <w:highlight w:val="none"/>
        </w:rPr>
        <w:t>，</w:t>
      </w:r>
      <w:r>
        <w:rPr>
          <w:rFonts w:hint="eastAsia"/>
          <w:bCs/>
          <w:color w:val="auto"/>
          <w:highlight w:val="none"/>
        </w:rPr>
        <w:t>定位精度</w:t>
      </w:r>
      <w:r>
        <w:rPr>
          <w:bCs/>
          <w:color w:val="auto"/>
          <w:highlight w:val="none"/>
        </w:rPr>
        <w:t>在10m</w:t>
      </w:r>
      <w:r>
        <w:rPr>
          <w:rFonts w:hint="eastAsia"/>
          <w:bCs/>
          <w:color w:val="auto"/>
          <w:highlight w:val="none"/>
        </w:rPr>
        <w:t>以内</w:t>
      </w:r>
      <w:r>
        <w:rPr>
          <w:bCs/>
          <w:color w:val="auto"/>
          <w:highlight w:val="none"/>
        </w:rPr>
        <w:t>。远程控制器左右可管理</w:t>
      </w:r>
      <w:r>
        <w:rPr>
          <w:rFonts w:hint="eastAsia"/>
          <w:bCs/>
          <w:color w:val="auto"/>
          <w:highlight w:val="none"/>
        </w:rPr>
        <w:t>各</w:t>
      </w:r>
      <w:r>
        <w:rPr>
          <w:bCs/>
          <w:color w:val="auto"/>
          <w:highlight w:val="none"/>
        </w:rPr>
        <w:t>7</w:t>
      </w:r>
      <w:r>
        <w:rPr>
          <w:rFonts w:hint="eastAsia"/>
          <w:bCs/>
          <w:color w:val="auto"/>
          <w:highlight w:val="none"/>
        </w:rPr>
        <w:t>0</w:t>
      </w:r>
      <w:r>
        <w:rPr>
          <w:bCs/>
          <w:color w:val="auto"/>
          <w:highlight w:val="none"/>
        </w:rPr>
        <w:t>0m</w:t>
      </w:r>
      <w:r>
        <w:rPr>
          <w:rFonts w:hint="eastAsia"/>
          <w:bCs/>
          <w:color w:val="auto"/>
          <w:highlight w:val="none"/>
        </w:rPr>
        <w:t>的范围，且可以与控制主机通讯实现判断、灵敏度自动调整、电子地图定位、联动报警等功能。</w:t>
      </w:r>
    </w:p>
    <w:p w14:paraId="6D7C4F70">
      <w:pPr>
        <w:spacing w:line="360" w:lineRule="auto"/>
        <w:ind w:firstLine="420" w:firstLineChars="200"/>
        <w:rPr>
          <w:bCs/>
          <w:color w:val="auto"/>
          <w:highlight w:val="none"/>
        </w:rPr>
      </w:pPr>
      <w:r>
        <w:rPr>
          <w:rFonts w:hint="eastAsia"/>
          <w:bCs/>
          <w:color w:val="auto"/>
          <w:highlight w:val="none"/>
        </w:rPr>
        <w:t>根据周界的长度700m，将远程控制器设置于大门处的隔离网上，左右各管理一半的隔离网。振动入侵探测器以2.5m的间距固定于隔离网上，通过探测器连接电缆进行手拉手连接后汇集到远程控制器；远程控制器通过光缆接入电子狱务专网，最后通过设置于监狱指挥中心的控制主机进行统一管理。</w:t>
      </w:r>
    </w:p>
    <w:p w14:paraId="6A9C75F6">
      <w:pPr>
        <w:spacing w:line="360" w:lineRule="auto"/>
        <w:ind w:firstLine="420" w:firstLineChars="200"/>
        <w:rPr>
          <w:bCs/>
          <w:color w:val="auto"/>
          <w:highlight w:val="none"/>
        </w:rPr>
      </w:pPr>
      <w:r>
        <w:rPr>
          <w:rFonts w:hint="eastAsia"/>
          <w:bCs/>
          <w:color w:val="auto"/>
          <w:highlight w:val="none"/>
        </w:rPr>
        <w:t>本系统可实现如下功能：</w:t>
      </w:r>
    </w:p>
    <w:p w14:paraId="53F84BC9">
      <w:pPr>
        <w:numPr>
          <w:ilvl w:val="0"/>
          <w:numId w:val="10"/>
        </w:numPr>
        <w:spacing w:line="360" w:lineRule="auto"/>
        <w:ind w:left="0" w:firstLine="420" w:firstLineChars="200"/>
        <w:rPr>
          <w:bCs/>
          <w:color w:val="auto"/>
          <w:highlight w:val="none"/>
        </w:rPr>
      </w:pPr>
      <w:r>
        <w:rPr>
          <w:rFonts w:hint="eastAsia"/>
          <w:bCs/>
          <w:color w:val="auto"/>
          <w:highlight w:val="none"/>
        </w:rPr>
        <w:t>有效的防范犯罪分子非法翻越隔离围栏进入禁区；</w:t>
      </w:r>
    </w:p>
    <w:p w14:paraId="33088617">
      <w:pPr>
        <w:numPr>
          <w:ilvl w:val="0"/>
          <w:numId w:val="10"/>
        </w:numPr>
        <w:spacing w:line="360" w:lineRule="auto"/>
        <w:ind w:left="0" w:firstLine="420" w:firstLineChars="200"/>
        <w:rPr>
          <w:bCs/>
          <w:color w:val="auto"/>
          <w:highlight w:val="none"/>
        </w:rPr>
      </w:pPr>
      <w:r>
        <w:rPr>
          <w:rFonts w:hint="eastAsia"/>
          <w:bCs/>
          <w:color w:val="auto"/>
          <w:highlight w:val="none"/>
        </w:rPr>
        <w:t>防止犯罪分子剪切铁丝围栏；</w:t>
      </w:r>
    </w:p>
    <w:p w14:paraId="4D8EAE41">
      <w:pPr>
        <w:numPr>
          <w:ilvl w:val="0"/>
          <w:numId w:val="10"/>
        </w:numPr>
        <w:spacing w:line="360" w:lineRule="auto"/>
        <w:ind w:left="0" w:firstLine="420" w:firstLineChars="200"/>
        <w:rPr>
          <w:bCs/>
          <w:color w:val="auto"/>
          <w:highlight w:val="none"/>
        </w:rPr>
      </w:pPr>
      <w:r>
        <w:rPr>
          <w:rFonts w:hint="eastAsia"/>
          <w:bCs/>
          <w:color w:val="auto"/>
          <w:highlight w:val="none"/>
        </w:rPr>
        <w:t>在有罪犯非法翻越或剪切隔离网时，能快速告诉各哨位该罪犯的具体位置；</w:t>
      </w:r>
    </w:p>
    <w:p w14:paraId="04501A22">
      <w:pPr>
        <w:numPr>
          <w:ilvl w:val="0"/>
          <w:numId w:val="10"/>
        </w:numPr>
        <w:spacing w:line="360" w:lineRule="auto"/>
        <w:ind w:left="0" w:firstLine="420" w:firstLineChars="200"/>
        <w:rPr>
          <w:bCs/>
          <w:color w:val="auto"/>
          <w:highlight w:val="none"/>
        </w:rPr>
      </w:pPr>
      <w:r>
        <w:rPr>
          <w:rFonts w:hint="eastAsia"/>
          <w:bCs/>
          <w:color w:val="auto"/>
          <w:highlight w:val="none"/>
        </w:rPr>
        <w:t>系统能够在恶劣环境中全天候正常使用。</w:t>
      </w:r>
    </w:p>
    <w:p w14:paraId="543A159A">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380BB50C">
      <w:pPr>
        <w:spacing w:line="360" w:lineRule="auto"/>
        <w:ind w:firstLine="420" w:firstLineChars="200"/>
        <w:rPr>
          <w:bCs/>
          <w:color w:val="auto"/>
          <w:highlight w:val="none"/>
        </w:rPr>
      </w:pPr>
      <w:r>
        <w:rPr>
          <w:rFonts w:hint="eastAsia"/>
          <w:bCs/>
          <w:color w:val="auto"/>
          <w:highlight w:val="none"/>
        </w:rPr>
        <w:t>（1）控制主机</w:t>
      </w:r>
    </w:p>
    <w:p w14:paraId="6128FF66">
      <w:pPr>
        <w:spacing w:line="360" w:lineRule="auto"/>
        <w:ind w:firstLine="420" w:firstLineChars="200"/>
        <w:rPr>
          <w:bCs/>
          <w:color w:val="auto"/>
          <w:highlight w:val="none"/>
        </w:rPr>
      </w:pPr>
      <w:r>
        <w:rPr>
          <w:rFonts w:hint="eastAsia"/>
          <w:bCs/>
          <w:color w:val="auto"/>
          <w:highlight w:val="none"/>
        </w:rPr>
        <w:t>控制主机安装在指挥中心，系统管理软件在控制主机上进行部署。</w:t>
      </w:r>
    </w:p>
    <w:p w14:paraId="075A3849">
      <w:pPr>
        <w:spacing w:line="360" w:lineRule="auto"/>
        <w:ind w:firstLine="420" w:firstLineChars="200"/>
        <w:rPr>
          <w:bCs/>
          <w:color w:val="auto"/>
          <w:highlight w:val="none"/>
        </w:rPr>
      </w:pPr>
      <w:r>
        <w:rPr>
          <w:rFonts w:hint="eastAsia"/>
          <w:bCs/>
          <w:color w:val="auto"/>
          <w:highlight w:val="none"/>
        </w:rPr>
        <w:t>（2）远程控制器</w:t>
      </w:r>
    </w:p>
    <w:p w14:paraId="7992336B">
      <w:pPr>
        <w:spacing w:line="360" w:lineRule="auto"/>
        <w:ind w:firstLine="420" w:firstLineChars="200"/>
        <w:rPr>
          <w:bCs/>
          <w:color w:val="auto"/>
          <w:highlight w:val="none"/>
        </w:rPr>
      </w:pPr>
      <w:r>
        <w:rPr>
          <w:rFonts w:hint="eastAsia"/>
          <w:bCs/>
          <w:color w:val="auto"/>
          <w:highlight w:val="none"/>
        </w:rPr>
        <w:t>远程控制器安装在室外监狱大门处的隔离网上，安装高度底边距地1.5m。为了方便和控制主机连接，在远程控制器附近安装一组三芯电源插座，上面一芯为保护地线，下面两芯左零右火。</w:t>
      </w:r>
    </w:p>
    <w:p w14:paraId="7911D40A">
      <w:pPr>
        <w:spacing w:line="360" w:lineRule="auto"/>
        <w:ind w:firstLine="420" w:firstLineChars="200"/>
        <w:jc w:val="center"/>
        <w:rPr>
          <w:bCs/>
          <w:color w:val="auto"/>
          <w:highlight w:val="none"/>
        </w:rPr>
      </w:pPr>
      <w:r>
        <w:rPr>
          <w:bCs/>
          <w:color w:val="auto"/>
          <w:highlight w:val="none"/>
        </w:rPr>
        <w:drawing>
          <wp:inline distT="0" distB="0" distL="114300" distR="114300">
            <wp:extent cx="3764280" cy="2659380"/>
            <wp:effectExtent l="0" t="0" r="7620" b="7620"/>
            <wp:docPr id="12" name="图片 14" descr="说明: QQ截图2013032711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说明: QQ截图20130327111922"/>
                    <pic:cNvPicPr>
                      <a:picLocks noChangeAspect="1"/>
                    </pic:cNvPicPr>
                  </pic:nvPicPr>
                  <pic:blipFill>
                    <a:blip r:embed="rId28"/>
                    <a:stretch>
                      <a:fillRect/>
                    </a:stretch>
                  </pic:blipFill>
                  <pic:spPr>
                    <a:xfrm>
                      <a:off x="0" y="0"/>
                      <a:ext cx="3764280" cy="2659380"/>
                    </a:xfrm>
                    <a:prstGeom prst="rect">
                      <a:avLst/>
                    </a:prstGeom>
                    <a:noFill/>
                    <a:ln>
                      <a:noFill/>
                    </a:ln>
                  </pic:spPr>
                </pic:pic>
              </a:graphicData>
            </a:graphic>
          </wp:inline>
        </w:drawing>
      </w:r>
    </w:p>
    <w:p w14:paraId="3161F80F">
      <w:pPr>
        <w:spacing w:line="360" w:lineRule="auto"/>
        <w:ind w:firstLine="420" w:firstLineChars="200"/>
        <w:rPr>
          <w:bCs/>
          <w:color w:val="auto"/>
          <w:highlight w:val="none"/>
        </w:rPr>
      </w:pPr>
      <w:r>
        <w:rPr>
          <w:rFonts w:hint="eastAsia"/>
          <w:bCs/>
          <w:color w:val="auto"/>
          <w:highlight w:val="none"/>
        </w:rPr>
        <w:t>（3）控制主机与远程控制器的连接</w:t>
      </w:r>
    </w:p>
    <w:p w14:paraId="4B63E94C">
      <w:pPr>
        <w:spacing w:line="360" w:lineRule="auto"/>
        <w:ind w:firstLine="420" w:firstLineChars="200"/>
        <w:rPr>
          <w:bCs/>
          <w:color w:val="auto"/>
          <w:highlight w:val="none"/>
        </w:rPr>
      </w:pPr>
      <w:r>
        <w:rPr>
          <w:rFonts w:hint="eastAsia"/>
          <w:bCs/>
          <w:color w:val="auto"/>
          <w:highlight w:val="none"/>
        </w:rPr>
        <w:t>利用现有的电子狱务专网进行连接，沿室外管网自远程控制器至监狱大门数据中心机房敷设一根室外单模6芯光缆。</w:t>
      </w:r>
    </w:p>
    <w:p w14:paraId="77C84FBD">
      <w:pPr>
        <w:spacing w:line="360" w:lineRule="auto"/>
        <w:ind w:firstLine="420" w:firstLineChars="200"/>
        <w:rPr>
          <w:bCs/>
          <w:color w:val="auto"/>
          <w:highlight w:val="none"/>
        </w:rPr>
      </w:pPr>
      <w:r>
        <w:rPr>
          <w:rFonts w:hint="eastAsia"/>
          <w:bCs/>
          <w:color w:val="auto"/>
          <w:highlight w:val="none"/>
        </w:rPr>
        <w:t>（4）振动入侵探测器</w:t>
      </w:r>
    </w:p>
    <w:p w14:paraId="261066BE">
      <w:pPr>
        <w:spacing w:line="360" w:lineRule="auto"/>
        <w:ind w:firstLine="420" w:firstLineChars="200"/>
        <w:rPr>
          <w:bCs/>
          <w:color w:val="auto"/>
          <w:highlight w:val="none"/>
        </w:rPr>
      </w:pPr>
      <w:r>
        <w:rPr>
          <w:rFonts w:hint="eastAsia"/>
          <w:bCs/>
          <w:color w:val="auto"/>
          <w:highlight w:val="none"/>
        </w:rPr>
        <w:t>振动入侵探测器通过卡片固定在隔离网上，安装时应垂直固定，倾斜角度30度。探测器线缆的安装要拉直，并用绑线固定在隔离网上。具体安装如下图所示：</w:t>
      </w:r>
    </w:p>
    <w:p w14:paraId="20AB7BBA">
      <w:pPr>
        <w:spacing w:line="360" w:lineRule="auto"/>
        <w:ind w:firstLine="420" w:firstLineChars="200"/>
        <w:jc w:val="center"/>
        <w:rPr>
          <w:bCs/>
          <w:color w:val="auto"/>
          <w:highlight w:val="none"/>
        </w:rPr>
      </w:pPr>
      <w:r>
        <w:rPr>
          <w:bCs/>
          <w:color w:val="auto"/>
          <w:highlight w:val="none"/>
        </w:rPr>
        <w:drawing>
          <wp:inline distT="0" distB="0" distL="114300" distR="114300">
            <wp:extent cx="1882140" cy="1912620"/>
            <wp:effectExtent l="0" t="0" r="3810" b="11430"/>
            <wp:docPr id="13" name="图片 15" descr="说明: QQ截图2013032510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说明: QQ截图20130325104438"/>
                    <pic:cNvPicPr>
                      <a:picLocks noChangeAspect="1"/>
                    </pic:cNvPicPr>
                  </pic:nvPicPr>
                  <pic:blipFill>
                    <a:blip r:embed="rId29"/>
                    <a:stretch>
                      <a:fillRect/>
                    </a:stretch>
                  </pic:blipFill>
                  <pic:spPr>
                    <a:xfrm>
                      <a:off x="0" y="0"/>
                      <a:ext cx="1882140" cy="1912620"/>
                    </a:xfrm>
                    <a:prstGeom prst="rect">
                      <a:avLst/>
                    </a:prstGeom>
                    <a:noFill/>
                    <a:ln>
                      <a:noFill/>
                    </a:ln>
                  </pic:spPr>
                </pic:pic>
              </a:graphicData>
            </a:graphic>
          </wp:inline>
        </w:drawing>
      </w:r>
      <w:r>
        <w:rPr>
          <w:rFonts w:hint="eastAsia"/>
          <w:bCs/>
          <w:color w:val="auto"/>
          <w:highlight w:val="none"/>
        </w:rPr>
        <w:t xml:space="preserve">   </w:t>
      </w:r>
      <w:r>
        <w:rPr>
          <w:bCs/>
          <w:color w:val="auto"/>
          <w:highlight w:val="none"/>
        </w:rPr>
        <w:drawing>
          <wp:inline distT="0" distB="0" distL="114300" distR="114300">
            <wp:extent cx="1866900" cy="1905000"/>
            <wp:effectExtent l="0" t="0" r="0" b="0"/>
            <wp:docPr id="14" name="图片 16" descr="说明: QQ截图2013032510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说明: QQ截图20130325105009"/>
                    <pic:cNvPicPr>
                      <a:picLocks noChangeAspect="1"/>
                    </pic:cNvPicPr>
                  </pic:nvPicPr>
                  <pic:blipFill>
                    <a:blip r:embed="rId30"/>
                    <a:stretch>
                      <a:fillRect/>
                    </a:stretch>
                  </pic:blipFill>
                  <pic:spPr>
                    <a:xfrm>
                      <a:off x="0" y="0"/>
                      <a:ext cx="1866900" cy="1905000"/>
                    </a:xfrm>
                    <a:prstGeom prst="rect">
                      <a:avLst/>
                    </a:prstGeom>
                    <a:noFill/>
                    <a:ln>
                      <a:noFill/>
                    </a:ln>
                  </pic:spPr>
                </pic:pic>
              </a:graphicData>
            </a:graphic>
          </wp:inline>
        </w:drawing>
      </w:r>
    </w:p>
    <w:p w14:paraId="0C4D2555">
      <w:pPr>
        <w:spacing w:line="360" w:lineRule="auto"/>
        <w:ind w:firstLine="420" w:firstLineChars="200"/>
        <w:jc w:val="center"/>
        <w:rPr>
          <w:bCs/>
          <w:color w:val="auto"/>
          <w:highlight w:val="none"/>
        </w:rPr>
      </w:pPr>
      <w:r>
        <w:rPr>
          <w:bCs/>
          <w:color w:val="auto"/>
          <w:highlight w:val="none"/>
        </w:rPr>
        <w:drawing>
          <wp:inline distT="0" distB="0" distL="114300" distR="114300">
            <wp:extent cx="3962400" cy="3726180"/>
            <wp:effectExtent l="0" t="0" r="0" b="7620"/>
            <wp:docPr id="15" name="图片 17" descr="说明: QQ截图2013032510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descr="说明: QQ截图20130325105955"/>
                    <pic:cNvPicPr>
                      <a:picLocks noChangeAspect="1"/>
                    </pic:cNvPicPr>
                  </pic:nvPicPr>
                  <pic:blipFill>
                    <a:blip r:embed="rId31"/>
                    <a:stretch>
                      <a:fillRect/>
                    </a:stretch>
                  </pic:blipFill>
                  <pic:spPr>
                    <a:xfrm>
                      <a:off x="0" y="0"/>
                      <a:ext cx="3962400" cy="3726180"/>
                    </a:xfrm>
                    <a:prstGeom prst="rect">
                      <a:avLst/>
                    </a:prstGeom>
                    <a:noFill/>
                    <a:ln>
                      <a:noFill/>
                    </a:ln>
                  </pic:spPr>
                </pic:pic>
              </a:graphicData>
            </a:graphic>
          </wp:inline>
        </w:drawing>
      </w:r>
    </w:p>
    <w:p w14:paraId="5451CAD7">
      <w:pPr>
        <w:spacing w:line="360" w:lineRule="auto"/>
        <w:ind w:firstLine="420" w:firstLineChars="200"/>
        <w:rPr>
          <w:bCs/>
          <w:color w:val="auto"/>
          <w:highlight w:val="none"/>
        </w:rPr>
      </w:pPr>
      <w:r>
        <w:rPr>
          <w:rFonts w:hint="eastAsia"/>
          <w:bCs/>
          <w:color w:val="auto"/>
          <w:highlight w:val="none"/>
        </w:rPr>
        <w:t>（</w:t>
      </w:r>
      <w:r>
        <w:rPr>
          <w:bCs/>
          <w:color w:val="auto"/>
          <w:highlight w:val="none"/>
        </w:rPr>
        <w:t>5</w:t>
      </w:r>
      <w:r>
        <w:rPr>
          <w:rFonts w:hint="eastAsia"/>
          <w:bCs/>
          <w:color w:val="auto"/>
          <w:highlight w:val="none"/>
        </w:rPr>
        <w:t>）声光报警器</w:t>
      </w:r>
    </w:p>
    <w:p w14:paraId="235375D1">
      <w:pPr>
        <w:spacing w:line="360" w:lineRule="auto"/>
        <w:ind w:firstLine="420" w:firstLineChars="200"/>
        <w:rPr>
          <w:bCs/>
          <w:color w:val="auto"/>
          <w:highlight w:val="none"/>
        </w:rPr>
      </w:pPr>
      <w:r>
        <w:rPr>
          <w:bCs/>
          <w:color w:val="auto"/>
          <w:highlight w:val="none"/>
        </w:rPr>
        <w:t>在东南西北内隔离网上</w:t>
      </w:r>
      <w:r>
        <w:rPr>
          <w:rFonts w:hint="eastAsia"/>
          <w:bCs/>
          <w:color w:val="auto"/>
          <w:highlight w:val="none"/>
        </w:rPr>
        <w:t>，</w:t>
      </w:r>
      <w:r>
        <w:rPr>
          <w:bCs/>
          <w:color w:val="auto"/>
          <w:highlight w:val="none"/>
        </w:rPr>
        <w:t>各装</w:t>
      </w:r>
      <w:r>
        <w:rPr>
          <w:rFonts w:hint="eastAsia"/>
          <w:bCs/>
          <w:color w:val="auto"/>
          <w:highlight w:val="none"/>
        </w:rPr>
        <w:t>2套声光报警器，周界各防区所有报警信号均可触发声光报警器。</w:t>
      </w:r>
    </w:p>
    <w:p w14:paraId="4CDB0CFD">
      <w:pPr>
        <w:pStyle w:val="11"/>
        <w:spacing w:before="0" w:after="0" w:line="360" w:lineRule="auto"/>
        <w:ind w:firstLine="562" w:firstLineChars="200"/>
        <w:rPr>
          <w:color w:val="auto"/>
          <w:highlight w:val="none"/>
        </w:rPr>
      </w:pPr>
      <w:r>
        <w:rPr>
          <w:rFonts w:hint="eastAsia"/>
          <w:color w:val="auto"/>
          <w:highlight w:val="none"/>
        </w:rPr>
        <w:t>4.8.2</w:t>
      </w:r>
      <w:r>
        <w:rPr>
          <w:color w:val="auto"/>
          <w:highlight w:val="none"/>
        </w:rPr>
        <w:t>微波对射系统</w:t>
      </w:r>
    </w:p>
    <w:p w14:paraId="7B58CAED">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52BA52C0">
      <w:pPr>
        <w:spacing w:line="360" w:lineRule="auto"/>
        <w:ind w:firstLine="420" w:firstLineChars="200"/>
        <w:rPr>
          <w:color w:val="auto"/>
          <w:highlight w:val="none"/>
        </w:rPr>
      </w:pPr>
      <w:r>
        <w:rPr>
          <w:rFonts w:hint="eastAsia"/>
          <w:color w:val="auto"/>
          <w:highlight w:val="none"/>
        </w:rPr>
        <w:t>微波对射系统是在微波发射器和接收器之间形成三维立体的不可见微波探测区域，利用场干扰原理或波束阻断式原理来探测，当有人闯入遮断微波探测波束时产生告警信号。</w:t>
      </w:r>
    </w:p>
    <w:p w14:paraId="318F1572">
      <w:pPr>
        <w:spacing w:line="360" w:lineRule="auto"/>
        <w:ind w:firstLine="420" w:firstLineChars="200"/>
        <w:rPr>
          <w:color w:val="auto"/>
          <w:highlight w:val="none"/>
        </w:rPr>
      </w:pPr>
      <w:r>
        <w:rPr>
          <w:color w:val="auto"/>
          <w:highlight w:val="none"/>
        </w:rPr>
        <w:t>在围墙内侧至内隔离网区域及人行</w:t>
      </w:r>
      <w:r>
        <w:rPr>
          <w:rFonts w:hint="eastAsia"/>
          <w:color w:val="auto"/>
          <w:highlight w:val="none"/>
        </w:rPr>
        <w:t>、</w:t>
      </w:r>
      <w:r>
        <w:rPr>
          <w:color w:val="auto"/>
          <w:highlight w:val="none"/>
        </w:rPr>
        <w:t>车行</w:t>
      </w:r>
      <w:r>
        <w:rPr>
          <w:rFonts w:hint="eastAsia"/>
          <w:color w:val="auto"/>
          <w:highlight w:val="none"/>
        </w:rPr>
        <w:t>、</w:t>
      </w:r>
      <w:r>
        <w:rPr>
          <w:color w:val="auto"/>
          <w:highlight w:val="none"/>
        </w:rPr>
        <w:t>会见通道分防区安装微波对射系统</w:t>
      </w:r>
      <w:r>
        <w:rPr>
          <w:rFonts w:hint="eastAsia"/>
          <w:color w:val="auto"/>
          <w:highlight w:val="none"/>
        </w:rPr>
        <w:t>，</w:t>
      </w:r>
      <w:r>
        <w:rPr>
          <w:color w:val="auto"/>
          <w:highlight w:val="none"/>
        </w:rPr>
        <w:t>实现对侵入该区域的动态物体进行报警</w:t>
      </w:r>
      <w:r>
        <w:rPr>
          <w:rFonts w:hint="eastAsia"/>
          <w:color w:val="auto"/>
          <w:highlight w:val="none"/>
        </w:rPr>
        <w:t>，</w:t>
      </w:r>
      <w:r>
        <w:rPr>
          <w:color w:val="auto"/>
          <w:highlight w:val="none"/>
        </w:rPr>
        <w:t>并能与周界其他系统实现联动</w:t>
      </w:r>
      <w:r>
        <w:rPr>
          <w:rFonts w:hint="eastAsia"/>
          <w:color w:val="auto"/>
          <w:highlight w:val="none"/>
        </w:rPr>
        <w:t>。</w:t>
      </w:r>
    </w:p>
    <w:p w14:paraId="5CFF5234">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0D85D0C4">
      <w:pPr>
        <w:spacing w:line="360" w:lineRule="auto"/>
        <w:ind w:firstLine="420" w:firstLineChars="200"/>
        <w:rPr>
          <w:color w:val="auto"/>
          <w:highlight w:val="none"/>
        </w:rPr>
      </w:pPr>
      <w:r>
        <w:rPr>
          <w:rFonts w:hint="eastAsia"/>
          <w:color w:val="auto"/>
          <w:highlight w:val="none"/>
        </w:rPr>
        <w:t>微波对射探测系统由微波对射探头（安装于周界隔离区内）和报警主机（安装于大门三层指挥中心）及相关辅助设备（显示地图、警号、探头支架等）构成。</w:t>
      </w:r>
    </w:p>
    <w:p w14:paraId="60DE4CFC">
      <w:pPr>
        <w:spacing w:line="360" w:lineRule="auto"/>
        <w:ind w:firstLine="420" w:firstLineChars="200"/>
        <w:rPr>
          <w:color w:val="auto"/>
          <w:highlight w:val="none"/>
        </w:rPr>
      </w:pPr>
      <w:r>
        <w:rPr>
          <w:rFonts w:hint="eastAsia"/>
          <w:color w:val="auto"/>
          <w:highlight w:val="none"/>
        </w:rPr>
        <w:t>系统架构如下图所示：</w:t>
      </w:r>
    </w:p>
    <w:p w14:paraId="632F80AC">
      <w:pPr>
        <w:spacing w:line="360" w:lineRule="auto"/>
        <w:ind w:firstLine="420" w:firstLineChars="200"/>
        <w:jc w:val="center"/>
        <w:rPr>
          <w:color w:val="auto"/>
          <w:highlight w:val="none"/>
        </w:rPr>
      </w:pPr>
      <w:r>
        <w:rPr>
          <w:color w:val="auto"/>
          <w:highlight w:val="none"/>
        </w:rPr>
        <w:drawing>
          <wp:inline distT="0" distB="0" distL="114300" distR="114300">
            <wp:extent cx="4267200" cy="2743200"/>
            <wp:effectExtent l="0" t="0" r="0" b="0"/>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8"/>
                    <pic:cNvPicPr>
                      <a:picLocks noChangeAspect="1"/>
                    </pic:cNvPicPr>
                  </pic:nvPicPr>
                  <pic:blipFill>
                    <a:blip r:embed="rId32"/>
                    <a:stretch>
                      <a:fillRect/>
                    </a:stretch>
                  </pic:blipFill>
                  <pic:spPr>
                    <a:xfrm>
                      <a:off x="0" y="0"/>
                      <a:ext cx="4267200" cy="2743200"/>
                    </a:xfrm>
                    <a:prstGeom prst="rect">
                      <a:avLst/>
                    </a:prstGeom>
                    <a:noFill/>
                    <a:ln>
                      <a:noFill/>
                    </a:ln>
                  </pic:spPr>
                </pic:pic>
              </a:graphicData>
            </a:graphic>
          </wp:inline>
        </w:drawing>
      </w:r>
    </w:p>
    <w:p w14:paraId="02C770DD">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2AE53E0F">
      <w:pPr>
        <w:spacing w:line="360" w:lineRule="auto"/>
        <w:ind w:firstLine="420" w:firstLineChars="200"/>
        <w:rPr>
          <w:color w:val="auto"/>
          <w:highlight w:val="none"/>
        </w:rPr>
      </w:pPr>
      <w:r>
        <w:rPr>
          <w:rFonts w:hint="eastAsia"/>
          <w:color w:val="auto"/>
          <w:highlight w:val="none"/>
        </w:rPr>
        <w:t xml:space="preserve">本系统每对微波对射为一个报警单元，根据开封市监狱围墙长度（700m） 设计规划 </w:t>
      </w:r>
      <w:r>
        <w:rPr>
          <w:color w:val="auto"/>
          <w:highlight w:val="none"/>
        </w:rPr>
        <w:t>13</w:t>
      </w:r>
      <w:r>
        <w:rPr>
          <w:rFonts w:hint="eastAsia"/>
          <w:color w:val="auto"/>
          <w:highlight w:val="none"/>
        </w:rPr>
        <w:t>个防区（东西围墙各3个、北围墙2个、南围墙2个、待检区通道3个），单防区长度≤</w:t>
      </w:r>
      <w:r>
        <w:rPr>
          <w:color w:val="auto"/>
          <w:highlight w:val="none"/>
        </w:rPr>
        <w:t>75</w:t>
      </w:r>
      <w:r>
        <w:rPr>
          <w:rFonts w:hint="eastAsia"/>
          <w:color w:val="auto"/>
          <w:highlight w:val="none"/>
        </w:rPr>
        <w:t>m。</w:t>
      </w:r>
    </w:p>
    <w:p w14:paraId="24DCE6BB">
      <w:pPr>
        <w:spacing w:line="360" w:lineRule="auto"/>
        <w:ind w:firstLine="420" w:firstLineChars="200"/>
        <w:rPr>
          <w:color w:val="auto"/>
          <w:highlight w:val="none"/>
        </w:rPr>
      </w:pPr>
      <w:r>
        <w:rPr>
          <w:rFonts w:hint="eastAsia"/>
          <w:color w:val="auto"/>
          <w:highlight w:val="none"/>
        </w:rPr>
        <w:t>要求相邻两防区探测器交叉安装，且探测器频率可调，调试时应将相邻防区 探测器的探测频率隔开；要求相邻两防区探测器交叉安装，且探测器频率可调，调试时应将相邻防区探测器的探测频率隔开。</w:t>
      </w:r>
    </w:p>
    <w:p w14:paraId="1989E5B7">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31BD8FF1">
      <w:pPr>
        <w:spacing w:line="360" w:lineRule="auto"/>
        <w:ind w:firstLine="420" w:firstLineChars="200"/>
        <w:rPr>
          <w:b/>
          <w:color w:val="auto"/>
          <w:highlight w:val="none"/>
        </w:rPr>
      </w:pPr>
      <w:r>
        <w:rPr>
          <w:rFonts w:hint="eastAsia"/>
          <w:color w:val="auto"/>
          <w:highlight w:val="none"/>
        </w:rPr>
        <w:t>微波对射收发器安装在监狱内墙隔离带内，安装前，应进行隔离带内地面硬 化。每个防区部署 1 对微波对射终端，对射探测器的安装位置为底边距地 1m。共设计规划 13个防区（东西围墙各3个、北围墙2个、南围墙2个、待检区通道3个），单防区长度≤</w:t>
      </w:r>
      <w:r>
        <w:rPr>
          <w:color w:val="auto"/>
          <w:highlight w:val="none"/>
        </w:rPr>
        <w:t>75</w:t>
      </w:r>
      <w:r>
        <w:rPr>
          <w:rFonts w:hint="eastAsia"/>
          <w:color w:val="auto"/>
          <w:highlight w:val="none"/>
        </w:rPr>
        <w:t>m。报警信号线以及电源线沿室外管网敷设，报警信号线和电源线要分管敷设做到强弱电分离。避免电源线对报警信号产生干扰。</w:t>
      </w:r>
    </w:p>
    <w:p w14:paraId="6230C7F9">
      <w:pPr>
        <w:pStyle w:val="11"/>
        <w:spacing w:before="0" w:after="0" w:line="360" w:lineRule="auto"/>
        <w:ind w:firstLine="562" w:firstLineChars="200"/>
        <w:rPr>
          <w:color w:val="auto"/>
          <w:highlight w:val="none"/>
        </w:rPr>
      </w:pPr>
      <w:r>
        <w:rPr>
          <w:rFonts w:hint="eastAsia"/>
          <w:color w:val="auto"/>
          <w:highlight w:val="none"/>
        </w:rPr>
        <w:t>4.8.3周界高压脉冲电网系统</w:t>
      </w:r>
    </w:p>
    <w:p w14:paraId="0F73A3BB">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7A223CF5">
      <w:pPr>
        <w:spacing w:line="360" w:lineRule="auto"/>
        <w:ind w:firstLine="420" w:firstLineChars="200"/>
        <w:rPr>
          <w:bCs/>
          <w:color w:val="auto"/>
          <w:highlight w:val="none"/>
        </w:rPr>
      </w:pPr>
      <w:r>
        <w:rPr>
          <w:rFonts w:hint="eastAsia"/>
          <w:bCs/>
          <w:color w:val="auto"/>
          <w:highlight w:val="none"/>
        </w:rPr>
        <w:t>周界高压脉冲电网系统是开封市监狱周界安防最重要的一道屏障，是集防范、报警、打击于一体的周界安防设施。</w:t>
      </w:r>
    </w:p>
    <w:p w14:paraId="2D9D0CA2">
      <w:pPr>
        <w:spacing w:line="360" w:lineRule="auto"/>
        <w:ind w:firstLine="420" w:firstLineChars="200"/>
        <w:rPr>
          <w:bCs/>
          <w:color w:val="auto"/>
          <w:highlight w:val="none"/>
        </w:rPr>
      </w:pPr>
      <w:r>
        <w:rPr>
          <w:rFonts w:hint="eastAsia"/>
          <w:bCs/>
          <w:color w:val="auto"/>
          <w:highlight w:val="none"/>
        </w:rPr>
        <w:t>通过在本监狱周界的围墙布设高压脉冲电网系统，可以利用高压电力对触网人员进行打击但不威胁人的性命，从而击退入侵者，延迟入侵时间。与此同时，系统会将入侵信号发送到监狱大门三层指挥中心，从而使监狱警察能及时了解报警区域的状况，快速作出处理。</w:t>
      </w:r>
    </w:p>
    <w:p w14:paraId="47446074">
      <w:pPr>
        <w:spacing w:line="360" w:lineRule="auto"/>
        <w:ind w:firstLine="420" w:firstLineChars="200"/>
        <w:rPr>
          <w:bCs/>
          <w:color w:val="auto"/>
          <w:highlight w:val="none"/>
        </w:rPr>
      </w:pPr>
      <w:r>
        <w:rPr>
          <w:rFonts w:hint="eastAsia"/>
          <w:bCs/>
          <w:color w:val="auto"/>
          <w:highlight w:val="none"/>
        </w:rPr>
        <w:t>此外，周界高压脉冲电网系统能够联动周界语音广播、周界视频监控等系统，以保证周界的应急反应能力。</w:t>
      </w:r>
    </w:p>
    <w:p w14:paraId="5C7CD943">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417AAB90">
      <w:pPr>
        <w:spacing w:line="360" w:lineRule="auto"/>
        <w:ind w:firstLine="420" w:firstLineChars="200"/>
        <w:rPr>
          <w:bCs/>
          <w:color w:val="auto"/>
          <w:highlight w:val="none"/>
        </w:rPr>
      </w:pPr>
      <w:r>
        <w:rPr>
          <w:rFonts w:hint="eastAsia"/>
          <w:bCs/>
          <w:color w:val="auto"/>
          <w:highlight w:val="none"/>
        </w:rPr>
        <w:t>本系统由金属线网、前端设备、传输线路、报警分机、控制中心等五部分组成。金属线网由高压线网、电网支架、高压硅胶绝缘子等组成；前端设备部分由智能高压箱、信息采集设备、警灯等构成；传输线路部分由电源线及控制线组成，系统全部采用有线传输方式；控制中心部分由监控电脑（实现电子地图显示及数据上传功能）、控制主机组成。</w:t>
      </w:r>
    </w:p>
    <w:p w14:paraId="5BAEBCB2">
      <w:pPr>
        <w:spacing w:line="360" w:lineRule="auto"/>
        <w:ind w:firstLine="420" w:firstLineChars="200"/>
        <w:rPr>
          <w:bCs/>
          <w:color w:val="auto"/>
          <w:highlight w:val="none"/>
        </w:rPr>
      </w:pPr>
      <w:r>
        <w:rPr>
          <w:rFonts w:hint="eastAsia"/>
          <w:bCs/>
          <w:color w:val="auto"/>
          <w:highlight w:val="none"/>
        </w:rPr>
        <w:t>周界高压脉冲电网系统架构如下图所示：</w:t>
      </w:r>
    </w:p>
    <w:p w14:paraId="655B26BF">
      <w:pPr>
        <w:spacing w:line="360" w:lineRule="auto"/>
        <w:ind w:firstLine="420" w:firstLineChars="200"/>
        <w:rPr>
          <w:bCs/>
          <w:color w:val="auto"/>
          <w:highlight w:val="none"/>
        </w:rPr>
      </w:pPr>
      <w:r>
        <w:rPr>
          <w:bCs/>
          <w:color w:val="auto"/>
          <w:highlight w:val="none"/>
        </w:rPr>
        <w:drawing>
          <wp:inline distT="0" distB="0" distL="114300" distR="114300">
            <wp:extent cx="4861560" cy="2552700"/>
            <wp:effectExtent l="0" t="0" r="15240" b="0"/>
            <wp:docPr id="17" name="图片 19"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9" descr="123"/>
                    <pic:cNvPicPr>
                      <a:picLocks noChangeAspect="1"/>
                    </pic:cNvPicPr>
                  </pic:nvPicPr>
                  <pic:blipFill>
                    <a:blip r:embed="rId33"/>
                    <a:stretch>
                      <a:fillRect/>
                    </a:stretch>
                  </pic:blipFill>
                  <pic:spPr>
                    <a:xfrm>
                      <a:off x="0" y="0"/>
                      <a:ext cx="4861560" cy="2552700"/>
                    </a:xfrm>
                    <a:prstGeom prst="rect">
                      <a:avLst/>
                    </a:prstGeom>
                    <a:noFill/>
                    <a:ln>
                      <a:noFill/>
                    </a:ln>
                  </pic:spPr>
                </pic:pic>
              </a:graphicData>
            </a:graphic>
          </wp:inline>
        </w:drawing>
      </w:r>
    </w:p>
    <w:p w14:paraId="14BECEF5">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5C5071E1">
      <w:pPr>
        <w:spacing w:line="360" w:lineRule="auto"/>
        <w:ind w:firstLine="420" w:firstLineChars="200"/>
        <w:rPr>
          <w:bCs/>
          <w:color w:val="auto"/>
          <w:highlight w:val="none"/>
        </w:rPr>
      </w:pPr>
      <w:r>
        <w:rPr>
          <w:rFonts w:hint="eastAsia"/>
          <w:bCs/>
          <w:color w:val="auto"/>
          <w:highlight w:val="none"/>
        </w:rPr>
        <w:t>在本系统设计时充分结合开封市监狱现场实际，贯彻执行国家标准《周界防范高压电网装置》（GB 25287-2010）、《河南省监狱周界高压脉冲电网系统建设标准》（豫狱监管【2012】28号）等相关规范及标准。</w:t>
      </w:r>
    </w:p>
    <w:p w14:paraId="77A02776">
      <w:pPr>
        <w:spacing w:line="360" w:lineRule="auto"/>
        <w:ind w:firstLine="420" w:firstLineChars="200"/>
        <w:rPr>
          <w:bCs/>
          <w:color w:val="auto"/>
          <w:highlight w:val="none"/>
        </w:rPr>
      </w:pPr>
      <w:r>
        <w:rPr>
          <w:rFonts w:hint="eastAsia"/>
          <w:bCs/>
          <w:color w:val="auto"/>
          <w:highlight w:val="none"/>
        </w:rPr>
        <w:t>本监狱监管区围墙内侧设计安装两层高压脉冲电网，下面一层为平网，平网安装高度为底边距地4.5m，</w:t>
      </w:r>
      <w:r>
        <w:rPr>
          <w:bCs/>
          <w:color w:val="auto"/>
          <w:highlight w:val="none"/>
        </w:rPr>
        <w:t>与围墙夹角</w:t>
      </w:r>
      <w:r>
        <w:rPr>
          <w:rFonts w:hint="eastAsia"/>
          <w:bCs/>
          <w:color w:val="auto"/>
          <w:highlight w:val="none"/>
        </w:rPr>
        <w:t>为90</w:t>
      </w:r>
      <w:r>
        <w:rPr>
          <w:rFonts w:hint="eastAsia" w:ascii="仿宋" w:hAnsi="仿宋"/>
          <w:bCs/>
          <w:color w:val="auto"/>
          <w:highlight w:val="none"/>
        </w:rPr>
        <w:t>°</w:t>
      </w:r>
      <w:r>
        <w:rPr>
          <w:rFonts w:hint="eastAsia"/>
          <w:bCs/>
          <w:color w:val="auto"/>
          <w:highlight w:val="none"/>
        </w:rPr>
        <w:t>；上面一层为斜网，</w:t>
      </w:r>
      <w:r>
        <w:rPr>
          <w:bCs/>
          <w:color w:val="auto"/>
          <w:highlight w:val="none"/>
        </w:rPr>
        <w:t>与围墙夹角</w:t>
      </w:r>
      <w:r>
        <w:rPr>
          <w:rFonts w:hint="eastAsia"/>
          <w:bCs/>
          <w:color w:val="auto"/>
          <w:highlight w:val="none"/>
        </w:rPr>
        <w:t>为</w:t>
      </w:r>
      <w:r>
        <w:rPr>
          <w:bCs/>
          <w:color w:val="auto"/>
          <w:highlight w:val="none"/>
        </w:rPr>
        <w:t>135</w:t>
      </w:r>
      <w:r>
        <w:rPr>
          <w:rFonts w:hint="eastAsia" w:ascii="仿宋" w:hAnsi="仿宋"/>
          <w:bCs/>
          <w:color w:val="auto"/>
          <w:highlight w:val="none"/>
        </w:rPr>
        <w:t>°</w:t>
      </w:r>
      <w:r>
        <w:rPr>
          <w:rFonts w:hint="eastAsia"/>
          <w:bCs/>
          <w:color w:val="auto"/>
          <w:highlight w:val="none"/>
        </w:rPr>
        <w:t>。每层电网及</w:t>
      </w:r>
      <w:r>
        <w:rPr>
          <w:bCs/>
          <w:color w:val="auto"/>
          <w:highlight w:val="none"/>
        </w:rPr>
        <w:t>各分区都</w:t>
      </w:r>
      <w:r>
        <w:rPr>
          <w:rFonts w:hint="eastAsia"/>
          <w:bCs/>
          <w:color w:val="auto"/>
          <w:highlight w:val="none"/>
        </w:rPr>
        <w:t>具备独立控制和监控功能。</w:t>
      </w:r>
    </w:p>
    <w:p w14:paraId="10F41B14">
      <w:pPr>
        <w:spacing w:line="360" w:lineRule="auto"/>
        <w:ind w:firstLine="420" w:firstLineChars="200"/>
        <w:rPr>
          <w:bCs/>
          <w:color w:val="auto"/>
          <w:highlight w:val="none"/>
        </w:rPr>
      </w:pPr>
      <w:r>
        <w:rPr>
          <w:rFonts w:hint="eastAsia"/>
          <w:bCs/>
          <w:color w:val="auto"/>
          <w:highlight w:val="none"/>
        </w:rPr>
        <w:t>本监狱监管区围墙长度为700米，为近似长方形布局，分东西南北四面和</w:t>
      </w:r>
      <w:r>
        <w:rPr>
          <w:bCs/>
          <w:color w:val="auto"/>
          <w:highlight w:val="none"/>
        </w:rPr>
        <w:t>待检区外围隔离</w:t>
      </w:r>
      <w:r>
        <w:rPr>
          <w:rFonts w:hint="eastAsia"/>
          <w:bCs/>
          <w:color w:val="auto"/>
          <w:highlight w:val="none"/>
        </w:rPr>
        <w:t>网组成，每面为</w:t>
      </w:r>
      <w:r>
        <w:rPr>
          <w:bCs/>
          <w:color w:val="auto"/>
          <w:highlight w:val="none"/>
        </w:rPr>
        <w:t>1</w:t>
      </w:r>
      <w:r>
        <w:rPr>
          <w:rFonts w:hint="eastAsia"/>
          <w:bCs/>
          <w:color w:val="auto"/>
          <w:highlight w:val="none"/>
        </w:rPr>
        <w:t>个</w:t>
      </w:r>
      <w:r>
        <w:rPr>
          <w:bCs/>
          <w:color w:val="auto"/>
          <w:highlight w:val="none"/>
        </w:rPr>
        <w:t>防区，</w:t>
      </w:r>
      <w:r>
        <w:rPr>
          <w:rFonts w:hint="eastAsia"/>
          <w:bCs/>
          <w:color w:val="auto"/>
          <w:highlight w:val="none"/>
        </w:rPr>
        <w:t>共计</w:t>
      </w:r>
      <w:r>
        <w:rPr>
          <w:bCs/>
          <w:color w:val="auto"/>
          <w:highlight w:val="none"/>
        </w:rPr>
        <w:t>4</w:t>
      </w:r>
      <w:r>
        <w:rPr>
          <w:rFonts w:hint="eastAsia"/>
          <w:bCs/>
          <w:color w:val="auto"/>
          <w:highlight w:val="none"/>
        </w:rPr>
        <w:t>个</w:t>
      </w:r>
      <w:r>
        <w:rPr>
          <w:bCs/>
          <w:color w:val="auto"/>
          <w:highlight w:val="none"/>
        </w:rPr>
        <w:t>防区</w:t>
      </w:r>
      <w:r>
        <w:rPr>
          <w:rFonts w:hint="eastAsia"/>
          <w:bCs/>
          <w:color w:val="auto"/>
          <w:highlight w:val="none"/>
        </w:rPr>
        <w:t>，监狱围墙示意图如下：</w:t>
      </w:r>
    </w:p>
    <w:p w14:paraId="3F8D0DCB">
      <w:pPr>
        <w:spacing w:line="360" w:lineRule="auto"/>
        <w:ind w:firstLine="420" w:firstLineChars="200"/>
        <w:jc w:val="center"/>
        <w:rPr>
          <w:bCs/>
          <w:color w:val="auto"/>
          <w:highlight w:val="none"/>
        </w:rPr>
      </w:pPr>
      <w:r>
        <w:rPr>
          <w:bCs/>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2621280</wp:posOffset>
                </wp:positionH>
                <wp:positionV relativeFrom="paragraph">
                  <wp:posOffset>5471160</wp:posOffset>
                </wp:positionV>
                <wp:extent cx="60960" cy="388620"/>
                <wp:effectExtent l="13970" t="1905" r="20320" b="9525"/>
                <wp:wrapNone/>
                <wp:docPr id="47" name="直接连接符 47"/>
                <wp:cNvGraphicFramePr/>
                <a:graphic xmlns:a="http://schemas.openxmlformats.org/drawingml/2006/main">
                  <a:graphicData uri="http://schemas.microsoft.com/office/word/2010/wordprocessingShape">
                    <wps:wsp>
                      <wps:cNvCnPr/>
                      <wps:spPr>
                        <a:xfrm flipH="1">
                          <a:off x="0" y="0"/>
                          <a:ext cx="60960" cy="38862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206.4pt;margin-top:430.8pt;height:30.6pt;width:4.8pt;z-index:251665408;mso-width-relative:page;mso-height-relative:page;" filled="f" stroked="t" coordsize="21600,21600" o:gfxdata="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zbOvNsAAAALAQAADwAAAAAAAAABACAAAAAiAAAAZHJzL2Rvd25yZXYueG1sUEsBAhQA&#10;FAAAAAgAh07iQDNbQe3vAQAAuAMAAA4AAAAAAAAAAQAgAAAAKgEAAGRycy9lMm9Eb2MueG1sUEsF&#10;BgAAAAAGAAYAWQEAAIsFA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2689860</wp:posOffset>
                </wp:positionH>
                <wp:positionV relativeFrom="paragraph">
                  <wp:posOffset>5471160</wp:posOffset>
                </wp:positionV>
                <wp:extent cx="784860" cy="106680"/>
                <wp:effectExtent l="1905" t="13970" r="13335" b="31750"/>
                <wp:wrapNone/>
                <wp:docPr id="46" name="直接连接符 46"/>
                <wp:cNvGraphicFramePr/>
                <a:graphic xmlns:a="http://schemas.openxmlformats.org/drawingml/2006/main">
                  <a:graphicData uri="http://schemas.microsoft.com/office/word/2010/wordprocessingShape">
                    <wps:wsp>
                      <wps:cNvCnPr/>
                      <wps:spPr>
                        <a:xfrm flipH="1" flipV="1">
                          <a:off x="0" y="0"/>
                          <a:ext cx="784860" cy="10668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 y;margin-left:211.8pt;margin-top:430.8pt;height:8.4pt;width:61.8pt;z-index:251664384;mso-width-relative:page;mso-height-relative:page;" filled="f" stroked="t" coordsize="21600,21600" o:gfxdata="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AyVDLHYAAAACwEAAA8AAAAAAAAAAQAgAAAAIgAAAGRycy9kb3ducmV2LnhtbFBLAQIU&#10;ABQAAAAIAIdO4kDH/bXJ8wEAAMMDAAAOAAAAAAAAAAEAIAAAACcBAABkcnMvZTJvRG9jLnhtbFBL&#10;BQYAAAAABgAGAFkBAACMBQ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3413760</wp:posOffset>
                </wp:positionH>
                <wp:positionV relativeFrom="paragraph">
                  <wp:posOffset>5577840</wp:posOffset>
                </wp:positionV>
                <wp:extent cx="53340" cy="381000"/>
                <wp:effectExtent l="13970" t="1905" r="27940" b="17145"/>
                <wp:wrapNone/>
                <wp:docPr id="45" name="直接连接符 45"/>
                <wp:cNvGraphicFramePr/>
                <a:graphic xmlns:a="http://schemas.openxmlformats.org/drawingml/2006/main">
                  <a:graphicData uri="http://schemas.microsoft.com/office/word/2010/wordprocessingShape">
                    <wps:wsp>
                      <wps:cNvCnPr/>
                      <wps:spPr>
                        <a:xfrm flipV="1">
                          <a:off x="0" y="0"/>
                          <a:ext cx="53340" cy="38100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y;margin-left:268.8pt;margin-top:439.2pt;height:30pt;width:4.2pt;z-index:251663360;mso-width-relative:page;mso-height-relative:page;" filled="f" stroked="t" coordsize="21600,21600" o:gfxdata="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kEyYnN0AAAALAQAADwAAAAAAAAABACAAAAAiAAAAZHJzL2Rvd25yZXYueG1sUEsBAhQA&#10;FAAAAAgAh07iQGdXhe7tAQAAuAMAAA4AAAAAAAAAAQAgAAAALAEAAGRycy9lMm9Eb2MueG1sUEsF&#10;BgAAAAAGAAYAWQEAAIsFA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815975</wp:posOffset>
                </wp:positionH>
                <wp:positionV relativeFrom="paragraph">
                  <wp:posOffset>5639435</wp:posOffset>
                </wp:positionV>
                <wp:extent cx="2943225" cy="383540"/>
                <wp:effectExtent l="1905" t="13970" r="7620" b="21590"/>
                <wp:wrapNone/>
                <wp:docPr id="279" name="直接连接符 279"/>
                <wp:cNvGraphicFramePr/>
                <a:graphic xmlns:a="http://schemas.openxmlformats.org/drawingml/2006/main">
                  <a:graphicData uri="http://schemas.microsoft.com/office/word/2010/wordprocessingShape">
                    <wps:wsp>
                      <wps:cNvCnPr/>
                      <wps:spPr>
                        <a:xfrm flipH="1" flipV="1">
                          <a:off x="0" y="0"/>
                          <a:ext cx="2942984" cy="383658"/>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 y;margin-left:64.25pt;margin-top:444.05pt;height:30.2pt;width:231.75pt;z-index:251662336;mso-width-relative:page;mso-height-relative:page;" filled="f" stroked="t" coordsize="21600,21600" o:gfxdata="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q6WLrXAAAACwEAAA8AAAAAAAAAAQAgAAAAIgAAAGRycy9kb3ducmV2LnhtbFBLAQIU&#10;ABQAAAAIAIdO4kBPbU409AEAAMYDAAAOAAAAAAAAAAEAIAAAACYBAABkcnMvZTJvRG9jLnhtbFBL&#10;BQYAAAAABgAGAFkBAACMBQ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3720465</wp:posOffset>
                </wp:positionH>
                <wp:positionV relativeFrom="paragraph">
                  <wp:posOffset>614680</wp:posOffset>
                </wp:positionV>
                <wp:extent cx="960120" cy="5409565"/>
                <wp:effectExtent l="13970" t="2540" r="16510" b="17145"/>
                <wp:wrapNone/>
                <wp:docPr id="278" name="直接连接符 278"/>
                <wp:cNvGraphicFramePr/>
                <a:graphic xmlns:a="http://schemas.openxmlformats.org/drawingml/2006/main">
                  <a:graphicData uri="http://schemas.microsoft.com/office/word/2010/wordprocessingShape">
                    <wps:wsp>
                      <wps:cNvCnPr/>
                      <wps:spPr>
                        <a:xfrm flipH="1">
                          <a:off x="0" y="0"/>
                          <a:ext cx="959901" cy="5409559"/>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292.95pt;margin-top:48.4pt;height:425.95pt;width:75.6pt;z-index:251661312;mso-width-relative:page;mso-height-relative:page;" filled="f" stroked="t" coordsize="21600,21600" o:gfxdata="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BuiAlbbAAAACgEAAA8AAAAAAAAAAQAgAAAAIgAAAGRycy9kb3ducmV2LnhtbFBLAQIUABQA&#10;AAAIAIdO4kDmEf2N7QEAALwDAAAOAAAAAAAAAAEAIAAAACoBAABkcnMvZTJvRG9jLnhtbFBLBQYA&#10;AAAABgAGAFkBAACJBQ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800735</wp:posOffset>
                </wp:positionH>
                <wp:positionV relativeFrom="paragraph">
                  <wp:posOffset>60960</wp:posOffset>
                </wp:positionV>
                <wp:extent cx="452755" cy="5509260"/>
                <wp:effectExtent l="13970" t="1270" r="28575" b="13970"/>
                <wp:wrapNone/>
                <wp:docPr id="276" name="直接连接符 276"/>
                <wp:cNvGraphicFramePr/>
                <a:graphic xmlns:a="http://schemas.openxmlformats.org/drawingml/2006/main">
                  <a:graphicData uri="http://schemas.microsoft.com/office/word/2010/wordprocessingShape">
                    <wps:wsp>
                      <wps:cNvCnPr/>
                      <wps:spPr>
                        <a:xfrm flipH="1">
                          <a:off x="0" y="0"/>
                          <a:ext cx="452899" cy="5509452"/>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63.05pt;margin-top:4.8pt;height:433.8pt;width:35.65pt;z-index:251660288;mso-width-relative:page;mso-height-relative:page;" filled="f" stroked="t" coordsize="21600,21600" o:gfxdata="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8diiWdoAAAAJAQAADwAAAAAAAAABACAAAAAiAAAAZHJzL2Rvd25yZXYueG1sUEsBAhQAFAAA&#10;AAgAh07iQKxNdrvtAQAAvAMAAA4AAAAAAAAAAQAgAAAAKQEAAGRycy9lMm9Eb2MueG1sUEsFBgAA&#10;AAAGAAYAWQEAAIgFAAAAAA==&#10;">
                <v:fill on="f" focussize="0,0"/>
                <v:stroke weight="2.25pt" color="#FF0000" joinstyle="round"/>
                <v:imagedata o:title=""/>
                <o:lock v:ext="edit" aspectratio="f"/>
              </v:line>
            </w:pict>
          </mc:Fallback>
        </mc:AlternateContent>
      </w:r>
      <w:r>
        <w:rPr>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1276985</wp:posOffset>
                </wp:positionH>
                <wp:positionV relativeFrom="paragraph">
                  <wp:posOffset>84455</wp:posOffset>
                </wp:positionV>
                <wp:extent cx="3396615" cy="522605"/>
                <wp:effectExtent l="1905" t="13970" r="11430" b="15875"/>
                <wp:wrapNone/>
                <wp:docPr id="271" name="直接连接符 271"/>
                <wp:cNvGraphicFramePr/>
                <a:graphic xmlns:a="http://schemas.openxmlformats.org/drawingml/2006/main">
                  <a:graphicData uri="http://schemas.microsoft.com/office/word/2010/wordprocessingShape">
                    <wps:wsp>
                      <wps:cNvCnPr/>
                      <wps:spPr>
                        <a:xfrm>
                          <a:off x="0" y="0"/>
                          <a:ext cx="3396342" cy="522515"/>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margin-left:100.55pt;margin-top:6.65pt;height:41.15pt;width:267.45pt;z-index:251659264;mso-width-relative:page;mso-height-relative:page;" filled="f" stroked="t" coordsize="21600,21600" o:gfxdata="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TPH6mdgA&#10;AAAJAQAADwAAAAAAAAABACAAAAAiAAAAZHJzL2Rvd25yZXYueG1sUEsBAhQAFAAAAAgAh07iQGcF&#10;yaDmAQAAsgMAAA4AAAAAAAAAAQAgAAAAJwEAAGRycy9lMm9Eb2MueG1sUEsFBgAAAAAGAAYAWQEA&#10;AH8FAAAAAA==&#10;">
                <v:fill on="f" focussize="0,0"/>
                <v:stroke weight="2.25pt" color="#FF0000" joinstyle="round"/>
                <v:imagedata o:title=""/>
                <o:lock v:ext="edit" aspectratio="f"/>
              </v:line>
            </w:pict>
          </mc:Fallback>
        </mc:AlternateContent>
      </w:r>
      <w:r>
        <w:rPr>
          <w:bCs/>
          <w:color w:val="auto"/>
          <w:highlight w:val="none"/>
        </w:rPr>
        <w:drawing>
          <wp:inline distT="0" distB="0" distL="114300" distR="114300">
            <wp:extent cx="6484620" cy="4305300"/>
            <wp:effectExtent l="0" t="0" r="0" b="11430"/>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pic:cNvPicPr>
                      <a:picLocks noChangeAspect="1"/>
                    </pic:cNvPicPr>
                  </pic:nvPicPr>
                  <pic:blipFill>
                    <a:blip r:embed="rId34"/>
                    <a:srcRect t="1051"/>
                    <a:stretch>
                      <a:fillRect/>
                    </a:stretch>
                  </pic:blipFill>
                  <pic:spPr>
                    <a:xfrm rot="5400000">
                      <a:off x="0" y="0"/>
                      <a:ext cx="6484620" cy="4305300"/>
                    </a:xfrm>
                    <a:prstGeom prst="rect">
                      <a:avLst/>
                    </a:prstGeom>
                    <a:noFill/>
                    <a:ln>
                      <a:noFill/>
                    </a:ln>
                  </pic:spPr>
                </pic:pic>
              </a:graphicData>
            </a:graphic>
          </wp:inline>
        </w:drawing>
      </w:r>
    </w:p>
    <w:p w14:paraId="16415D50">
      <w:pPr>
        <w:spacing w:line="360" w:lineRule="auto"/>
        <w:ind w:firstLine="420" w:firstLineChars="200"/>
        <w:rPr>
          <w:bCs/>
          <w:color w:val="auto"/>
          <w:highlight w:val="none"/>
        </w:rPr>
      </w:pPr>
      <w:r>
        <w:rPr>
          <w:rFonts w:hint="eastAsia"/>
          <w:bCs/>
          <w:color w:val="auto"/>
          <w:highlight w:val="none"/>
        </w:rPr>
        <w:t>1、系统组成</w:t>
      </w:r>
    </w:p>
    <w:p w14:paraId="45600A1F">
      <w:pPr>
        <w:spacing w:line="360" w:lineRule="auto"/>
        <w:ind w:firstLine="420" w:firstLineChars="200"/>
        <w:rPr>
          <w:bCs/>
          <w:color w:val="auto"/>
          <w:highlight w:val="none"/>
          <w:lang w:bidi="en-US"/>
        </w:rPr>
      </w:pPr>
      <w:r>
        <w:rPr>
          <w:rFonts w:hint="eastAsia"/>
          <w:bCs/>
          <w:color w:val="auto"/>
          <w:highlight w:val="none"/>
          <w:lang w:bidi="en-US"/>
        </w:rPr>
        <w:t>（1）监控主机</w:t>
      </w:r>
    </w:p>
    <w:p w14:paraId="59C3A496">
      <w:pPr>
        <w:spacing w:line="360" w:lineRule="auto"/>
        <w:ind w:firstLine="420" w:firstLineChars="200"/>
        <w:rPr>
          <w:bCs/>
          <w:color w:val="auto"/>
          <w:highlight w:val="none"/>
          <w:lang w:bidi="en-US"/>
        </w:rPr>
      </w:pPr>
      <w:r>
        <w:rPr>
          <w:rFonts w:hint="eastAsia"/>
          <w:bCs/>
          <w:color w:val="auto"/>
          <w:highlight w:val="none"/>
          <w:lang w:bidi="en-US"/>
        </w:rPr>
        <w:t xml:space="preserve">监控主机通过 </w:t>
      </w:r>
      <w:r>
        <w:rPr>
          <w:rFonts w:hint="eastAsia"/>
          <w:bCs/>
          <w:color w:val="auto"/>
          <w:highlight w:val="none"/>
        </w:rPr>
        <w:t>RS-232或</w:t>
      </w:r>
      <w:r>
        <w:rPr>
          <w:rFonts w:hint="eastAsia"/>
          <w:bCs/>
          <w:color w:val="auto"/>
          <w:highlight w:val="none"/>
          <w:lang w:bidi="en-US"/>
        </w:rPr>
        <w:t>RS485 串口连接到控制主机，其上运行电网监控软件，具有电子地图显示并自动记录电网记录电压、电流值及加载时间、报警时间、报警区段情况，并能够随时调看运行记录、</w:t>
      </w:r>
      <w:r>
        <w:rPr>
          <w:bCs/>
          <w:color w:val="auto"/>
          <w:highlight w:val="none"/>
          <w:lang w:bidi="en-US"/>
        </w:rPr>
        <w:t>同时</w:t>
      </w:r>
      <w:r>
        <w:rPr>
          <w:rFonts w:hint="eastAsia"/>
          <w:bCs/>
          <w:color w:val="auto"/>
          <w:highlight w:val="none"/>
          <w:lang w:bidi="en-US"/>
        </w:rPr>
        <w:t>将</w:t>
      </w:r>
      <w:r>
        <w:rPr>
          <w:bCs/>
          <w:color w:val="auto"/>
          <w:highlight w:val="none"/>
          <w:lang w:bidi="en-US"/>
        </w:rPr>
        <w:t>信息实时传输到武警</w:t>
      </w:r>
      <w:r>
        <w:rPr>
          <w:rFonts w:hint="eastAsia"/>
          <w:bCs/>
          <w:color w:val="auto"/>
          <w:highlight w:val="none"/>
          <w:lang w:bidi="en-US"/>
        </w:rPr>
        <w:t>哨位。</w:t>
      </w:r>
    </w:p>
    <w:p w14:paraId="6709F5A1">
      <w:pPr>
        <w:spacing w:line="360" w:lineRule="auto"/>
        <w:ind w:firstLine="420" w:firstLineChars="200"/>
        <w:rPr>
          <w:bCs/>
          <w:color w:val="auto"/>
          <w:highlight w:val="none"/>
          <w:lang w:bidi="en-US"/>
        </w:rPr>
      </w:pPr>
      <w:r>
        <w:rPr>
          <w:rFonts w:hint="eastAsia"/>
          <w:bCs/>
          <w:color w:val="auto"/>
          <w:highlight w:val="none"/>
        </w:rPr>
        <w:t>可通过电子狱务专网将电网信息上传至本监狱大门三层指挥中心安防智能集成平台，</w:t>
      </w:r>
      <w:r>
        <w:rPr>
          <w:bCs/>
          <w:color w:val="auto"/>
          <w:highlight w:val="none"/>
        </w:rPr>
        <w:t>实现对电网运行状态的监督管理和报警联动</w:t>
      </w:r>
      <w:r>
        <w:rPr>
          <w:rFonts w:hint="eastAsia"/>
          <w:bCs/>
          <w:color w:val="auto"/>
          <w:highlight w:val="none"/>
        </w:rPr>
        <w:t>。</w:t>
      </w:r>
    </w:p>
    <w:p w14:paraId="3C8BBC81">
      <w:pPr>
        <w:spacing w:line="360" w:lineRule="auto"/>
        <w:ind w:firstLine="420" w:firstLineChars="200"/>
        <w:rPr>
          <w:bCs/>
          <w:color w:val="auto"/>
          <w:highlight w:val="none"/>
          <w:lang w:bidi="en-US"/>
        </w:rPr>
      </w:pPr>
      <w:r>
        <w:rPr>
          <w:rFonts w:hint="eastAsia"/>
          <w:bCs/>
          <w:color w:val="auto"/>
          <w:highlight w:val="none"/>
          <w:lang w:bidi="en-US"/>
        </w:rPr>
        <w:t>（2）控制主机</w:t>
      </w:r>
    </w:p>
    <w:p w14:paraId="19E58EEC">
      <w:pPr>
        <w:spacing w:line="360" w:lineRule="auto"/>
        <w:ind w:firstLine="420" w:firstLineChars="200"/>
        <w:rPr>
          <w:bCs/>
          <w:color w:val="auto"/>
          <w:highlight w:val="none"/>
          <w:lang w:bidi="en-US"/>
        </w:rPr>
      </w:pPr>
      <w:r>
        <w:rPr>
          <w:rFonts w:hint="eastAsia"/>
          <w:bCs/>
          <w:color w:val="auto"/>
          <w:highlight w:val="none"/>
          <w:lang w:bidi="en-US"/>
        </w:rPr>
        <w:t>实时采集各区段电网的参数，对整个系统动态显示和声光报警，能与相应区域的周界围墙视频信号产生联动。</w:t>
      </w:r>
    </w:p>
    <w:p w14:paraId="1DD751A0">
      <w:pPr>
        <w:spacing w:line="360" w:lineRule="auto"/>
        <w:ind w:firstLine="420" w:firstLineChars="200"/>
        <w:rPr>
          <w:bCs/>
          <w:color w:val="auto"/>
          <w:highlight w:val="none"/>
          <w:lang w:bidi="en-US"/>
        </w:rPr>
      </w:pPr>
      <w:r>
        <w:rPr>
          <w:rFonts w:hint="eastAsia"/>
          <w:bCs/>
          <w:color w:val="auto"/>
          <w:highlight w:val="none"/>
          <w:lang w:bidi="en-US"/>
        </w:rPr>
        <w:t>（3）</w:t>
      </w:r>
      <w:r>
        <w:rPr>
          <w:rFonts w:hint="eastAsia"/>
          <w:bCs/>
          <w:color w:val="auto"/>
          <w:highlight w:val="none"/>
        </w:rPr>
        <w:t>智能高压箱</w:t>
      </w:r>
    </w:p>
    <w:p w14:paraId="6E0D2425">
      <w:pPr>
        <w:spacing w:line="360" w:lineRule="auto"/>
        <w:ind w:firstLine="420" w:firstLineChars="200"/>
        <w:rPr>
          <w:bCs/>
          <w:color w:val="auto"/>
          <w:highlight w:val="none"/>
          <w:lang w:bidi="en-US"/>
        </w:rPr>
      </w:pPr>
      <w:r>
        <w:rPr>
          <w:rFonts w:hint="eastAsia"/>
          <w:bCs/>
          <w:color w:val="auto"/>
          <w:highlight w:val="none"/>
          <w:lang w:bidi="en-US"/>
        </w:rPr>
        <w:t>置于围墙分段点处，生成对电网供电的高压电压，线地电压</w:t>
      </w:r>
      <w:r>
        <w:rPr>
          <w:bCs/>
          <w:color w:val="auto"/>
          <w:highlight w:val="none"/>
          <w:lang w:bidi="en-US"/>
        </w:rPr>
        <w:t>6000</w:t>
      </w:r>
      <w:r>
        <w:rPr>
          <w:rFonts w:hint="eastAsia"/>
          <w:bCs/>
          <w:color w:val="auto"/>
          <w:highlight w:val="none"/>
          <w:lang w:bidi="en-US"/>
        </w:rPr>
        <w:t>V，线间电压</w:t>
      </w:r>
      <w:r>
        <w:rPr>
          <w:bCs/>
          <w:color w:val="auto"/>
          <w:highlight w:val="none"/>
          <w:lang w:bidi="en-US"/>
        </w:rPr>
        <w:t>12</w:t>
      </w:r>
      <w:r>
        <w:rPr>
          <w:rFonts w:hint="eastAsia"/>
          <w:bCs/>
          <w:color w:val="auto"/>
          <w:highlight w:val="none"/>
          <w:lang w:bidi="en-US"/>
        </w:rPr>
        <w:t>000V。</w:t>
      </w:r>
    </w:p>
    <w:p w14:paraId="4D93FBB3">
      <w:pPr>
        <w:spacing w:line="360" w:lineRule="auto"/>
        <w:ind w:firstLine="420" w:firstLineChars="200"/>
        <w:rPr>
          <w:bCs/>
          <w:color w:val="auto"/>
          <w:highlight w:val="none"/>
          <w:lang w:bidi="en-US"/>
        </w:rPr>
      </w:pPr>
      <w:r>
        <w:rPr>
          <w:rFonts w:hint="eastAsia"/>
          <w:bCs/>
          <w:color w:val="auto"/>
          <w:highlight w:val="none"/>
          <w:lang w:bidi="en-US"/>
        </w:rPr>
        <w:t>（4）其他</w:t>
      </w:r>
    </w:p>
    <w:p w14:paraId="14A984B5">
      <w:pPr>
        <w:spacing w:line="360" w:lineRule="auto"/>
        <w:ind w:firstLine="420" w:firstLineChars="200"/>
        <w:rPr>
          <w:bCs/>
          <w:color w:val="auto"/>
          <w:highlight w:val="none"/>
          <w:lang w:bidi="en-US"/>
        </w:rPr>
      </w:pPr>
      <w:r>
        <w:rPr>
          <w:rFonts w:hint="eastAsia"/>
          <w:bCs/>
          <w:color w:val="auto"/>
          <w:highlight w:val="none"/>
          <w:lang w:bidi="en-US"/>
        </w:rPr>
        <w:t>包含高压线网、电网支架、</w:t>
      </w:r>
      <w:r>
        <w:rPr>
          <w:rFonts w:hint="eastAsia"/>
          <w:bCs/>
          <w:color w:val="auto"/>
          <w:highlight w:val="none"/>
        </w:rPr>
        <w:t>高压硅胶绝缘子</w:t>
      </w:r>
      <w:r>
        <w:rPr>
          <w:rFonts w:hint="eastAsia"/>
          <w:bCs/>
          <w:color w:val="auto"/>
          <w:highlight w:val="none"/>
          <w:lang w:bidi="en-US"/>
        </w:rPr>
        <w:t>、高压避雷器、低压供电线、信号线和UPS等。</w:t>
      </w:r>
    </w:p>
    <w:p w14:paraId="412478A3">
      <w:pPr>
        <w:spacing w:line="360" w:lineRule="auto"/>
        <w:ind w:firstLine="420" w:firstLineChars="200"/>
        <w:rPr>
          <w:bCs/>
          <w:color w:val="auto"/>
          <w:highlight w:val="none"/>
          <w:lang w:bidi="en-US"/>
        </w:rPr>
      </w:pPr>
      <w:r>
        <w:rPr>
          <w:rFonts w:hint="eastAsia"/>
          <w:bCs/>
          <w:color w:val="auto"/>
          <w:highlight w:val="none"/>
          <w:lang w:bidi="en-US"/>
        </w:rPr>
        <w:t>2、工作过程</w:t>
      </w:r>
    </w:p>
    <w:p w14:paraId="3C81B5F7">
      <w:pPr>
        <w:spacing w:line="360" w:lineRule="auto"/>
        <w:ind w:firstLine="420" w:firstLineChars="200"/>
        <w:rPr>
          <w:bCs/>
          <w:color w:val="auto"/>
          <w:highlight w:val="none"/>
          <w:lang w:bidi="en-US"/>
        </w:rPr>
      </w:pPr>
      <w:r>
        <w:rPr>
          <w:rFonts w:hint="eastAsia"/>
          <w:bCs/>
          <w:color w:val="auto"/>
          <w:highlight w:val="none"/>
          <w:lang w:bidi="en-US"/>
        </w:rPr>
        <w:t>（1）正常工作时，220V交流电源送给智能</w:t>
      </w:r>
      <w:r>
        <w:rPr>
          <w:rFonts w:hint="eastAsia"/>
          <w:bCs/>
          <w:color w:val="auto"/>
          <w:highlight w:val="none"/>
        </w:rPr>
        <w:t>高压箱</w:t>
      </w:r>
      <w:r>
        <w:rPr>
          <w:rFonts w:hint="eastAsia"/>
          <w:bCs/>
          <w:color w:val="auto"/>
          <w:highlight w:val="none"/>
          <w:lang w:bidi="en-US"/>
        </w:rPr>
        <w:t>，升高电压并送入围墙电网线网，系统便进入防范、打击状态。同时，RS485总线也在进行实时动态的自动巡检。</w:t>
      </w:r>
    </w:p>
    <w:p w14:paraId="1459EB71">
      <w:pPr>
        <w:spacing w:line="360" w:lineRule="auto"/>
        <w:ind w:firstLine="420" w:firstLineChars="200"/>
        <w:rPr>
          <w:bCs/>
          <w:color w:val="auto"/>
          <w:highlight w:val="none"/>
          <w:lang w:bidi="en-US"/>
        </w:rPr>
      </w:pPr>
      <w:r>
        <w:rPr>
          <w:rFonts w:hint="eastAsia"/>
          <w:bCs/>
          <w:color w:val="auto"/>
          <w:highlight w:val="none"/>
          <w:lang w:bidi="en-US"/>
        </w:rPr>
        <w:t>（2）当某个防区有触网警情发生时，本防区的报警信号取样单元立即通过RS485总线向控制主机发送一个触网报警信号，控制主机收到信号后一边向监控主机送出报警信号，发出声、光报警指示。一边通断可控开关，使整个电网处于脉冲打击工作状态。同时，还可通过信号输出向外围设备提供控制信号，进行必要的录音、录像等。这时，声、光报警指示将持续不断，警情</w:t>
      </w:r>
      <w:r>
        <w:rPr>
          <w:bCs/>
          <w:color w:val="auto"/>
          <w:highlight w:val="none"/>
          <w:lang w:bidi="en-US"/>
        </w:rPr>
        <w:t>解除后</w:t>
      </w:r>
      <w:r>
        <w:rPr>
          <w:rFonts w:hint="eastAsia"/>
          <w:bCs/>
          <w:color w:val="auto"/>
          <w:highlight w:val="none"/>
          <w:lang w:bidi="en-US"/>
        </w:rPr>
        <w:t>必须在</w:t>
      </w:r>
      <w:r>
        <w:rPr>
          <w:bCs/>
          <w:color w:val="auto"/>
          <w:highlight w:val="none"/>
          <w:lang w:bidi="en-US"/>
        </w:rPr>
        <w:t>指挥中心</w:t>
      </w:r>
      <w:r>
        <w:rPr>
          <w:rFonts w:hint="eastAsia"/>
          <w:bCs/>
          <w:color w:val="auto"/>
          <w:highlight w:val="none"/>
          <w:lang w:bidi="en-US"/>
        </w:rPr>
        <w:t>人工复位。</w:t>
      </w:r>
    </w:p>
    <w:p w14:paraId="420307AA">
      <w:pPr>
        <w:spacing w:line="360" w:lineRule="auto"/>
        <w:ind w:firstLine="420" w:firstLineChars="200"/>
        <w:rPr>
          <w:bCs/>
          <w:color w:val="auto"/>
          <w:highlight w:val="none"/>
          <w:lang w:bidi="en-US"/>
        </w:rPr>
      </w:pPr>
      <w:r>
        <w:rPr>
          <w:rFonts w:hint="eastAsia"/>
          <w:bCs/>
          <w:color w:val="auto"/>
          <w:highlight w:val="none"/>
          <w:lang w:bidi="en-US"/>
        </w:rPr>
        <w:t>控制主机获得的报警信号以及电网运行参数可以上传给监控主机，监控主机记录保存相应的数据，同时以电子地图的方式，在监控主机上可视化的显示，另外数据实时</w:t>
      </w:r>
      <w:r>
        <w:rPr>
          <w:rFonts w:hint="eastAsia"/>
          <w:bCs/>
          <w:color w:val="auto"/>
          <w:highlight w:val="none"/>
        </w:rPr>
        <w:t>上传至指挥中心安防智能集成平台</w:t>
      </w:r>
      <w:r>
        <w:rPr>
          <w:rFonts w:hint="eastAsia"/>
          <w:bCs/>
          <w:color w:val="auto"/>
          <w:highlight w:val="none"/>
          <w:lang w:bidi="en-US"/>
        </w:rPr>
        <w:t>。</w:t>
      </w:r>
    </w:p>
    <w:p w14:paraId="07712742">
      <w:pPr>
        <w:spacing w:line="360" w:lineRule="auto"/>
        <w:ind w:firstLine="420" w:firstLineChars="200"/>
        <w:rPr>
          <w:bCs/>
          <w:color w:val="auto"/>
          <w:highlight w:val="none"/>
          <w:lang w:bidi="en-US"/>
        </w:rPr>
      </w:pPr>
      <w:r>
        <w:rPr>
          <w:rFonts w:hint="eastAsia"/>
          <w:bCs/>
          <w:color w:val="auto"/>
          <w:highlight w:val="none"/>
          <w:lang w:bidi="en-US"/>
        </w:rPr>
        <w:t>本系统可实现如下功能：</w:t>
      </w:r>
    </w:p>
    <w:p w14:paraId="2F8597AC">
      <w:pPr>
        <w:numPr>
          <w:ilvl w:val="0"/>
          <w:numId w:val="23"/>
        </w:numPr>
        <w:spacing w:line="360" w:lineRule="auto"/>
        <w:ind w:left="0" w:firstLine="420" w:firstLineChars="200"/>
        <w:rPr>
          <w:bCs/>
          <w:color w:val="auto"/>
          <w:highlight w:val="none"/>
          <w:lang w:bidi="en-US"/>
        </w:rPr>
      </w:pPr>
      <w:r>
        <w:rPr>
          <w:bCs/>
          <w:color w:val="auto"/>
          <w:highlight w:val="none"/>
          <w:lang w:bidi="en-US"/>
        </w:rPr>
        <w:t>具备雨雾环境自动检测功能，以自适应环境全天候工作，保证雨雾恶劣天气环境正常工作。</w:t>
      </w:r>
    </w:p>
    <w:p w14:paraId="0128F1D7">
      <w:pPr>
        <w:numPr>
          <w:ilvl w:val="0"/>
          <w:numId w:val="23"/>
        </w:numPr>
        <w:spacing w:line="360" w:lineRule="auto"/>
        <w:ind w:left="0" w:firstLine="420" w:firstLineChars="200"/>
        <w:rPr>
          <w:bCs/>
          <w:color w:val="auto"/>
          <w:highlight w:val="none"/>
          <w:lang w:bidi="en-US"/>
        </w:rPr>
      </w:pPr>
      <w:r>
        <w:rPr>
          <w:bCs/>
          <w:color w:val="auto"/>
          <w:highlight w:val="none"/>
          <w:lang w:bidi="en-US"/>
        </w:rPr>
        <w:t>自动检测电网输出高压丢失或失控报警，具备触网、短路、断路、高压丢失报警、防剪断报警功能。</w:t>
      </w:r>
    </w:p>
    <w:p w14:paraId="0C581A2E">
      <w:pPr>
        <w:numPr>
          <w:ilvl w:val="0"/>
          <w:numId w:val="23"/>
        </w:numPr>
        <w:spacing w:line="360" w:lineRule="auto"/>
        <w:ind w:left="0" w:firstLine="420" w:firstLineChars="200"/>
        <w:rPr>
          <w:bCs/>
          <w:color w:val="auto"/>
          <w:highlight w:val="none"/>
          <w:lang w:bidi="en-US"/>
        </w:rPr>
      </w:pPr>
      <w:r>
        <w:rPr>
          <w:bCs/>
          <w:color w:val="auto"/>
          <w:highlight w:val="none"/>
          <w:lang w:bidi="en-US"/>
        </w:rPr>
        <w:t>触网、短路、断路情况发生时，不影响系统的运行功能；触网报警时，自动增大打击强度，自动控制强力打击时间之后自动恢复预警状态。</w:t>
      </w:r>
    </w:p>
    <w:p w14:paraId="1899F18E">
      <w:pPr>
        <w:numPr>
          <w:ilvl w:val="0"/>
          <w:numId w:val="23"/>
        </w:numPr>
        <w:spacing w:line="360" w:lineRule="auto"/>
        <w:ind w:left="0" w:firstLine="420" w:firstLineChars="200"/>
        <w:rPr>
          <w:bCs/>
          <w:color w:val="auto"/>
          <w:highlight w:val="none"/>
          <w:lang w:bidi="en-US"/>
        </w:rPr>
      </w:pPr>
      <w:r>
        <w:rPr>
          <w:bCs/>
          <w:color w:val="auto"/>
          <w:highlight w:val="none"/>
          <w:lang w:bidi="en-US"/>
        </w:rPr>
        <w:t>报警联动，电网报警时自动开启备用路灯，启动视频监控预置跟踪功能；报警时，点亮全部照明灯和探照灯。</w:t>
      </w:r>
    </w:p>
    <w:p w14:paraId="3F34BC38">
      <w:pPr>
        <w:numPr>
          <w:ilvl w:val="0"/>
          <w:numId w:val="23"/>
        </w:numPr>
        <w:spacing w:line="360" w:lineRule="auto"/>
        <w:ind w:left="0" w:firstLine="420" w:firstLineChars="200"/>
        <w:rPr>
          <w:bCs/>
          <w:color w:val="auto"/>
          <w:highlight w:val="none"/>
          <w:lang w:bidi="en-US"/>
        </w:rPr>
      </w:pPr>
      <w:r>
        <w:rPr>
          <w:bCs/>
          <w:color w:val="auto"/>
          <w:highlight w:val="none"/>
          <w:lang w:bidi="en-US"/>
        </w:rPr>
        <w:t xml:space="preserve">分段供电，分路检测，分段报警，各段可独立工作，可根据客观情况及要求调节电网的打击强度。 </w:t>
      </w:r>
    </w:p>
    <w:p w14:paraId="5E5BB3EA">
      <w:pPr>
        <w:numPr>
          <w:ilvl w:val="0"/>
          <w:numId w:val="23"/>
        </w:numPr>
        <w:spacing w:line="360" w:lineRule="auto"/>
        <w:ind w:left="0" w:firstLine="420" w:firstLineChars="200"/>
        <w:rPr>
          <w:bCs/>
          <w:color w:val="auto"/>
          <w:highlight w:val="none"/>
          <w:lang w:bidi="en-US"/>
        </w:rPr>
      </w:pPr>
      <w:r>
        <w:rPr>
          <w:bCs/>
          <w:color w:val="auto"/>
          <w:highlight w:val="none"/>
          <w:lang w:bidi="en-US"/>
        </w:rPr>
        <w:t>系统具有电子地图功能，实时显示网上各段电压及电流值，发生警情，自动记录电网记录电压、电流值及加载时间、报警时间、报警区段情况，并能够随时调看运行记录。</w:t>
      </w:r>
    </w:p>
    <w:p w14:paraId="65EC204C">
      <w:pPr>
        <w:numPr>
          <w:ilvl w:val="0"/>
          <w:numId w:val="23"/>
        </w:numPr>
        <w:spacing w:line="360" w:lineRule="auto"/>
        <w:ind w:left="0" w:firstLine="420" w:firstLineChars="200"/>
        <w:rPr>
          <w:bCs/>
          <w:color w:val="auto"/>
          <w:highlight w:val="none"/>
          <w:lang w:bidi="en-US"/>
        </w:rPr>
      </w:pPr>
      <w:r>
        <w:rPr>
          <w:bCs/>
          <w:color w:val="auto"/>
          <w:highlight w:val="none"/>
          <w:lang w:bidi="en-US"/>
        </w:rPr>
        <w:t>电网按围墙区域实施分区段管理，</w:t>
      </w:r>
      <w:r>
        <w:rPr>
          <w:rFonts w:hint="eastAsia"/>
          <w:bCs/>
          <w:color w:val="auto"/>
          <w:highlight w:val="none"/>
          <w:lang w:bidi="en-US"/>
        </w:rPr>
        <w:t>具</w:t>
      </w:r>
      <w:r>
        <w:rPr>
          <w:bCs/>
          <w:color w:val="auto"/>
          <w:highlight w:val="none"/>
          <w:lang w:bidi="en-US"/>
        </w:rPr>
        <w:t>有4个（东、南、西、北）方向的定位功能。每区段分别具有自动检测电网输出高压丢失或失控报警，具有多路分段触网、断网、短路报警功能，独立构成报警系统。</w:t>
      </w:r>
    </w:p>
    <w:p w14:paraId="035F17D6">
      <w:pPr>
        <w:numPr>
          <w:ilvl w:val="0"/>
          <w:numId w:val="23"/>
        </w:numPr>
        <w:spacing w:line="360" w:lineRule="auto"/>
        <w:ind w:left="0" w:firstLine="420" w:firstLineChars="200"/>
        <w:rPr>
          <w:bCs/>
          <w:color w:val="auto"/>
          <w:highlight w:val="none"/>
          <w:lang w:bidi="en-US"/>
        </w:rPr>
      </w:pPr>
      <w:r>
        <w:rPr>
          <w:bCs/>
          <w:color w:val="auto"/>
          <w:highlight w:val="none"/>
          <w:lang w:bidi="en-US"/>
        </w:rPr>
        <w:t>报警响应时间&lt;2s，可通过电子地图准确定位报警部位，显示警情地址，并有声光报警输出装置。</w:t>
      </w:r>
    </w:p>
    <w:p w14:paraId="45BAE4A4">
      <w:pPr>
        <w:numPr>
          <w:ilvl w:val="0"/>
          <w:numId w:val="23"/>
        </w:numPr>
        <w:spacing w:line="360" w:lineRule="auto"/>
        <w:ind w:left="0" w:firstLine="420" w:firstLineChars="200"/>
        <w:rPr>
          <w:bCs/>
          <w:color w:val="auto"/>
          <w:highlight w:val="none"/>
          <w:lang w:bidi="en-US"/>
        </w:rPr>
      </w:pPr>
      <w:r>
        <w:rPr>
          <w:bCs/>
          <w:color w:val="auto"/>
          <w:highlight w:val="none"/>
          <w:lang w:bidi="en-US"/>
        </w:rPr>
        <w:t>在持续电击时间不少于15min后，</w:t>
      </w:r>
      <w:r>
        <w:rPr>
          <w:rFonts w:hint="eastAsia"/>
          <w:bCs/>
          <w:color w:val="auto"/>
          <w:highlight w:val="none"/>
          <w:lang w:bidi="en-US"/>
        </w:rPr>
        <w:t>两次电击的时间间隔应小于0.2ms，</w:t>
      </w:r>
      <w:r>
        <w:rPr>
          <w:bCs/>
          <w:color w:val="auto"/>
          <w:highlight w:val="none"/>
          <w:lang w:bidi="en-US"/>
        </w:rPr>
        <w:t>电网仍能正常工作；当出现多处同时触网和断网、短路情况时，电网的打击功能应不受影响。</w:t>
      </w:r>
    </w:p>
    <w:p w14:paraId="4231FC9B">
      <w:pPr>
        <w:numPr>
          <w:ilvl w:val="0"/>
          <w:numId w:val="23"/>
        </w:numPr>
        <w:spacing w:line="360" w:lineRule="auto"/>
        <w:ind w:left="0" w:firstLine="420" w:firstLineChars="200"/>
        <w:rPr>
          <w:bCs/>
          <w:color w:val="auto"/>
          <w:highlight w:val="none"/>
          <w:lang w:bidi="en-US"/>
        </w:rPr>
      </w:pPr>
      <w:r>
        <w:rPr>
          <w:bCs/>
          <w:color w:val="auto"/>
          <w:highlight w:val="none"/>
          <w:lang w:bidi="en-US"/>
        </w:rPr>
        <w:t>具有数字联网控制功能，可以通过IP网络实现远程报警和数据传输；可联动周界照明、</w:t>
      </w:r>
      <w:r>
        <w:rPr>
          <w:rFonts w:hint="eastAsia"/>
          <w:bCs/>
          <w:color w:val="auto"/>
          <w:highlight w:val="none"/>
          <w:lang w:bidi="en-US"/>
        </w:rPr>
        <w:t>周界</w:t>
      </w:r>
      <w:r>
        <w:rPr>
          <w:bCs/>
          <w:color w:val="auto"/>
          <w:highlight w:val="none"/>
          <w:lang w:bidi="en-US"/>
        </w:rPr>
        <w:t>视频监控、</w:t>
      </w:r>
      <w:r>
        <w:rPr>
          <w:rFonts w:hint="eastAsia"/>
          <w:bCs/>
          <w:color w:val="auto"/>
          <w:highlight w:val="none"/>
          <w:lang w:bidi="en-US"/>
        </w:rPr>
        <w:t>周界</w:t>
      </w:r>
      <w:r>
        <w:rPr>
          <w:bCs/>
          <w:color w:val="auto"/>
          <w:highlight w:val="none"/>
          <w:lang w:bidi="en-US"/>
        </w:rPr>
        <w:t>语音广播</w:t>
      </w:r>
      <w:r>
        <w:rPr>
          <w:rFonts w:hint="eastAsia"/>
          <w:bCs/>
          <w:color w:val="auto"/>
          <w:highlight w:val="none"/>
          <w:lang w:bidi="en-US"/>
        </w:rPr>
        <w:t>等</w:t>
      </w:r>
      <w:r>
        <w:rPr>
          <w:bCs/>
          <w:color w:val="auto"/>
          <w:highlight w:val="none"/>
          <w:lang w:bidi="en-US"/>
        </w:rPr>
        <w:t>系统设防，启动处警预案。</w:t>
      </w:r>
    </w:p>
    <w:p w14:paraId="7D9E0EB9">
      <w:pPr>
        <w:numPr>
          <w:ilvl w:val="0"/>
          <w:numId w:val="23"/>
        </w:numPr>
        <w:spacing w:line="360" w:lineRule="auto"/>
        <w:ind w:left="0" w:firstLine="420" w:firstLineChars="200"/>
        <w:rPr>
          <w:bCs/>
          <w:color w:val="auto"/>
          <w:highlight w:val="none"/>
          <w:lang w:bidi="en-US"/>
        </w:rPr>
      </w:pPr>
      <w:r>
        <w:rPr>
          <w:bCs/>
          <w:color w:val="auto"/>
          <w:highlight w:val="none"/>
          <w:lang w:bidi="en-US"/>
        </w:rPr>
        <w:t>具有计算机控制和应急人工控制两种模式，以确保电网正常运行。</w:t>
      </w:r>
    </w:p>
    <w:p w14:paraId="61E5F7BF">
      <w:pPr>
        <w:numPr>
          <w:ilvl w:val="0"/>
          <w:numId w:val="23"/>
        </w:numPr>
        <w:spacing w:line="360" w:lineRule="auto"/>
        <w:ind w:left="0" w:firstLine="420" w:firstLineChars="200"/>
        <w:rPr>
          <w:bCs/>
          <w:color w:val="auto"/>
          <w:highlight w:val="none"/>
          <w:lang w:bidi="en-US"/>
        </w:rPr>
      </w:pPr>
      <w:r>
        <w:rPr>
          <w:bCs/>
          <w:color w:val="auto"/>
          <w:highlight w:val="none"/>
          <w:lang w:bidi="en-US"/>
        </w:rPr>
        <w:t>具有自诊断功能，可进行自我诊断，显示故障信息；可根据天气等环境情况，调节电网报警灵敏度系数，以减少电网误报、漏报。</w:t>
      </w:r>
    </w:p>
    <w:p w14:paraId="79442D49">
      <w:pPr>
        <w:numPr>
          <w:ilvl w:val="0"/>
          <w:numId w:val="23"/>
        </w:numPr>
        <w:spacing w:line="360" w:lineRule="auto"/>
        <w:ind w:left="0" w:firstLine="420" w:firstLineChars="200"/>
        <w:rPr>
          <w:bCs/>
          <w:color w:val="auto"/>
          <w:highlight w:val="none"/>
          <w:lang w:bidi="en-US"/>
        </w:rPr>
      </w:pPr>
      <w:r>
        <w:rPr>
          <w:bCs/>
          <w:color w:val="auto"/>
          <w:highlight w:val="none"/>
          <w:lang w:bidi="en-US"/>
        </w:rPr>
        <w:t>计算机管理系统具有电子地图显示、报警功能及报警记录、撤/设防记录、查询打印、存储功能。</w:t>
      </w:r>
    </w:p>
    <w:p w14:paraId="72B10116">
      <w:pPr>
        <w:numPr>
          <w:ilvl w:val="0"/>
          <w:numId w:val="23"/>
        </w:numPr>
        <w:spacing w:line="360" w:lineRule="auto"/>
        <w:ind w:left="0" w:firstLine="420" w:firstLineChars="200"/>
        <w:rPr>
          <w:bCs/>
          <w:color w:val="auto"/>
          <w:highlight w:val="none"/>
          <w:lang w:bidi="en-US"/>
        </w:rPr>
      </w:pPr>
      <w:r>
        <w:rPr>
          <w:rFonts w:hint="eastAsia"/>
          <w:bCs/>
          <w:color w:val="auto"/>
          <w:highlight w:val="none"/>
          <w:lang w:bidi="en-US"/>
        </w:rPr>
        <w:t>电网在正常工作时，可保持高压输出。在主电源断电情况下，应自动切换到备用UPS电源上，主用UPS和备用UPS电源均能保证高压电网装置正常工作时间不少于4小时。</w:t>
      </w:r>
    </w:p>
    <w:p w14:paraId="2234D3D3">
      <w:pPr>
        <w:numPr>
          <w:ilvl w:val="0"/>
          <w:numId w:val="23"/>
        </w:numPr>
        <w:spacing w:line="360" w:lineRule="auto"/>
        <w:ind w:left="0" w:firstLine="420" w:firstLineChars="200"/>
        <w:rPr>
          <w:bCs/>
          <w:color w:val="auto"/>
          <w:highlight w:val="none"/>
          <w:lang w:bidi="en-US"/>
        </w:rPr>
      </w:pPr>
      <w:r>
        <w:rPr>
          <w:rFonts w:hint="eastAsia"/>
          <w:bCs/>
          <w:color w:val="auto"/>
          <w:highlight w:val="none"/>
          <w:lang w:bidi="en-US"/>
        </w:rPr>
        <w:t>金属线网的损耗功率≤100W。</w:t>
      </w:r>
    </w:p>
    <w:p w14:paraId="0504CB0D">
      <w:pPr>
        <w:numPr>
          <w:ilvl w:val="0"/>
          <w:numId w:val="23"/>
        </w:numPr>
        <w:spacing w:line="360" w:lineRule="auto"/>
        <w:ind w:left="0" w:firstLine="420" w:firstLineChars="200"/>
        <w:rPr>
          <w:bCs/>
          <w:color w:val="auto"/>
          <w:highlight w:val="none"/>
          <w:lang w:bidi="en-US"/>
        </w:rPr>
      </w:pPr>
      <w:r>
        <w:rPr>
          <w:rFonts w:hint="eastAsia"/>
          <w:bCs/>
          <w:color w:val="auto"/>
          <w:highlight w:val="none"/>
          <w:lang w:bidi="en-US"/>
        </w:rPr>
        <w:t>电网最大打击电流不超过500mA，最小打击电流应不小于450mA。</w:t>
      </w:r>
    </w:p>
    <w:p w14:paraId="399899F9">
      <w:pPr>
        <w:numPr>
          <w:ilvl w:val="0"/>
          <w:numId w:val="23"/>
        </w:numPr>
        <w:spacing w:line="360" w:lineRule="auto"/>
        <w:ind w:left="0" w:firstLine="420" w:firstLineChars="200"/>
        <w:rPr>
          <w:color w:val="auto"/>
          <w:highlight w:val="none"/>
        </w:rPr>
      </w:pPr>
      <w:r>
        <w:rPr>
          <w:rFonts w:hint="eastAsia"/>
          <w:bCs/>
          <w:color w:val="auto"/>
          <w:highlight w:val="none"/>
          <w:lang w:bidi="en-US"/>
        </w:rPr>
        <w:t>电网最小打击量不低于50mC、不高于60mC。</w:t>
      </w:r>
    </w:p>
    <w:p w14:paraId="644F4A67">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311B47FD">
      <w:pPr>
        <w:spacing w:line="360" w:lineRule="auto"/>
        <w:ind w:firstLine="420" w:firstLineChars="200"/>
        <w:rPr>
          <w:bCs/>
          <w:color w:val="auto"/>
          <w:highlight w:val="none"/>
        </w:rPr>
      </w:pPr>
      <w:r>
        <w:rPr>
          <w:rFonts w:hint="eastAsia"/>
          <w:bCs/>
          <w:color w:val="auto"/>
          <w:highlight w:val="none"/>
        </w:rPr>
        <w:t>周界电网架设严格按照《周界防范高压电网装置》（GB 25287-2010）标准执行。</w:t>
      </w:r>
    </w:p>
    <w:p w14:paraId="0E37B976">
      <w:pPr>
        <w:spacing w:line="360" w:lineRule="auto"/>
        <w:ind w:firstLine="420" w:firstLineChars="200"/>
        <w:rPr>
          <w:bCs/>
          <w:color w:val="auto"/>
          <w:highlight w:val="none"/>
        </w:rPr>
      </w:pPr>
      <w:r>
        <w:rPr>
          <w:rFonts w:hint="eastAsia"/>
          <w:bCs/>
          <w:color w:val="auto"/>
          <w:highlight w:val="none"/>
        </w:rPr>
        <w:t>围墙长度为700m，为近似正方形布局，监狱有东西南北四面围墙组成，至少应有四个方向的定位功能，为增加监狱防范能力，共分八个防区。</w:t>
      </w:r>
    </w:p>
    <w:p w14:paraId="53FF09AC">
      <w:pPr>
        <w:spacing w:line="360" w:lineRule="auto"/>
        <w:ind w:firstLine="420" w:firstLineChars="200"/>
        <w:rPr>
          <w:bCs/>
          <w:color w:val="auto"/>
          <w:highlight w:val="none"/>
        </w:rPr>
      </w:pPr>
      <w:r>
        <w:rPr>
          <w:rFonts w:hint="eastAsia"/>
          <w:bCs/>
          <w:color w:val="auto"/>
          <w:highlight w:val="none"/>
        </w:rPr>
        <w:t>电网金属线采用五线制，每个金属线均为火线。相邻两线间的距离为200mm，距离墙体最近的金属线与墙体之间的距离为200mm。</w:t>
      </w:r>
    </w:p>
    <w:p w14:paraId="54AB17F7">
      <w:pPr>
        <w:spacing w:line="360" w:lineRule="auto"/>
        <w:ind w:firstLine="420" w:firstLineChars="200"/>
        <w:rPr>
          <w:bCs/>
          <w:color w:val="auto"/>
          <w:highlight w:val="none"/>
        </w:rPr>
      </w:pPr>
      <w:r>
        <w:rPr>
          <w:rFonts w:hint="eastAsia"/>
          <w:bCs/>
          <w:color w:val="auto"/>
          <w:highlight w:val="none"/>
        </w:rPr>
        <w:t>电网采用分段安装，每段长度为250m。金属网架采用承重≥150kg的热镀锌支架，倾斜角度在90-135度之间；每5m安装一支架，网架下端与地面距离4.5m。金属线采用符合GB/T 1179标准的16mm</w:t>
      </w:r>
      <w:r>
        <w:rPr>
          <w:rFonts w:ascii="Calibri" w:hAnsi="Calibri" w:cs="Calibri"/>
          <w:bCs/>
          <w:color w:val="auto"/>
          <w:highlight w:val="none"/>
        </w:rPr>
        <w:t>²</w:t>
      </w:r>
      <w:r>
        <w:rPr>
          <w:rFonts w:hint="eastAsia"/>
          <w:bCs/>
          <w:color w:val="auto"/>
          <w:highlight w:val="none"/>
        </w:rPr>
        <w:t>钢芯铝绞线。</w:t>
      </w:r>
    </w:p>
    <w:p w14:paraId="38C1DAD5">
      <w:pPr>
        <w:spacing w:line="360" w:lineRule="auto"/>
        <w:ind w:firstLine="420" w:firstLineChars="200"/>
        <w:rPr>
          <w:bCs/>
          <w:color w:val="auto"/>
          <w:highlight w:val="none"/>
        </w:rPr>
      </w:pPr>
      <w:r>
        <w:rPr>
          <w:rFonts w:hint="eastAsia"/>
          <w:bCs/>
          <w:color w:val="auto"/>
          <w:highlight w:val="none"/>
        </w:rPr>
        <w:t>高压箱安装于围墙外侧，并且留出足够的安全间隔区域，其底部距离地面高度3.5m。安装于室外时，具备全天候工作条件；外壳应可靠接地，箱体上有明显的警示标志。</w:t>
      </w:r>
    </w:p>
    <w:p w14:paraId="440AE930">
      <w:pPr>
        <w:spacing w:line="360" w:lineRule="auto"/>
        <w:ind w:firstLine="420" w:firstLineChars="200"/>
        <w:rPr>
          <w:bCs/>
          <w:color w:val="auto"/>
          <w:highlight w:val="none"/>
        </w:rPr>
      </w:pPr>
      <w:r>
        <w:rPr>
          <w:rFonts w:hint="eastAsia"/>
          <w:bCs/>
          <w:color w:val="auto"/>
          <w:highlight w:val="none"/>
        </w:rPr>
        <w:t>待检区外围隔离网和围墙均设置平网和斜网。</w:t>
      </w:r>
    </w:p>
    <w:p w14:paraId="7C2C4C6C">
      <w:pPr>
        <w:spacing w:line="360" w:lineRule="auto"/>
        <w:ind w:firstLine="420" w:firstLineChars="200"/>
        <w:rPr>
          <w:bCs/>
          <w:color w:val="auto"/>
          <w:highlight w:val="none"/>
        </w:rPr>
      </w:pPr>
      <w:r>
        <w:rPr>
          <w:rFonts w:hint="eastAsia"/>
          <w:bCs/>
          <w:color w:val="auto"/>
          <w:highlight w:val="none"/>
        </w:rPr>
        <w:t>周界高压脉冲电网应无盲区安装，金属线网布设呈闭合状态，其内部为防范区。</w:t>
      </w:r>
    </w:p>
    <w:p w14:paraId="7CA8D59E">
      <w:pPr>
        <w:spacing w:line="360" w:lineRule="auto"/>
        <w:ind w:firstLine="420" w:firstLineChars="200"/>
        <w:rPr>
          <w:bCs/>
          <w:color w:val="auto"/>
          <w:highlight w:val="none"/>
        </w:rPr>
      </w:pPr>
      <w:r>
        <w:rPr>
          <w:rFonts w:hint="eastAsia"/>
          <w:bCs/>
          <w:color w:val="auto"/>
          <w:highlight w:val="none"/>
        </w:rPr>
        <w:t>高低压分开：高压和低压控制系统必须分开安装，操作人员的操作均在低压侧进行，确保人员安全。</w:t>
      </w:r>
    </w:p>
    <w:p w14:paraId="70D9471E">
      <w:pPr>
        <w:spacing w:line="360" w:lineRule="auto"/>
        <w:ind w:firstLine="420" w:firstLineChars="200"/>
        <w:rPr>
          <w:bCs/>
          <w:color w:val="auto"/>
          <w:highlight w:val="none"/>
        </w:rPr>
      </w:pPr>
      <w:r>
        <w:rPr>
          <w:rFonts w:hint="eastAsia"/>
          <w:bCs/>
          <w:color w:val="auto"/>
          <w:highlight w:val="none"/>
        </w:rPr>
        <w:t>高压输出端应将高压电缆直接连接到电网的金属线上，连接处应采取防氧化和防漏电措施。</w:t>
      </w:r>
    </w:p>
    <w:p w14:paraId="04992A09">
      <w:pPr>
        <w:spacing w:line="360" w:lineRule="auto"/>
        <w:ind w:firstLine="420" w:firstLineChars="200"/>
        <w:rPr>
          <w:bCs/>
          <w:color w:val="auto"/>
          <w:highlight w:val="none"/>
        </w:rPr>
      </w:pPr>
      <w:r>
        <w:rPr>
          <w:rFonts w:hint="eastAsia"/>
          <w:bCs/>
          <w:color w:val="auto"/>
          <w:highlight w:val="none"/>
        </w:rPr>
        <w:t>接地保护：高压和低压侧均采用接地保护，接地电阻符合国家标准（≤4欧姆）。</w:t>
      </w:r>
    </w:p>
    <w:p w14:paraId="5AFFD403">
      <w:pPr>
        <w:spacing w:line="360" w:lineRule="auto"/>
        <w:ind w:firstLine="420" w:firstLineChars="200"/>
        <w:rPr>
          <w:bCs/>
          <w:color w:val="auto"/>
          <w:highlight w:val="none"/>
        </w:rPr>
      </w:pPr>
      <w:r>
        <w:rPr>
          <w:rFonts w:hint="eastAsia"/>
          <w:bCs/>
          <w:color w:val="auto"/>
          <w:highlight w:val="none"/>
        </w:rPr>
        <w:t>避雷装置：在高压侧安装避雷装置，以避免雷击造成设备损坏。</w:t>
      </w:r>
    </w:p>
    <w:p w14:paraId="117C98AB">
      <w:pPr>
        <w:spacing w:line="360" w:lineRule="auto"/>
        <w:ind w:firstLine="420" w:firstLineChars="200"/>
        <w:rPr>
          <w:bCs/>
          <w:color w:val="auto"/>
          <w:highlight w:val="none"/>
        </w:rPr>
      </w:pPr>
      <w:r>
        <w:rPr>
          <w:rFonts w:hint="eastAsia"/>
          <w:bCs/>
          <w:color w:val="auto"/>
          <w:highlight w:val="none"/>
        </w:rPr>
        <w:t>电网控制主机安装在本监狱大门三层指挥中心。</w:t>
      </w:r>
    </w:p>
    <w:p w14:paraId="4FA7E2DE">
      <w:pPr>
        <w:spacing w:line="360" w:lineRule="auto"/>
        <w:ind w:firstLine="420" w:firstLineChars="200"/>
        <w:rPr>
          <w:bCs/>
          <w:color w:val="auto"/>
          <w:highlight w:val="none"/>
        </w:rPr>
      </w:pPr>
      <w:r>
        <w:rPr>
          <w:rFonts w:hint="eastAsia"/>
          <w:bCs/>
          <w:color w:val="auto"/>
          <w:highlight w:val="none"/>
        </w:rPr>
        <w:t>岗楼报警器分别安装在两个岗楼内。</w:t>
      </w:r>
    </w:p>
    <w:p w14:paraId="58553AF3">
      <w:pPr>
        <w:pStyle w:val="11"/>
        <w:spacing w:before="0" w:after="0" w:line="360" w:lineRule="auto"/>
        <w:ind w:firstLine="562" w:firstLineChars="200"/>
        <w:rPr>
          <w:color w:val="auto"/>
          <w:highlight w:val="none"/>
        </w:rPr>
      </w:pPr>
      <w:r>
        <w:rPr>
          <w:rFonts w:hint="eastAsia"/>
          <w:color w:val="auto"/>
          <w:highlight w:val="none"/>
        </w:rPr>
        <w:t>4.8.4周界语音广播系统</w:t>
      </w:r>
    </w:p>
    <w:p w14:paraId="515E8C45">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636DF4AF">
      <w:pPr>
        <w:spacing w:line="360" w:lineRule="auto"/>
        <w:ind w:firstLine="420" w:firstLineChars="200"/>
        <w:rPr>
          <w:bCs/>
          <w:color w:val="auto"/>
          <w:highlight w:val="none"/>
        </w:rPr>
      </w:pPr>
      <w:r>
        <w:rPr>
          <w:rFonts w:hint="eastAsia"/>
          <w:bCs/>
          <w:color w:val="auto"/>
          <w:highlight w:val="none"/>
        </w:rPr>
        <w:t>周界语音广播系统通过安装在监狱围墙上的室外音柱，能够对监狱周界以及监狱内部出现的异常情况，发出语音警示和警示指令，具有分区广播及紧急全区广播功能。</w:t>
      </w:r>
    </w:p>
    <w:p w14:paraId="7000FB89">
      <w:pPr>
        <w:spacing w:line="360" w:lineRule="auto"/>
        <w:ind w:firstLine="420" w:firstLineChars="200"/>
        <w:rPr>
          <w:bCs/>
          <w:color w:val="auto"/>
          <w:highlight w:val="none"/>
        </w:rPr>
      </w:pPr>
      <w:r>
        <w:rPr>
          <w:rFonts w:hint="eastAsia"/>
          <w:bCs/>
          <w:color w:val="auto"/>
          <w:highlight w:val="none"/>
        </w:rPr>
        <w:t>本系统可以与周界报警系统联动，实现自动广播的输出。当有人靠近进入警戒区域时，周界入侵探测系统产生报警信号，在指挥中心或岗楼内通过周界语音广播系统可以对报警区域进行自动或人工语音警告，以提醒或阻止监狱周界围墙附近威胁监狱安全的行为。</w:t>
      </w:r>
    </w:p>
    <w:p w14:paraId="0A4A1087">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3B510737">
      <w:pPr>
        <w:spacing w:line="360" w:lineRule="auto"/>
        <w:ind w:firstLine="420" w:firstLineChars="200"/>
        <w:rPr>
          <w:bCs/>
          <w:color w:val="auto"/>
          <w:highlight w:val="none"/>
        </w:rPr>
      </w:pPr>
      <w:r>
        <w:rPr>
          <w:rFonts w:hint="eastAsia"/>
          <w:bCs/>
          <w:color w:val="auto"/>
          <w:highlight w:val="none"/>
        </w:rPr>
        <w:t>本系统采用基于IP的数字化广播架构，广播信号基于监狱的电子狱务专网传输，通过设置于岗楼IP网络功放驱动各自围墙上的室外音柱。</w:t>
      </w:r>
    </w:p>
    <w:p w14:paraId="435FE689">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6BD67C3C">
      <w:pPr>
        <w:spacing w:line="360" w:lineRule="auto"/>
        <w:ind w:firstLine="420" w:firstLineChars="200"/>
        <w:rPr>
          <w:bCs/>
          <w:color w:val="auto"/>
          <w:highlight w:val="none"/>
        </w:rPr>
      </w:pPr>
      <w:r>
        <w:rPr>
          <w:rFonts w:hint="eastAsia"/>
          <w:bCs/>
          <w:color w:val="auto"/>
          <w:highlight w:val="none"/>
        </w:rPr>
        <w:t>本监狱周界长度700m，在围墙均匀布置室外音柱，数量为24个。</w:t>
      </w:r>
    </w:p>
    <w:p w14:paraId="3179F9E9">
      <w:pPr>
        <w:spacing w:line="360" w:lineRule="auto"/>
        <w:ind w:firstLine="420" w:firstLineChars="200"/>
        <w:rPr>
          <w:bCs/>
          <w:color w:val="auto"/>
          <w:highlight w:val="none"/>
        </w:rPr>
      </w:pPr>
      <w:r>
        <w:rPr>
          <w:rFonts w:hint="eastAsia"/>
          <w:bCs/>
          <w:color w:val="auto"/>
          <w:highlight w:val="none"/>
        </w:rPr>
        <w:t>1、系统组成</w:t>
      </w:r>
    </w:p>
    <w:p w14:paraId="7BD5924E">
      <w:pPr>
        <w:spacing w:line="360" w:lineRule="auto"/>
        <w:ind w:firstLine="420" w:firstLineChars="200"/>
        <w:rPr>
          <w:bCs/>
          <w:color w:val="auto"/>
          <w:highlight w:val="none"/>
        </w:rPr>
      </w:pPr>
      <w:r>
        <w:rPr>
          <w:rFonts w:hint="eastAsia"/>
          <w:bCs/>
          <w:color w:val="auto"/>
          <w:highlight w:val="none"/>
        </w:rPr>
        <w:t>本系统由音源及中心管理设备、IP网络功放、传输线路和室外音柱组成。</w:t>
      </w:r>
    </w:p>
    <w:p w14:paraId="55A782BD">
      <w:pPr>
        <w:spacing w:line="360" w:lineRule="auto"/>
        <w:ind w:firstLine="420" w:firstLineChars="200"/>
        <w:rPr>
          <w:bCs/>
          <w:color w:val="auto"/>
          <w:highlight w:val="none"/>
        </w:rPr>
      </w:pPr>
      <w:r>
        <w:rPr>
          <w:rFonts w:hint="eastAsia"/>
          <w:bCs/>
          <w:color w:val="auto"/>
          <w:highlight w:val="none"/>
        </w:rPr>
        <w:t>（1）音源及中心管理设备：音源可以采用紧急录音报警器播放的电子录音、警笛声音以及人工话筒喊话，该部分设备主要有广播网络控制主机、前置放大器、调谐器、CD播放器、监听音箱等，以上设备均与监管区的语音广播系统共用。</w:t>
      </w:r>
    </w:p>
    <w:p w14:paraId="047A126A">
      <w:pPr>
        <w:spacing w:line="360" w:lineRule="auto"/>
        <w:ind w:firstLine="420" w:firstLineChars="200"/>
        <w:rPr>
          <w:bCs/>
          <w:color w:val="auto"/>
          <w:highlight w:val="none"/>
        </w:rPr>
      </w:pPr>
      <w:r>
        <w:rPr>
          <w:rFonts w:hint="eastAsia"/>
          <w:bCs/>
          <w:color w:val="auto"/>
          <w:highlight w:val="none"/>
        </w:rPr>
        <w:t>（2）IP网络功放：完成信号的解码和功率放大，另外配合在岗楼的周界专用寻呼话筒对室外音柱进行管理和控制。</w:t>
      </w:r>
    </w:p>
    <w:p w14:paraId="659565F1">
      <w:pPr>
        <w:spacing w:line="360" w:lineRule="auto"/>
        <w:ind w:firstLine="420" w:firstLineChars="200"/>
        <w:rPr>
          <w:bCs/>
          <w:color w:val="auto"/>
          <w:highlight w:val="none"/>
        </w:rPr>
      </w:pPr>
      <w:r>
        <w:rPr>
          <w:rFonts w:hint="eastAsia"/>
          <w:bCs/>
          <w:color w:val="auto"/>
          <w:highlight w:val="none"/>
        </w:rPr>
        <w:t>（3）传输线路：采用70V或100V高压传输方式，音频传输线材采用三芯优质阻燃屏蔽铜线，线径1.0mm</w:t>
      </w:r>
      <w:r>
        <w:rPr>
          <w:rFonts w:ascii="Calibri" w:hAnsi="Calibri" w:cs="Calibri"/>
          <w:bCs/>
          <w:color w:val="auto"/>
          <w:highlight w:val="none"/>
        </w:rPr>
        <w:t>²</w:t>
      </w:r>
      <w:r>
        <w:rPr>
          <w:rFonts w:hint="eastAsia"/>
          <w:bCs/>
          <w:color w:val="auto"/>
          <w:highlight w:val="none"/>
        </w:rPr>
        <w:t>。</w:t>
      </w:r>
    </w:p>
    <w:p w14:paraId="2A3FB5A5">
      <w:pPr>
        <w:spacing w:line="360" w:lineRule="auto"/>
        <w:ind w:firstLine="420" w:firstLineChars="200"/>
        <w:rPr>
          <w:bCs/>
          <w:color w:val="auto"/>
          <w:highlight w:val="none"/>
        </w:rPr>
      </w:pPr>
      <w:r>
        <w:rPr>
          <w:rFonts w:hint="eastAsia"/>
          <w:bCs/>
          <w:color w:val="auto"/>
          <w:highlight w:val="none"/>
        </w:rPr>
        <w:t>（4）室外音柱：在电网平网的下方1m处壁挂安装，同时应与微波对射、围墙摄像机分段安装。</w:t>
      </w:r>
    </w:p>
    <w:p w14:paraId="17261A91">
      <w:pPr>
        <w:spacing w:line="360" w:lineRule="auto"/>
        <w:ind w:firstLine="420" w:firstLineChars="200"/>
        <w:rPr>
          <w:bCs/>
          <w:color w:val="auto"/>
          <w:highlight w:val="none"/>
        </w:rPr>
      </w:pPr>
      <w:r>
        <w:rPr>
          <w:rFonts w:hint="eastAsia"/>
          <w:bCs/>
          <w:color w:val="auto"/>
          <w:highlight w:val="none"/>
        </w:rPr>
        <w:t>本系统可实现如下功能：</w:t>
      </w:r>
    </w:p>
    <w:p w14:paraId="22DECFFF">
      <w:pPr>
        <w:numPr>
          <w:ilvl w:val="0"/>
          <w:numId w:val="24"/>
        </w:numPr>
        <w:spacing w:line="360" w:lineRule="auto"/>
        <w:ind w:left="0" w:firstLine="420" w:firstLineChars="200"/>
        <w:rPr>
          <w:bCs/>
          <w:color w:val="auto"/>
          <w:highlight w:val="none"/>
        </w:rPr>
      </w:pPr>
      <w:r>
        <w:rPr>
          <w:rFonts w:hint="eastAsia"/>
          <w:bCs/>
          <w:color w:val="auto"/>
          <w:highlight w:val="none"/>
        </w:rPr>
        <w:t>系统可实现监狱指挥中心值班警察对周界警戒区域分段喊话，以提醒或阻止监狱周界围墙内外威胁监狱安全的行为；</w:t>
      </w:r>
    </w:p>
    <w:p w14:paraId="33927DAA">
      <w:pPr>
        <w:numPr>
          <w:ilvl w:val="0"/>
          <w:numId w:val="24"/>
        </w:numPr>
        <w:spacing w:line="360" w:lineRule="auto"/>
        <w:ind w:left="0" w:firstLine="420" w:firstLineChars="200"/>
        <w:rPr>
          <w:bCs/>
          <w:color w:val="auto"/>
          <w:highlight w:val="none"/>
        </w:rPr>
      </w:pPr>
      <w:r>
        <w:rPr>
          <w:rFonts w:hint="eastAsia"/>
          <w:bCs/>
          <w:color w:val="auto"/>
          <w:highlight w:val="none"/>
        </w:rPr>
        <w:t>兼做应急广播，可与消防系统联动；</w:t>
      </w:r>
    </w:p>
    <w:p w14:paraId="665BD37F">
      <w:pPr>
        <w:numPr>
          <w:ilvl w:val="0"/>
          <w:numId w:val="24"/>
        </w:numPr>
        <w:spacing w:line="360" w:lineRule="auto"/>
        <w:ind w:left="0" w:firstLine="420" w:firstLineChars="200"/>
        <w:rPr>
          <w:bCs/>
          <w:color w:val="auto"/>
          <w:highlight w:val="none"/>
        </w:rPr>
      </w:pPr>
      <w:r>
        <w:rPr>
          <w:rFonts w:hint="eastAsia"/>
          <w:bCs/>
          <w:color w:val="auto"/>
          <w:highlight w:val="none"/>
        </w:rPr>
        <w:t>能够接入周界报警联动管理平台，接收报警控制信号；</w:t>
      </w:r>
    </w:p>
    <w:p w14:paraId="7F5EAA1F">
      <w:pPr>
        <w:numPr>
          <w:ilvl w:val="0"/>
          <w:numId w:val="24"/>
        </w:numPr>
        <w:spacing w:line="360" w:lineRule="auto"/>
        <w:ind w:left="0" w:firstLine="420" w:firstLineChars="200"/>
        <w:rPr>
          <w:bCs/>
          <w:color w:val="auto"/>
          <w:highlight w:val="none"/>
        </w:rPr>
      </w:pPr>
      <w:r>
        <w:rPr>
          <w:rFonts w:hint="eastAsia"/>
          <w:bCs/>
          <w:color w:val="auto"/>
          <w:highlight w:val="none"/>
        </w:rPr>
        <w:t>支持自动语音播放、人工语音喊话。</w:t>
      </w:r>
    </w:p>
    <w:p w14:paraId="2CFE0144">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52689070">
      <w:pPr>
        <w:pStyle w:val="59"/>
        <w:spacing w:line="360" w:lineRule="auto"/>
        <w:ind w:firstLine="420" w:firstLineChars="200"/>
        <w:rPr>
          <w:bCs/>
          <w:color w:val="auto"/>
          <w:highlight w:val="none"/>
        </w:rPr>
      </w:pPr>
      <w:r>
        <w:rPr>
          <w:rFonts w:hint="eastAsia"/>
          <w:bCs/>
          <w:color w:val="auto"/>
          <w:highlight w:val="none"/>
        </w:rPr>
        <w:t>1、周界每隔30m左右安装一个室外音柱，壁挂于周界围墙，安装高度为</w:t>
      </w:r>
      <w:r>
        <w:rPr>
          <w:bCs/>
          <w:color w:val="auto"/>
          <w:highlight w:val="none"/>
        </w:rPr>
        <w:t>4.5</w:t>
      </w:r>
      <w:r>
        <w:rPr>
          <w:rFonts w:hint="eastAsia"/>
          <w:bCs/>
          <w:color w:val="auto"/>
          <w:highlight w:val="none"/>
        </w:rPr>
        <w:t>m。</w:t>
      </w:r>
    </w:p>
    <w:p w14:paraId="765E071C">
      <w:pPr>
        <w:pStyle w:val="59"/>
        <w:spacing w:line="360" w:lineRule="auto"/>
        <w:ind w:firstLine="420" w:firstLineChars="200"/>
        <w:rPr>
          <w:bCs/>
          <w:color w:val="auto"/>
          <w:highlight w:val="none"/>
        </w:rPr>
      </w:pPr>
      <w:r>
        <w:rPr>
          <w:rFonts w:hint="eastAsia"/>
          <w:bCs/>
          <w:color w:val="auto"/>
          <w:highlight w:val="none"/>
        </w:rPr>
        <w:t>2、具备防破坏和防雨淋装置。</w:t>
      </w:r>
    </w:p>
    <w:p w14:paraId="4DFAA0DF">
      <w:pPr>
        <w:spacing w:line="360" w:lineRule="auto"/>
        <w:ind w:firstLine="420" w:firstLineChars="200"/>
        <w:rPr>
          <w:bCs/>
          <w:color w:val="auto"/>
          <w:highlight w:val="none"/>
        </w:rPr>
      </w:pPr>
      <w:r>
        <w:rPr>
          <w:rFonts w:hint="eastAsia"/>
          <w:bCs/>
          <w:color w:val="auto"/>
          <w:highlight w:val="none"/>
        </w:rPr>
        <w:t>3、在监狱大门指挥中心设置周界广播管理席位，在岗楼设置广播喊话点，接受指挥中心的集中管理和调度。</w:t>
      </w:r>
    </w:p>
    <w:p w14:paraId="3737D4C7">
      <w:pPr>
        <w:pStyle w:val="11"/>
        <w:spacing w:before="0" w:after="0" w:line="360" w:lineRule="auto"/>
        <w:ind w:firstLine="562" w:firstLineChars="200"/>
        <w:rPr>
          <w:color w:val="auto"/>
          <w:highlight w:val="none"/>
        </w:rPr>
      </w:pPr>
      <w:r>
        <w:rPr>
          <w:rFonts w:hint="eastAsia"/>
          <w:color w:val="auto"/>
          <w:highlight w:val="none"/>
        </w:rPr>
        <w:t>4.8.5周界照明系统</w:t>
      </w:r>
    </w:p>
    <w:p w14:paraId="2A988575">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09F9C75D">
      <w:pPr>
        <w:spacing w:line="360" w:lineRule="auto"/>
        <w:ind w:firstLine="420" w:firstLineChars="200"/>
        <w:rPr>
          <w:bCs/>
          <w:color w:val="auto"/>
          <w:highlight w:val="none"/>
        </w:rPr>
      </w:pPr>
      <w:r>
        <w:rPr>
          <w:rFonts w:hint="eastAsia"/>
          <w:bCs/>
          <w:color w:val="auto"/>
          <w:highlight w:val="none"/>
        </w:rPr>
        <w:t>本监狱周界照明系统包括在监狱围墙内外设置的LED照明灯及在岗楼设置的云台控制探照灯。在晚上、恶劣天气或有报警情况下，可控制某组照明灯的开关，也可以根据预先的时段控制某类或某组照明灯的开关，保证照明满足周界安防的需要。</w:t>
      </w:r>
    </w:p>
    <w:p w14:paraId="4006C8D0">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72093F0F">
      <w:pPr>
        <w:spacing w:line="360" w:lineRule="auto"/>
        <w:ind w:firstLine="420" w:firstLineChars="200"/>
        <w:rPr>
          <w:bCs/>
          <w:color w:val="auto"/>
          <w:highlight w:val="none"/>
        </w:rPr>
      </w:pPr>
      <w:r>
        <w:rPr>
          <w:rFonts w:hint="eastAsia" w:ascii="宋体" w:hAnsi="宋体"/>
          <w:bCs/>
          <w:color w:val="auto"/>
          <w:highlight w:val="none"/>
        </w:rPr>
        <w:t>本监狱周界照明系统由灯具、智能开关控制器、报警联动模块以及相关线材组成。系统能够通过安防智能集成平台和其他周界安防系统联动，有报警信号时可自动开启对应防区的灯具。</w:t>
      </w:r>
    </w:p>
    <w:p w14:paraId="262CF55D">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362A0AC9">
      <w:pPr>
        <w:spacing w:line="360" w:lineRule="auto"/>
        <w:ind w:firstLine="420" w:firstLineChars="200"/>
        <w:rPr>
          <w:bCs/>
          <w:color w:val="auto"/>
          <w:highlight w:val="none"/>
        </w:rPr>
      </w:pPr>
      <w:r>
        <w:rPr>
          <w:rFonts w:hint="eastAsia"/>
          <w:bCs/>
          <w:color w:val="auto"/>
          <w:highlight w:val="none"/>
        </w:rPr>
        <w:t>1、系统组成</w:t>
      </w:r>
    </w:p>
    <w:p w14:paraId="2FB8EE25">
      <w:pPr>
        <w:spacing w:line="360" w:lineRule="auto"/>
        <w:ind w:firstLine="420" w:firstLineChars="200"/>
        <w:rPr>
          <w:bCs/>
          <w:color w:val="auto"/>
          <w:highlight w:val="none"/>
        </w:rPr>
      </w:pPr>
      <w:r>
        <w:rPr>
          <w:rFonts w:hint="eastAsia"/>
          <w:bCs/>
          <w:color w:val="auto"/>
          <w:highlight w:val="none"/>
        </w:rPr>
        <w:t>本系统采用集中控制和管理、分散执行的方式。报警联动模块可以将周界电网系统和周界入侵探测系统的报警信号接入到智能开关控制器；智能开关控制器接收报警信号后，根据预置的控制逻辑和编程算法，输出灯具控制开关量，点亮相应防区的灯具；灯具根据控制参数，适时点亮。</w:t>
      </w:r>
    </w:p>
    <w:p w14:paraId="7EE07C6F">
      <w:pPr>
        <w:spacing w:line="360" w:lineRule="auto"/>
        <w:ind w:firstLine="420" w:firstLineChars="200"/>
        <w:rPr>
          <w:bCs/>
          <w:color w:val="auto"/>
          <w:highlight w:val="none"/>
        </w:rPr>
      </w:pPr>
      <w:r>
        <w:rPr>
          <w:rFonts w:hint="eastAsia"/>
          <w:bCs/>
          <w:color w:val="auto"/>
          <w:highlight w:val="none"/>
        </w:rPr>
        <w:t>根据本次围墙长度（700m），共在围墙内设置</w:t>
      </w:r>
      <w:r>
        <w:rPr>
          <w:bCs/>
          <w:color w:val="auto"/>
          <w:highlight w:val="none"/>
        </w:rPr>
        <w:t>80</w:t>
      </w:r>
      <w:r>
        <w:rPr>
          <w:rFonts w:hint="eastAsia"/>
          <w:bCs/>
          <w:color w:val="auto"/>
          <w:highlight w:val="none"/>
        </w:rPr>
        <w:t>W的LED灯68盏，周界平面照度大于50Eav（Lx）；在围墙外设置</w:t>
      </w:r>
      <w:r>
        <w:rPr>
          <w:bCs/>
          <w:color w:val="auto"/>
          <w:highlight w:val="none"/>
        </w:rPr>
        <w:t>110</w:t>
      </w:r>
      <w:r>
        <w:rPr>
          <w:rFonts w:hint="eastAsia"/>
          <w:bCs/>
          <w:color w:val="auto"/>
          <w:highlight w:val="none"/>
        </w:rPr>
        <w:t>W的LED灯36盏，周界平面照度大于30Eav（Lx）；每个岗楼设置两台250W的云台控制探照灯（两个岗楼共计设置4台）。</w:t>
      </w:r>
    </w:p>
    <w:p w14:paraId="4C475239">
      <w:pPr>
        <w:spacing w:line="360" w:lineRule="auto"/>
        <w:ind w:firstLine="420" w:firstLineChars="200"/>
        <w:rPr>
          <w:bCs/>
          <w:color w:val="auto"/>
          <w:highlight w:val="none"/>
        </w:rPr>
      </w:pPr>
      <w:r>
        <w:rPr>
          <w:rFonts w:hint="eastAsia"/>
          <w:bCs/>
          <w:color w:val="auto"/>
          <w:highlight w:val="none"/>
        </w:rPr>
        <w:t>平均照度(Eav)=光源总光通量(N*Ф)*利用系数(CU)*维护系数(MF)/区域面积(m2)。利用系数：取0.3，维护系数：取0.7。</w:t>
      </w:r>
    </w:p>
    <w:p w14:paraId="706D1747">
      <w:pPr>
        <w:spacing w:line="360" w:lineRule="auto"/>
        <w:ind w:firstLine="420" w:firstLineChars="200"/>
        <w:rPr>
          <w:bCs/>
          <w:color w:val="auto"/>
          <w:highlight w:val="none"/>
        </w:rPr>
      </w:pPr>
      <w:r>
        <w:rPr>
          <w:rFonts w:hint="eastAsia"/>
          <w:bCs/>
          <w:color w:val="auto"/>
          <w:highlight w:val="none"/>
        </w:rPr>
        <w:t>本系统可实现如下功能：</w:t>
      </w:r>
    </w:p>
    <w:p w14:paraId="3884EBF1">
      <w:pPr>
        <w:numPr>
          <w:ilvl w:val="0"/>
          <w:numId w:val="25"/>
        </w:numPr>
        <w:spacing w:line="360" w:lineRule="auto"/>
        <w:ind w:left="0" w:firstLine="420" w:firstLineChars="200"/>
        <w:rPr>
          <w:bCs/>
          <w:color w:val="auto"/>
          <w:highlight w:val="none"/>
        </w:rPr>
      </w:pPr>
      <w:r>
        <w:rPr>
          <w:rFonts w:hint="eastAsia"/>
          <w:bCs/>
          <w:color w:val="auto"/>
          <w:highlight w:val="none"/>
        </w:rPr>
        <w:t>具有分组控制功能，预警状态点亮三分之一或二分之一周界照明灯源，报警时自动点亮全部照明灯。</w:t>
      </w:r>
    </w:p>
    <w:p w14:paraId="2BF62C05">
      <w:pPr>
        <w:numPr>
          <w:ilvl w:val="0"/>
          <w:numId w:val="25"/>
        </w:numPr>
        <w:spacing w:line="360" w:lineRule="auto"/>
        <w:ind w:left="0" w:firstLine="420" w:firstLineChars="200"/>
        <w:rPr>
          <w:bCs/>
          <w:color w:val="auto"/>
          <w:highlight w:val="none"/>
        </w:rPr>
      </w:pPr>
      <w:r>
        <w:rPr>
          <w:rFonts w:hint="eastAsia"/>
          <w:bCs/>
          <w:color w:val="auto"/>
          <w:highlight w:val="none"/>
        </w:rPr>
        <w:t>具备自动和手动开关功能，可根据季节自动确定开关时间；也可手动开关。</w:t>
      </w:r>
    </w:p>
    <w:p w14:paraId="3EB51BEE">
      <w:pPr>
        <w:numPr>
          <w:ilvl w:val="0"/>
          <w:numId w:val="25"/>
        </w:numPr>
        <w:spacing w:line="360" w:lineRule="auto"/>
        <w:ind w:left="0" w:firstLine="420" w:firstLineChars="200"/>
        <w:rPr>
          <w:bCs/>
          <w:color w:val="auto"/>
          <w:highlight w:val="none"/>
        </w:rPr>
      </w:pPr>
      <w:r>
        <w:rPr>
          <w:rFonts w:hint="eastAsia"/>
          <w:bCs/>
          <w:color w:val="auto"/>
          <w:highlight w:val="none"/>
        </w:rPr>
        <w:t>具有联动控制功能，能够接入周界报警主机，夜间有报警信号时自动开启备用灯和探照灯。</w:t>
      </w:r>
    </w:p>
    <w:p w14:paraId="124094ED">
      <w:pPr>
        <w:numPr>
          <w:ilvl w:val="0"/>
          <w:numId w:val="25"/>
        </w:numPr>
        <w:spacing w:line="360" w:lineRule="auto"/>
        <w:ind w:left="0" w:firstLine="420" w:firstLineChars="200"/>
        <w:rPr>
          <w:bCs/>
          <w:color w:val="auto"/>
          <w:highlight w:val="none"/>
        </w:rPr>
      </w:pPr>
      <w:r>
        <w:rPr>
          <w:rFonts w:hint="eastAsia"/>
          <w:bCs/>
          <w:color w:val="auto"/>
          <w:highlight w:val="none"/>
        </w:rPr>
        <w:t>光通量≥13000流明；维护系数≥0.7。</w:t>
      </w:r>
    </w:p>
    <w:p w14:paraId="3580C016">
      <w:pPr>
        <w:numPr>
          <w:ilvl w:val="0"/>
          <w:numId w:val="25"/>
        </w:numPr>
        <w:spacing w:line="360" w:lineRule="auto"/>
        <w:ind w:left="0" w:firstLine="420" w:firstLineChars="200"/>
        <w:rPr>
          <w:bCs/>
          <w:color w:val="auto"/>
          <w:highlight w:val="none"/>
        </w:rPr>
      </w:pPr>
      <w:r>
        <w:rPr>
          <w:rFonts w:hint="eastAsia"/>
          <w:bCs/>
          <w:color w:val="auto"/>
          <w:highlight w:val="none"/>
        </w:rPr>
        <w:t>周界照明围墙</w:t>
      </w:r>
      <w:r>
        <w:rPr>
          <w:bCs/>
          <w:color w:val="auto"/>
          <w:highlight w:val="none"/>
        </w:rPr>
        <w:t>内</w:t>
      </w:r>
      <w:r>
        <w:rPr>
          <w:rFonts w:hint="eastAsia"/>
          <w:bCs/>
          <w:color w:val="auto"/>
          <w:highlight w:val="none"/>
        </w:rPr>
        <w:t>平均照度大于</w:t>
      </w:r>
      <w:r>
        <w:rPr>
          <w:bCs/>
          <w:color w:val="auto"/>
          <w:highlight w:val="none"/>
        </w:rPr>
        <w:t>50</w:t>
      </w:r>
      <w:r>
        <w:rPr>
          <w:rFonts w:hint="eastAsia"/>
          <w:bCs/>
          <w:color w:val="auto"/>
          <w:highlight w:val="none"/>
        </w:rPr>
        <w:t>Eav（Lx），围墙外</w:t>
      </w:r>
      <w:r>
        <w:rPr>
          <w:bCs/>
          <w:color w:val="auto"/>
          <w:highlight w:val="none"/>
        </w:rPr>
        <w:t>达到</w:t>
      </w:r>
      <w:r>
        <w:rPr>
          <w:rFonts w:hint="eastAsia"/>
          <w:bCs/>
          <w:color w:val="auto"/>
          <w:highlight w:val="none"/>
        </w:rPr>
        <w:t>30Eav（Lx）。</w:t>
      </w:r>
    </w:p>
    <w:p w14:paraId="03D8D38F">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53878B4C">
      <w:pPr>
        <w:spacing w:line="360" w:lineRule="auto"/>
        <w:ind w:firstLine="420" w:firstLineChars="200"/>
        <w:rPr>
          <w:bCs/>
          <w:color w:val="auto"/>
          <w:highlight w:val="none"/>
        </w:rPr>
      </w:pPr>
      <w:r>
        <w:rPr>
          <w:rFonts w:hint="eastAsia"/>
          <w:bCs/>
          <w:color w:val="auto"/>
          <w:highlight w:val="none"/>
        </w:rPr>
        <w:t>1、监狱围墙内侧约每10m间距安装一盏</w:t>
      </w:r>
      <w:r>
        <w:rPr>
          <w:bCs/>
          <w:color w:val="auto"/>
          <w:highlight w:val="none"/>
        </w:rPr>
        <w:t>80</w:t>
      </w:r>
      <w:r>
        <w:rPr>
          <w:rFonts w:hint="eastAsia"/>
          <w:bCs/>
          <w:color w:val="auto"/>
          <w:highlight w:val="none"/>
        </w:rPr>
        <w:t>W LED照明灯，安装方式为电网支架吊装，高度4.5m，共68盏。</w:t>
      </w:r>
    </w:p>
    <w:p w14:paraId="50B435AF">
      <w:pPr>
        <w:spacing w:line="360" w:lineRule="auto"/>
        <w:ind w:firstLine="420" w:firstLineChars="200"/>
        <w:rPr>
          <w:bCs/>
          <w:color w:val="auto"/>
          <w:highlight w:val="none"/>
        </w:rPr>
      </w:pPr>
      <w:r>
        <w:rPr>
          <w:rFonts w:hint="eastAsia"/>
          <w:bCs/>
          <w:color w:val="auto"/>
          <w:highlight w:val="none"/>
        </w:rPr>
        <w:t>2、监狱围墙外侧约每20m间距安装一盏</w:t>
      </w:r>
      <w:r>
        <w:rPr>
          <w:bCs/>
          <w:color w:val="auto"/>
          <w:highlight w:val="none"/>
        </w:rPr>
        <w:t>110</w:t>
      </w:r>
      <w:r>
        <w:rPr>
          <w:rFonts w:hint="eastAsia"/>
          <w:bCs/>
          <w:color w:val="auto"/>
          <w:highlight w:val="none"/>
        </w:rPr>
        <w:t>W LED照明灯，安装方式为外墙支架吊装，高度4.5m，共36盏。</w:t>
      </w:r>
    </w:p>
    <w:p w14:paraId="3799D518">
      <w:pPr>
        <w:spacing w:line="360" w:lineRule="auto"/>
        <w:ind w:firstLine="420" w:firstLineChars="200"/>
        <w:rPr>
          <w:bCs/>
          <w:color w:val="auto"/>
          <w:highlight w:val="none"/>
        </w:rPr>
      </w:pPr>
      <w:r>
        <w:rPr>
          <w:rFonts w:hint="eastAsia"/>
          <w:bCs/>
          <w:color w:val="auto"/>
          <w:highlight w:val="none"/>
        </w:rPr>
        <w:t>3、每个岗楼上安装两台具有云台控制的探照灯（250W高压氙灯）。</w:t>
      </w:r>
    </w:p>
    <w:p w14:paraId="172736A5">
      <w:pPr>
        <w:spacing w:line="360" w:lineRule="auto"/>
        <w:ind w:firstLine="420" w:firstLineChars="200"/>
        <w:rPr>
          <w:bCs/>
          <w:color w:val="auto"/>
          <w:highlight w:val="none"/>
        </w:rPr>
      </w:pPr>
      <w:r>
        <w:rPr>
          <w:rFonts w:hint="eastAsia"/>
          <w:bCs/>
          <w:color w:val="auto"/>
          <w:highlight w:val="none"/>
        </w:rPr>
        <w:t>4、配电设计及电缆敷设：高压电源由高压配电室埋地引至配电箱，每10至15个照明灯分组建立一配电回路，每回路选用线径为</w:t>
      </w:r>
      <w:r>
        <w:rPr>
          <w:bCs/>
          <w:color w:val="auto"/>
          <w:highlight w:val="none"/>
        </w:rPr>
        <w:t>6</w:t>
      </w:r>
      <w:r>
        <w:rPr>
          <w:rFonts w:hint="eastAsia"/>
          <w:bCs/>
          <w:color w:val="auto"/>
          <w:highlight w:val="none"/>
        </w:rPr>
        <w:t>mm</w:t>
      </w:r>
      <w:r>
        <w:rPr>
          <w:rFonts w:ascii="Calibri" w:hAnsi="Calibri" w:cs="Calibri"/>
          <w:bCs/>
          <w:color w:val="auto"/>
          <w:highlight w:val="none"/>
        </w:rPr>
        <w:t>²</w:t>
      </w:r>
      <w:r>
        <w:rPr>
          <w:rFonts w:hint="eastAsia"/>
          <w:bCs/>
          <w:color w:val="auto"/>
          <w:highlight w:val="none"/>
        </w:rPr>
        <w:t>的两芯供电线缆。周界照明系统供电由电气专业负责。</w:t>
      </w:r>
    </w:p>
    <w:p w14:paraId="34DA8B59">
      <w:pPr>
        <w:pStyle w:val="11"/>
        <w:spacing w:before="0" w:after="0" w:line="360" w:lineRule="auto"/>
        <w:ind w:firstLine="562" w:firstLineChars="200"/>
        <w:rPr>
          <w:color w:val="auto"/>
          <w:highlight w:val="none"/>
        </w:rPr>
      </w:pPr>
      <w:r>
        <w:rPr>
          <w:rFonts w:hint="eastAsia"/>
          <w:color w:val="auto"/>
          <w:highlight w:val="none"/>
        </w:rPr>
        <w:t>4.8.6周界视频监控系统</w:t>
      </w:r>
    </w:p>
    <w:p w14:paraId="199B6588">
      <w:pPr>
        <w:pStyle w:val="12"/>
        <w:tabs>
          <w:tab w:val="left" w:pos="864"/>
        </w:tabs>
        <w:spacing w:line="360" w:lineRule="auto"/>
        <w:ind w:left="0" w:firstLine="420" w:firstLineChars="200"/>
        <w:rPr>
          <w:color w:val="auto"/>
          <w:highlight w:val="none"/>
        </w:rPr>
      </w:pPr>
      <w:r>
        <w:rPr>
          <w:rFonts w:hint="eastAsia"/>
          <w:color w:val="auto"/>
          <w:highlight w:val="none"/>
        </w:rPr>
        <w:t>概述及需求</w:t>
      </w:r>
    </w:p>
    <w:p w14:paraId="127CF642">
      <w:pPr>
        <w:spacing w:line="360" w:lineRule="auto"/>
        <w:ind w:firstLine="420" w:firstLineChars="200"/>
        <w:rPr>
          <w:bCs/>
          <w:color w:val="auto"/>
          <w:highlight w:val="none"/>
        </w:rPr>
      </w:pPr>
      <w:r>
        <w:rPr>
          <w:rFonts w:hint="eastAsia"/>
          <w:bCs/>
          <w:color w:val="auto"/>
          <w:highlight w:val="none"/>
        </w:rPr>
        <w:t>周界视频监控系统是监狱日常管理、报警复核的重要手段与工具，也是周界安防工程的重要组成部分。</w:t>
      </w:r>
    </w:p>
    <w:p w14:paraId="484F3B4C">
      <w:pPr>
        <w:spacing w:line="360" w:lineRule="auto"/>
        <w:ind w:firstLine="420" w:firstLineChars="200"/>
        <w:rPr>
          <w:bCs/>
          <w:color w:val="auto"/>
          <w:highlight w:val="none"/>
        </w:rPr>
      </w:pPr>
      <w:r>
        <w:rPr>
          <w:rFonts w:hint="eastAsia"/>
          <w:bCs/>
          <w:color w:val="auto"/>
          <w:highlight w:val="none"/>
        </w:rPr>
        <w:t>本系统覆盖监狱周界内外各7米范围，可在该范围内形成无盲区监控，利用周界预警跟踪球机，可实现实时动态跟踪监控、报警管理、实时视频点播、远程控制、存储和备份、历史图像的检索和回放、用户与权限管理、网络信息安全管理、日志管理以及监控智能化等功能，前端摄像机信号可直接接入监控指挥中心。同时还可以与微振动周界报警系统、微波对射系统、周界高压脉冲电网系统等实现报警联动。</w:t>
      </w:r>
    </w:p>
    <w:p w14:paraId="7EA217BF">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6876BAAC">
      <w:pPr>
        <w:spacing w:line="360" w:lineRule="auto"/>
        <w:ind w:firstLine="420" w:firstLineChars="200"/>
        <w:rPr>
          <w:bCs/>
          <w:color w:val="auto"/>
          <w:highlight w:val="none"/>
        </w:rPr>
      </w:pPr>
      <w:r>
        <w:rPr>
          <w:bCs/>
          <w:color w:val="auto"/>
          <w:highlight w:val="none"/>
        </w:rPr>
        <w:t>周界视频监控系统由摄像机、交换机及相关传输线路组成</w:t>
      </w:r>
      <w:r>
        <w:rPr>
          <w:rFonts w:hint="eastAsia"/>
          <w:bCs/>
          <w:color w:val="auto"/>
          <w:highlight w:val="none"/>
        </w:rPr>
        <w:t>，本系统通过电子狱务专网接入监狱视频监控系统集中存储与管理</w:t>
      </w:r>
      <w:r>
        <w:rPr>
          <w:bCs/>
          <w:color w:val="auto"/>
          <w:highlight w:val="none"/>
        </w:rPr>
        <w:t>。在</w:t>
      </w:r>
      <w:r>
        <w:rPr>
          <w:rFonts w:hint="eastAsia"/>
          <w:bCs/>
          <w:color w:val="auto"/>
          <w:highlight w:val="none"/>
        </w:rPr>
        <w:t>本监狱大门</w:t>
      </w:r>
      <w:r>
        <w:rPr>
          <w:bCs/>
          <w:color w:val="auto"/>
          <w:highlight w:val="none"/>
        </w:rPr>
        <w:t>指挥中心设置独立的周界管理控制席位，用于对围墙周界的24小时监控管理。</w:t>
      </w:r>
    </w:p>
    <w:p w14:paraId="4C2087F1">
      <w:pPr>
        <w:pStyle w:val="12"/>
        <w:tabs>
          <w:tab w:val="left" w:pos="864"/>
        </w:tabs>
        <w:spacing w:line="360" w:lineRule="auto"/>
        <w:ind w:left="0" w:firstLine="420" w:firstLineChars="200"/>
        <w:rPr>
          <w:color w:val="auto"/>
          <w:highlight w:val="none"/>
        </w:rPr>
      </w:pPr>
      <w:r>
        <w:rPr>
          <w:rFonts w:hint="eastAsia"/>
          <w:color w:val="auto"/>
          <w:highlight w:val="none"/>
        </w:rPr>
        <w:t>设计方案</w:t>
      </w:r>
    </w:p>
    <w:p w14:paraId="70AE2518">
      <w:pPr>
        <w:spacing w:line="360" w:lineRule="auto"/>
        <w:ind w:firstLine="420" w:firstLineChars="200"/>
        <w:rPr>
          <w:bCs/>
          <w:color w:val="auto"/>
          <w:highlight w:val="none"/>
          <w:lang w:bidi="en-US"/>
        </w:rPr>
      </w:pPr>
      <w:r>
        <w:rPr>
          <w:rFonts w:hint="eastAsia"/>
          <w:bCs/>
          <w:color w:val="auto"/>
          <w:highlight w:val="none"/>
          <w:lang w:bidi="en-US"/>
        </w:rPr>
        <w:t>1、系统组成</w:t>
      </w:r>
    </w:p>
    <w:p w14:paraId="22ECF235">
      <w:pPr>
        <w:spacing w:line="360" w:lineRule="auto"/>
        <w:ind w:firstLine="420" w:firstLineChars="200"/>
        <w:rPr>
          <w:bCs/>
          <w:color w:val="auto"/>
          <w:highlight w:val="none"/>
          <w:lang w:bidi="en-US"/>
        </w:rPr>
      </w:pPr>
      <w:r>
        <w:rPr>
          <w:rFonts w:hint="eastAsia"/>
          <w:bCs/>
          <w:color w:val="auto"/>
          <w:highlight w:val="none"/>
          <w:lang w:bidi="en-US"/>
        </w:rPr>
        <w:t>周界视频监控摄像机采用星光级枪式摄像机和周界预警跟踪摄像机相结合方式安装配置，星光级枪式摄像机</w:t>
      </w:r>
      <w:r>
        <w:rPr>
          <w:bCs/>
          <w:color w:val="auto"/>
          <w:highlight w:val="none"/>
          <w:lang w:bidi="en-US"/>
        </w:rPr>
        <w:t>51</w:t>
      </w:r>
      <w:r>
        <w:rPr>
          <w:rFonts w:hint="eastAsia"/>
          <w:bCs/>
          <w:color w:val="auto"/>
          <w:highlight w:val="none"/>
          <w:lang w:bidi="en-US"/>
        </w:rPr>
        <w:t>台，周界预警跟踪摄像机11台，2台</w:t>
      </w:r>
      <w:r>
        <w:rPr>
          <w:bCs/>
          <w:color w:val="auto"/>
          <w:highlight w:val="none"/>
          <w:lang w:bidi="en-US"/>
        </w:rPr>
        <w:t>高速球型摄像机</w:t>
      </w:r>
      <w:r>
        <w:rPr>
          <w:rFonts w:hint="eastAsia"/>
          <w:bCs/>
          <w:color w:val="auto"/>
          <w:highlight w:val="none"/>
          <w:lang w:bidi="en-US"/>
        </w:rPr>
        <w:t>。</w:t>
      </w:r>
    </w:p>
    <w:p w14:paraId="2DEACC7A">
      <w:pPr>
        <w:spacing w:line="360" w:lineRule="auto"/>
        <w:ind w:firstLine="420" w:firstLineChars="200"/>
        <w:rPr>
          <w:bCs/>
          <w:color w:val="auto"/>
          <w:highlight w:val="none"/>
        </w:rPr>
      </w:pPr>
      <w:r>
        <w:rPr>
          <w:rFonts w:hint="eastAsia"/>
          <w:bCs/>
          <w:color w:val="auto"/>
          <w:highlight w:val="none"/>
          <w:lang w:bidi="en-US"/>
        </w:rPr>
        <w:t>在本监狱</w:t>
      </w:r>
      <w:r>
        <w:rPr>
          <w:rFonts w:hint="eastAsia"/>
          <w:bCs/>
          <w:color w:val="auto"/>
          <w:highlight w:val="none"/>
        </w:rPr>
        <w:t>大门</w:t>
      </w:r>
      <w:r>
        <w:rPr>
          <w:rFonts w:hint="eastAsia"/>
          <w:bCs/>
          <w:color w:val="auto"/>
          <w:highlight w:val="none"/>
          <w:lang w:bidi="en-US"/>
        </w:rPr>
        <w:t>指挥中心能够根据周界安全防范系统输出的报警信号，关联报警信号相应位置的摄像机，同时周界预警跟踪</w:t>
      </w:r>
      <w:r>
        <w:rPr>
          <w:bCs/>
          <w:color w:val="auto"/>
          <w:highlight w:val="none"/>
          <w:lang w:bidi="en-US"/>
        </w:rPr>
        <w:t>球机</w:t>
      </w:r>
      <w:r>
        <w:rPr>
          <w:rFonts w:hint="eastAsia"/>
          <w:bCs/>
          <w:color w:val="auto"/>
          <w:highlight w:val="none"/>
          <w:lang w:bidi="en-US"/>
        </w:rPr>
        <w:t>能够迅速捕捉报警现场画面，并实时动态跟踪，将与报警点对应的图像切换到主监视器，在夜间还可联动打开辅助灯光，并同时开启报警图像存储功能，将报警图像备份到指挥中心报警存储服务器上。</w:t>
      </w:r>
    </w:p>
    <w:p w14:paraId="5904C684">
      <w:pPr>
        <w:spacing w:line="360" w:lineRule="auto"/>
        <w:ind w:firstLine="420" w:firstLineChars="200"/>
        <w:rPr>
          <w:bCs/>
          <w:color w:val="auto"/>
          <w:highlight w:val="none"/>
          <w:lang w:bidi="en-US"/>
        </w:rPr>
      </w:pPr>
      <w:r>
        <w:rPr>
          <w:rFonts w:hint="eastAsia"/>
          <w:bCs/>
          <w:color w:val="auto"/>
          <w:highlight w:val="none"/>
          <w:lang w:bidi="en-US"/>
        </w:rPr>
        <w:t>周界视频监控为监控重点区域，图像存储时间不低于</w:t>
      </w:r>
      <w:r>
        <w:rPr>
          <w:bCs/>
          <w:color w:val="auto"/>
          <w:highlight w:val="none"/>
          <w:lang w:bidi="en-US"/>
        </w:rPr>
        <w:t>15</w:t>
      </w:r>
      <w:r>
        <w:rPr>
          <w:rFonts w:hint="eastAsia"/>
          <w:bCs/>
          <w:color w:val="auto"/>
          <w:highlight w:val="none"/>
          <w:lang w:bidi="en-US"/>
        </w:rPr>
        <w:t>天</w:t>
      </w:r>
      <w:r>
        <w:rPr>
          <w:rFonts w:hint="eastAsia"/>
          <w:bCs/>
          <w:color w:val="auto"/>
          <w:highlight w:val="none"/>
        </w:rPr>
        <w:t>（《河南省监狱信息化建设技术规范》有关规定）</w:t>
      </w:r>
      <w:r>
        <w:rPr>
          <w:rFonts w:hint="eastAsia"/>
          <w:bCs/>
          <w:color w:val="auto"/>
          <w:highlight w:val="none"/>
          <w:lang w:bidi="en-US"/>
        </w:rPr>
        <w:t>，由监狱大门三层机房的分布式云存储集中存储。</w:t>
      </w:r>
    </w:p>
    <w:p w14:paraId="791BA716">
      <w:pPr>
        <w:spacing w:line="360" w:lineRule="auto"/>
        <w:ind w:firstLine="420" w:firstLineChars="200"/>
        <w:rPr>
          <w:bCs/>
          <w:color w:val="auto"/>
          <w:highlight w:val="none"/>
          <w:lang w:bidi="en-US"/>
        </w:rPr>
      </w:pPr>
      <w:r>
        <w:rPr>
          <w:rFonts w:hint="eastAsia"/>
          <w:bCs/>
          <w:color w:val="auto"/>
          <w:highlight w:val="none"/>
          <w:lang w:bidi="en-US"/>
        </w:rPr>
        <w:t>本系统可实现如下功能：</w:t>
      </w:r>
    </w:p>
    <w:p w14:paraId="440997D4">
      <w:pPr>
        <w:numPr>
          <w:ilvl w:val="0"/>
          <w:numId w:val="26"/>
        </w:numPr>
        <w:spacing w:line="360" w:lineRule="auto"/>
        <w:ind w:left="0" w:firstLine="420" w:firstLineChars="200"/>
        <w:rPr>
          <w:bCs/>
          <w:color w:val="auto"/>
          <w:highlight w:val="none"/>
          <w:lang w:bidi="en-US"/>
        </w:rPr>
      </w:pPr>
      <w:r>
        <w:rPr>
          <w:rFonts w:hint="eastAsia"/>
          <w:bCs/>
          <w:color w:val="auto"/>
          <w:highlight w:val="none"/>
          <w:lang w:bidi="en-US"/>
        </w:rPr>
        <w:t>能对监狱周界围墙内外各7米范围内的监控区域进行实时、静态监控。</w:t>
      </w:r>
    </w:p>
    <w:p w14:paraId="5B4A9E46">
      <w:pPr>
        <w:numPr>
          <w:ilvl w:val="0"/>
          <w:numId w:val="26"/>
        </w:numPr>
        <w:spacing w:line="360" w:lineRule="auto"/>
        <w:ind w:left="0" w:firstLine="420" w:firstLineChars="200"/>
        <w:rPr>
          <w:bCs/>
          <w:color w:val="auto"/>
          <w:highlight w:val="none"/>
          <w:lang w:bidi="en-US"/>
        </w:rPr>
      </w:pPr>
      <w:r>
        <w:rPr>
          <w:rFonts w:hint="eastAsia"/>
          <w:bCs/>
          <w:color w:val="auto"/>
          <w:highlight w:val="none"/>
          <w:lang w:bidi="en-US"/>
        </w:rPr>
        <w:t>与周界高压脉冲电网及相关入侵探测报警系统等联动，实现报警现场图像自动切换、录像功能。</w:t>
      </w:r>
    </w:p>
    <w:p w14:paraId="539A23F8">
      <w:pPr>
        <w:numPr>
          <w:ilvl w:val="0"/>
          <w:numId w:val="26"/>
        </w:numPr>
        <w:spacing w:line="360" w:lineRule="auto"/>
        <w:ind w:left="0" w:firstLine="420" w:firstLineChars="200"/>
        <w:rPr>
          <w:bCs/>
          <w:color w:val="auto"/>
          <w:highlight w:val="none"/>
          <w:lang w:bidi="en-US"/>
        </w:rPr>
      </w:pPr>
      <w:r>
        <w:rPr>
          <w:rFonts w:hint="eastAsia"/>
          <w:bCs/>
          <w:color w:val="auto"/>
          <w:highlight w:val="none"/>
        </w:rPr>
        <w:t>周界监控图像能够上传到本监狱指挥中心，为现场应急决策提供实时图像和决策依据，同时，还预留了以后武警入驻所需监控图像共享显示的接口，满足武警部队看押勤务的工程建设规范要求。</w:t>
      </w:r>
    </w:p>
    <w:p w14:paraId="2EC572ED">
      <w:pPr>
        <w:numPr>
          <w:ilvl w:val="0"/>
          <w:numId w:val="26"/>
        </w:numPr>
        <w:spacing w:line="360" w:lineRule="auto"/>
        <w:ind w:left="0" w:firstLine="420" w:firstLineChars="200"/>
        <w:rPr>
          <w:bCs/>
          <w:color w:val="auto"/>
          <w:highlight w:val="none"/>
          <w:lang w:bidi="en-US"/>
        </w:rPr>
      </w:pPr>
      <w:r>
        <w:rPr>
          <w:rFonts w:hint="eastAsia"/>
          <w:bCs/>
          <w:color w:val="auto"/>
          <w:highlight w:val="none"/>
          <w:lang w:bidi="en-US"/>
        </w:rPr>
        <w:t>实时监控、录像、报警存储画质分辨率均不低于1080P。</w:t>
      </w:r>
    </w:p>
    <w:p w14:paraId="2D9794D2">
      <w:pPr>
        <w:numPr>
          <w:ilvl w:val="0"/>
          <w:numId w:val="26"/>
        </w:numPr>
        <w:spacing w:line="360" w:lineRule="auto"/>
        <w:ind w:left="0" w:firstLine="420" w:firstLineChars="200"/>
        <w:rPr>
          <w:bCs/>
          <w:color w:val="auto"/>
          <w:highlight w:val="none"/>
          <w:lang w:bidi="en-US"/>
        </w:rPr>
      </w:pPr>
      <w:r>
        <w:rPr>
          <w:rFonts w:hint="eastAsia"/>
          <w:bCs/>
          <w:color w:val="auto"/>
          <w:highlight w:val="none"/>
          <w:lang w:bidi="en-US"/>
        </w:rPr>
        <w:t>监控图像在</w:t>
      </w:r>
      <w:r>
        <w:rPr>
          <w:rFonts w:hint="eastAsia"/>
          <w:bCs/>
          <w:color w:val="auto"/>
          <w:highlight w:val="none"/>
        </w:rPr>
        <w:t>本监狱指挥中心</w:t>
      </w:r>
      <w:r>
        <w:rPr>
          <w:rFonts w:hint="eastAsia"/>
          <w:bCs/>
          <w:color w:val="auto"/>
          <w:highlight w:val="none"/>
          <w:lang w:bidi="en-US"/>
        </w:rPr>
        <w:t>操作席位电脑显示器及拼接大屏上多画面显示。</w:t>
      </w:r>
    </w:p>
    <w:p w14:paraId="55D64B0F">
      <w:pPr>
        <w:numPr>
          <w:ilvl w:val="0"/>
          <w:numId w:val="26"/>
        </w:numPr>
        <w:spacing w:line="360" w:lineRule="auto"/>
        <w:ind w:left="0" w:firstLine="420" w:firstLineChars="200"/>
        <w:rPr>
          <w:bCs/>
          <w:color w:val="auto"/>
          <w:highlight w:val="none"/>
          <w:lang w:bidi="en-US"/>
        </w:rPr>
      </w:pPr>
      <w:r>
        <w:rPr>
          <w:bCs/>
          <w:color w:val="auto"/>
          <w:highlight w:val="none"/>
          <w:lang w:bidi="en-US"/>
        </w:rPr>
        <w:t>周界预警跟踪球机能够对周界所有系统报警信号进行动态跟踪</w:t>
      </w:r>
      <w:r>
        <w:rPr>
          <w:rFonts w:hint="eastAsia"/>
          <w:bCs/>
          <w:color w:val="auto"/>
          <w:highlight w:val="none"/>
          <w:lang w:bidi="en-US"/>
        </w:rPr>
        <w:t>、</w:t>
      </w:r>
      <w:r>
        <w:rPr>
          <w:bCs/>
          <w:color w:val="auto"/>
          <w:highlight w:val="none"/>
          <w:lang w:bidi="en-US"/>
        </w:rPr>
        <w:t>录像</w:t>
      </w:r>
      <w:r>
        <w:rPr>
          <w:rFonts w:hint="eastAsia"/>
          <w:bCs/>
          <w:color w:val="auto"/>
          <w:highlight w:val="none"/>
          <w:lang w:bidi="en-US"/>
        </w:rPr>
        <w:t>。</w:t>
      </w:r>
    </w:p>
    <w:p w14:paraId="5A1B6029">
      <w:pPr>
        <w:pStyle w:val="12"/>
        <w:tabs>
          <w:tab w:val="left" w:pos="864"/>
        </w:tabs>
        <w:spacing w:line="360" w:lineRule="auto"/>
        <w:ind w:left="0" w:firstLine="420" w:firstLineChars="200"/>
        <w:rPr>
          <w:color w:val="auto"/>
          <w:highlight w:val="none"/>
        </w:rPr>
      </w:pPr>
      <w:r>
        <w:rPr>
          <w:rFonts w:hint="eastAsia"/>
          <w:color w:val="auto"/>
          <w:highlight w:val="none"/>
        </w:rPr>
        <w:t>部署方案</w:t>
      </w:r>
    </w:p>
    <w:p w14:paraId="7ACB983D">
      <w:pPr>
        <w:spacing w:line="360" w:lineRule="auto"/>
        <w:ind w:firstLine="420" w:firstLineChars="200"/>
        <w:rPr>
          <w:bCs/>
          <w:color w:val="auto"/>
          <w:highlight w:val="none"/>
          <w:lang w:bidi="en-US"/>
        </w:rPr>
      </w:pPr>
      <w:r>
        <w:rPr>
          <w:rFonts w:hint="eastAsia"/>
          <w:bCs/>
          <w:color w:val="auto"/>
          <w:highlight w:val="none"/>
          <w:lang w:bidi="en-US"/>
        </w:rPr>
        <w:t>1、在本监狱周界围墙内侧按照</w:t>
      </w:r>
      <w:r>
        <w:rPr>
          <w:bCs/>
          <w:color w:val="auto"/>
          <w:highlight w:val="none"/>
          <w:lang w:bidi="en-US"/>
        </w:rPr>
        <w:t>每50</w:t>
      </w:r>
      <w:r>
        <w:rPr>
          <w:rFonts w:hint="eastAsia"/>
          <w:bCs/>
          <w:color w:val="auto"/>
          <w:highlight w:val="none"/>
          <w:lang w:bidi="en-US"/>
        </w:rPr>
        <w:t>米追尾式安装星光级枪式摄像机，共安装</w:t>
      </w:r>
      <w:r>
        <w:rPr>
          <w:bCs/>
          <w:color w:val="auto"/>
          <w:highlight w:val="none"/>
          <w:lang w:bidi="en-US"/>
        </w:rPr>
        <w:t>16</w:t>
      </w:r>
      <w:r>
        <w:rPr>
          <w:rFonts w:hint="eastAsia"/>
          <w:bCs/>
          <w:color w:val="auto"/>
          <w:highlight w:val="none"/>
          <w:lang w:bidi="en-US"/>
        </w:rPr>
        <w:t>台，用于实时监控周界警情和环境状态。</w:t>
      </w:r>
    </w:p>
    <w:p w14:paraId="4A0D191B">
      <w:pPr>
        <w:spacing w:line="360" w:lineRule="auto"/>
        <w:ind w:firstLine="420" w:firstLineChars="200"/>
        <w:rPr>
          <w:bCs/>
          <w:color w:val="auto"/>
          <w:highlight w:val="none"/>
          <w:lang w:bidi="en-US"/>
        </w:rPr>
      </w:pPr>
      <w:r>
        <w:rPr>
          <w:rFonts w:hint="eastAsia"/>
          <w:bCs/>
          <w:color w:val="auto"/>
          <w:highlight w:val="none"/>
          <w:lang w:bidi="en-US"/>
        </w:rPr>
        <w:t>2、在本监狱周界围墙内侧和车行、人行、会见通道安装周界预警跟踪摄像机11台，用于报警区域的图像跟踪、定位，并将实时影像回传指挥中心，在大屏上弹出显示。</w:t>
      </w:r>
    </w:p>
    <w:p w14:paraId="67D51FB2">
      <w:pPr>
        <w:spacing w:line="360" w:lineRule="auto"/>
        <w:ind w:firstLine="420" w:firstLineChars="200"/>
        <w:rPr>
          <w:bCs/>
          <w:color w:val="auto"/>
          <w:highlight w:val="none"/>
          <w:lang w:bidi="en-US"/>
        </w:rPr>
      </w:pPr>
      <w:r>
        <w:rPr>
          <w:rFonts w:hint="eastAsia"/>
          <w:bCs/>
          <w:color w:val="auto"/>
          <w:highlight w:val="none"/>
          <w:lang w:bidi="en-US"/>
        </w:rPr>
        <w:t>3、在本监狱周界围墙外侧按照</w:t>
      </w:r>
      <w:r>
        <w:rPr>
          <w:bCs/>
          <w:color w:val="auto"/>
          <w:highlight w:val="none"/>
          <w:lang w:bidi="en-US"/>
        </w:rPr>
        <w:t>每80</w:t>
      </w:r>
      <w:r>
        <w:rPr>
          <w:rFonts w:hint="eastAsia"/>
          <w:bCs/>
          <w:color w:val="auto"/>
          <w:highlight w:val="none"/>
          <w:lang w:bidi="en-US"/>
        </w:rPr>
        <w:t>米追尾式安装星光级枪式摄像机，共安装</w:t>
      </w:r>
      <w:r>
        <w:rPr>
          <w:bCs/>
          <w:color w:val="auto"/>
          <w:highlight w:val="none"/>
          <w:lang w:bidi="en-US"/>
        </w:rPr>
        <w:t>10</w:t>
      </w:r>
      <w:r>
        <w:rPr>
          <w:rFonts w:hint="eastAsia"/>
          <w:bCs/>
          <w:color w:val="auto"/>
          <w:highlight w:val="none"/>
          <w:lang w:bidi="en-US"/>
        </w:rPr>
        <w:t>台。用于实时监控周界警情和环境状态。</w:t>
      </w:r>
    </w:p>
    <w:p w14:paraId="5E497EFB">
      <w:pPr>
        <w:spacing w:line="360" w:lineRule="auto"/>
        <w:ind w:firstLine="420" w:firstLineChars="200"/>
        <w:rPr>
          <w:bCs/>
          <w:color w:val="auto"/>
          <w:highlight w:val="none"/>
          <w:lang w:bidi="en-US"/>
        </w:rPr>
      </w:pPr>
      <w:r>
        <w:rPr>
          <w:rFonts w:hint="eastAsia"/>
          <w:bCs/>
          <w:color w:val="auto"/>
          <w:highlight w:val="none"/>
          <w:lang w:bidi="en-US"/>
        </w:rPr>
        <w:t>4、在本监狱大门出入</w:t>
      </w:r>
      <w:r>
        <w:rPr>
          <w:bCs/>
          <w:color w:val="auto"/>
          <w:highlight w:val="none"/>
          <w:lang w:bidi="en-US"/>
        </w:rPr>
        <w:t>口</w:t>
      </w:r>
      <w:r>
        <w:rPr>
          <w:rFonts w:hint="eastAsia"/>
          <w:bCs/>
          <w:color w:val="auto"/>
          <w:highlight w:val="none"/>
          <w:lang w:bidi="en-US"/>
        </w:rPr>
        <w:t>处安装高速球型摄像机，共计2台。对进出人员进行监视，也可通过预置位方式以大视野监控监狱大门内侧附近的情况，以高清晰监控画质实施现场监视。</w:t>
      </w:r>
    </w:p>
    <w:p w14:paraId="04B7BEA7">
      <w:pPr>
        <w:spacing w:line="360" w:lineRule="auto"/>
        <w:ind w:firstLine="420" w:firstLineChars="200"/>
        <w:rPr>
          <w:bCs/>
          <w:color w:val="auto"/>
          <w:highlight w:val="none"/>
        </w:rPr>
      </w:pPr>
      <w:r>
        <w:rPr>
          <w:rFonts w:hint="eastAsia"/>
          <w:bCs/>
          <w:color w:val="auto"/>
          <w:highlight w:val="none"/>
        </w:rPr>
        <w:t>5、巡道监控：在围墙四角各安装2台</w:t>
      </w:r>
      <w:r>
        <w:rPr>
          <w:rFonts w:hint="eastAsia"/>
          <w:bCs/>
          <w:color w:val="auto"/>
          <w:highlight w:val="none"/>
          <w:lang w:bidi="en-US"/>
        </w:rPr>
        <w:t>星光级枪式摄像机（共计8台），实现对巡道的监控。</w:t>
      </w:r>
    </w:p>
    <w:p w14:paraId="7EA04E54">
      <w:pPr>
        <w:spacing w:line="360" w:lineRule="auto"/>
        <w:ind w:firstLine="420" w:firstLineChars="200"/>
        <w:rPr>
          <w:bCs/>
          <w:color w:val="auto"/>
          <w:highlight w:val="none"/>
        </w:rPr>
      </w:pPr>
      <w:r>
        <w:rPr>
          <w:rFonts w:hint="eastAsia"/>
          <w:bCs/>
          <w:color w:val="auto"/>
          <w:highlight w:val="none"/>
        </w:rPr>
        <w:t>6、待检区监控：在会见通道、车行通道、人行通道的待检区内北侧中间安装1台星光枪式摄像机，与周界预警跟踪摄像机实现对射，主要用于对3个通道实时监控。</w:t>
      </w:r>
    </w:p>
    <w:p w14:paraId="14BF5641">
      <w:pPr>
        <w:pStyle w:val="11"/>
        <w:spacing w:before="0" w:after="0" w:line="360" w:lineRule="auto"/>
        <w:ind w:firstLine="562" w:firstLineChars="200"/>
        <w:rPr>
          <w:color w:val="auto"/>
          <w:highlight w:val="none"/>
        </w:rPr>
      </w:pPr>
      <w:r>
        <w:rPr>
          <w:rFonts w:hint="eastAsia"/>
          <w:color w:val="auto"/>
          <w:highlight w:val="none"/>
        </w:rPr>
        <w:t>4.8.7周界声光报警器设置</w:t>
      </w:r>
    </w:p>
    <w:p w14:paraId="5E264D80">
      <w:pPr>
        <w:numPr>
          <w:ilvl w:val="0"/>
          <w:numId w:val="27"/>
        </w:numPr>
        <w:spacing w:line="360" w:lineRule="auto"/>
        <w:ind w:left="0" w:firstLine="420" w:firstLineChars="200"/>
        <w:rPr>
          <w:bCs/>
          <w:color w:val="auto"/>
          <w:highlight w:val="none"/>
        </w:rPr>
      </w:pPr>
      <w:r>
        <w:rPr>
          <w:rFonts w:hint="eastAsia"/>
          <w:bCs/>
          <w:color w:val="auto"/>
          <w:highlight w:val="none"/>
        </w:rPr>
        <w:t>在东南西北内隔离网上，各装2套声光报警器，周界各防区所有报警信号均可触发声光报警器。</w:t>
      </w:r>
    </w:p>
    <w:p w14:paraId="03098872">
      <w:pPr>
        <w:numPr>
          <w:ilvl w:val="0"/>
          <w:numId w:val="27"/>
        </w:numPr>
        <w:spacing w:line="360" w:lineRule="auto"/>
        <w:ind w:left="0" w:firstLine="420" w:firstLineChars="200"/>
        <w:rPr>
          <w:bCs/>
          <w:color w:val="auto"/>
          <w:highlight w:val="none"/>
        </w:rPr>
      </w:pPr>
      <w:r>
        <w:rPr>
          <w:rFonts w:hint="eastAsia"/>
          <w:bCs/>
          <w:color w:val="auto"/>
          <w:highlight w:val="none"/>
        </w:rPr>
        <w:t>在东南西北内围墙上，与内隔离网交错各安装2套声光报警器，周界各防区所有报警信号均可触发声光报警器。</w:t>
      </w:r>
    </w:p>
    <w:p w14:paraId="4EEB6935">
      <w:pPr>
        <w:pStyle w:val="11"/>
        <w:spacing w:before="0" w:after="0" w:line="360" w:lineRule="auto"/>
        <w:ind w:firstLine="562" w:firstLineChars="200"/>
        <w:rPr>
          <w:color w:val="auto"/>
          <w:highlight w:val="none"/>
        </w:rPr>
      </w:pPr>
      <w:r>
        <w:rPr>
          <w:rFonts w:hint="eastAsia"/>
          <w:color w:val="auto"/>
          <w:highlight w:val="none"/>
        </w:rPr>
        <w:t>4.8.8联动设计</w:t>
      </w:r>
    </w:p>
    <w:p w14:paraId="132991EE">
      <w:pPr>
        <w:spacing w:line="360" w:lineRule="auto"/>
        <w:ind w:firstLine="420" w:firstLineChars="200"/>
        <w:rPr>
          <w:bCs/>
          <w:color w:val="auto"/>
          <w:highlight w:val="none"/>
        </w:rPr>
      </w:pPr>
      <w:r>
        <w:rPr>
          <w:rFonts w:hint="eastAsia"/>
          <w:bCs/>
          <w:color w:val="auto"/>
          <w:highlight w:val="none"/>
        </w:rPr>
        <w:t>周界区域高压脉冲电网、微波对射报警、微振动</w:t>
      </w:r>
      <w:r>
        <w:rPr>
          <w:bCs/>
          <w:color w:val="auto"/>
          <w:highlight w:val="none"/>
        </w:rPr>
        <w:t>报警</w:t>
      </w:r>
      <w:r>
        <w:rPr>
          <w:rFonts w:hint="eastAsia"/>
          <w:bCs/>
          <w:color w:val="auto"/>
          <w:highlight w:val="none"/>
        </w:rPr>
        <w:t>、周界照明、周界语音和周界视频等的各类信号直接接入指挥中心。</w:t>
      </w:r>
    </w:p>
    <w:p w14:paraId="46F15100">
      <w:pPr>
        <w:spacing w:line="360" w:lineRule="auto"/>
        <w:ind w:firstLine="420" w:firstLineChars="200"/>
        <w:rPr>
          <w:bCs/>
          <w:color w:val="auto"/>
          <w:highlight w:val="none"/>
        </w:rPr>
      </w:pPr>
      <w:r>
        <w:rPr>
          <w:rFonts w:hint="eastAsia"/>
          <w:bCs/>
          <w:color w:val="auto"/>
          <w:highlight w:val="none"/>
        </w:rPr>
        <w:t>在本监狱监管区指挥中心部署报警主机，可接收高压脉冲电网系统、微波对射系统、微振动</w:t>
      </w:r>
      <w:r>
        <w:rPr>
          <w:bCs/>
          <w:color w:val="auto"/>
          <w:highlight w:val="none"/>
        </w:rPr>
        <w:t>报警</w:t>
      </w:r>
      <w:r>
        <w:rPr>
          <w:rFonts w:hint="eastAsia"/>
          <w:bCs/>
          <w:color w:val="auto"/>
          <w:highlight w:val="none"/>
        </w:rPr>
        <w:t>等周界防范系统的所有报警信号。当警戒区域发生警情时，指挥中心能及时获悉直观的警情信息，并能联动视频监控系统进行监控，在夜间可联动照明系统辅助视频监控系统拍摄报警时刻的图像信息，同时可联动广播系统对周界进行喊话，达到语音震慑作用。</w:t>
      </w:r>
    </w:p>
    <w:p w14:paraId="36A69BAF">
      <w:pPr>
        <w:numPr>
          <w:ilvl w:val="0"/>
          <w:numId w:val="28"/>
        </w:numPr>
        <w:spacing w:line="360" w:lineRule="auto"/>
        <w:ind w:left="0" w:firstLine="420" w:firstLineChars="200"/>
        <w:rPr>
          <w:bCs/>
          <w:color w:val="auto"/>
          <w:highlight w:val="none"/>
        </w:rPr>
      </w:pPr>
      <w:r>
        <w:rPr>
          <w:rFonts w:hint="eastAsia"/>
          <w:bCs/>
          <w:color w:val="auto"/>
          <w:highlight w:val="none"/>
        </w:rPr>
        <w:t>周界电网报警联动设计</w:t>
      </w:r>
    </w:p>
    <w:p w14:paraId="0D307D21">
      <w:pPr>
        <w:spacing w:line="360" w:lineRule="auto"/>
        <w:ind w:firstLine="420" w:firstLineChars="200"/>
        <w:rPr>
          <w:bCs/>
          <w:color w:val="auto"/>
          <w:highlight w:val="none"/>
        </w:rPr>
      </w:pPr>
      <w:r>
        <w:rPr>
          <w:rFonts w:hint="eastAsia"/>
          <w:bCs/>
          <w:color w:val="auto"/>
          <w:highlight w:val="none"/>
        </w:rPr>
        <w:t>当周界电网出现电压变化报警以及故障报警时，可通总线方式将电网状态信息和当时的电压信息传递给电网主机，电网主机通过串口与中心平台的管理服务器通讯，将报警信息提交到管理服务器中，管理服务器根据在平台上事先设置的各种报警联动策略联动其他安防子系统。</w:t>
      </w:r>
    </w:p>
    <w:p w14:paraId="1256B7A3">
      <w:pPr>
        <w:numPr>
          <w:ilvl w:val="0"/>
          <w:numId w:val="28"/>
        </w:numPr>
        <w:spacing w:line="360" w:lineRule="auto"/>
        <w:ind w:left="0" w:firstLine="420" w:firstLineChars="200"/>
        <w:rPr>
          <w:bCs/>
          <w:color w:val="auto"/>
          <w:highlight w:val="none"/>
        </w:rPr>
      </w:pPr>
      <w:r>
        <w:rPr>
          <w:rFonts w:hint="eastAsia"/>
          <w:bCs/>
          <w:color w:val="auto"/>
          <w:highlight w:val="none"/>
        </w:rPr>
        <w:t>微波对射报警联动设计</w:t>
      </w:r>
    </w:p>
    <w:p w14:paraId="771C40C2">
      <w:pPr>
        <w:spacing w:line="360" w:lineRule="auto"/>
        <w:ind w:firstLine="420" w:firstLineChars="200"/>
        <w:rPr>
          <w:bCs/>
          <w:color w:val="auto"/>
          <w:highlight w:val="none"/>
        </w:rPr>
      </w:pPr>
      <w:r>
        <w:rPr>
          <w:rFonts w:hint="eastAsia"/>
          <w:bCs/>
          <w:color w:val="auto"/>
          <w:highlight w:val="none"/>
        </w:rPr>
        <w:t>中心的报警管理服务器通过串口或者 TCP/IP 方式和报警主机实现通讯，在服务器中可通过对报警主机的控制实现对周界部署的微波对射探头进行布撤防控制操作。当前端探头产生报警时，可通过 RS485 总线方式将报警开关量信号传递到报警主机中，报警主机通过 RS232 串口，将报警信息传递到联勤值班室报警管理服务器中。</w:t>
      </w:r>
    </w:p>
    <w:p w14:paraId="46AC148E">
      <w:pPr>
        <w:numPr>
          <w:ilvl w:val="0"/>
          <w:numId w:val="28"/>
        </w:numPr>
        <w:spacing w:line="360" w:lineRule="auto"/>
        <w:ind w:left="0" w:firstLine="420" w:firstLineChars="200"/>
        <w:rPr>
          <w:bCs/>
          <w:color w:val="auto"/>
          <w:highlight w:val="none"/>
        </w:rPr>
      </w:pPr>
      <w:r>
        <w:rPr>
          <w:rFonts w:hint="eastAsia"/>
          <w:bCs/>
          <w:color w:val="auto"/>
          <w:highlight w:val="none"/>
        </w:rPr>
        <w:t>微振动报警联动设计</w:t>
      </w:r>
    </w:p>
    <w:p w14:paraId="1619976C">
      <w:pPr>
        <w:spacing w:line="360" w:lineRule="auto"/>
        <w:ind w:firstLine="420" w:firstLineChars="200"/>
        <w:rPr>
          <w:bCs/>
          <w:color w:val="auto"/>
          <w:highlight w:val="none"/>
        </w:rPr>
      </w:pPr>
      <w:r>
        <w:rPr>
          <w:rFonts w:hint="eastAsia"/>
          <w:bCs/>
          <w:color w:val="auto"/>
          <w:highlight w:val="none"/>
        </w:rPr>
        <w:t>中心的报警管理服务器通过</w:t>
      </w:r>
      <w:r>
        <w:rPr>
          <w:bCs/>
          <w:color w:val="auto"/>
          <w:highlight w:val="none"/>
        </w:rPr>
        <w:t>RS232</w:t>
      </w:r>
      <w:r>
        <w:rPr>
          <w:rFonts w:hint="eastAsia"/>
          <w:bCs/>
          <w:color w:val="auto"/>
          <w:highlight w:val="none"/>
        </w:rPr>
        <w:t>或者 TCP/IP 方式和报警主机实现通讯，在服务器中可通过对报警主机的控制实现对周界部署的微振动传感器进行布撤防控制操作。当前端传感器产生报警时，可通过专用</w:t>
      </w:r>
      <w:r>
        <w:rPr>
          <w:bCs/>
          <w:color w:val="auto"/>
          <w:highlight w:val="none"/>
        </w:rPr>
        <w:t>电缆</w:t>
      </w:r>
      <w:r>
        <w:rPr>
          <w:rFonts w:hint="eastAsia"/>
          <w:bCs/>
          <w:color w:val="auto"/>
          <w:highlight w:val="none"/>
        </w:rPr>
        <w:t>将报警开关量信号传递到报警主机中，报警主机通过 RS232或者TCP/IP 方式将报警信息传递到指挥</w:t>
      </w:r>
      <w:r>
        <w:rPr>
          <w:bCs/>
          <w:color w:val="auto"/>
          <w:highlight w:val="none"/>
        </w:rPr>
        <w:t>中心的</w:t>
      </w:r>
      <w:r>
        <w:rPr>
          <w:rFonts w:hint="eastAsia"/>
          <w:bCs/>
          <w:color w:val="auto"/>
          <w:highlight w:val="none"/>
        </w:rPr>
        <w:t>报警管理服务器中。</w:t>
      </w:r>
    </w:p>
    <w:p w14:paraId="4A7C2993">
      <w:pPr>
        <w:pStyle w:val="10"/>
        <w:spacing w:before="0" w:after="0" w:line="360" w:lineRule="auto"/>
        <w:ind w:firstLine="643" w:firstLineChars="200"/>
        <w:rPr>
          <w:color w:val="auto"/>
          <w:highlight w:val="none"/>
        </w:rPr>
      </w:pPr>
      <w:r>
        <w:rPr>
          <w:rFonts w:hint="eastAsia"/>
          <w:color w:val="auto"/>
          <w:highlight w:val="none"/>
        </w:rPr>
        <w:t>4.9视频监控系统</w:t>
      </w:r>
    </w:p>
    <w:p w14:paraId="06E8B8EC">
      <w:pPr>
        <w:spacing w:line="360" w:lineRule="auto"/>
        <w:ind w:firstLine="420" w:firstLineChars="200"/>
        <w:rPr>
          <w:bCs/>
          <w:color w:val="auto"/>
          <w:highlight w:val="none"/>
        </w:rPr>
      </w:pPr>
      <w:r>
        <w:rPr>
          <w:rFonts w:hint="eastAsia"/>
          <w:bCs/>
          <w:color w:val="auto"/>
          <w:highlight w:val="none"/>
        </w:rPr>
        <w:t>视频监控系统是监狱安防系统的基础，实现监管区罪犯活动区覆盖无盲区，也是监狱安防体系的核心组成部分。主要用于对狱内罪犯行为实施监视，为保障监狱安全和掌握人员动态提供技术支持，根据监狱安全技术防范管理的需要，对监狱执法、管理现场进行有效的实时监控，可进行录像存储、检索回放，并能够根据监控现场和对象行为进行告警处置。系统由前端摄像系统、视频传输系统、视频控制系统、视频显示和记录系统、录像系统组成。</w:t>
      </w:r>
    </w:p>
    <w:p w14:paraId="523F9115">
      <w:pPr>
        <w:spacing w:line="360" w:lineRule="auto"/>
        <w:ind w:firstLine="420" w:firstLineChars="200"/>
        <w:rPr>
          <w:bCs/>
          <w:color w:val="auto"/>
          <w:highlight w:val="none"/>
        </w:rPr>
      </w:pPr>
      <w:r>
        <w:rPr>
          <w:rFonts w:hint="eastAsia"/>
          <w:bCs/>
          <w:color w:val="auto"/>
          <w:highlight w:val="none"/>
        </w:rPr>
        <w:t>在监狱安防集成平台的统一管理下，实现与紧急报警、门禁、监听对讲、电子巡查、周界安防、语音广播等多个安防子系统的协同运作。</w:t>
      </w:r>
      <w:r>
        <w:rPr>
          <w:bCs/>
          <w:color w:val="auto"/>
          <w:highlight w:val="none"/>
        </w:rPr>
        <w:t>利用监控前端侦测技术根据不同时间阶段设防</w:t>
      </w:r>
      <w:r>
        <w:rPr>
          <w:rFonts w:hint="eastAsia"/>
          <w:bCs/>
          <w:color w:val="auto"/>
          <w:highlight w:val="none"/>
        </w:rPr>
        <w:t>，</w:t>
      </w:r>
      <w:r>
        <w:rPr>
          <w:bCs/>
          <w:color w:val="auto"/>
          <w:highlight w:val="none"/>
        </w:rPr>
        <w:t>在禁闭室</w:t>
      </w:r>
      <w:r>
        <w:rPr>
          <w:rFonts w:hint="eastAsia"/>
          <w:bCs/>
          <w:color w:val="auto"/>
          <w:highlight w:val="none"/>
        </w:rPr>
        <w:t>、</w:t>
      </w:r>
      <w:r>
        <w:rPr>
          <w:bCs/>
          <w:color w:val="auto"/>
          <w:highlight w:val="none"/>
        </w:rPr>
        <w:t>出入口</w:t>
      </w:r>
      <w:r>
        <w:rPr>
          <w:rFonts w:hint="eastAsia"/>
          <w:bCs/>
          <w:color w:val="auto"/>
          <w:highlight w:val="none"/>
        </w:rPr>
        <w:t>、</w:t>
      </w:r>
      <w:r>
        <w:rPr>
          <w:bCs/>
          <w:color w:val="auto"/>
          <w:highlight w:val="none"/>
        </w:rPr>
        <w:t>窗户</w:t>
      </w:r>
      <w:r>
        <w:rPr>
          <w:rFonts w:hint="eastAsia"/>
          <w:bCs/>
          <w:color w:val="auto"/>
          <w:highlight w:val="none"/>
        </w:rPr>
        <w:t>、</w:t>
      </w:r>
      <w:r>
        <w:rPr>
          <w:bCs/>
          <w:color w:val="auto"/>
          <w:highlight w:val="none"/>
        </w:rPr>
        <w:t>监舍内实现入侵检测</w:t>
      </w:r>
      <w:r>
        <w:rPr>
          <w:rFonts w:hint="eastAsia"/>
          <w:bCs/>
          <w:color w:val="auto"/>
          <w:highlight w:val="none"/>
        </w:rPr>
        <w:t>、</w:t>
      </w:r>
      <w:r>
        <w:rPr>
          <w:bCs/>
          <w:color w:val="auto"/>
          <w:highlight w:val="none"/>
        </w:rPr>
        <w:t>行为检测</w:t>
      </w:r>
      <w:r>
        <w:rPr>
          <w:rFonts w:hint="eastAsia"/>
          <w:bCs/>
          <w:color w:val="auto"/>
          <w:highlight w:val="none"/>
        </w:rPr>
        <w:t>、</w:t>
      </w:r>
      <w:r>
        <w:rPr>
          <w:bCs/>
          <w:color w:val="auto"/>
          <w:highlight w:val="none"/>
        </w:rPr>
        <w:t>越界检测等报警联动功能</w:t>
      </w:r>
      <w:r>
        <w:rPr>
          <w:rFonts w:hint="eastAsia"/>
          <w:bCs/>
          <w:color w:val="auto"/>
          <w:highlight w:val="none"/>
        </w:rPr>
        <w:t>。</w:t>
      </w:r>
    </w:p>
    <w:p w14:paraId="4B130FBC">
      <w:pPr>
        <w:pStyle w:val="11"/>
        <w:spacing w:before="0" w:after="0" w:line="360" w:lineRule="auto"/>
        <w:ind w:firstLine="562" w:firstLineChars="200"/>
        <w:rPr>
          <w:color w:val="auto"/>
          <w:highlight w:val="none"/>
        </w:rPr>
      </w:pPr>
      <w:r>
        <w:rPr>
          <w:rFonts w:hint="eastAsia"/>
          <w:color w:val="auto"/>
          <w:highlight w:val="none"/>
        </w:rPr>
        <w:t>系统架构</w:t>
      </w:r>
    </w:p>
    <w:p w14:paraId="7C17D51F">
      <w:pPr>
        <w:spacing w:line="360" w:lineRule="auto"/>
        <w:ind w:firstLine="420" w:firstLineChars="200"/>
        <w:rPr>
          <w:bCs/>
          <w:color w:val="auto"/>
          <w:highlight w:val="none"/>
        </w:rPr>
      </w:pPr>
      <w:r>
        <w:rPr>
          <w:rFonts w:hint="eastAsia"/>
          <w:bCs/>
          <w:color w:val="auto"/>
          <w:highlight w:val="none"/>
        </w:rPr>
        <w:t>本监狱视频监控系统由监控前端、监狱联勤值班室或分控中心、监狱指挥中心三级组成，另外，通过电子狱务专网可将本监狱相关视频信息接入省监狱管理局应急指挥中心。视频监控系统拓扑结构如下图所示：</w:t>
      </w:r>
    </w:p>
    <w:p w14:paraId="7DEDAA17">
      <w:pPr>
        <w:spacing w:line="360" w:lineRule="auto"/>
        <w:ind w:firstLine="420" w:firstLineChars="200"/>
        <w:jc w:val="center"/>
        <w:rPr>
          <w:bCs/>
          <w:color w:val="auto"/>
          <w:highlight w:val="none"/>
          <w:bdr w:val="single" w:color="auto" w:sz="4" w:space="0"/>
        </w:rPr>
      </w:pPr>
      <w:r>
        <w:rPr>
          <w:bCs/>
          <w:color w:val="auto"/>
          <w:highlight w:val="none"/>
          <w:bdr w:val="single" w:color="auto" w:sz="4" w:space="0"/>
        </w:rPr>
        <w:drawing>
          <wp:inline distT="0" distB="0" distL="114300" distR="114300">
            <wp:extent cx="5349240" cy="3954780"/>
            <wp:effectExtent l="0" t="0" r="0" b="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pic:cNvPicPr>
                      <a:picLocks noChangeAspect="1"/>
                    </pic:cNvPicPr>
                  </pic:nvPicPr>
                  <pic:blipFill>
                    <a:blip r:embed="rId35"/>
                    <a:stretch>
                      <a:fillRect/>
                    </a:stretch>
                  </pic:blipFill>
                  <pic:spPr>
                    <a:xfrm>
                      <a:off x="0" y="0"/>
                      <a:ext cx="5349240" cy="3954780"/>
                    </a:xfrm>
                    <a:prstGeom prst="rect">
                      <a:avLst/>
                    </a:prstGeom>
                    <a:noFill/>
                    <a:ln>
                      <a:noFill/>
                    </a:ln>
                  </pic:spPr>
                </pic:pic>
              </a:graphicData>
            </a:graphic>
          </wp:inline>
        </w:drawing>
      </w:r>
    </w:p>
    <w:p w14:paraId="67F4A28F">
      <w:pPr>
        <w:pStyle w:val="11"/>
        <w:spacing w:before="0" w:after="0" w:line="360" w:lineRule="auto"/>
        <w:ind w:firstLine="562" w:firstLineChars="200"/>
        <w:rPr>
          <w:color w:val="auto"/>
          <w:highlight w:val="none"/>
        </w:rPr>
      </w:pPr>
      <w:r>
        <w:rPr>
          <w:rFonts w:hint="eastAsia"/>
          <w:color w:val="auto"/>
          <w:highlight w:val="none"/>
        </w:rPr>
        <w:t>设计方案</w:t>
      </w:r>
    </w:p>
    <w:p w14:paraId="04E496C2">
      <w:pPr>
        <w:spacing w:line="360" w:lineRule="auto"/>
        <w:ind w:firstLine="420" w:firstLineChars="200"/>
        <w:rPr>
          <w:bCs/>
          <w:color w:val="auto"/>
          <w:highlight w:val="none"/>
        </w:rPr>
      </w:pPr>
      <w:r>
        <w:rPr>
          <w:rFonts w:hint="eastAsia"/>
          <w:bCs/>
          <w:color w:val="auto"/>
          <w:highlight w:val="none"/>
        </w:rPr>
        <w:t>本次设计采用的基于网络的全数字视频监控系统，前端选用全数字摄像机（各类型摄像机分辨率均不低于</w:t>
      </w:r>
      <w:r>
        <w:rPr>
          <w:bCs/>
          <w:color w:val="auto"/>
          <w:highlight w:val="none"/>
        </w:rPr>
        <w:t>3</w:t>
      </w:r>
      <w:r>
        <w:rPr>
          <w:rFonts w:hint="eastAsia"/>
          <w:bCs/>
          <w:color w:val="auto"/>
          <w:highlight w:val="none"/>
        </w:rPr>
        <w:t>00万像素），所有摄像机信号基于电子狱务专网传输至各联勤值班室（或</w:t>
      </w:r>
      <w:r>
        <w:rPr>
          <w:bCs/>
          <w:color w:val="auto"/>
          <w:highlight w:val="none"/>
        </w:rPr>
        <w:t>分控中心</w:t>
      </w:r>
      <w:r>
        <w:rPr>
          <w:rFonts w:hint="eastAsia"/>
          <w:bCs/>
          <w:color w:val="auto"/>
          <w:highlight w:val="none"/>
        </w:rPr>
        <w:t>）与本监狱指挥中心进行管理与显示。</w:t>
      </w:r>
    </w:p>
    <w:p w14:paraId="679E5709">
      <w:pPr>
        <w:spacing w:line="360" w:lineRule="auto"/>
        <w:ind w:firstLine="420" w:firstLineChars="200"/>
        <w:rPr>
          <w:bCs/>
          <w:color w:val="auto"/>
          <w:highlight w:val="none"/>
        </w:rPr>
      </w:pPr>
      <w:r>
        <w:rPr>
          <w:rFonts w:hint="eastAsia"/>
          <w:bCs/>
          <w:color w:val="auto"/>
          <w:highlight w:val="none"/>
        </w:rPr>
        <w:t>本监狱监管区大门三层的指挥中心和</w:t>
      </w:r>
      <w:r>
        <w:rPr>
          <w:bCs/>
          <w:color w:val="auto"/>
          <w:highlight w:val="none"/>
        </w:rPr>
        <w:t>机房</w:t>
      </w:r>
      <w:r>
        <w:rPr>
          <w:rFonts w:hint="eastAsia"/>
          <w:bCs/>
          <w:color w:val="auto"/>
          <w:highlight w:val="none"/>
        </w:rPr>
        <w:t>对全监狱所有的监控视频进行控制、显示及集中存储。其中，禁闭室、医院与家属会见、监区大门、劳动场所卡口等重点部位的监控视频存储时间按</w:t>
      </w:r>
      <w:r>
        <w:rPr>
          <w:bCs/>
          <w:color w:val="auto"/>
          <w:highlight w:val="none"/>
        </w:rPr>
        <w:t>30</w:t>
      </w:r>
      <w:r>
        <w:rPr>
          <w:rFonts w:hint="eastAsia"/>
          <w:bCs/>
          <w:color w:val="auto"/>
          <w:highlight w:val="none"/>
        </w:rPr>
        <w:t>天考虑，其余区域的监控视频存储时间按</w:t>
      </w:r>
      <w:r>
        <w:rPr>
          <w:bCs/>
          <w:color w:val="auto"/>
          <w:highlight w:val="none"/>
        </w:rPr>
        <w:t>15</w:t>
      </w:r>
      <w:r>
        <w:rPr>
          <w:rFonts w:hint="eastAsia"/>
          <w:bCs/>
          <w:color w:val="auto"/>
          <w:highlight w:val="none"/>
        </w:rPr>
        <w:t>天考虑。（《河南省监狱信息化建设技术规范》有关规定）</w:t>
      </w:r>
    </w:p>
    <w:p w14:paraId="34FED406">
      <w:pPr>
        <w:spacing w:line="360" w:lineRule="auto"/>
        <w:ind w:firstLine="420" w:firstLineChars="200"/>
        <w:rPr>
          <w:bCs/>
          <w:color w:val="auto"/>
          <w:highlight w:val="none"/>
        </w:rPr>
      </w:pPr>
      <w:r>
        <w:rPr>
          <w:rFonts w:hint="eastAsia"/>
          <w:bCs/>
          <w:color w:val="auto"/>
          <w:highlight w:val="none"/>
        </w:rPr>
        <w:t>在本监狱监舍楼1-</w:t>
      </w:r>
      <w:r>
        <w:rPr>
          <w:bCs/>
          <w:color w:val="auto"/>
          <w:highlight w:val="none"/>
        </w:rPr>
        <w:t>5层</w:t>
      </w:r>
      <w:r>
        <w:rPr>
          <w:rFonts w:hint="eastAsia"/>
          <w:bCs/>
          <w:color w:val="auto"/>
          <w:highlight w:val="none"/>
        </w:rPr>
        <w:t>建立联勤值班室，可对该楼层所有罪犯活动区域内的设备进行控制、视频显示、回放等，联勤值班室数量为5个。</w:t>
      </w:r>
    </w:p>
    <w:p w14:paraId="2C1F3EC1">
      <w:pPr>
        <w:spacing w:line="360" w:lineRule="auto"/>
        <w:ind w:firstLine="420" w:firstLineChars="200"/>
        <w:rPr>
          <w:bCs/>
          <w:color w:val="auto"/>
          <w:highlight w:val="none"/>
        </w:rPr>
      </w:pPr>
      <w:r>
        <w:rPr>
          <w:rFonts w:hint="eastAsia"/>
          <w:bCs/>
          <w:color w:val="auto"/>
          <w:highlight w:val="none"/>
        </w:rPr>
        <w:t>在本监狱监舍楼、会见教学楼、习艺楼、物流中心、伙房、监管区大门建立分控中心，对该管控区域内的所有设备进行控制、视频显示、回放等，分控中心数量为</w:t>
      </w:r>
      <w:r>
        <w:rPr>
          <w:bCs/>
          <w:color w:val="auto"/>
          <w:highlight w:val="none"/>
        </w:rPr>
        <w:t>25</w:t>
      </w:r>
      <w:r>
        <w:rPr>
          <w:rFonts w:hint="eastAsia"/>
          <w:bCs/>
          <w:color w:val="auto"/>
          <w:highlight w:val="none"/>
        </w:rPr>
        <w:t>个。</w:t>
      </w:r>
    </w:p>
    <w:p w14:paraId="1E98CB0A">
      <w:pPr>
        <w:spacing w:line="360" w:lineRule="auto"/>
        <w:ind w:firstLine="420" w:firstLineChars="200"/>
        <w:rPr>
          <w:bCs/>
          <w:color w:val="auto"/>
          <w:highlight w:val="none"/>
        </w:rPr>
      </w:pPr>
      <w:r>
        <w:rPr>
          <w:rFonts w:hint="eastAsia"/>
          <w:bCs/>
          <w:color w:val="auto"/>
          <w:highlight w:val="none"/>
        </w:rPr>
        <w:t>本监狱指挥中心、联勤值班室、分控中心的设计详见本方案“指挥中心、联勤值班室及分控中心”章节。</w:t>
      </w:r>
    </w:p>
    <w:p w14:paraId="60D87AD1">
      <w:pPr>
        <w:pStyle w:val="12"/>
        <w:tabs>
          <w:tab w:val="left" w:pos="864"/>
        </w:tabs>
        <w:spacing w:line="360" w:lineRule="auto"/>
        <w:ind w:left="0" w:firstLine="420" w:firstLineChars="200"/>
        <w:rPr>
          <w:color w:val="auto"/>
          <w:highlight w:val="none"/>
        </w:rPr>
      </w:pPr>
      <w:r>
        <w:rPr>
          <w:rFonts w:hint="eastAsia"/>
          <w:color w:val="auto"/>
          <w:highlight w:val="none"/>
        </w:rPr>
        <w:t>监控前端</w:t>
      </w:r>
    </w:p>
    <w:p w14:paraId="2948578D">
      <w:pPr>
        <w:spacing w:line="360" w:lineRule="auto"/>
        <w:ind w:firstLine="420" w:firstLineChars="200"/>
        <w:rPr>
          <w:bCs/>
          <w:color w:val="auto"/>
          <w:highlight w:val="none"/>
        </w:rPr>
      </w:pPr>
      <w:r>
        <w:rPr>
          <w:rFonts w:hint="eastAsia"/>
          <w:bCs/>
          <w:color w:val="auto"/>
          <w:highlight w:val="none"/>
        </w:rPr>
        <w:t>监控前端主要由摄像机、镜头、云台、防护罩、支架以及网线等构成。</w:t>
      </w:r>
    </w:p>
    <w:p w14:paraId="36D4FA1C">
      <w:pPr>
        <w:spacing w:line="360" w:lineRule="auto"/>
        <w:ind w:firstLine="420" w:firstLineChars="200"/>
        <w:rPr>
          <w:bCs/>
          <w:color w:val="auto"/>
          <w:highlight w:val="none"/>
        </w:rPr>
      </w:pPr>
      <w:r>
        <w:rPr>
          <w:rFonts w:hint="eastAsia"/>
          <w:bCs/>
          <w:color w:val="auto"/>
          <w:highlight w:val="none"/>
        </w:rPr>
        <w:t>按照本监狱戒备等级及实际应用环境的要求，视频监控系统需要覆盖监狱周界、公共区域、出入口、室内房间、通道及其他罪犯活动场所。整个系统采取动静结合的目标监视方式，可根据安装位置及使用环境灵活选择防暴红外半球摄像机、全景半球摄像机、人脸识别摄像机、固定枪式摄像机、高速球型摄像机、电梯专用摄像机、预警跟踪摄像机等类型。监控前端具有侦测技术，能够根据不同时间阶段设防，在禁闭室、出入口、窗户、监舍内实现入侵检测、行为检测、越界检测等报警联动功能。</w:t>
      </w:r>
    </w:p>
    <w:p w14:paraId="57D7F999">
      <w:pPr>
        <w:spacing w:line="360" w:lineRule="auto"/>
        <w:ind w:firstLine="420" w:firstLineChars="200"/>
        <w:rPr>
          <w:bCs/>
          <w:color w:val="auto"/>
          <w:highlight w:val="none"/>
        </w:rPr>
      </w:pPr>
      <w:r>
        <w:rPr>
          <w:rFonts w:hint="eastAsia"/>
          <w:bCs/>
          <w:color w:val="auto"/>
          <w:highlight w:val="none"/>
        </w:rPr>
        <w:t>本方案采用全数字的监控系统，从监控前端到所属联勤值班室（分控中心）之间的传输介质采用网络传输。在本监狱的各建筑物内，监控前端到所属联勤值班室（分控中心）直接采用六类非屏蔽网线；对于一些特殊的场所（如围墙、室外等距离较远的地方），本方案选择光纤传输。</w:t>
      </w:r>
    </w:p>
    <w:p w14:paraId="5360945C">
      <w:pPr>
        <w:spacing w:line="360" w:lineRule="auto"/>
        <w:ind w:firstLine="420" w:firstLineChars="200"/>
        <w:rPr>
          <w:bCs/>
          <w:color w:val="auto"/>
          <w:highlight w:val="none"/>
        </w:rPr>
      </w:pPr>
      <w:r>
        <w:rPr>
          <w:rFonts w:hint="eastAsia"/>
          <w:bCs/>
          <w:color w:val="auto"/>
          <w:highlight w:val="none"/>
        </w:rPr>
        <w:t>摄像机的供电由各区域弱电间UPS集中供电，通过集中供电电源把电压由AC 220V转成AC24V或DC 12V后，分别为高速球型摄像机或枪式、半球摄像机供电。</w:t>
      </w:r>
    </w:p>
    <w:p w14:paraId="0D81A2E5">
      <w:pPr>
        <w:pStyle w:val="12"/>
        <w:tabs>
          <w:tab w:val="left" w:pos="864"/>
        </w:tabs>
        <w:spacing w:line="360" w:lineRule="auto"/>
        <w:ind w:left="0" w:firstLine="420" w:firstLineChars="200"/>
        <w:rPr>
          <w:color w:val="auto"/>
          <w:highlight w:val="none"/>
        </w:rPr>
      </w:pPr>
      <w:r>
        <w:rPr>
          <w:rFonts w:hint="eastAsia"/>
          <w:color w:val="auto"/>
          <w:highlight w:val="none"/>
        </w:rPr>
        <w:t>监狱联勤值班室及分控中心的视频管控</w:t>
      </w:r>
    </w:p>
    <w:p w14:paraId="3C9ACB24">
      <w:pPr>
        <w:spacing w:line="360" w:lineRule="auto"/>
        <w:ind w:firstLine="420" w:firstLineChars="200"/>
        <w:rPr>
          <w:bCs/>
          <w:color w:val="auto"/>
          <w:highlight w:val="none"/>
        </w:rPr>
      </w:pPr>
      <w:r>
        <w:rPr>
          <w:rFonts w:hint="eastAsia"/>
          <w:bCs/>
          <w:color w:val="auto"/>
          <w:highlight w:val="none"/>
        </w:rPr>
        <w:t>联勤值班室及分控中心主要负责所在监区或区域内所有视频监控信号的显示和回放，可以对前端视频终端进行控制，并随时接受本监狱指挥中心的管控。</w:t>
      </w:r>
    </w:p>
    <w:p w14:paraId="40D29D78">
      <w:pPr>
        <w:spacing w:line="360" w:lineRule="auto"/>
        <w:ind w:firstLine="420" w:firstLineChars="200"/>
        <w:rPr>
          <w:bCs/>
          <w:color w:val="auto"/>
          <w:highlight w:val="none"/>
        </w:rPr>
      </w:pPr>
      <w:r>
        <w:rPr>
          <w:rFonts w:hint="eastAsia"/>
          <w:bCs/>
          <w:color w:val="auto"/>
          <w:highlight w:val="none"/>
        </w:rPr>
        <w:t>1、功能设计</w:t>
      </w:r>
    </w:p>
    <w:p w14:paraId="79AB31DC">
      <w:pPr>
        <w:spacing w:line="360" w:lineRule="auto"/>
        <w:ind w:firstLine="420" w:firstLineChars="200"/>
        <w:rPr>
          <w:bCs/>
          <w:color w:val="auto"/>
          <w:highlight w:val="none"/>
        </w:rPr>
      </w:pPr>
      <w:r>
        <w:rPr>
          <w:rFonts w:hint="eastAsia"/>
          <w:bCs/>
          <w:color w:val="auto"/>
          <w:highlight w:val="none"/>
        </w:rPr>
        <w:t>联勤值班室及分控中心可实现视频、音频监控功能和报警控制功能，其功能设计如下：</w:t>
      </w:r>
    </w:p>
    <w:p w14:paraId="2E2F4ED6">
      <w:pPr>
        <w:numPr>
          <w:ilvl w:val="0"/>
          <w:numId w:val="29"/>
        </w:numPr>
        <w:spacing w:line="360" w:lineRule="auto"/>
        <w:ind w:firstLine="420" w:firstLineChars="200"/>
        <w:rPr>
          <w:bCs/>
          <w:color w:val="auto"/>
          <w:highlight w:val="none"/>
        </w:rPr>
      </w:pPr>
      <w:r>
        <w:rPr>
          <w:rFonts w:hint="eastAsia"/>
          <w:bCs/>
          <w:color w:val="auto"/>
          <w:highlight w:val="none"/>
        </w:rPr>
        <w:t>具有良好的操作界面，支持多监视画面切换，通过图形化界面可对云台、镜头等进行控制。</w:t>
      </w:r>
    </w:p>
    <w:p w14:paraId="7A51EA70">
      <w:pPr>
        <w:numPr>
          <w:ilvl w:val="0"/>
          <w:numId w:val="29"/>
        </w:numPr>
        <w:spacing w:line="360" w:lineRule="auto"/>
        <w:ind w:firstLine="420" w:firstLineChars="200"/>
        <w:rPr>
          <w:bCs/>
          <w:color w:val="auto"/>
          <w:highlight w:val="none"/>
        </w:rPr>
      </w:pPr>
      <w:r>
        <w:rPr>
          <w:rFonts w:hint="eastAsia"/>
          <w:bCs/>
          <w:color w:val="auto"/>
          <w:highlight w:val="none"/>
        </w:rPr>
        <w:t>各监区值班室可以单独查看各自监区的实时情况，可以单独获取各自监区的报警情况。</w:t>
      </w:r>
    </w:p>
    <w:p w14:paraId="7CE9BC41">
      <w:pPr>
        <w:numPr>
          <w:ilvl w:val="0"/>
          <w:numId w:val="29"/>
        </w:numPr>
        <w:spacing w:line="360" w:lineRule="auto"/>
        <w:ind w:firstLine="420" w:firstLineChars="200"/>
        <w:rPr>
          <w:bCs/>
          <w:color w:val="auto"/>
          <w:highlight w:val="none"/>
        </w:rPr>
      </w:pPr>
      <w:r>
        <w:rPr>
          <w:rFonts w:hint="eastAsia"/>
          <w:bCs/>
          <w:color w:val="auto"/>
          <w:highlight w:val="none"/>
        </w:rPr>
        <w:t>音视频信号的切换功能：可以将某一路摄像机输出的图像信号切换到任一台监视器上，可选看任意一路图像，并同步监听监控前端的音频信号。</w:t>
      </w:r>
    </w:p>
    <w:p w14:paraId="7BCEFDF0">
      <w:pPr>
        <w:numPr>
          <w:ilvl w:val="0"/>
          <w:numId w:val="29"/>
        </w:numPr>
        <w:spacing w:line="360" w:lineRule="auto"/>
        <w:ind w:firstLine="420" w:firstLineChars="200"/>
        <w:rPr>
          <w:bCs/>
          <w:color w:val="auto"/>
          <w:highlight w:val="none"/>
        </w:rPr>
      </w:pPr>
      <w:r>
        <w:rPr>
          <w:rFonts w:hint="eastAsia"/>
          <w:bCs/>
          <w:color w:val="auto"/>
          <w:highlight w:val="none"/>
        </w:rPr>
        <w:t>字符叠加功能：可将字符及时钟信号叠加到视频图像，用来指明时间、日期、摄像机及监视器号，还可通过系统设置自主决定各监控点的中文名称。</w:t>
      </w:r>
    </w:p>
    <w:p w14:paraId="33A6FE7C">
      <w:pPr>
        <w:numPr>
          <w:ilvl w:val="0"/>
          <w:numId w:val="29"/>
        </w:numPr>
        <w:spacing w:line="360" w:lineRule="auto"/>
        <w:ind w:firstLine="420" w:firstLineChars="200"/>
        <w:rPr>
          <w:bCs/>
          <w:color w:val="auto"/>
          <w:highlight w:val="none"/>
        </w:rPr>
      </w:pPr>
      <w:r>
        <w:rPr>
          <w:rFonts w:hint="eastAsia"/>
          <w:bCs/>
          <w:color w:val="auto"/>
          <w:highlight w:val="none"/>
        </w:rPr>
        <w:t>控制功能：可以控制云台的上下左右及水平自动旋转，镜头的变倍大/小，聚焦远/近，光圈开/关。</w:t>
      </w:r>
    </w:p>
    <w:p w14:paraId="28267424">
      <w:pPr>
        <w:numPr>
          <w:ilvl w:val="0"/>
          <w:numId w:val="29"/>
        </w:numPr>
        <w:spacing w:line="360" w:lineRule="auto"/>
        <w:ind w:firstLine="420" w:firstLineChars="200"/>
        <w:rPr>
          <w:bCs/>
          <w:color w:val="auto"/>
          <w:highlight w:val="none"/>
        </w:rPr>
      </w:pPr>
      <w:r>
        <w:rPr>
          <w:rFonts w:hint="eastAsia"/>
          <w:bCs/>
          <w:color w:val="auto"/>
          <w:highlight w:val="none"/>
        </w:rPr>
        <w:t>报警触发、联动功能：报警响应，自动切换报警点图像和声音到指定监视器，并叠加报警信息，同时联动警号；多路同时报警时，报警点图像和声音根据设定的参数在指定的监视器上进行切换。利用多层电子地图时，报警后调出相应防区的电子地图，并提示报警位置。还可根据设定启动数字录像。</w:t>
      </w:r>
    </w:p>
    <w:p w14:paraId="0022FB7A">
      <w:pPr>
        <w:numPr>
          <w:ilvl w:val="0"/>
          <w:numId w:val="29"/>
        </w:numPr>
        <w:spacing w:line="360" w:lineRule="auto"/>
        <w:ind w:firstLine="420" w:firstLineChars="200"/>
        <w:rPr>
          <w:bCs/>
          <w:color w:val="auto"/>
          <w:highlight w:val="none"/>
        </w:rPr>
      </w:pPr>
      <w:r>
        <w:rPr>
          <w:rFonts w:hint="eastAsia"/>
          <w:bCs/>
          <w:color w:val="auto"/>
          <w:highlight w:val="none"/>
        </w:rPr>
        <w:t>报警方式与消警方式：根据需求，报警方式可选择开路报警或闭路报警，消警方式可选择自动消警、延时报警、确认报警。</w:t>
      </w:r>
    </w:p>
    <w:p w14:paraId="36E1C96C">
      <w:pPr>
        <w:numPr>
          <w:ilvl w:val="0"/>
          <w:numId w:val="29"/>
        </w:numPr>
        <w:spacing w:line="360" w:lineRule="auto"/>
        <w:ind w:firstLine="420" w:firstLineChars="200"/>
        <w:rPr>
          <w:bCs/>
          <w:color w:val="auto"/>
          <w:highlight w:val="none"/>
        </w:rPr>
      </w:pPr>
      <w:r>
        <w:rPr>
          <w:rFonts w:hint="eastAsia"/>
          <w:bCs/>
          <w:color w:val="auto"/>
          <w:highlight w:val="none"/>
        </w:rPr>
        <w:t>局域网络自由监看功能：可以允许本监狱领导通过局域网观看各监控点现场的实况。</w:t>
      </w:r>
    </w:p>
    <w:p w14:paraId="28CE4E73">
      <w:pPr>
        <w:numPr>
          <w:ilvl w:val="0"/>
          <w:numId w:val="29"/>
        </w:numPr>
        <w:spacing w:line="360" w:lineRule="auto"/>
        <w:ind w:firstLine="420" w:firstLineChars="200"/>
        <w:rPr>
          <w:bCs/>
          <w:color w:val="auto"/>
          <w:highlight w:val="none"/>
        </w:rPr>
      </w:pPr>
      <w:r>
        <w:rPr>
          <w:rFonts w:hint="eastAsia"/>
          <w:bCs/>
          <w:color w:val="auto"/>
          <w:highlight w:val="none"/>
        </w:rPr>
        <w:t>所有的联勤值班室、分控中心与监狱指挥中心之间通过电子狱务专网连接，各联勤值班室与监狱指挥中心可实现计算机网络管理与数据共享。</w:t>
      </w:r>
    </w:p>
    <w:p w14:paraId="3400751B">
      <w:pPr>
        <w:numPr>
          <w:ilvl w:val="0"/>
          <w:numId w:val="29"/>
        </w:numPr>
        <w:spacing w:line="360" w:lineRule="auto"/>
        <w:ind w:firstLine="420" w:firstLineChars="200"/>
        <w:rPr>
          <w:bCs/>
          <w:color w:val="auto"/>
          <w:highlight w:val="none"/>
        </w:rPr>
      </w:pPr>
      <w:r>
        <w:rPr>
          <w:rFonts w:hint="eastAsia"/>
          <w:bCs/>
          <w:color w:val="auto"/>
          <w:highlight w:val="none"/>
        </w:rPr>
        <w:t>监舍的蹲位与窗户处的摄像机具有绊线检测功能。</w:t>
      </w:r>
    </w:p>
    <w:p w14:paraId="20230A7B">
      <w:pPr>
        <w:spacing w:line="360" w:lineRule="auto"/>
        <w:ind w:firstLine="420" w:firstLineChars="200"/>
        <w:rPr>
          <w:bCs/>
          <w:color w:val="auto"/>
          <w:highlight w:val="none"/>
        </w:rPr>
      </w:pPr>
      <w:r>
        <w:rPr>
          <w:rFonts w:hint="eastAsia"/>
          <w:bCs/>
          <w:color w:val="auto"/>
          <w:highlight w:val="none"/>
        </w:rPr>
        <w:t>2、显示系统</w:t>
      </w:r>
    </w:p>
    <w:p w14:paraId="2D9EFE93">
      <w:pPr>
        <w:spacing w:line="360" w:lineRule="auto"/>
        <w:ind w:firstLine="420" w:firstLineChars="200"/>
        <w:rPr>
          <w:bCs/>
          <w:color w:val="auto"/>
          <w:highlight w:val="none"/>
        </w:rPr>
      </w:pPr>
      <w:r>
        <w:rPr>
          <w:rFonts w:hint="eastAsia" w:ascii="仿宋" w:hAnsi="仿宋"/>
          <w:bCs/>
          <w:color w:val="auto"/>
          <w:highlight w:val="none"/>
        </w:rPr>
        <w:t>联勤值班室主要</w:t>
      </w:r>
      <w:r>
        <w:rPr>
          <w:rFonts w:ascii="仿宋" w:hAnsi="仿宋"/>
          <w:bCs/>
          <w:color w:val="auto"/>
          <w:highlight w:val="none"/>
        </w:rPr>
        <w:t>采用</w:t>
      </w:r>
      <w:r>
        <w:rPr>
          <w:rFonts w:hint="eastAsia" w:ascii="仿宋" w:hAnsi="仿宋"/>
          <w:bCs/>
          <w:color w:val="auto"/>
          <w:highlight w:val="none"/>
        </w:rPr>
        <w:t>液晶拼接屏实现</w:t>
      </w:r>
      <w:r>
        <w:rPr>
          <w:rFonts w:ascii="仿宋" w:hAnsi="仿宋"/>
          <w:bCs/>
          <w:color w:val="auto"/>
          <w:highlight w:val="none"/>
        </w:rPr>
        <w:t>监控</w:t>
      </w:r>
      <w:r>
        <w:rPr>
          <w:rFonts w:hint="eastAsia" w:ascii="仿宋" w:hAnsi="仿宋"/>
          <w:bCs/>
          <w:color w:val="auto"/>
          <w:highlight w:val="none"/>
        </w:rPr>
        <w:t>图像</w:t>
      </w:r>
      <w:r>
        <w:rPr>
          <w:rFonts w:ascii="仿宋" w:hAnsi="仿宋"/>
          <w:bCs/>
          <w:color w:val="auto"/>
          <w:highlight w:val="none"/>
        </w:rPr>
        <w:t>的</w:t>
      </w:r>
      <w:r>
        <w:rPr>
          <w:rFonts w:hint="eastAsia" w:ascii="仿宋" w:hAnsi="仿宋"/>
          <w:bCs/>
          <w:color w:val="auto"/>
          <w:highlight w:val="none"/>
        </w:rPr>
        <w:t>显示，分控中心主要采用一</w:t>
      </w:r>
      <w:r>
        <w:rPr>
          <w:rFonts w:ascii="仿宋" w:hAnsi="仿宋"/>
          <w:bCs/>
          <w:color w:val="auto"/>
          <w:highlight w:val="none"/>
        </w:rPr>
        <w:t>机双屏</w:t>
      </w:r>
      <w:r>
        <w:rPr>
          <w:rFonts w:hint="eastAsia" w:ascii="仿宋" w:hAnsi="仿宋"/>
          <w:bCs/>
          <w:color w:val="auto"/>
          <w:highlight w:val="none"/>
        </w:rPr>
        <w:t>的</w:t>
      </w:r>
      <w:r>
        <w:rPr>
          <w:rFonts w:ascii="仿宋" w:hAnsi="仿宋"/>
          <w:bCs/>
          <w:color w:val="auto"/>
          <w:highlight w:val="none"/>
        </w:rPr>
        <w:t>电脑</w:t>
      </w:r>
      <w:r>
        <w:rPr>
          <w:rFonts w:hint="eastAsia" w:ascii="仿宋" w:hAnsi="仿宋"/>
          <w:bCs/>
          <w:color w:val="auto"/>
          <w:highlight w:val="none"/>
        </w:rPr>
        <w:t>实现</w:t>
      </w:r>
      <w:r>
        <w:rPr>
          <w:rFonts w:ascii="仿宋" w:hAnsi="仿宋"/>
          <w:bCs/>
          <w:color w:val="auto"/>
          <w:highlight w:val="none"/>
        </w:rPr>
        <w:t>监控</w:t>
      </w:r>
      <w:r>
        <w:rPr>
          <w:rFonts w:hint="eastAsia" w:ascii="仿宋" w:hAnsi="仿宋"/>
          <w:bCs/>
          <w:color w:val="auto"/>
          <w:highlight w:val="none"/>
        </w:rPr>
        <w:t>图像</w:t>
      </w:r>
      <w:r>
        <w:rPr>
          <w:rFonts w:ascii="仿宋" w:hAnsi="仿宋"/>
          <w:bCs/>
          <w:color w:val="auto"/>
          <w:highlight w:val="none"/>
        </w:rPr>
        <w:t>的</w:t>
      </w:r>
      <w:r>
        <w:rPr>
          <w:rFonts w:hint="eastAsia" w:ascii="仿宋" w:hAnsi="仿宋"/>
          <w:bCs/>
          <w:color w:val="auto"/>
          <w:highlight w:val="none"/>
        </w:rPr>
        <w:t>显示</w:t>
      </w:r>
      <w:r>
        <w:rPr>
          <w:rFonts w:ascii="仿宋" w:hAnsi="仿宋"/>
          <w:bCs/>
          <w:color w:val="auto"/>
          <w:highlight w:val="none"/>
        </w:rPr>
        <w:t>。</w:t>
      </w:r>
    </w:p>
    <w:p w14:paraId="6889B739">
      <w:pPr>
        <w:spacing w:line="360" w:lineRule="auto"/>
        <w:ind w:firstLine="420" w:firstLineChars="200"/>
        <w:rPr>
          <w:bCs/>
          <w:color w:val="auto"/>
          <w:highlight w:val="none"/>
        </w:rPr>
      </w:pPr>
      <w:r>
        <w:rPr>
          <w:rFonts w:hint="eastAsia"/>
          <w:bCs/>
          <w:color w:val="auto"/>
          <w:highlight w:val="none"/>
        </w:rPr>
        <w:t>3、管理平台</w:t>
      </w:r>
    </w:p>
    <w:p w14:paraId="28C1EE87">
      <w:pPr>
        <w:spacing w:line="360" w:lineRule="auto"/>
        <w:ind w:firstLine="420" w:firstLineChars="200"/>
        <w:rPr>
          <w:bCs/>
          <w:color w:val="auto"/>
          <w:highlight w:val="none"/>
        </w:rPr>
      </w:pPr>
      <w:r>
        <w:rPr>
          <w:rFonts w:hint="eastAsia"/>
          <w:bCs/>
          <w:color w:val="auto"/>
          <w:highlight w:val="none"/>
        </w:rPr>
        <w:t>联勤值班室及分控中心负责监控、管理其管控区域内的所有视频信息。联勤值班室及分控中心管理平台可以有效地对其管控区域内所有监控前端进行管理和控制，还可以接收来自监狱指挥中心智能安防集成平台的控制命令，从而为智能安防集成平台的集中管理提供支持。</w:t>
      </w:r>
    </w:p>
    <w:p w14:paraId="5E839940">
      <w:pPr>
        <w:spacing w:line="360" w:lineRule="auto"/>
        <w:ind w:firstLine="420" w:firstLineChars="200"/>
        <w:rPr>
          <w:bCs/>
          <w:color w:val="auto"/>
          <w:highlight w:val="none"/>
        </w:rPr>
      </w:pPr>
      <w:r>
        <w:rPr>
          <w:rFonts w:hint="eastAsia"/>
          <w:bCs/>
          <w:color w:val="auto"/>
          <w:highlight w:val="none"/>
        </w:rPr>
        <w:t>4、报警联动</w:t>
      </w:r>
    </w:p>
    <w:p w14:paraId="28A5736A">
      <w:pPr>
        <w:spacing w:line="360" w:lineRule="auto"/>
        <w:ind w:firstLine="420" w:firstLineChars="200"/>
        <w:rPr>
          <w:bCs/>
          <w:color w:val="auto"/>
          <w:highlight w:val="none"/>
        </w:rPr>
      </w:pPr>
      <w:r>
        <w:rPr>
          <w:rFonts w:hint="eastAsia"/>
          <w:bCs/>
          <w:color w:val="auto"/>
          <w:highlight w:val="none"/>
        </w:rPr>
        <w:t>视频监控系统可以与本管控区域内的紧急报警信号及其他报警信号联动，智能安防集成平台的报警联动模块接收到报警信号后，下达指令给视频监控系统联勤值班室及分控中心管理平台，随后该平台会在屏幕上自动弹出相应位置的视频信息。</w:t>
      </w:r>
    </w:p>
    <w:p w14:paraId="28AFF4C6">
      <w:pPr>
        <w:pStyle w:val="12"/>
        <w:tabs>
          <w:tab w:val="left" w:pos="864"/>
        </w:tabs>
        <w:spacing w:line="360" w:lineRule="auto"/>
        <w:ind w:left="0" w:firstLine="420" w:firstLineChars="200"/>
        <w:rPr>
          <w:color w:val="auto"/>
          <w:highlight w:val="none"/>
        </w:rPr>
      </w:pPr>
      <w:r>
        <w:rPr>
          <w:rFonts w:hint="eastAsia"/>
          <w:color w:val="auto"/>
          <w:highlight w:val="none"/>
        </w:rPr>
        <w:t>监狱指挥中心的视频管控</w:t>
      </w:r>
    </w:p>
    <w:p w14:paraId="055F7498">
      <w:pPr>
        <w:spacing w:line="360" w:lineRule="auto"/>
        <w:ind w:firstLine="420" w:firstLineChars="200"/>
        <w:rPr>
          <w:bCs/>
          <w:color w:val="auto"/>
          <w:highlight w:val="none"/>
        </w:rPr>
      </w:pPr>
      <w:r>
        <w:rPr>
          <w:rFonts w:hint="eastAsia"/>
          <w:bCs/>
          <w:color w:val="auto"/>
          <w:highlight w:val="none"/>
        </w:rPr>
        <w:t>本项目在狱内监管区大门三层设置指挥中心。本监狱指挥中心作为整个监狱的控制中枢，负责监狱内所有视频信号的统一存储、显示及统一管理存储。</w:t>
      </w:r>
    </w:p>
    <w:p w14:paraId="1B4A6559">
      <w:pPr>
        <w:spacing w:line="360" w:lineRule="auto"/>
        <w:ind w:firstLine="420" w:firstLineChars="200"/>
        <w:rPr>
          <w:bCs/>
          <w:color w:val="auto"/>
          <w:highlight w:val="none"/>
        </w:rPr>
      </w:pPr>
      <w:r>
        <w:rPr>
          <w:rFonts w:hint="eastAsia"/>
          <w:bCs/>
          <w:color w:val="auto"/>
          <w:highlight w:val="none"/>
        </w:rPr>
        <w:t>1、功能设计</w:t>
      </w:r>
    </w:p>
    <w:p w14:paraId="19F12F92">
      <w:pPr>
        <w:spacing w:line="360" w:lineRule="auto"/>
        <w:ind w:firstLine="420" w:firstLineChars="200"/>
        <w:rPr>
          <w:bCs/>
          <w:color w:val="auto"/>
          <w:highlight w:val="none"/>
        </w:rPr>
      </w:pPr>
      <w:r>
        <w:rPr>
          <w:rFonts w:hint="eastAsia"/>
          <w:bCs/>
          <w:color w:val="auto"/>
          <w:highlight w:val="none"/>
        </w:rPr>
        <w:t>（1）以分布式云存储为技术路线，采用统一管理存储方式存储监狱视频监控系统数据。</w:t>
      </w:r>
    </w:p>
    <w:p w14:paraId="4CB02E09">
      <w:pPr>
        <w:spacing w:line="360" w:lineRule="auto"/>
        <w:ind w:firstLine="420" w:firstLineChars="200"/>
        <w:rPr>
          <w:bCs/>
          <w:color w:val="auto"/>
          <w:highlight w:val="none"/>
        </w:rPr>
      </w:pPr>
      <w:r>
        <w:rPr>
          <w:rFonts w:hint="eastAsia"/>
          <w:bCs/>
          <w:color w:val="auto"/>
          <w:highlight w:val="none"/>
        </w:rPr>
        <w:t>（2）实现对前端设备控制或对控制流的转发。</w:t>
      </w:r>
    </w:p>
    <w:p w14:paraId="67091C75">
      <w:pPr>
        <w:spacing w:line="360" w:lineRule="auto"/>
        <w:ind w:firstLine="420" w:firstLineChars="200"/>
        <w:rPr>
          <w:bCs/>
          <w:color w:val="auto"/>
          <w:highlight w:val="none"/>
        </w:rPr>
      </w:pPr>
      <w:r>
        <w:rPr>
          <w:rFonts w:hint="eastAsia"/>
          <w:bCs/>
          <w:color w:val="auto"/>
          <w:highlight w:val="none"/>
        </w:rPr>
        <w:t>（3）当有报警信号传输至监控指挥中心时，视频管理系统应能根据报警信</w:t>
      </w:r>
    </w:p>
    <w:p w14:paraId="1D94FBE5">
      <w:pPr>
        <w:spacing w:line="360" w:lineRule="auto"/>
        <w:ind w:firstLine="420" w:firstLineChars="200"/>
        <w:rPr>
          <w:bCs/>
          <w:color w:val="auto"/>
          <w:highlight w:val="none"/>
        </w:rPr>
      </w:pPr>
      <w:r>
        <w:rPr>
          <w:rFonts w:hint="eastAsia"/>
          <w:bCs/>
          <w:color w:val="auto"/>
          <w:highlight w:val="none"/>
        </w:rPr>
        <w:t>号的相关信息显示相应位置的视频信息。</w:t>
      </w:r>
    </w:p>
    <w:p w14:paraId="24C24AB6">
      <w:pPr>
        <w:spacing w:line="360" w:lineRule="auto"/>
        <w:ind w:firstLine="420" w:firstLineChars="200"/>
        <w:rPr>
          <w:bCs/>
          <w:color w:val="auto"/>
          <w:highlight w:val="none"/>
        </w:rPr>
      </w:pPr>
      <w:r>
        <w:rPr>
          <w:rFonts w:hint="eastAsia"/>
          <w:bCs/>
          <w:color w:val="auto"/>
          <w:highlight w:val="none"/>
        </w:rPr>
        <w:t>（4）实现音视频流的本地显示和向省监狱管理局应急指挥中心的转发。</w:t>
      </w:r>
    </w:p>
    <w:p w14:paraId="4561DEB7">
      <w:pPr>
        <w:spacing w:line="360" w:lineRule="auto"/>
        <w:ind w:firstLine="420" w:firstLineChars="200"/>
        <w:rPr>
          <w:bCs/>
          <w:color w:val="auto"/>
          <w:highlight w:val="none"/>
        </w:rPr>
      </w:pPr>
      <w:r>
        <w:rPr>
          <w:rFonts w:hint="eastAsia"/>
          <w:bCs/>
          <w:color w:val="auto"/>
          <w:highlight w:val="none"/>
        </w:rPr>
        <w:t>（5）向省监狱管理局应急指挥中心上传管理信息、日志信息、统计信息及</w:t>
      </w:r>
    </w:p>
    <w:p w14:paraId="2CCFD4C4">
      <w:pPr>
        <w:spacing w:line="360" w:lineRule="auto"/>
        <w:ind w:firstLine="420" w:firstLineChars="200"/>
        <w:rPr>
          <w:bCs/>
          <w:color w:val="auto"/>
          <w:highlight w:val="none"/>
        </w:rPr>
      </w:pPr>
      <w:r>
        <w:rPr>
          <w:rFonts w:hint="eastAsia"/>
          <w:bCs/>
          <w:color w:val="auto"/>
          <w:highlight w:val="none"/>
        </w:rPr>
        <w:t>基础属性等。</w:t>
      </w:r>
    </w:p>
    <w:p w14:paraId="34936D00">
      <w:pPr>
        <w:spacing w:line="360" w:lineRule="auto"/>
        <w:ind w:firstLine="420" w:firstLineChars="200"/>
        <w:rPr>
          <w:bCs/>
          <w:color w:val="auto"/>
          <w:highlight w:val="none"/>
        </w:rPr>
      </w:pPr>
      <w:r>
        <w:rPr>
          <w:bCs/>
          <w:color w:val="auto"/>
          <w:highlight w:val="none"/>
        </w:rPr>
        <w:t>2</w:t>
      </w:r>
      <w:r>
        <w:rPr>
          <w:rFonts w:hint="eastAsia"/>
          <w:bCs/>
          <w:color w:val="auto"/>
          <w:highlight w:val="none"/>
        </w:rPr>
        <w:t>、显示系统</w:t>
      </w:r>
    </w:p>
    <w:p w14:paraId="5A4E048C">
      <w:pPr>
        <w:spacing w:line="360" w:lineRule="auto"/>
        <w:ind w:firstLine="420" w:firstLineChars="200"/>
        <w:rPr>
          <w:bCs/>
          <w:color w:val="auto"/>
          <w:highlight w:val="none"/>
        </w:rPr>
      </w:pPr>
      <w:r>
        <w:rPr>
          <w:rFonts w:hint="eastAsia"/>
          <w:bCs/>
          <w:color w:val="auto"/>
          <w:highlight w:val="none"/>
        </w:rPr>
        <w:t>在本方案中，监狱指挥中心显示设备采用40块超窄边液晶监视器（55寸）组成5*8的液晶拼接显示屏。</w:t>
      </w:r>
    </w:p>
    <w:p w14:paraId="41964934">
      <w:pPr>
        <w:spacing w:line="360" w:lineRule="auto"/>
        <w:ind w:firstLine="420" w:firstLineChars="200"/>
        <w:rPr>
          <w:bCs/>
          <w:color w:val="auto"/>
          <w:highlight w:val="none"/>
        </w:rPr>
      </w:pPr>
      <w:r>
        <w:rPr>
          <w:bCs/>
          <w:color w:val="auto"/>
          <w:highlight w:val="none"/>
        </w:rPr>
        <w:t>3</w:t>
      </w:r>
      <w:r>
        <w:rPr>
          <w:rFonts w:hint="eastAsia"/>
          <w:bCs/>
          <w:color w:val="auto"/>
          <w:highlight w:val="none"/>
        </w:rPr>
        <w:t>、管理平台</w:t>
      </w:r>
    </w:p>
    <w:p w14:paraId="32754797">
      <w:pPr>
        <w:spacing w:line="360" w:lineRule="auto"/>
        <w:ind w:firstLine="420" w:firstLineChars="200"/>
        <w:rPr>
          <w:bCs/>
          <w:color w:val="auto"/>
          <w:highlight w:val="none"/>
        </w:rPr>
      </w:pPr>
      <w:r>
        <w:rPr>
          <w:rFonts w:hint="eastAsia"/>
          <w:bCs/>
          <w:color w:val="auto"/>
          <w:highlight w:val="none"/>
        </w:rPr>
        <w:t>本监狱指挥中心负责管理监狱内的所有视频信息，其管理平台为智能安防集成平台，该平台可以有效的对监狱内的所有监控前端进行管理和控制。具体功能如下：</w:t>
      </w:r>
    </w:p>
    <w:p w14:paraId="0E2172FC">
      <w:pPr>
        <w:spacing w:line="360" w:lineRule="auto"/>
        <w:ind w:firstLine="420" w:firstLineChars="200"/>
        <w:rPr>
          <w:bCs/>
          <w:color w:val="auto"/>
          <w:highlight w:val="none"/>
        </w:rPr>
      </w:pPr>
      <w:r>
        <w:rPr>
          <w:rFonts w:hint="eastAsia"/>
          <w:bCs/>
          <w:color w:val="auto"/>
          <w:highlight w:val="none"/>
        </w:rPr>
        <w:t>（1）可以对监狱内所有的监控前端进行管理和控制。</w:t>
      </w:r>
    </w:p>
    <w:p w14:paraId="148D24C1">
      <w:pPr>
        <w:spacing w:line="360" w:lineRule="auto"/>
        <w:ind w:firstLine="420" w:firstLineChars="200"/>
        <w:rPr>
          <w:bCs/>
          <w:color w:val="auto"/>
          <w:highlight w:val="none"/>
        </w:rPr>
      </w:pPr>
      <w:r>
        <w:rPr>
          <w:rFonts w:hint="eastAsia"/>
          <w:bCs/>
          <w:color w:val="auto"/>
          <w:highlight w:val="none"/>
        </w:rPr>
        <w:t>（2）可以将省监狱管理局发送的控制信息转换为符合本地控制需求的协议标准。</w:t>
      </w:r>
    </w:p>
    <w:p w14:paraId="1873C171">
      <w:pPr>
        <w:spacing w:line="360" w:lineRule="auto"/>
        <w:ind w:firstLine="420" w:firstLineChars="200"/>
        <w:rPr>
          <w:bCs/>
          <w:color w:val="auto"/>
          <w:highlight w:val="none"/>
        </w:rPr>
      </w:pPr>
      <w:r>
        <w:rPr>
          <w:rFonts w:hint="eastAsia"/>
          <w:bCs/>
          <w:color w:val="auto"/>
          <w:highlight w:val="none"/>
        </w:rPr>
        <w:t>（3）具有接收各种报警信号的功能，并可以将所接受报警信号需联动的视频信息自动显示和播放。</w:t>
      </w:r>
    </w:p>
    <w:p w14:paraId="151EBDEB">
      <w:pPr>
        <w:spacing w:line="360" w:lineRule="auto"/>
        <w:ind w:firstLine="420" w:firstLineChars="200"/>
        <w:rPr>
          <w:bCs/>
          <w:color w:val="auto"/>
          <w:highlight w:val="none"/>
        </w:rPr>
      </w:pPr>
      <w:r>
        <w:rPr>
          <w:rFonts w:hint="eastAsia"/>
          <w:bCs/>
          <w:color w:val="auto"/>
          <w:highlight w:val="none"/>
        </w:rPr>
        <w:t>4、分布式云存储系统设计</w:t>
      </w:r>
    </w:p>
    <w:p w14:paraId="7048FB86">
      <w:pPr>
        <w:spacing w:line="360" w:lineRule="auto"/>
        <w:ind w:firstLine="420" w:firstLineChars="200"/>
        <w:rPr>
          <w:bCs/>
          <w:color w:val="auto"/>
          <w:highlight w:val="none"/>
        </w:rPr>
      </w:pPr>
      <w:r>
        <w:rPr>
          <w:rFonts w:hint="eastAsia"/>
          <w:bCs/>
          <w:color w:val="auto"/>
          <w:highlight w:val="none"/>
        </w:rPr>
        <w:t>本项目视频监控系统（包含周界视频监控系统）以标准分布式云存储技术路线，采用统一管理存储方式对视频及图片相关数据进行存储，数据类型主要包括视频存储和图片存储两部分。</w:t>
      </w:r>
    </w:p>
    <w:p w14:paraId="7C138262">
      <w:pPr>
        <w:spacing w:line="360" w:lineRule="auto"/>
        <w:ind w:firstLine="420" w:firstLineChars="200"/>
        <w:rPr>
          <w:bCs/>
          <w:color w:val="auto"/>
          <w:highlight w:val="none"/>
        </w:rPr>
      </w:pPr>
      <w:r>
        <w:rPr>
          <w:rFonts w:hint="eastAsia"/>
          <w:bCs/>
          <w:color w:val="auto"/>
          <w:highlight w:val="none"/>
        </w:rPr>
        <w:t>按照司法部智慧监狱建设要求，智慧监狱的建设应着眼于监狱工作实际，将物联网、云计算、大数据、人工智能等新一代信息技术与监狱各项业务深度融合，形成标准规范科学统一、数据信息全面准确、业务应用灵活普及、研判预警智能高效的应用体系；所以在存储系统建设上，应优先采用行业内先进的全对称的云存储作为数据存储的基础，为视频、图片、数据等各个业务系统提供统一的海量存储空间。通过云存储提供的存储虚拟化、集群管理、高可靠性等各种技术，提供高性能的数据读写能力、数据共享能力。针对监狱特有的非结构化数据、结构化数据，结合大数据处理技术进行有效的信息检索、整合、分析和挖掘，再通过与其他信息数据系统的关联分析处理，形成对图像信息资源的深度利用，比如针对罪犯人像数据的比对分析、进出入车辆数据的分析以及执法音视频数据的存储等，依据前端应用对存储的总体需求，要求分布式云存储系统建设应遵循采用标准开放的全对称的分布式云存储系统，应采用标准开放存储接口协议（如POSIX、iSCSI、CIFS/NFS、API 等），而非集成了某家厂商独有的音视频传输协议的云存储。</w:t>
      </w:r>
    </w:p>
    <w:p w14:paraId="38424A2E">
      <w:pPr>
        <w:spacing w:line="360" w:lineRule="auto"/>
        <w:ind w:firstLine="420" w:firstLineChars="200"/>
        <w:rPr>
          <w:bCs/>
          <w:color w:val="auto"/>
          <w:highlight w:val="none"/>
        </w:rPr>
      </w:pPr>
      <w:r>
        <w:rPr>
          <w:rFonts w:hint="eastAsia"/>
          <w:bCs/>
          <w:color w:val="auto"/>
          <w:highlight w:val="none"/>
        </w:rPr>
        <w:t>全对称式分布式云存储，所有存储节点功能一致，地位均衡，数据均衡分布，无单独元数据服务器（即无索引控制器），无单独管理服务器；支持多节点数据并行读写，数据块切片后多节点并行工作共享节点性能提高读写效率；支持多个数据副本及纠删码，系统自愈数据快速恢复。可保证在随机磁盘损坏、随机存储节点损坏时，数据不丢失，业务不中断；同时可用存储容量在总磁盘容量的80%左右。提供POSIX、CIFS、NFS、SAN、HTTP、FTP、HDFS 接口、SWIFT 对象接口、Web-Service 等数据共享服务。</w:t>
      </w:r>
    </w:p>
    <w:p w14:paraId="6DFCB675">
      <w:pPr>
        <w:spacing w:line="360" w:lineRule="auto"/>
        <w:ind w:firstLine="422" w:firstLineChars="200"/>
        <w:rPr>
          <w:b/>
          <w:bCs/>
          <w:color w:val="auto"/>
          <w:highlight w:val="none"/>
        </w:rPr>
      </w:pPr>
    </w:p>
    <w:p w14:paraId="79EF9A17">
      <w:pPr>
        <w:spacing w:line="360" w:lineRule="auto"/>
        <w:ind w:firstLine="420" w:firstLineChars="200"/>
        <w:rPr>
          <w:rFonts w:ascii="仿宋_GB2312" w:eastAsia="仿宋_GB2312"/>
          <w:bCs/>
          <w:color w:val="auto"/>
          <w:highlight w:val="none"/>
        </w:rPr>
      </w:pPr>
      <w:r>
        <w:rPr>
          <w:rFonts w:hint="eastAsia" w:ascii="仿宋_GB2312" w:eastAsia="仿宋_GB2312"/>
          <w:bCs/>
          <w:color w:val="auto"/>
          <w:highlight w:val="none"/>
        </w:rPr>
        <w:t>本系统可实现如下功能：</w:t>
      </w:r>
    </w:p>
    <w:p w14:paraId="655652DA">
      <w:pPr>
        <w:numPr>
          <w:ilvl w:val="0"/>
          <w:numId w:val="30"/>
        </w:numPr>
        <w:spacing w:line="360" w:lineRule="auto"/>
        <w:ind w:left="0" w:firstLine="420" w:firstLineChars="200"/>
        <w:rPr>
          <w:bCs/>
          <w:color w:val="auto"/>
          <w:highlight w:val="none"/>
        </w:rPr>
      </w:pPr>
      <w:r>
        <w:rPr>
          <w:rFonts w:hint="eastAsia" w:ascii="仿宋_GB2312" w:eastAsia="仿宋_GB2312"/>
          <w:bCs/>
          <w:color w:val="auto"/>
          <w:highlight w:val="none"/>
        </w:rPr>
        <w:t>视频监控系统是根据监狱安全技术防范管理的需要，对监狱执法、管理现场进行有效的实时监控，可进行录像存储、检索回放，并能够根据监控现场和对象行为进行告警处置。</w:t>
      </w:r>
    </w:p>
    <w:p w14:paraId="5094BF97">
      <w:pPr>
        <w:numPr>
          <w:ilvl w:val="0"/>
          <w:numId w:val="30"/>
        </w:numPr>
        <w:spacing w:line="360" w:lineRule="auto"/>
        <w:ind w:left="0" w:firstLine="420" w:firstLineChars="200"/>
        <w:rPr>
          <w:bCs/>
          <w:color w:val="auto"/>
          <w:highlight w:val="none"/>
        </w:rPr>
      </w:pPr>
      <w:r>
        <w:rPr>
          <w:rFonts w:hint="eastAsia"/>
          <w:bCs/>
          <w:color w:val="auto"/>
          <w:highlight w:val="none"/>
        </w:rPr>
        <w:t>视频监控系统内的IP网络服务器设备应支持NTP协议的网络统一校时服务、实现向司法部、省司法厅、省监狱管理局推送视频流。</w:t>
      </w:r>
    </w:p>
    <w:p w14:paraId="59149D8A">
      <w:pPr>
        <w:pStyle w:val="11"/>
        <w:spacing w:before="0" w:after="0" w:line="360" w:lineRule="auto"/>
        <w:ind w:firstLine="562" w:firstLineChars="200"/>
        <w:rPr>
          <w:color w:val="auto"/>
          <w:highlight w:val="none"/>
        </w:rPr>
      </w:pPr>
      <w:r>
        <w:rPr>
          <w:rFonts w:hint="eastAsia"/>
          <w:color w:val="auto"/>
          <w:highlight w:val="none"/>
        </w:rPr>
        <w:t>部署方案</w:t>
      </w:r>
    </w:p>
    <w:p w14:paraId="4656BF8C">
      <w:pPr>
        <w:spacing w:line="360" w:lineRule="auto"/>
        <w:ind w:firstLine="420" w:firstLineChars="200"/>
        <w:rPr>
          <w:bCs/>
          <w:color w:val="auto"/>
          <w:highlight w:val="none"/>
        </w:rPr>
      </w:pPr>
      <w:r>
        <w:rPr>
          <w:rFonts w:hint="eastAsia"/>
          <w:bCs/>
          <w:color w:val="auto"/>
          <w:highlight w:val="none"/>
        </w:rPr>
        <w:t>本项目中各类摄像机数量（含周界视频监控点位）总计</w:t>
      </w:r>
      <w:r>
        <w:rPr>
          <w:bCs/>
          <w:color w:val="auto"/>
          <w:highlight w:val="none"/>
        </w:rPr>
        <w:t>1187</w:t>
      </w:r>
      <w:r>
        <w:rPr>
          <w:rFonts w:hint="eastAsia"/>
          <w:bCs/>
          <w:color w:val="auto"/>
          <w:highlight w:val="none"/>
        </w:rPr>
        <w:t>个。其中，各类半球摄像机为</w:t>
      </w:r>
      <w:r>
        <w:rPr>
          <w:bCs/>
          <w:color w:val="auto"/>
          <w:highlight w:val="none"/>
        </w:rPr>
        <w:t>738</w:t>
      </w:r>
      <w:r>
        <w:rPr>
          <w:rFonts w:hint="eastAsia"/>
          <w:bCs/>
          <w:color w:val="auto"/>
          <w:highlight w:val="none"/>
        </w:rPr>
        <w:t>台，各类枪式摄像机</w:t>
      </w:r>
      <w:r>
        <w:rPr>
          <w:bCs/>
          <w:color w:val="auto"/>
          <w:highlight w:val="none"/>
        </w:rPr>
        <w:t>429</w:t>
      </w:r>
      <w:r>
        <w:rPr>
          <w:rFonts w:hint="eastAsia"/>
          <w:bCs/>
          <w:color w:val="auto"/>
          <w:highlight w:val="none"/>
        </w:rPr>
        <w:t>台，各类高速球型摄像机为</w:t>
      </w:r>
      <w:r>
        <w:rPr>
          <w:bCs/>
          <w:color w:val="auto"/>
          <w:highlight w:val="none"/>
        </w:rPr>
        <w:t>2</w:t>
      </w:r>
      <w:r>
        <w:rPr>
          <w:rFonts w:hint="eastAsia"/>
          <w:bCs/>
          <w:color w:val="auto"/>
          <w:highlight w:val="none"/>
        </w:rPr>
        <w:t>台、预警跟踪</w:t>
      </w:r>
      <w:r>
        <w:rPr>
          <w:bCs/>
          <w:color w:val="auto"/>
          <w:highlight w:val="none"/>
        </w:rPr>
        <w:t>摄像机</w:t>
      </w:r>
      <w:r>
        <w:rPr>
          <w:rFonts w:hint="eastAsia"/>
          <w:bCs/>
          <w:color w:val="auto"/>
          <w:highlight w:val="none"/>
        </w:rPr>
        <w:t>11台</w:t>
      </w:r>
      <w:r>
        <w:rPr>
          <w:bCs/>
          <w:color w:val="auto"/>
          <w:highlight w:val="none"/>
        </w:rPr>
        <w:t>、</w:t>
      </w:r>
      <w:r>
        <w:rPr>
          <w:rFonts w:hint="eastAsia"/>
          <w:bCs/>
          <w:color w:val="auto"/>
          <w:highlight w:val="none"/>
        </w:rPr>
        <w:t>电梯专用摄像机为</w:t>
      </w:r>
      <w:r>
        <w:rPr>
          <w:bCs/>
          <w:color w:val="auto"/>
          <w:highlight w:val="none"/>
        </w:rPr>
        <w:t>2</w:t>
      </w:r>
      <w:r>
        <w:rPr>
          <w:rFonts w:hint="eastAsia"/>
          <w:bCs/>
          <w:color w:val="auto"/>
          <w:highlight w:val="none"/>
        </w:rPr>
        <w:t>台、180°全景摄像机</w:t>
      </w:r>
      <w:r>
        <w:rPr>
          <w:bCs/>
          <w:color w:val="auto"/>
          <w:highlight w:val="none"/>
        </w:rPr>
        <w:t>3</w:t>
      </w:r>
      <w:r>
        <w:rPr>
          <w:rFonts w:hint="eastAsia"/>
          <w:bCs/>
          <w:color w:val="auto"/>
          <w:highlight w:val="none"/>
        </w:rPr>
        <w:t>台、车辆抓拍摄像机</w:t>
      </w:r>
      <w:r>
        <w:rPr>
          <w:bCs/>
          <w:color w:val="auto"/>
          <w:highlight w:val="none"/>
        </w:rPr>
        <w:t>2</w:t>
      </w:r>
      <w:r>
        <w:rPr>
          <w:rFonts w:hint="eastAsia"/>
          <w:bCs/>
          <w:color w:val="auto"/>
          <w:highlight w:val="none"/>
        </w:rPr>
        <w:t>台。具体视频监控点位分布及安装要求详见“狱内各区域子系统点位信息统计表”及设计图纸。</w:t>
      </w:r>
    </w:p>
    <w:p w14:paraId="6398B264">
      <w:pPr>
        <w:spacing w:line="360" w:lineRule="auto"/>
        <w:ind w:firstLine="420" w:firstLineChars="200"/>
        <w:rPr>
          <w:bCs/>
          <w:color w:val="auto"/>
          <w:highlight w:val="none"/>
        </w:rPr>
      </w:pPr>
      <w:r>
        <w:rPr>
          <w:rFonts w:hint="eastAsia"/>
          <w:bCs/>
          <w:color w:val="auto"/>
          <w:highlight w:val="none"/>
        </w:rPr>
        <w:t>前端监控点位主要部署原则如下：</w:t>
      </w:r>
    </w:p>
    <w:p w14:paraId="741D690D">
      <w:pPr>
        <w:spacing w:line="360" w:lineRule="auto"/>
        <w:ind w:firstLine="420" w:firstLineChars="200"/>
        <w:rPr>
          <w:bCs/>
          <w:color w:val="auto"/>
          <w:highlight w:val="none"/>
        </w:rPr>
      </w:pPr>
      <w:r>
        <w:rPr>
          <w:rFonts w:hint="eastAsia"/>
          <w:bCs/>
          <w:color w:val="auto"/>
          <w:highlight w:val="none"/>
        </w:rPr>
        <w:t>1、监舍楼</w:t>
      </w:r>
    </w:p>
    <w:p w14:paraId="32BC56E5">
      <w:pPr>
        <w:spacing w:line="360" w:lineRule="auto"/>
        <w:ind w:firstLine="420" w:firstLineChars="200"/>
        <w:rPr>
          <w:bCs/>
          <w:color w:val="auto"/>
          <w:highlight w:val="none"/>
        </w:rPr>
      </w:pPr>
      <w:r>
        <w:rPr>
          <w:rFonts w:hint="eastAsia"/>
          <w:bCs/>
          <w:color w:val="auto"/>
          <w:highlight w:val="none"/>
        </w:rPr>
        <w:t>（1） 楼层走廊监控：在走廊两端对射式安装2台带走廊模式的半球摄像机。</w:t>
      </w:r>
    </w:p>
    <w:p w14:paraId="512C8EBF">
      <w:pPr>
        <w:spacing w:line="360" w:lineRule="auto"/>
        <w:ind w:firstLine="420" w:firstLineChars="200"/>
        <w:rPr>
          <w:bCs/>
          <w:color w:val="auto"/>
          <w:highlight w:val="none"/>
        </w:rPr>
      </w:pPr>
      <w:r>
        <w:rPr>
          <w:rFonts w:hint="eastAsia"/>
          <w:bCs/>
          <w:color w:val="auto"/>
          <w:highlight w:val="none"/>
        </w:rPr>
        <w:t>（2）监舍(病房)内部监控：在门上、洗漱区与住宿区交界处顶端中央位置对射式安装2台防暴红外半球摄像机，每个摄像机吸顶安装1个拾音器，门上摄像机夜晚可对宿舍内人员活动情况进行探测，可联动门口三色门灯和小岗值班、分控中心、联勤值班室等监控屏弹屏警示；在监舍厕所洗手台上方安装1台防暴红外半球摄像机，夜间可对进入厕所范围内人员探测，可联动门口三色门灯和小岗值班、分控中心、联勤值班室等监控屏弹屏警示；在门口左侧预留针孔摄像机的信号线及电源线。（本次</w:t>
      </w:r>
      <w:r>
        <w:rPr>
          <w:bCs/>
          <w:color w:val="auto"/>
          <w:highlight w:val="none"/>
        </w:rPr>
        <w:t>只安装门上、洗手台上方的摄像机</w:t>
      </w:r>
      <w:r>
        <w:rPr>
          <w:rFonts w:hint="eastAsia"/>
          <w:bCs/>
          <w:color w:val="auto"/>
          <w:highlight w:val="none"/>
        </w:rPr>
        <w:t>）</w:t>
      </w:r>
    </w:p>
    <w:p w14:paraId="00E46176">
      <w:pPr>
        <w:spacing w:line="360" w:lineRule="auto"/>
        <w:ind w:firstLine="420" w:firstLineChars="200"/>
        <w:rPr>
          <w:bCs/>
          <w:color w:val="auto"/>
          <w:highlight w:val="none"/>
        </w:rPr>
      </w:pPr>
      <w:r>
        <w:rPr>
          <w:rFonts w:hint="eastAsia"/>
          <w:bCs/>
          <w:color w:val="auto"/>
          <w:highlight w:val="none"/>
        </w:rPr>
        <w:t>（3）在阅览区、文体活动区四角安装4台防暴红外半球摄像机。</w:t>
      </w:r>
    </w:p>
    <w:p w14:paraId="0443776B">
      <w:pPr>
        <w:spacing w:line="360" w:lineRule="auto"/>
        <w:ind w:firstLine="420" w:firstLineChars="200"/>
        <w:rPr>
          <w:bCs/>
          <w:color w:val="auto"/>
          <w:highlight w:val="none"/>
        </w:rPr>
      </w:pPr>
      <w:r>
        <w:rPr>
          <w:rFonts w:hint="eastAsia"/>
          <w:bCs/>
          <w:color w:val="auto"/>
          <w:highlight w:val="none"/>
        </w:rPr>
        <w:t>（4）储藏室、卫生间、盥洗、浴室及晾衣房、处置室、诊室的监控：均在门与窗户上方的顶部对射式安装2台防暴红外半球摄像机。</w:t>
      </w:r>
    </w:p>
    <w:p w14:paraId="731C9B0B">
      <w:pPr>
        <w:spacing w:line="360" w:lineRule="auto"/>
        <w:ind w:firstLine="420" w:firstLineChars="200"/>
        <w:rPr>
          <w:bCs/>
          <w:color w:val="auto"/>
          <w:highlight w:val="none"/>
        </w:rPr>
      </w:pPr>
      <w:r>
        <w:rPr>
          <w:rFonts w:hint="eastAsia"/>
          <w:bCs/>
          <w:color w:val="auto"/>
          <w:highlight w:val="none"/>
        </w:rPr>
        <w:t>（5）亲情电话室分别设置1台防暴红外半球摄像机。</w:t>
      </w:r>
    </w:p>
    <w:p w14:paraId="438AF5FC">
      <w:pPr>
        <w:spacing w:line="360" w:lineRule="auto"/>
        <w:ind w:firstLine="420" w:firstLineChars="200"/>
        <w:rPr>
          <w:bCs/>
          <w:color w:val="auto"/>
          <w:highlight w:val="none"/>
        </w:rPr>
      </w:pPr>
      <w:r>
        <w:rPr>
          <w:rFonts w:hint="eastAsia"/>
          <w:bCs/>
          <w:color w:val="auto"/>
          <w:highlight w:val="none"/>
        </w:rPr>
        <w:t>（6）在所有楼梯拐角处（含消防通道），对射安装2台防暴红外半球摄像机。（本次每层</w:t>
      </w:r>
      <w:r>
        <w:rPr>
          <w:bCs/>
          <w:color w:val="auto"/>
          <w:highlight w:val="none"/>
        </w:rPr>
        <w:t>只</w:t>
      </w:r>
      <w:r>
        <w:rPr>
          <w:rFonts w:hint="eastAsia"/>
          <w:bCs/>
          <w:color w:val="auto"/>
          <w:highlight w:val="none"/>
        </w:rPr>
        <w:t>安装1台</w:t>
      </w:r>
      <w:r>
        <w:rPr>
          <w:bCs/>
          <w:color w:val="auto"/>
          <w:highlight w:val="none"/>
        </w:rPr>
        <w:t>摄像机</w:t>
      </w:r>
      <w:r>
        <w:rPr>
          <w:rFonts w:hint="eastAsia"/>
          <w:bCs/>
          <w:color w:val="auto"/>
          <w:highlight w:val="none"/>
        </w:rPr>
        <w:t>）</w:t>
      </w:r>
    </w:p>
    <w:p w14:paraId="1A119F2A">
      <w:pPr>
        <w:spacing w:line="360" w:lineRule="auto"/>
        <w:ind w:firstLine="420" w:firstLineChars="200"/>
        <w:rPr>
          <w:bCs/>
          <w:color w:val="auto"/>
          <w:highlight w:val="none"/>
        </w:rPr>
      </w:pPr>
      <w:r>
        <w:rPr>
          <w:rFonts w:hint="eastAsia"/>
          <w:bCs/>
          <w:color w:val="auto"/>
          <w:highlight w:val="none"/>
        </w:rPr>
        <w:t>（7）监舍楼顶部安装1台室外全景摄像机。</w:t>
      </w:r>
    </w:p>
    <w:p w14:paraId="2A41DDE8">
      <w:pPr>
        <w:spacing w:line="360" w:lineRule="auto"/>
        <w:ind w:firstLine="420" w:firstLineChars="200"/>
        <w:rPr>
          <w:bCs/>
          <w:color w:val="auto"/>
          <w:highlight w:val="none"/>
        </w:rPr>
      </w:pPr>
      <w:r>
        <w:rPr>
          <w:rFonts w:hint="eastAsia"/>
          <w:bCs/>
          <w:color w:val="auto"/>
          <w:highlight w:val="none"/>
        </w:rPr>
        <w:t>（8）在连廊门口、罪犯楼梯出入口内外安装人脸识别摄像机各1台。（本次</w:t>
      </w:r>
      <w:r>
        <w:rPr>
          <w:bCs/>
          <w:color w:val="auto"/>
          <w:highlight w:val="none"/>
        </w:rPr>
        <w:t>考虑</w:t>
      </w:r>
      <w:r>
        <w:rPr>
          <w:rFonts w:hint="eastAsia"/>
          <w:bCs/>
          <w:color w:val="auto"/>
          <w:highlight w:val="none"/>
        </w:rPr>
        <w:t>安装</w:t>
      </w:r>
      <w:r>
        <w:rPr>
          <w:bCs/>
          <w:color w:val="auto"/>
          <w:highlight w:val="none"/>
        </w:rPr>
        <w:t>普通摄像机</w:t>
      </w:r>
      <w:r>
        <w:rPr>
          <w:rFonts w:hint="eastAsia"/>
          <w:bCs/>
          <w:color w:val="auto"/>
          <w:highlight w:val="none"/>
        </w:rPr>
        <w:t>）</w:t>
      </w:r>
    </w:p>
    <w:p w14:paraId="3C83E5BA">
      <w:pPr>
        <w:spacing w:line="360" w:lineRule="auto"/>
        <w:ind w:firstLine="420" w:firstLineChars="200"/>
        <w:rPr>
          <w:bCs/>
          <w:color w:val="auto"/>
          <w:highlight w:val="none"/>
        </w:rPr>
      </w:pPr>
      <w:r>
        <w:rPr>
          <w:rFonts w:hint="eastAsia"/>
          <w:bCs/>
          <w:color w:val="auto"/>
          <w:highlight w:val="none"/>
        </w:rPr>
        <w:t>（9）在警察值班室、联勤值班室分别对射安装2台防暴红外半球摄像机（本次</w:t>
      </w:r>
      <w:r>
        <w:rPr>
          <w:bCs/>
          <w:color w:val="auto"/>
          <w:highlight w:val="none"/>
        </w:rPr>
        <w:t>只安装</w:t>
      </w:r>
      <w:r>
        <w:rPr>
          <w:rFonts w:hint="eastAsia"/>
          <w:bCs/>
          <w:color w:val="auto"/>
          <w:highlight w:val="none"/>
        </w:rPr>
        <w:t>1台）。</w:t>
      </w:r>
    </w:p>
    <w:p w14:paraId="4DE80D67">
      <w:pPr>
        <w:spacing w:line="360" w:lineRule="auto"/>
        <w:ind w:firstLine="420" w:firstLineChars="200"/>
        <w:rPr>
          <w:bCs/>
          <w:color w:val="auto"/>
          <w:highlight w:val="none"/>
        </w:rPr>
      </w:pPr>
      <w:r>
        <w:rPr>
          <w:rFonts w:hint="eastAsia"/>
          <w:bCs/>
          <w:color w:val="auto"/>
          <w:highlight w:val="none"/>
        </w:rPr>
        <w:t>（10）在警察通道安装1台防暴红外半球摄像机。</w:t>
      </w:r>
    </w:p>
    <w:p w14:paraId="23BD2712">
      <w:pPr>
        <w:spacing w:line="360" w:lineRule="auto"/>
        <w:ind w:firstLine="420" w:firstLineChars="200"/>
        <w:rPr>
          <w:bCs/>
          <w:color w:val="auto"/>
          <w:highlight w:val="none"/>
        </w:rPr>
      </w:pPr>
      <w:r>
        <w:rPr>
          <w:rFonts w:hint="eastAsia"/>
          <w:bCs/>
          <w:color w:val="auto"/>
          <w:highlight w:val="none"/>
        </w:rPr>
        <w:t>（11）在化验室、X光机室各安装1台防暴红外半球摄像机。</w:t>
      </w:r>
    </w:p>
    <w:p w14:paraId="07A5BD98">
      <w:pPr>
        <w:spacing w:line="360" w:lineRule="auto"/>
        <w:ind w:firstLine="420" w:firstLineChars="200"/>
        <w:rPr>
          <w:bCs/>
          <w:color w:val="auto"/>
          <w:highlight w:val="none"/>
        </w:rPr>
      </w:pPr>
      <w:r>
        <w:rPr>
          <w:rFonts w:hint="eastAsia"/>
          <w:bCs/>
          <w:color w:val="auto"/>
          <w:highlight w:val="none"/>
        </w:rPr>
        <w:t>（12）墙外四角各安装2台枪式摄像机。（本次</w:t>
      </w:r>
      <w:r>
        <w:rPr>
          <w:bCs/>
          <w:color w:val="auto"/>
          <w:highlight w:val="none"/>
        </w:rPr>
        <w:t>只追尾式安装</w:t>
      </w:r>
      <w:r>
        <w:rPr>
          <w:rFonts w:hint="eastAsia"/>
          <w:bCs/>
          <w:color w:val="auto"/>
          <w:highlight w:val="none"/>
        </w:rPr>
        <w:t>4台）</w:t>
      </w:r>
    </w:p>
    <w:p w14:paraId="51A3DE83">
      <w:pPr>
        <w:spacing w:line="360" w:lineRule="auto"/>
        <w:ind w:firstLine="420" w:firstLineChars="200"/>
        <w:rPr>
          <w:bCs/>
          <w:color w:val="auto"/>
          <w:highlight w:val="none"/>
        </w:rPr>
      </w:pPr>
      <w:r>
        <w:rPr>
          <w:rFonts w:hint="eastAsia"/>
          <w:bCs/>
          <w:color w:val="auto"/>
          <w:highlight w:val="none"/>
        </w:rPr>
        <w:t>2、习艺楼</w:t>
      </w:r>
    </w:p>
    <w:p w14:paraId="620E75BF">
      <w:pPr>
        <w:spacing w:line="360" w:lineRule="auto"/>
        <w:ind w:firstLine="420" w:firstLineChars="200"/>
        <w:rPr>
          <w:bCs/>
          <w:color w:val="auto"/>
          <w:highlight w:val="none"/>
        </w:rPr>
      </w:pPr>
      <w:r>
        <w:rPr>
          <w:rFonts w:hint="eastAsia"/>
          <w:bCs/>
          <w:color w:val="auto"/>
          <w:highlight w:val="none"/>
        </w:rPr>
        <w:t>（1）车间内监控：每层布置15台室内枪式摄像机，对射式安装；在每层中间顶部安装2台的球型摄像机（球型摄像机本次不</w:t>
      </w:r>
      <w:r>
        <w:rPr>
          <w:bCs/>
          <w:color w:val="auto"/>
          <w:highlight w:val="none"/>
        </w:rPr>
        <w:t>安装</w:t>
      </w:r>
      <w:r>
        <w:rPr>
          <w:rFonts w:hint="eastAsia"/>
          <w:bCs/>
          <w:color w:val="auto"/>
          <w:highlight w:val="none"/>
        </w:rPr>
        <w:t>）。</w:t>
      </w:r>
    </w:p>
    <w:p w14:paraId="19C70492">
      <w:pPr>
        <w:spacing w:line="360" w:lineRule="auto"/>
        <w:ind w:firstLine="420" w:firstLineChars="200"/>
        <w:rPr>
          <w:bCs/>
          <w:color w:val="auto"/>
          <w:highlight w:val="none"/>
        </w:rPr>
      </w:pPr>
      <w:r>
        <w:rPr>
          <w:rFonts w:hint="eastAsia"/>
          <w:bCs/>
          <w:color w:val="auto"/>
          <w:highlight w:val="none"/>
        </w:rPr>
        <w:t>（2）警察值班室、罪犯卫生间：各对射安装2台防暴红外半球摄像机。</w:t>
      </w:r>
    </w:p>
    <w:p w14:paraId="4A09761B">
      <w:pPr>
        <w:spacing w:line="360" w:lineRule="auto"/>
        <w:ind w:firstLine="420" w:firstLineChars="200"/>
        <w:rPr>
          <w:bCs/>
          <w:color w:val="auto"/>
          <w:highlight w:val="none"/>
        </w:rPr>
      </w:pPr>
      <w:r>
        <w:rPr>
          <w:rFonts w:hint="eastAsia"/>
          <w:bCs/>
          <w:color w:val="auto"/>
          <w:highlight w:val="none"/>
        </w:rPr>
        <w:t>（3）电梯内安装1台电梯专用摄像机。</w:t>
      </w:r>
    </w:p>
    <w:p w14:paraId="158B6795">
      <w:pPr>
        <w:spacing w:line="360" w:lineRule="auto"/>
        <w:ind w:firstLine="420" w:firstLineChars="200"/>
        <w:rPr>
          <w:bCs/>
          <w:color w:val="auto"/>
          <w:highlight w:val="none"/>
        </w:rPr>
      </w:pPr>
      <w:r>
        <w:rPr>
          <w:rFonts w:hint="eastAsia"/>
          <w:bCs/>
          <w:color w:val="auto"/>
          <w:highlight w:val="none"/>
        </w:rPr>
        <w:t>（4）在连廊门口、罪犯楼梯出入口内外安装人脸识别摄像机各1台（本次考虑安装普通摄像机）。</w:t>
      </w:r>
    </w:p>
    <w:p w14:paraId="2CD28D2A">
      <w:pPr>
        <w:spacing w:line="360" w:lineRule="auto"/>
        <w:ind w:firstLine="420" w:firstLineChars="200"/>
        <w:rPr>
          <w:bCs/>
          <w:color w:val="auto"/>
          <w:highlight w:val="none"/>
        </w:rPr>
      </w:pPr>
      <w:r>
        <w:rPr>
          <w:rFonts w:hint="eastAsia"/>
          <w:bCs/>
          <w:color w:val="auto"/>
          <w:highlight w:val="none"/>
        </w:rPr>
        <w:t>（5）在所有楼梯拐角处（含消防通道），对射安装2台防暴红外半球摄像机（本次每层只安装1台摄像机）。</w:t>
      </w:r>
    </w:p>
    <w:p w14:paraId="63EB6B57">
      <w:pPr>
        <w:spacing w:line="360" w:lineRule="auto"/>
        <w:ind w:firstLine="420" w:firstLineChars="200"/>
        <w:rPr>
          <w:bCs/>
          <w:color w:val="auto"/>
          <w:highlight w:val="none"/>
        </w:rPr>
      </w:pPr>
      <w:r>
        <w:rPr>
          <w:rFonts w:hint="eastAsia"/>
          <w:bCs/>
          <w:color w:val="auto"/>
          <w:highlight w:val="none"/>
        </w:rPr>
        <w:t>（6）墙外四角各安装2台枪式摄像机。</w:t>
      </w:r>
    </w:p>
    <w:p w14:paraId="60DB90F2">
      <w:pPr>
        <w:spacing w:line="360" w:lineRule="auto"/>
        <w:ind w:firstLine="420" w:firstLineChars="200"/>
        <w:rPr>
          <w:bCs/>
          <w:color w:val="auto"/>
          <w:highlight w:val="none"/>
        </w:rPr>
      </w:pPr>
      <w:r>
        <w:rPr>
          <w:rFonts w:hint="eastAsia"/>
          <w:bCs/>
          <w:color w:val="auto"/>
          <w:highlight w:val="none"/>
        </w:rPr>
        <w:t>3、会见教学楼</w:t>
      </w:r>
    </w:p>
    <w:p w14:paraId="517DDF94">
      <w:pPr>
        <w:spacing w:line="360" w:lineRule="auto"/>
        <w:ind w:firstLine="420" w:firstLineChars="200"/>
        <w:rPr>
          <w:bCs/>
          <w:color w:val="auto"/>
          <w:highlight w:val="none"/>
        </w:rPr>
      </w:pPr>
      <w:r>
        <w:rPr>
          <w:rFonts w:hint="eastAsia"/>
          <w:bCs/>
          <w:color w:val="auto"/>
          <w:highlight w:val="none"/>
        </w:rPr>
        <w:t>（1）一层监听室、监视室、狱长接待室、值班室、接待室、咨询台、盥洗室、罪犯卫生间各安装1台半球摄像机，家属会见区域安装4台室内枪式摄像机、1台半球摄像机，在家属等候区安装2台枪式摄像机、1台半球摄像机，监听监控室走廊安装1台枪式摄像机、1台半球摄像机，社会帮教室装1台半球摄像机及拾音器，远程视频会见、提审室各安装2台半球摄像机及拾音器，罪犯等候区对射式安装1台半球摄像机，罪犯会见区安装2台枪式摄像机，罪犯出入口安装2台人脸摄像机（本次考虑安装普通摄像机）。</w:t>
      </w:r>
    </w:p>
    <w:p w14:paraId="16D9CC3B">
      <w:pPr>
        <w:spacing w:line="360" w:lineRule="auto"/>
        <w:ind w:firstLine="420" w:firstLineChars="200"/>
        <w:rPr>
          <w:bCs/>
          <w:color w:val="auto"/>
          <w:highlight w:val="none"/>
        </w:rPr>
      </w:pPr>
      <w:r>
        <w:rPr>
          <w:rFonts w:hint="eastAsia"/>
          <w:bCs/>
          <w:color w:val="auto"/>
          <w:highlight w:val="none"/>
        </w:rPr>
        <w:t>（2）楼梯间监控（含消防通道）在各拐角处均安装1台防暴红外半球摄像机（本次每层只安装1台摄像机）。</w:t>
      </w:r>
    </w:p>
    <w:p w14:paraId="6DFEFDCD">
      <w:pPr>
        <w:spacing w:line="360" w:lineRule="auto"/>
        <w:ind w:firstLine="420" w:firstLineChars="200"/>
        <w:rPr>
          <w:bCs/>
          <w:color w:val="auto"/>
          <w:highlight w:val="none"/>
        </w:rPr>
      </w:pPr>
      <w:r>
        <w:rPr>
          <w:rFonts w:hint="eastAsia"/>
          <w:bCs/>
          <w:color w:val="auto"/>
          <w:highlight w:val="none"/>
        </w:rPr>
        <w:t>（3）二层为教学层，走廊设置4台对射半球摄像机，电教中心、多功能厅设置2台对射半球，警察值班室安装设置2台半球摄像机，卫生间对射安装2台半球摄像机，其他房间各设置1台半球，东侧出入口设置2台人脸识别摄像机（本次考虑安装普通摄像机）。</w:t>
      </w:r>
    </w:p>
    <w:p w14:paraId="2B42D2EB">
      <w:pPr>
        <w:spacing w:line="360" w:lineRule="auto"/>
        <w:ind w:firstLine="420" w:firstLineChars="200"/>
        <w:rPr>
          <w:bCs/>
          <w:color w:val="auto"/>
          <w:highlight w:val="none"/>
        </w:rPr>
      </w:pPr>
      <w:r>
        <w:rPr>
          <w:rFonts w:hint="eastAsia"/>
          <w:bCs/>
          <w:color w:val="auto"/>
          <w:highlight w:val="none"/>
        </w:rPr>
        <w:t>（4）三层走廊设置4台对射半球摄像机，库房、教学用房各安装1台半球摄像机，其他所有房间均对射式安装2台半球摄像机。</w:t>
      </w:r>
    </w:p>
    <w:p w14:paraId="1DCD44B7">
      <w:pPr>
        <w:spacing w:line="360" w:lineRule="auto"/>
        <w:ind w:firstLine="420" w:firstLineChars="200"/>
        <w:rPr>
          <w:bCs/>
          <w:color w:val="auto"/>
          <w:highlight w:val="none"/>
        </w:rPr>
      </w:pPr>
      <w:r>
        <w:rPr>
          <w:rFonts w:hint="eastAsia"/>
          <w:bCs/>
          <w:color w:val="auto"/>
          <w:highlight w:val="none"/>
        </w:rPr>
        <w:t>（5）四层监舍、储藏室、晾衣间、卫生间、文体活动室同监舍楼设置原则，禁闭室、放风间各安装1台半球摄像机，禁闭室巡道安装4台枪式摄像机、2台半球摄像机。</w:t>
      </w:r>
    </w:p>
    <w:p w14:paraId="6F15E224">
      <w:pPr>
        <w:spacing w:line="360" w:lineRule="auto"/>
        <w:ind w:firstLine="420" w:firstLineChars="200"/>
        <w:rPr>
          <w:bCs/>
          <w:color w:val="auto"/>
          <w:highlight w:val="none"/>
        </w:rPr>
      </w:pPr>
      <w:r>
        <w:rPr>
          <w:rFonts w:hint="eastAsia"/>
          <w:bCs/>
          <w:color w:val="auto"/>
          <w:highlight w:val="none"/>
        </w:rPr>
        <w:t>4、监管区大门</w:t>
      </w:r>
    </w:p>
    <w:p w14:paraId="0654EBBA">
      <w:pPr>
        <w:spacing w:line="360" w:lineRule="auto"/>
        <w:ind w:firstLine="420" w:firstLineChars="200"/>
        <w:rPr>
          <w:bCs/>
          <w:color w:val="auto"/>
          <w:highlight w:val="none"/>
        </w:rPr>
      </w:pPr>
      <w:r>
        <w:rPr>
          <w:rFonts w:hint="eastAsia"/>
          <w:bCs/>
          <w:color w:val="auto"/>
          <w:highlight w:val="none"/>
        </w:rPr>
        <w:t>（1）一层会见通道安装2台半球摄像机、2台枪式摄像机、1台预警跟踪摄像机，车行通道安装6台枪式摄像机、2台高速球型摄像机、1台预警跟踪摄像机、2台车牌抓拍摄像机；人行通道安装2台枪式摄像机、4台半球摄像机、1台预警跟踪摄像机；在楼梯半层拐角处安装1台半球摄像机，共4台；会见和人行警察值班室各对射安装2台半球摄像机，监门哨安装2台半球摄像机，应急处置室安装1台半球摄像机，登记室安装1台半球摄像机。</w:t>
      </w:r>
    </w:p>
    <w:p w14:paraId="5E964519">
      <w:pPr>
        <w:spacing w:line="360" w:lineRule="auto"/>
        <w:ind w:firstLine="420" w:firstLineChars="200"/>
        <w:rPr>
          <w:bCs/>
          <w:color w:val="auto"/>
          <w:highlight w:val="none"/>
        </w:rPr>
      </w:pPr>
      <w:r>
        <w:rPr>
          <w:rFonts w:hint="eastAsia"/>
          <w:bCs/>
          <w:color w:val="auto"/>
          <w:highlight w:val="none"/>
        </w:rPr>
        <w:t>（2）二层器材室共安装6台半球摄像机（本次</w:t>
      </w:r>
      <w:r>
        <w:rPr>
          <w:bCs/>
          <w:color w:val="auto"/>
          <w:highlight w:val="none"/>
        </w:rPr>
        <w:t>安装</w:t>
      </w:r>
      <w:r>
        <w:rPr>
          <w:rFonts w:hint="eastAsia"/>
          <w:bCs/>
          <w:color w:val="auto"/>
          <w:highlight w:val="none"/>
        </w:rPr>
        <w:t>4台），走廊安装1台半球摄像机。</w:t>
      </w:r>
    </w:p>
    <w:p w14:paraId="449259F8">
      <w:pPr>
        <w:spacing w:line="360" w:lineRule="auto"/>
        <w:ind w:firstLine="420" w:firstLineChars="200"/>
        <w:rPr>
          <w:bCs/>
          <w:color w:val="auto"/>
          <w:highlight w:val="none"/>
        </w:rPr>
      </w:pPr>
      <w:r>
        <w:rPr>
          <w:rFonts w:hint="eastAsia"/>
          <w:bCs/>
          <w:color w:val="auto"/>
          <w:highlight w:val="none"/>
        </w:rPr>
        <w:t>（3）三层枪弹库及登记室各安装1台半球摄像机（含拾音器），在指挥中心安装</w:t>
      </w:r>
      <w:r>
        <w:rPr>
          <w:bCs/>
          <w:color w:val="auto"/>
          <w:highlight w:val="none"/>
        </w:rPr>
        <w:t>2</w:t>
      </w:r>
      <w:r>
        <w:rPr>
          <w:rFonts w:hint="eastAsia"/>
          <w:bCs/>
          <w:color w:val="auto"/>
          <w:highlight w:val="none"/>
        </w:rPr>
        <w:t>台半球摄像机。</w:t>
      </w:r>
    </w:p>
    <w:p w14:paraId="7C91A626">
      <w:pPr>
        <w:spacing w:line="360" w:lineRule="auto"/>
        <w:ind w:firstLine="420" w:firstLineChars="200"/>
        <w:rPr>
          <w:bCs/>
          <w:color w:val="auto"/>
          <w:highlight w:val="none"/>
        </w:rPr>
      </w:pPr>
      <w:r>
        <w:rPr>
          <w:rFonts w:hint="eastAsia"/>
          <w:bCs/>
          <w:color w:val="auto"/>
          <w:highlight w:val="none"/>
        </w:rPr>
        <w:t>5、备勤综合楼（本次仅</w:t>
      </w:r>
      <w:r>
        <w:rPr>
          <w:bCs/>
          <w:color w:val="auto"/>
          <w:highlight w:val="none"/>
        </w:rPr>
        <w:t>建设</w:t>
      </w:r>
      <w:r>
        <w:rPr>
          <w:rFonts w:hint="eastAsia"/>
          <w:bCs/>
          <w:color w:val="auto"/>
          <w:highlight w:val="none"/>
        </w:rPr>
        <w:t>9层</w:t>
      </w:r>
      <w:r>
        <w:rPr>
          <w:bCs/>
          <w:color w:val="auto"/>
          <w:highlight w:val="none"/>
        </w:rPr>
        <w:t>全景摄像机</w:t>
      </w:r>
      <w:r>
        <w:rPr>
          <w:rFonts w:hint="eastAsia"/>
          <w:bCs/>
          <w:color w:val="auto"/>
          <w:highlight w:val="none"/>
        </w:rPr>
        <w:t>）</w:t>
      </w:r>
    </w:p>
    <w:p w14:paraId="3AB101CE">
      <w:pPr>
        <w:spacing w:line="360" w:lineRule="auto"/>
        <w:ind w:firstLine="420" w:firstLineChars="200"/>
        <w:rPr>
          <w:bCs/>
          <w:color w:val="auto"/>
          <w:highlight w:val="none"/>
        </w:rPr>
      </w:pPr>
      <w:r>
        <w:rPr>
          <w:rFonts w:hint="eastAsia"/>
          <w:bCs/>
          <w:color w:val="auto"/>
          <w:highlight w:val="none"/>
        </w:rPr>
        <w:t>（1）走廊监控：每层安装4台带走廊模式的半球摄像机。</w:t>
      </w:r>
    </w:p>
    <w:p w14:paraId="3FD6C21E">
      <w:pPr>
        <w:spacing w:line="360" w:lineRule="auto"/>
        <w:ind w:firstLine="420" w:firstLineChars="200"/>
        <w:rPr>
          <w:bCs/>
          <w:color w:val="auto"/>
          <w:highlight w:val="none"/>
        </w:rPr>
      </w:pPr>
      <w:r>
        <w:rPr>
          <w:rFonts w:hint="eastAsia"/>
          <w:bCs/>
          <w:color w:val="auto"/>
          <w:highlight w:val="none"/>
        </w:rPr>
        <w:t>（2）电梯厅及前室监控：均安装1台防暴红外半球摄像机。</w:t>
      </w:r>
    </w:p>
    <w:p w14:paraId="1C4B053D">
      <w:pPr>
        <w:spacing w:line="360" w:lineRule="auto"/>
        <w:ind w:firstLine="420" w:firstLineChars="200"/>
        <w:rPr>
          <w:bCs/>
          <w:color w:val="auto"/>
          <w:highlight w:val="none"/>
        </w:rPr>
      </w:pPr>
      <w:r>
        <w:rPr>
          <w:rFonts w:hint="eastAsia"/>
          <w:bCs/>
          <w:color w:val="auto"/>
          <w:highlight w:val="none"/>
        </w:rPr>
        <w:t>（3）一层楼梯间及柴油发电机房监控：均安装1台室内枪式摄像机。</w:t>
      </w:r>
    </w:p>
    <w:p w14:paraId="323B98CB">
      <w:pPr>
        <w:spacing w:line="360" w:lineRule="auto"/>
        <w:ind w:firstLine="420" w:firstLineChars="200"/>
        <w:rPr>
          <w:bCs/>
          <w:color w:val="auto"/>
          <w:highlight w:val="none"/>
        </w:rPr>
      </w:pPr>
      <w:r>
        <w:rPr>
          <w:rFonts w:hint="eastAsia"/>
          <w:bCs/>
          <w:color w:val="auto"/>
          <w:highlight w:val="none"/>
        </w:rPr>
        <w:t>（4）外墙监控：建筑外墙安装8台枪式摄像机，外门厅上方安装2台球型摄像机。</w:t>
      </w:r>
    </w:p>
    <w:p w14:paraId="51B438A9">
      <w:pPr>
        <w:spacing w:line="360" w:lineRule="auto"/>
        <w:ind w:firstLine="420" w:firstLineChars="200"/>
        <w:rPr>
          <w:bCs/>
          <w:color w:val="auto"/>
          <w:highlight w:val="none"/>
        </w:rPr>
      </w:pPr>
      <w:r>
        <w:rPr>
          <w:rFonts w:hint="eastAsia"/>
          <w:bCs/>
          <w:color w:val="auto"/>
          <w:highlight w:val="none"/>
        </w:rPr>
        <w:t>（5）全景监控：九层屋顶南北两侧各安装1台室外全景摄像机。</w:t>
      </w:r>
    </w:p>
    <w:p w14:paraId="38F71375">
      <w:pPr>
        <w:spacing w:line="360" w:lineRule="auto"/>
        <w:ind w:firstLine="420" w:firstLineChars="200"/>
        <w:rPr>
          <w:bCs/>
          <w:color w:val="auto"/>
          <w:highlight w:val="none"/>
        </w:rPr>
      </w:pPr>
      <w:r>
        <w:rPr>
          <w:rFonts w:hint="eastAsia"/>
          <w:bCs/>
          <w:color w:val="auto"/>
          <w:highlight w:val="none"/>
        </w:rPr>
        <w:t>6、后勤服务楼</w:t>
      </w:r>
    </w:p>
    <w:p w14:paraId="31F4A370">
      <w:pPr>
        <w:spacing w:line="360" w:lineRule="auto"/>
        <w:ind w:firstLine="420" w:firstLineChars="200"/>
        <w:rPr>
          <w:bCs/>
          <w:color w:val="auto"/>
          <w:highlight w:val="none"/>
        </w:rPr>
      </w:pPr>
      <w:r>
        <w:rPr>
          <w:rFonts w:hint="eastAsia"/>
          <w:bCs/>
          <w:color w:val="auto"/>
          <w:highlight w:val="none"/>
        </w:rPr>
        <w:t>（1）会见通道监控：一层安装7台枪式摄像机、1台半球摄像机。</w:t>
      </w:r>
    </w:p>
    <w:p w14:paraId="6133A808">
      <w:pPr>
        <w:spacing w:line="360" w:lineRule="auto"/>
        <w:ind w:firstLine="420" w:firstLineChars="200"/>
        <w:rPr>
          <w:bCs/>
          <w:color w:val="auto"/>
          <w:highlight w:val="none"/>
        </w:rPr>
      </w:pPr>
      <w:r>
        <w:rPr>
          <w:rFonts w:hint="eastAsia"/>
          <w:bCs/>
          <w:color w:val="auto"/>
          <w:highlight w:val="none"/>
        </w:rPr>
        <w:t>（2）变配电室监控：安装2台室内枪式摄像机。</w:t>
      </w:r>
    </w:p>
    <w:p w14:paraId="53B439FE">
      <w:pPr>
        <w:spacing w:line="360" w:lineRule="auto"/>
        <w:ind w:firstLine="420" w:firstLineChars="200"/>
        <w:rPr>
          <w:bCs/>
          <w:color w:val="auto"/>
          <w:highlight w:val="none"/>
        </w:rPr>
      </w:pPr>
      <w:r>
        <w:rPr>
          <w:rFonts w:hint="eastAsia"/>
          <w:bCs/>
          <w:color w:val="auto"/>
          <w:highlight w:val="none"/>
        </w:rPr>
        <w:t>（3）在楼梯半层拐角处各安装1台半球摄像机。</w:t>
      </w:r>
    </w:p>
    <w:p w14:paraId="53119C3B">
      <w:pPr>
        <w:spacing w:line="360" w:lineRule="auto"/>
        <w:ind w:firstLine="420" w:firstLineChars="200"/>
        <w:rPr>
          <w:bCs/>
          <w:color w:val="auto"/>
          <w:highlight w:val="none"/>
        </w:rPr>
      </w:pPr>
      <w:r>
        <w:rPr>
          <w:rFonts w:hint="eastAsia"/>
          <w:bCs/>
          <w:color w:val="auto"/>
          <w:highlight w:val="none"/>
        </w:rPr>
        <w:t>（4）外墙监控：建筑外墙安装8台枪式摄像机。</w:t>
      </w:r>
    </w:p>
    <w:p w14:paraId="33437151">
      <w:pPr>
        <w:spacing w:line="360" w:lineRule="auto"/>
        <w:ind w:firstLine="420" w:firstLineChars="200"/>
        <w:rPr>
          <w:bCs/>
          <w:color w:val="auto"/>
          <w:highlight w:val="none"/>
        </w:rPr>
      </w:pPr>
      <w:r>
        <w:rPr>
          <w:rFonts w:hint="eastAsia"/>
          <w:bCs/>
          <w:color w:val="auto"/>
          <w:highlight w:val="none"/>
        </w:rPr>
        <w:t>7、伙房、物流中心、行政区大门</w:t>
      </w:r>
    </w:p>
    <w:p w14:paraId="205692AA">
      <w:pPr>
        <w:spacing w:line="360" w:lineRule="auto"/>
        <w:ind w:firstLine="420" w:firstLineChars="200"/>
        <w:rPr>
          <w:bCs/>
          <w:color w:val="auto"/>
          <w:highlight w:val="none"/>
        </w:rPr>
      </w:pPr>
      <w:r>
        <w:rPr>
          <w:rFonts w:hint="eastAsia"/>
          <w:bCs/>
          <w:color w:val="auto"/>
          <w:highlight w:val="none"/>
        </w:rPr>
        <w:t>伙房、物流中心、行政区大门无相关图纸，根据后期实际需求设置摄像机，其中，物流中心预估</w:t>
      </w:r>
      <w:r>
        <w:rPr>
          <w:bCs/>
          <w:color w:val="auto"/>
          <w:highlight w:val="none"/>
        </w:rPr>
        <w:t>60</w:t>
      </w:r>
      <w:r>
        <w:rPr>
          <w:rFonts w:hint="eastAsia"/>
          <w:bCs/>
          <w:color w:val="auto"/>
          <w:highlight w:val="none"/>
        </w:rPr>
        <w:t>台枪式摄像机；伙房预估</w:t>
      </w:r>
      <w:r>
        <w:rPr>
          <w:bCs/>
          <w:color w:val="auto"/>
          <w:highlight w:val="none"/>
        </w:rPr>
        <w:t>40</w:t>
      </w:r>
      <w:r>
        <w:rPr>
          <w:rFonts w:hint="eastAsia"/>
          <w:bCs/>
          <w:color w:val="auto"/>
          <w:highlight w:val="none"/>
        </w:rPr>
        <w:t>台枪式摄像机。</w:t>
      </w:r>
    </w:p>
    <w:p w14:paraId="3A814E1D">
      <w:pPr>
        <w:pStyle w:val="10"/>
        <w:spacing w:before="0" w:after="0" w:line="360" w:lineRule="auto"/>
        <w:ind w:firstLine="643" w:firstLineChars="200"/>
        <w:rPr>
          <w:color w:val="auto"/>
          <w:highlight w:val="none"/>
        </w:rPr>
      </w:pPr>
      <w:r>
        <w:rPr>
          <w:rFonts w:hint="eastAsia"/>
          <w:color w:val="auto"/>
          <w:highlight w:val="none"/>
        </w:rPr>
        <w:t>4.10紧急报警系统</w:t>
      </w:r>
    </w:p>
    <w:p w14:paraId="1DDC927B">
      <w:pPr>
        <w:spacing w:line="360" w:lineRule="auto"/>
        <w:ind w:firstLine="420" w:firstLineChars="200"/>
        <w:rPr>
          <w:bCs/>
          <w:color w:val="auto"/>
          <w:highlight w:val="none"/>
        </w:rPr>
      </w:pPr>
      <w:r>
        <w:rPr>
          <w:rFonts w:hint="eastAsia"/>
          <w:bCs/>
          <w:color w:val="auto"/>
          <w:highlight w:val="none"/>
        </w:rPr>
        <w:t>紧急报警系统是本监狱用于保障安全管理的一项重要技防措施。当出现紧急情况时，可以利用该系统报警设备能够在第一时间将报警信号传送给值班警察，便于事故的迅速处理。在系统检测到有报警信号触发时，系统可通过监狱智能安防集成平台实现与视频监控、门禁、语音广播等系统的联动。在指挥中心、联勤值班室、分控中心、监门哨、应急处置室及岗楼设置声光报警器，可实现与报警信号的及时联动。</w:t>
      </w:r>
    </w:p>
    <w:p w14:paraId="4C95B04D">
      <w:pPr>
        <w:pStyle w:val="11"/>
        <w:spacing w:before="0" w:after="0" w:line="360" w:lineRule="auto"/>
        <w:ind w:firstLine="562" w:firstLineChars="200"/>
        <w:rPr>
          <w:color w:val="auto"/>
          <w:highlight w:val="none"/>
        </w:rPr>
      </w:pPr>
      <w:r>
        <w:rPr>
          <w:rFonts w:hint="eastAsia"/>
          <w:color w:val="auto"/>
          <w:highlight w:val="none"/>
        </w:rPr>
        <w:t>系统架构</w:t>
      </w:r>
    </w:p>
    <w:p w14:paraId="7CD1BD1A">
      <w:pPr>
        <w:spacing w:line="360" w:lineRule="auto"/>
        <w:ind w:firstLine="420" w:firstLineChars="200"/>
        <w:rPr>
          <w:bCs/>
          <w:color w:val="auto"/>
          <w:highlight w:val="none"/>
        </w:rPr>
      </w:pPr>
      <w:r>
        <w:rPr>
          <w:bCs/>
          <w:color w:val="auto"/>
          <w:highlight w:val="none"/>
        </w:rPr>
        <w:t>紧急报警系统</w:t>
      </w:r>
      <w:r>
        <w:rPr>
          <w:rFonts w:hint="eastAsia"/>
          <w:bCs/>
          <w:color w:val="auto"/>
          <w:highlight w:val="none"/>
        </w:rPr>
        <w:t>架构</w:t>
      </w:r>
      <w:r>
        <w:rPr>
          <w:bCs/>
          <w:color w:val="auto"/>
          <w:highlight w:val="none"/>
        </w:rPr>
        <w:t>如下图所示：</w:t>
      </w:r>
    </w:p>
    <w:p w14:paraId="33FBE8D0">
      <w:pPr>
        <w:spacing w:line="360" w:lineRule="auto"/>
        <w:ind w:firstLine="420" w:firstLineChars="200"/>
        <w:rPr>
          <w:bCs/>
          <w:color w:val="auto"/>
          <w:highlight w:val="none"/>
        </w:rPr>
      </w:pPr>
      <w:r>
        <w:rPr>
          <w:bCs/>
          <w:color w:val="auto"/>
          <w:highlight w:val="none"/>
        </w:rPr>
        <w:drawing>
          <wp:inline distT="0" distB="0" distL="114300" distR="114300">
            <wp:extent cx="5273040" cy="3611880"/>
            <wp:effectExtent l="0" t="0" r="3810" b="7620"/>
            <wp:docPr id="2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pic:cNvPicPr>
                      <a:picLocks noChangeAspect="1"/>
                    </pic:cNvPicPr>
                  </pic:nvPicPr>
                  <pic:blipFill>
                    <a:blip r:embed="rId36"/>
                    <a:stretch>
                      <a:fillRect/>
                    </a:stretch>
                  </pic:blipFill>
                  <pic:spPr>
                    <a:xfrm>
                      <a:off x="0" y="0"/>
                      <a:ext cx="5273040" cy="3611880"/>
                    </a:xfrm>
                    <a:prstGeom prst="rect">
                      <a:avLst/>
                    </a:prstGeom>
                    <a:noFill/>
                    <a:ln>
                      <a:noFill/>
                    </a:ln>
                  </pic:spPr>
                </pic:pic>
              </a:graphicData>
            </a:graphic>
          </wp:inline>
        </w:drawing>
      </w:r>
    </w:p>
    <w:p w14:paraId="0CE3A77F">
      <w:pPr>
        <w:pStyle w:val="11"/>
        <w:spacing w:before="0" w:after="0" w:line="360" w:lineRule="auto"/>
        <w:ind w:firstLine="562" w:firstLineChars="200"/>
        <w:rPr>
          <w:color w:val="auto"/>
          <w:highlight w:val="none"/>
        </w:rPr>
      </w:pPr>
      <w:r>
        <w:rPr>
          <w:rFonts w:hint="eastAsia"/>
          <w:color w:val="auto"/>
          <w:highlight w:val="none"/>
        </w:rPr>
        <w:t>设计方案</w:t>
      </w:r>
    </w:p>
    <w:p w14:paraId="1988C8DE">
      <w:pPr>
        <w:spacing w:line="360" w:lineRule="auto"/>
        <w:ind w:firstLine="420" w:firstLineChars="200"/>
        <w:rPr>
          <w:bCs/>
          <w:color w:val="auto"/>
          <w:highlight w:val="none"/>
        </w:rPr>
      </w:pPr>
      <w:r>
        <w:rPr>
          <w:rFonts w:hint="eastAsia"/>
          <w:bCs/>
          <w:color w:val="auto"/>
          <w:highlight w:val="none"/>
        </w:rPr>
        <w:t>紧急报警系统主要由前端报警设备、中间信号转发传输及位于本监狱监管区大门内的中央控制设备三部分构成。</w:t>
      </w:r>
    </w:p>
    <w:p w14:paraId="4F450947">
      <w:pPr>
        <w:spacing w:line="360" w:lineRule="auto"/>
        <w:ind w:firstLine="420" w:firstLineChars="200"/>
        <w:rPr>
          <w:bCs/>
          <w:color w:val="auto"/>
          <w:highlight w:val="none"/>
        </w:rPr>
      </w:pPr>
      <w:r>
        <w:rPr>
          <w:rFonts w:hint="eastAsia"/>
          <w:bCs/>
          <w:color w:val="auto"/>
          <w:highlight w:val="none"/>
        </w:rPr>
        <w:t>前端报警设备负责报警信息的采集，主要有有线报警按扭和无线报警按钮，无线报警按钮由监狱值班警察随身携带，有线报警按钮固定在墙壁上。</w:t>
      </w:r>
    </w:p>
    <w:p w14:paraId="394549F6">
      <w:pPr>
        <w:spacing w:line="360" w:lineRule="auto"/>
        <w:ind w:firstLine="420" w:firstLineChars="200"/>
        <w:rPr>
          <w:bCs/>
          <w:color w:val="auto"/>
          <w:highlight w:val="none"/>
        </w:rPr>
      </w:pPr>
      <w:r>
        <w:rPr>
          <w:rFonts w:hint="eastAsia"/>
          <w:bCs/>
          <w:color w:val="auto"/>
          <w:highlight w:val="none"/>
        </w:rPr>
        <w:t>后端设备主要是报警主机以及报警管理软件，报警管理软件根据从报警主机获取的报警信息，直观地在管理电脑上显示报警点，同时提供与其他报警信息、视频信息的联动数据接口。</w:t>
      </w:r>
    </w:p>
    <w:p w14:paraId="2F52AB59">
      <w:pPr>
        <w:spacing w:line="360" w:lineRule="auto"/>
        <w:ind w:firstLine="420" w:firstLineChars="200"/>
        <w:rPr>
          <w:bCs/>
          <w:color w:val="auto"/>
          <w:highlight w:val="none"/>
        </w:rPr>
      </w:pPr>
      <w:r>
        <w:rPr>
          <w:rFonts w:hint="eastAsia"/>
          <w:bCs/>
          <w:color w:val="auto"/>
          <w:highlight w:val="none"/>
        </w:rPr>
        <w:t>前端和后端设备的中间部分为信号转发传输系统。负责接收触发报警，把报警触发信息传输到本监狱指挥中心的报警管理软件上。</w:t>
      </w:r>
    </w:p>
    <w:p w14:paraId="72248D8F">
      <w:pPr>
        <w:spacing w:line="360" w:lineRule="auto"/>
        <w:ind w:firstLine="420" w:firstLineChars="200"/>
        <w:rPr>
          <w:bCs/>
          <w:color w:val="auto"/>
          <w:highlight w:val="none"/>
        </w:rPr>
      </w:pPr>
      <w:r>
        <w:rPr>
          <w:rFonts w:hint="eastAsia"/>
          <w:bCs/>
          <w:color w:val="auto"/>
          <w:highlight w:val="none"/>
        </w:rPr>
        <w:t>本系统可实现如下功能：</w:t>
      </w:r>
    </w:p>
    <w:p w14:paraId="681A09A0">
      <w:pPr>
        <w:numPr>
          <w:ilvl w:val="0"/>
          <w:numId w:val="10"/>
        </w:numPr>
        <w:spacing w:line="360" w:lineRule="auto"/>
        <w:ind w:left="0" w:firstLine="420" w:firstLineChars="200"/>
        <w:rPr>
          <w:bCs/>
          <w:color w:val="auto"/>
          <w:highlight w:val="none"/>
        </w:rPr>
      </w:pPr>
      <w:r>
        <w:rPr>
          <w:rFonts w:hint="eastAsia"/>
          <w:bCs/>
          <w:color w:val="auto"/>
          <w:highlight w:val="none"/>
        </w:rPr>
        <w:t>联动功能，能显示和记录报警部位和有关警情，能提供与视频监控、门禁系统联动的接口。报警信号发送到指挥中心，联动视频监控系统和声光报警器。</w:t>
      </w:r>
    </w:p>
    <w:p w14:paraId="46B7605C">
      <w:pPr>
        <w:numPr>
          <w:ilvl w:val="0"/>
          <w:numId w:val="10"/>
        </w:numPr>
        <w:spacing w:line="360" w:lineRule="auto"/>
        <w:ind w:left="0" w:firstLine="420" w:firstLineChars="200"/>
        <w:rPr>
          <w:bCs/>
          <w:color w:val="auto"/>
          <w:highlight w:val="none"/>
        </w:rPr>
      </w:pPr>
      <w:r>
        <w:rPr>
          <w:rFonts w:hint="eastAsia"/>
          <w:bCs/>
          <w:color w:val="auto"/>
          <w:highlight w:val="none"/>
        </w:rPr>
        <w:t>按时间、区域、部位任意编程设防和撤防功能，具备实时接收报警及防拆、防破坏信息功能。具备警源定位、显示记录报警人信息和位置等功能。</w:t>
      </w:r>
    </w:p>
    <w:p w14:paraId="1B51465A">
      <w:pPr>
        <w:numPr>
          <w:ilvl w:val="0"/>
          <w:numId w:val="10"/>
        </w:numPr>
        <w:spacing w:line="360" w:lineRule="auto"/>
        <w:ind w:left="0" w:firstLine="420" w:firstLineChars="200"/>
        <w:rPr>
          <w:bCs/>
          <w:color w:val="auto"/>
          <w:highlight w:val="none"/>
        </w:rPr>
      </w:pPr>
      <w:r>
        <w:rPr>
          <w:rFonts w:hint="eastAsia"/>
          <w:bCs/>
          <w:color w:val="auto"/>
          <w:highlight w:val="none"/>
        </w:rPr>
        <w:t>对设备运行状态和信号传输线路进行自检功能，发生故障或破坏时自动报警。</w:t>
      </w:r>
    </w:p>
    <w:p w14:paraId="263F4A3B">
      <w:pPr>
        <w:numPr>
          <w:ilvl w:val="0"/>
          <w:numId w:val="10"/>
        </w:numPr>
        <w:spacing w:line="360" w:lineRule="auto"/>
        <w:ind w:left="0" w:firstLine="420" w:firstLineChars="200"/>
        <w:rPr>
          <w:bCs/>
          <w:color w:val="auto"/>
          <w:highlight w:val="none"/>
        </w:rPr>
      </w:pPr>
      <w:r>
        <w:rPr>
          <w:rFonts w:hint="eastAsia"/>
          <w:bCs/>
          <w:color w:val="auto"/>
          <w:highlight w:val="none"/>
        </w:rPr>
        <w:t>多点发布、多级处警功能；警情发生时，指挥中心、联勤值班室能够同时接到报警，并伴有声光提示，当下一级接警时，上一级监控能够显示受理情况；报警信息的存储时间不少于30天。</w:t>
      </w:r>
    </w:p>
    <w:p w14:paraId="3CAAE76C">
      <w:pPr>
        <w:pStyle w:val="11"/>
        <w:spacing w:before="0" w:after="0" w:line="360" w:lineRule="auto"/>
        <w:ind w:firstLine="562" w:firstLineChars="200"/>
        <w:rPr>
          <w:color w:val="auto"/>
          <w:highlight w:val="none"/>
        </w:rPr>
      </w:pPr>
      <w:r>
        <w:rPr>
          <w:rFonts w:hint="eastAsia"/>
          <w:color w:val="auto"/>
          <w:highlight w:val="none"/>
        </w:rPr>
        <w:t>部署方案</w:t>
      </w:r>
    </w:p>
    <w:p w14:paraId="023C6A22">
      <w:pPr>
        <w:spacing w:line="360" w:lineRule="auto"/>
        <w:ind w:firstLine="420" w:firstLineChars="200"/>
        <w:rPr>
          <w:bCs/>
          <w:color w:val="auto"/>
          <w:highlight w:val="none"/>
        </w:rPr>
      </w:pPr>
      <w:r>
        <w:rPr>
          <w:rFonts w:hint="eastAsia"/>
          <w:bCs/>
          <w:color w:val="auto"/>
          <w:highlight w:val="none"/>
        </w:rPr>
        <w:t>本系统设备部署如下表所示：</w:t>
      </w:r>
    </w:p>
    <w:p w14:paraId="741EE94B">
      <w:pPr>
        <w:spacing w:line="360" w:lineRule="auto"/>
        <w:ind w:firstLine="420" w:firstLineChars="200"/>
        <w:rPr>
          <w:bCs/>
          <w:color w:val="auto"/>
          <w:highlight w:val="none"/>
        </w:rPr>
      </w:pPr>
      <w:r>
        <w:rPr>
          <w:rFonts w:hint="eastAsia"/>
          <w:bCs/>
          <w:color w:val="auto"/>
          <w:highlight w:val="none"/>
        </w:rPr>
        <w:t>在监狱监管区大门（含监门哨、应急处置室、指挥中心）共设置声光报警器4个、联勤值班室共设置声光报警器5个、24个分控中心共设置声光报警器24个、岗楼共设置声光报警器2个、物流安检中心共设置声光报警器1个、罪犯伙房共设置声光报警器1个，均可实现与报警信号的及时联动。</w:t>
      </w:r>
    </w:p>
    <w:p w14:paraId="2EE5F8B9">
      <w:pPr>
        <w:spacing w:line="360" w:lineRule="auto"/>
        <w:ind w:firstLine="420" w:firstLineChars="200"/>
        <w:rPr>
          <w:bCs/>
          <w:color w:val="auto"/>
          <w:highlight w:val="none"/>
        </w:rPr>
      </w:pPr>
      <w:r>
        <w:rPr>
          <w:rFonts w:hint="eastAsia"/>
          <w:bCs/>
          <w:color w:val="auto"/>
          <w:highlight w:val="none"/>
        </w:rPr>
        <w:t>监狱走廊、严管队走廊各安装2个报警按钮（需人工复位），所有联勤值班室、值班室、分控中心设报警按钮，习艺楼车间内执勤台处、枪弹库内各设置1个报警按钮。</w:t>
      </w:r>
    </w:p>
    <w:tbl>
      <w:tblPr>
        <w:tblStyle w:val="36"/>
        <w:tblW w:w="8331" w:type="dxa"/>
        <w:tblInd w:w="0" w:type="dxa"/>
        <w:tblLayout w:type="fixed"/>
        <w:tblCellMar>
          <w:top w:w="0" w:type="dxa"/>
          <w:left w:w="0" w:type="dxa"/>
          <w:bottom w:w="0" w:type="dxa"/>
          <w:right w:w="0" w:type="dxa"/>
        </w:tblCellMar>
      </w:tblPr>
      <w:tblGrid>
        <w:gridCol w:w="677"/>
        <w:gridCol w:w="1568"/>
        <w:gridCol w:w="1294"/>
        <w:gridCol w:w="1418"/>
        <w:gridCol w:w="1230"/>
        <w:gridCol w:w="1072"/>
        <w:gridCol w:w="1072"/>
      </w:tblGrid>
      <w:tr w14:paraId="0B9292BB">
        <w:tblPrEx>
          <w:tblCellMar>
            <w:top w:w="0" w:type="dxa"/>
            <w:left w:w="0" w:type="dxa"/>
            <w:bottom w:w="0" w:type="dxa"/>
            <w:right w:w="0" w:type="dxa"/>
          </w:tblCellMar>
        </w:tblPrEx>
        <w:trPr>
          <w:trHeight w:val="623"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0494A7">
            <w:pPr>
              <w:spacing w:line="240" w:lineRule="exact"/>
              <w:jc w:val="center"/>
              <w:rPr>
                <w:bCs/>
                <w:color w:val="auto"/>
                <w:szCs w:val="21"/>
                <w:highlight w:val="none"/>
              </w:rPr>
            </w:pPr>
            <w:r>
              <w:rPr>
                <w:rFonts w:hint="eastAsia"/>
                <w:bCs/>
                <w:color w:val="auto"/>
                <w:szCs w:val="21"/>
                <w:highlight w:val="none"/>
              </w:rPr>
              <w:t>序号</w:t>
            </w:r>
          </w:p>
        </w:tc>
        <w:tc>
          <w:tcPr>
            <w:tcW w:w="1568" w:type="dxa"/>
            <w:tcBorders>
              <w:top w:val="single" w:color="auto" w:sz="4" w:space="0"/>
              <w:left w:val="nil"/>
              <w:bottom w:val="single" w:color="000000" w:sz="4" w:space="0"/>
              <w:right w:val="single" w:color="000000" w:sz="4" w:space="0"/>
            </w:tcBorders>
            <w:noWrap w:val="0"/>
            <w:tcMar>
              <w:top w:w="15" w:type="dxa"/>
              <w:left w:w="15" w:type="dxa"/>
              <w:right w:w="15" w:type="dxa"/>
            </w:tcMar>
            <w:vAlign w:val="center"/>
          </w:tcPr>
          <w:p w14:paraId="1252671C">
            <w:pPr>
              <w:spacing w:line="240" w:lineRule="exact"/>
              <w:jc w:val="center"/>
              <w:rPr>
                <w:bCs/>
                <w:color w:val="auto"/>
                <w:szCs w:val="21"/>
                <w:highlight w:val="none"/>
              </w:rPr>
            </w:pPr>
            <w:r>
              <w:rPr>
                <w:rFonts w:hint="eastAsia"/>
                <w:bCs/>
                <w:color w:val="auto"/>
                <w:szCs w:val="21"/>
                <w:highlight w:val="none"/>
              </w:rPr>
              <w:t>楼宇名称</w:t>
            </w:r>
          </w:p>
        </w:tc>
        <w:tc>
          <w:tcPr>
            <w:tcW w:w="1294"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189630">
            <w:pPr>
              <w:spacing w:line="240" w:lineRule="exact"/>
              <w:jc w:val="center"/>
              <w:rPr>
                <w:bCs/>
                <w:color w:val="auto"/>
                <w:szCs w:val="21"/>
                <w:highlight w:val="none"/>
              </w:rPr>
            </w:pPr>
            <w:r>
              <w:rPr>
                <w:rFonts w:hint="eastAsia"/>
                <w:bCs/>
                <w:color w:val="auto"/>
                <w:szCs w:val="21"/>
                <w:highlight w:val="none"/>
              </w:rPr>
              <w:t>有线紧急报警按钮</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354FE5">
            <w:pPr>
              <w:spacing w:line="240" w:lineRule="exact"/>
              <w:jc w:val="center"/>
              <w:rPr>
                <w:bCs/>
                <w:color w:val="auto"/>
                <w:szCs w:val="21"/>
                <w:highlight w:val="none"/>
              </w:rPr>
            </w:pPr>
            <w:r>
              <w:rPr>
                <w:rFonts w:hint="eastAsia"/>
                <w:bCs/>
                <w:color w:val="auto"/>
                <w:szCs w:val="21"/>
                <w:highlight w:val="none"/>
              </w:rPr>
              <w:t>无线紧急报警按钮</w:t>
            </w: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9A4DD">
            <w:pPr>
              <w:spacing w:line="240" w:lineRule="exact"/>
              <w:jc w:val="center"/>
              <w:rPr>
                <w:bCs/>
                <w:color w:val="auto"/>
                <w:szCs w:val="21"/>
                <w:highlight w:val="none"/>
              </w:rPr>
            </w:pPr>
            <w:r>
              <w:rPr>
                <w:rFonts w:hint="eastAsia"/>
                <w:bCs/>
                <w:color w:val="auto"/>
                <w:szCs w:val="21"/>
                <w:highlight w:val="none"/>
              </w:rPr>
              <w:t>无线转发器</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DFECA4">
            <w:pPr>
              <w:spacing w:line="240" w:lineRule="exact"/>
              <w:jc w:val="center"/>
              <w:rPr>
                <w:bCs/>
                <w:color w:val="auto"/>
                <w:szCs w:val="21"/>
                <w:highlight w:val="none"/>
              </w:rPr>
            </w:pPr>
            <w:r>
              <w:rPr>
                <w:rFonts w:hint="eastAsia"/>
                <w:bCs/>
                <w:color w:val="auto"/>
                <w:szCs w:val="21"/>
                <w:highlight w:val="none"/>
              </w:rPr>
              <w:t>紧急报警分控主机</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F542D8">
            <w:pPr>
              <w:spacing w:line="240" w:lineRule="exact"/>
              <w:jc w:val="center"/>
              <w:rPr>
                <w:bCs/>
                <w:color w:val="auto"/>
                <w:szCs w:val="21"/>
                <w:highlight w:val="none"/>
              </w:rPr>
            </w:pPr>
            <w:r>
              <w:rPr>
                <w:rFonts w:hint="eastAsia"/>
                <w:bCs/>
                <w:color w:val="auto"/>
                <w:szCs w:val="21"/>
                <w:highlight w:val="none"/>
              </w:rPr>
              <w:t>声光报警器</w:t>
            </w:r>
          </w:p>
        </w:tc>
      </w:tr>
      <w:tr w14:paraId="1A93EBBA">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9BEDC8">
            <w:pPr>
              <w:spacing w:line="240" w:lineRule="exact"/>
              <w:jc w:val="center"/>
              <w:rPr>
                <w:bCs/>
                <w:color w:val="auto"/>
                <w:szCs w:val="21"/>
                <w:highlight w:val="none"/>
              </w:rPr>
            </w:pPr>
            <w:r>
              <w:rPr>
                <w:rFonts w:hint="eastAsia"/>
                <w:bCs/>
                <w:color w:val="auto"/>
                <w:szCs w:val="21"/>
                <w:highlight w:val="none"/>
              </w:rPr>
              <w:t>1</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A301BE">
            <w:pPr>
              <w:spacing w:line="240" w:lineRule="exact"/>
              <w:jc w:val="center"/>
              <w:rPr>
                <w:bCs/>
                <w:color w:val="auto"/>
                <w:szCs w:val="21"/>
                <w:highlight w:val="none"/>
              </w:rPr>
            </w:pPr>
            <w:r>
              <w:rPr>
                <w:rFonts w:hint="eastAsia"/>
                <w:bCs/>
                <w:color w:val="auto"/>
                <w:szCs w:val="21"/>
                <w:highlight w:val="none"/>
              </w:rPr>
              <w:t>1#监舍楼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268B52">
            <w:pPr>
              <w:spacing w:line="240" w:lineRule="exact"/>
              <w:jc w:val="center"/>
              <w:rPr>
                <w:bCs/>
                <w:color w:val="auto"/>
                <w:szCs w:val="21"/>
                <w:highlight w:val="none"/>
              </w:rPr>
            </w:pPr>
            <w:r>
              <w:rPr>
                <w:bCs/>
                <w:color w:val="auto"/>
                <w:szCs w:val="21"/>
                <w:highlight w:val="none"/>
              </w:rPr>
              <w:t>35</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1EF368">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601313">
            <w:pPr>
              <w:spacing w:line="240" w:lineRule="exact"/>
              <w:jc w:val="center"/>
              <w:rPr>
                <w:bCs/>
                <w:color w:val="auto"/>
                <w:szCs w:val="21"/>
                <w:highlight w:val="none"/>
              </w:rPr>
            </w:pPr>
            <w:r>
              <w:rPr>
                <w:rFonts w:hint="eastAsia"/>
                <w:bCs/>
                <w:color w:val="auto"/>
                <w:szCs w:val="21"/>
                <w:highlight w:val="none"/>
              </w:rPr>
              <w:t>10</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D1E7CC">
            <w:pPr>
              <w:spacing w:line="240" w:lineRule="exact"/>
              <w:jc w:val="center"/>
              <w:rPr>
                <w:bCs/>
                <w:color w:val="auto"/>
                <w:szCs w:val="21"/>
                <w:highlight w:val="none"/>
              </w:rPr>
            </w:pPr>
            <w:r>
              <w:rPr>
                <w:rFonts w:hint="eastAsia"/>
                <w:bCs/>
                <w:color w:val="auto"/>
                <w:szCs w:val="21"/>
                <w:highlight w:val="none"/>
              </w:rPr>
              <w:t>2</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03E451">
            <w:pPr>
              <w:spacing w:line="240" w:lineRule="exact"/>
              <w:jc w:val="center"/>
              <w:rPr>
                <w:bCs/>
                <w:color w:val="auto"/>
                <w:szCs w:val="21"/>
                <w:highlight w:val="none"/>
              </w:rPr>
            </w:pPr>
            <w:r>
              <w:rPr>
                <w:rFonts w:hint="eastAsia"/>
                <w:bCs/>
                <w:color w:val="auto"/>
                <w:szCs w:val="21"/>
                <w:highlight w:val="none"/>
              </w:rPr>
              <w:t>15</w:t>
            </w:r>
          </w:p>
        </w:tc>
      </w:tr>
      <w:tr w14:paraId="5F77903E">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2767CF">
            <w:pPr>
              <w:spacing w:line="240" w:lineRule="exact"/>
              <w:jc w:val="center"/>
              <w:rPr>
                <w:bCs/>
                <w:color w:val="auto"/>
                <w:szCs w:val="21"/>
                <w:highlight w:val="none"/>
              </w:rPr>
            </w:pPr>
            <w:r>
              <w:rPr>
                <w:rFonts w:hint="eastAsia"/>
                <w:bCs/>
                <w:color w:val="auto"/>
                <w:szCs w:val="21"/>
                <w:highlight w:val="none"/>
              </w:rPr>
              <w:t>2</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A666C">
            <w:pPr>
              <w:spacing w:line="240" w:lineRule="exact"/>
              <w:jc w:val="center"/>
              <w:rPr>
                <w:bCs/>
                <w:color w:val="auto"/>
                <w:szCs w:val="21"/>
                <w:highlight w:val="none"/>
              </w:rPr>
            </w:pPr>
            <w:r>
              <w:rPr>
                <w:rFonts w:hint="eastAsia"/>
                <w:bCs/>
                <w:color w:val="auto"/>
                <w:szCs w:val="21"/>
                <w:highlight w:val="none"/>
              </w:rPr>
              <w:t>2#习艺楼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09FBA4">
            <w:pPr>
              <w:spacing w:line="240" w:lineRule="exact"/>
              <w:jc w:val="center"/>
              <w:rPr>
                <w:bCs/>
                <w:color w:val="auto"/>
                <w:szCs w:val="21"/>
                <w:highlight w:val="none"/>
              </w:rPr>
            </w:pPr>
            <w:r>
              <w:rPr>
                <w:rFonts w:hint="eastAsia"/>
                <w:bCs/>
                <w:color w:val="auto"/>
                <w:szCs w:val="21"/>
                <w:highlight w:val="none"/>
              </w:rPr>
              <w:t>8</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596219">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1C2EA">
            <w:pPr>
              <w:spacing w:line="240" w:lineRule="exact"/>
              <w:jc w:val="center"/>
              <w:rPr>
                <w:bCs/>
                <w:color w:val="auto"/>
                <w:szCs w:val="21"/>
                <w:highlight w:val="none"/>
              </w:rPr>
            </w:pPr>
            <w:r>
              <w:rPr>
                <w:rFonts w:hint="eastAsia"/>
                <w:bCs/>
                <w:color w:val="auto"/>
                <w:szCs w:val="21"/>
                <w:highlight w:val="none"/>
              </w:rPr>
              <w:t>4</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73A94D">
            <w:pPr>
              <w:spacing w:line="240" w:lineRule="exact"/>
              <w:jc w:val="center"/>
              <w:rPr>
                <w:bCs/>
                <w:color w:val="auto"/>
                <w:szCs w:val="21"/>
                <w:highlight w:val="none"/>
              </w:rPr>
            </w:pPr>
            <w:r>
              <w:rPr>
                <w:rFonts w:hint="eastAsia"/>
                <w:bCs/>
                <w:color w:val="auto"/>
                <w:szCs w:val="21"/>
                <w:highlight w:val="none"/>
              </w:rPr>
              <w:t>2</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0CE9B5">
            <w:pPr>
              <w:spacing w:line="240" w:lineRule="exact"/>
              <w:jc w:val="center"/>
              <w:rPr>
                <w:bCs/>
                <w:color w:val="auto"/>
                <w:szCs w:val="21"/>
                <w:highlight w:val="none"/>
              </w:rPr>
            </w:pPr>
            <w:r>
              <w:rPr>
                <w:rFonts w:hint="eastAsia"/>
                <w:bCs/>
                <w:color w:val="auto"/>
                <w:szCs w:val="21"/>
                <w:highlight w:val="none"/>
              </w:rPr>
              <w:t>4</w:t>
            </w:r>
          </w:p>
        </w:tc>
      </w:tr>
      <w:tr w14:paraId="27CDD187">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343AC3">
            <w:pPr>
              <w:spacing w:line="240" w:lineRule="exact"/>
              <w:jc w:val="center"/>
              <w:rPr>
                <w:bCs/>
                <w:color w:val="auto"/>
                <w:szCs w:val="21"/>
                <w:highlight w:val="none"/>
              </w:rPr>
            </w:pPr>
            <w:r>
              <w:rPr>
                <w:rFonts w:hint="eastAsia"/>
                <w:bCs/>
                <w:color w:val="auto"/>
                <w:szCs w:val="21"/>
                <w:highlight w:val="none"/>
              </w:rPr>
              <w:t>3</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A951D7">
            <w:pPr>
              <w:spacing w:line="240" w:lineRule="exact"/>
              <w:jc w:val="center"/>
              <w:rPr>
                <w:bCs/>
                <w:color w:val="auto"/>
                <w:szCs w:val="21"/>
                <w:highlight w:val="none"/>
              </w:rPr>
            </w:pPr>
            <w:r>
              <w:rPr>
                <w:rFonts w:hint="eastAsia"/>
                <w:bCs/>
                <w:color w:val="auto"/>
                <w:szCs w:val="21"/>
                <w:highlight w:val="none"/>
              </w:rPr>
              <w:t>3#习艺楼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19A063">
            <w:pPr>
              <w:spacing w:line="240" w:lineRule="exact"/>
              <w:jc w:val="center"/>
              <w:rPr>
                <w:bCs/>
                <w:color w:val="auto"/>
                <w:szCs w:val="21"/>
                <w:highlight w:val="none"/>
              </w:rPr>
            </w:pPr>
            <w:r>
              <w:rPr>
                <w:rFonts w:hint="eastAsia"/>
                <w:bCs/>
                <w:color w:val="auto"/>
                <w:szCs w:val="21"/>
                <w:highlight w:val="none"/>
              </w:rPr>
              <w:t>8</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A45B0F">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78DF8B">
            <w:pPr>
              <w:spacing w:line="240" w:lineRule="exact"/>
              <w:jc w:val="center"/>
              <w:rPr>
                <w:bCs/>
                <w:color w:val="auto"/>
                <w:szCs w:val="21"/>
                <w:highlight w:val="none"/>
              </w:rPr>
            </w:pPr>
            <w:r>
              <w:rPr>
                <w:rFonts w:hint="eastAsia"/>
                <w:bCs/>
                <w:color w:val="auto"/>
                <w:szCs w:val="21"/>
                <w:highlight w:val="none"/>
              </w:rPr>
              <w:t>4</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5A21CE">
            <w:pPr>
              <w:spacing w:line="240" w:lineRule="exact"/>
              <w:jc w:val="center"/>
              <w:rPr>
                <w:bCs/>
                <w:color w:val="auto"/>
                <w:szCs w:val="21"/>
                <w:highlight w:val="none"/>
              </w:rPr>
            </w:pPr>
            <w:r>
              <w:rPr>
                <w:rFonts w:hint="eastAsia"/>
                <w:bCs/>
                <w:color w:val="auto"/>
                <w:szCs w:val="21"/>
                <w:highlight w:val="none"/>
              </w:rPr>
              <w:t>2</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EA3724">
            <w:pPr>
              <w:spacing w:line="240" w:lineRule="exact"/>
              <w:jc w:val="center"/>
              <w:rPr>
                <w:bCs/>
                <w:color w:val="auto"/>
                <w:szCs w:val="21"/>
                <w:highlight w:val="none"/>
              </w:rPr>
            </w:pPr>
            <w:r>
              <w:rPr>
                <w:rFonts w:hint="eastAsia"/>
                <w:bCs/>
                <w:color w:val="auto"/>
                <w:szCs w:val="21"/>
                <w:highlight w:val="none"/>
              </w:rPr>
              <w:t>4</w:t>
            </w:r>
          </w:p>
        </w:tc>
      </w:tr>
      <w:tr w14:paraId="2F525BF7">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3BA31">
            <w:pPr>
              <w:spacing w:line="240" w:lineRule="exact"/>
              <w:jc w:val="center"/>
              <w:rPr>
                <w:bCs/>
                <w:color w:val="auto"/>
                <w:szCs w:val="21"/>
                <w:highlight w:val="none"/>
              </w:rPr>
            </w:pPr>
            <w:r>
              <w:rPr>
                <w:rFonts w:hint="eastAsia"/>
                <w:bCs/>
                <w:color w:val="auto"/>
                <w:szCs w:val="21"/>
                <w:highlight w:val="none"/>
              </w:rPr>
              <w:t>4</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CBF14E">
            <w:pPr>
              <w:spacing w:line="240" w:lineRule="exact"/>
              <w:jc w:val="center"/>
              <w:rPr>
                <w:bCs/>
                <w:color w:val="auto"/>
                <w:szCs w:val="21"/>
                <w:highlight w:val="none"/>
              </w:rPr>
            </w:pPr>
            <w:r>
              <w:rPr>
                <w:rFonts w:hint="eastAsia"/>
                <w:bCs/>
                <w:color w:val="auto"/>
                <w:szCs w:val="21"/>
                <w:highlight w:val="none"/>
              </w:rPr>
              <w:t>4#会见教学楼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DD3557">
            <w:pPr>
              <w:spacing w:line="240" w:lineRule="exact"/>
              <w:jc w:val="center"/>
              <w:rPr>
                <w:bCs/>
                <w:color w:val="auto"/>
                <w:szCs w:val="21"/>
                <w:highlight w:val="none"/>
              </w:rPr>
            </w:pPr>
            <w:r>
              <w:rPr>
                <w:rFonts w:hint="eastAsia"/>
                <w:bCs/>
                <w:color w:val="auto"/>
                <w:szCs w:val="21"/>
                <w:highlight w:val="none"/>
              </w:rPr>
              <w:t>13</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8FCE1F">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4A2537">
            <w:pPr>
              <w:spacing w:line="240" w:lineRule="exact"/>
              <w:jc w:val="center"/>
              <w:rPr>
                <w:bCs/>
                <w:color w:val="auto"/>
                <w:szCs w:val="21"/>
                <w:highlight w:val="none"/>
              </w:rPr>
            </w:pPr>
            <w:r>
              <w:rPr>
                <w:rFonts w:hint="eastAsia"/>
                <w:bCs/>
                <w:color w:val="auto"/>
                <w:szCs w:val="21"/>
                <w:highlight w:val="none"/>
              </w:rPr>
              <w:t>4</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F80A14">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059ECA">
            <w:pPr>
              <w:spacing w:line="240" w:lineRule="exact"/>
              <w:jc w:val="center"/>
              <w:rPr>
                <w:bCs/>
                <w:color w:val="auto"/>
                <w:szCs w:val="21"/>
                <w:highlight w:val="none"/>
              </w:rPr>
            </w:pPr>
            <w:r>
              <w:rPr>
                <w:rFonts w:hint="eastAsia"/>
                <w:bCs/>
                <w:color w:val="auto"/>
                <w:szCs w:val="21"/>
                <w:highlight w:val="none"/>
              </w:rPr>
              <w:t>2</w:t>
            </w:r>
          </w:p>
        </w:tc>
      </w:tr>
      <w:tr w14:paraId="0BAE2E06">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ED5B8">
            <w:pPr>
              <w:spacing w:line="240" w:lineRule="exact"/>
              <w:jc w:val="center"/>
              <w:rPr>
                <w:bCs/>
                <w:color w:val="auto"/>
                <w:szCs w:val="21"/>
                <w:highlight w:val="none"/>
              </w:rPr>
            </w:pPr>
            <w:r>
              <w:rPr>
                <w:rFonts w:hint="eastAsia"/>
                <w:bCs/>
                <w:color w:val="auto"/>
                <w:szCs w:val="21"/>
                <w:highlight w:val="none"/>
              </w:rPr>
              <w:t>5</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1E1A45">
            <w:pPr>
              <w:spacing w:line="240" w:lineRule="exact"/>
              <w:jc w:val="center"/>
              <w:rPr>
                <w:bCs/>
                <w:color w:val="auto"/>
                <w:szCs w:val="21"/>
                <w:highlight w:val="none"/>
              </w:rPr>
            </w:pPr>
            <w:r>
              <w:rPr>
                <w:rFonts w:hint="eastAsia"/>
                <w:bCs/>
                <w:color w:val="auto"/>
                <w:szCs w:val="21"/>
                <w:highlight w:val="none"/>
              </w:rPr>
              <w:t>5#监狱大门</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08E46F">
            <w:pPr>
              <w:spacing w:line="240" w:lineRule="exact"/>
              <w:jc w:val="center"/>
              <w:rPr>
                <w:bCs/>
                <w:color w:val="auto"/>
                <w:szCs w:val="21"/>
                <w:highlight w:val="none"/>
              </w:rPr>
            </w:pPr>
            <w:r>
              <w:rPr>
                <w:rFonts w:hint="eastAsia"/>
                <w:bCs/>
                <w:color w:val="auto"/>
                <w:szCs w:val="21"/>
                <w:highlight w:val="none"/>
              </w:rPr>
              <w:t>6</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16103B">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66525D">
            <w:pPr>
              <w:spacing w:line="240" w:lineRule="exact"/>
              <w:jc w:val="center"/>
              <w:rPr>
                <w:bCs/>
                <w:color w:val="auto"/>
                <w:szCs w:val="21"/>
                <w:highlight w:val="none"/>
              </w:rPr>
            </w:pP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D5281F">
            <w:pPr>
              <w:spacing w:line="240" w:lineRule="exact"/>
              <w:jc w:val="center"/>
              <w:rPr>
                <w:bCs/>
                <w:color w:val="auto"/>
                <w:szCs w:val="21"/>
                <w:highlight w:val="none"/>
              </w:rPr>
            </w:pP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4EFA0E">
            <w:pPr>
              <w:spacing w:line="240" w:lineRule="exact"/>
              <w:jc w:val="center"/>
              <w:rPr>
                <w:bCs/>
                <w:color w:val="auto"/>
                <w:szCs w:val="21"/>
                <w:highlight w:val="none"/>
              </w:rPr>
            </w:pPr>
            <w:r>
              <w:rPr>
                <w:rFonts w:hint="eastAsia"/>
                <w:bCs/>
                <w:color w:val="auto"/>
                <w:szCs w:val="21"/>
                <w:highlight w:val="none"/>
              </w:rPr>
              <w:t>4</w:t>
            </w:r>
          </w:p>
        </w:tc>
      </w:tr>
      <w:tr w14:paraId="5368E791">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05DDC4">
            <w:pPr>
              <w:spacing w:line="240" w:lineRule="exact"/>
              <w:jc w:val="center"/>
              <w:rPr>
                <w:bCs/>
                <w:color w:val="auto"/>
                <w:szCs w:val="21"/>
                <w:highlight w:val="none"/>
              </w:rPr>
            </w:pPr>
            <w:r>
              <w:rPr>
                <w:rFonts w:hint="eastAsia"/>
                <w:bCs/>
                <w:color w:val="auto"/>
                <w:szCs w:val="21"/>
                <w:highlight w:val="none"/>
              </w:rPr>
              <w:t>6</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74663B">
            <w:pPr>
              <w:spacing w:line="240" w:lineRule="exact"/>
              <w:jc w:val="center"/>
              <w:rPr>
                <w:bCs/>
                <w:color w:val="auto"/>
                <w:szCs w:val="21"/>
                <w:highlight w:val="none"/>
              </w:rPr>
            </w:pPr>
            <w:r>
              <w:rPr>
                <w:rFonts w:hint="eastAsia"/>
                <w:bCs/>
                <w:color w:val="auto"/>
                <w:szCs w:val="21"/>
                <w:highlight w:val="none"/>
              </w:rPr>
              <w:t>6#备勤综合楼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71EF8A">
            <w:pPr>
              <w:spacing w:line="240" w:lineRule="exact"/>
              <w:jc w:val="center"/>
              <w:rPr>
                <w:bCs/>
                <w:color w:val="auto"/>
                <w:szCs w:val="21"/>
                <w:highlight w:val="none"/>
              </w:rPr>
            </w:pP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403010">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7DEE70">
            <w:pPr>
              <w:spacing w:line="240" w:lineRule="exact"/>
              <w:jc w:val="center"/>
              <w:rPr>
                <w:bCs/>
                <w:color w:val="auto"/>
                <w:szCs w:val="21"/>
                <w:highlight w:val="none"/>
              </w:rPr>
            </w:pP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B35D67">
            <w:pPr>
              <w:spacing w:line="240" w:lineRule="exact"/>
              <w:jc w:val="center"/>
              <w:rPr>
                <w:bCs/>
                <w:color w:val="auto"/>
                <w:szCs w:val="21"/>
                <w:highlight w:val="none"/>
              </w:rPr>
            </w:pP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A3D25F">
            <w:pPr>
              <w:spacing w:line="240" w:lineRule="exact"/>
              <w:jc w:val="center"/>
              <w:rPr>
                <w:bCs/>
                <w:color w:val="auto"/>
                <w:szCs w:val="21"/>
                <w:highlight w:val="none"/>
              </w:rPr>
            </w:pPr>
          </w:p>
        </w:tc>
      </w:tr>
      <w:tr w14:paraId="22CCB0BC">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CFF908">
            <w:pPr>
              <w:spacing w:line="240" w:lineRule="exact"/>
              <w:jc w:val="center"/>
              <w:rPr>
                <w:bCs/>
                <w:color w:val="auto"/>
                <w:szCs w:val="21"/>
                <w:highlight w:val="none"/>
              </w:rPr>
            </w:pPr>
            <w:r>
              <w:rPr>
                <w:rFonts w:hint="eastAsia"/>
                <w:bCs/>
                <w:color w:val="auto"/>
                <w:szCs w:val="21"/>
                <w:highlight w:val="none"/>
              </w:rPr>
              <w:t>7</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95E50F">
            <w:pPr>
              <w:spacing w:line="240" w:lineRule="exact"/>
              <w:jc w:val="center"/>
              <w:rPr>
                <w:bCs/>
                <w:color w:val="auto"/>
                <w:szCs w:val="21"/>
                <w:highlight w:val="none"/>
              </w:rPr>
            </w:pPr>
            <w:r>
              <w:rPr>
                <w:rFonts w:hint="eastAsia"/>
                <w:bCs/>
                <w:color w:val="auto"/>
                <w:szCs w:val="21"/>
                <w:highlight w:val="none"/>
              </w:rPr>
              <w:t>7#后勤服务楼</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CA96F">
            <w:pPr>
              <w:spacing w:line="240" w:lineRule="exact"/>
              <w:jc w:val="center"/>
              <w:rPr>
                <w:bCs/>
                <w:color w:val="auto"/>
                <w:szCs w:val="21"/>
                <w:highlight w:val="none"/>
              </w:rPr>
            </w:pPr>
            <w:r>
              <w:rPr>
                <w:rFonts w:hint="eastAsia"/>
                <w:bCs/>
                <w:color w:val="auto"/>
                <w:szCs w:val="21"/>
                <w:highlight w:val="none"/>
              </w:rPr>
              <w:t>1</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6CFFF4">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C5B34F">
            <w:pPr>
              <w:spacing w:line="240" w:lineRule="exact"/>
              <w:jc w:val="center"/>
              <w:rPr>
                <w:bCs/>
                <w:color w:val="auto"/>
                <w:szCs w:val="21"/>
                <w:highlight w:val="none"/>
              </w:rPr>
            </w:pPr>
            <w:r>
              <w:rPr>
                <w:rFonts w:hint="eastAsia"/>
                <w:bCs/>
                <w:color w:val="auto"/>
                <w:szCs w:val="21"/>
                <w:highlight w:val="none"/>
              </w:rPr>
              <w:t>2</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F76643">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9C9175">
            <w:pPr>
              <w:spacing w:line="240" w:lineRule="exact"/>
              <w:jc w:val="center"/>
              <w:rPr>
                <w:bCs/>
                <w:color w:val="auto"/>
                <w:szCs w:val="21"/>
                <w:highlight w:val="none"/>
              </w:rPr>
            </w:pPr>
          </w:p>
        </w:tc>
      </w:tr>
      <w:tr w14:paraId="25B02501">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C3B8B4">
            <w:pPr>
              <w:spacing w:line="240" w:lineRule="exact"/>
              <w:jc w:val="center"/>
              <w:rPr>
                <w:bCs/>
                <w:color w:val="auto"/>
                <w:szCs w:val="21"/>
                <w:highlight w:val="none"/>
              </w:rPr>
            </w:pPr>
            <w:r>
              <w:rPr>
                <w:bCs/>
                <w:color w:val="auto"/>
                <w:szCs w:val="21"/>
                <w:highlight w:val="none"/>
              </w:rPr>
              <w:t>8</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2D3E27">
            <w:pPr>
              <w:spacing w:line="240" w:lineRule="exact"/>
              <w:jc w:val="center"/>
              <w:rPr>
                <w:bCs/>
                <w:color w:val="auto"/>
                <w:szCs w:val="21"/>
                <w:highlight w:val="none"/>
              </w:rPr>
            </w:pPr>
            <w:r>
              <w:rPr>
                <w:rFonts w:hint="eastAsia"/>
                <w:bCs/>
                <w:color w:val="auto"/>
                <w:szCs w:val="21"/>
                <w:highlight w:val="none"/>
              </w:rPr>
              <w:t>岗楼1</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3EB9CC">
            <w:pPr>
              <w:spacing w:line="240" w:lineRule="exact"/>
              <w:jc w:val="center"/>
              <w:rPr>
                <w:bCs/>
                <w:color w:val="auto"/>
                <w:szCs w:val="21"/>
                <w:highlight w:val="none"/>
              </w:rPr>
            </w:pPr>
            <w:r>
              <w:rPr>
                <w:rFonts w:hint="eastAsia"/>
                <w:bCs/>
                <w:color w:val="auto"/>
                <w:szCs w:val="21"/>
                <w:highlight w:val="none"/>
              </w:rPr>
              <w:t>1</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001141">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43C007">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1904EE">
            <w:pPr>
              <w:spacing w:line="240" w:lineRule="exact"/>
              <w:jc w:val="center"/>
              <w:rPr>
                <w:bCs/>
                <w:color w:val="auto"/>
                <w:szCs w:val="21"/>
                <w:highlight w:val="none"/>
              </w:rPr>
            </w:pPr>
            <w:r>
              <w:rPr>
                <w:bCs/>
                <w:color w:val="auto"/>
                <w:szCs w:val="21"/>
                <w:highlight w:val="none"/>
              </w:rPr>
              <w:t>0</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1B559E">
            <w:pPr>
              <w:spacing w:line="240" w:lineRule="exact"/>
              <w:jc w:val="center"/>
              <w:rPr>
                <w:bCs/>
                <w:color w:val="auto"/>
                <w:szCs w:val="21"/>
                <w:highlight w:val="none"/>
              </w:rPr>
            </w:pPr>
            <w:r>
              <w:rPr>
                <w:rFonts w:hint="eastAsia"/>
                <w:bCs/>
                <w:color w:val="auto"/>
                <w:szCs w:val="21"/>
                <w:highlight w:val="none"/>
              </w:rPr>
              <w:t>1</w:t>
            </w:r>
          </w:p>
        </w:tc>
      </w:tr>
      <w:tr w14:paraId="3A46C00A">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0C5469">
            <w:pPr>
              <w:spacing w:line="240" w:lineRule="exact"/>
              <w:jc w:val="center"/>
              <w:rPr>
                <w:bCs/>
                <w:color w:val="auto"/>
                <w:szCs w:val="21"/>
                <w:highlight w:val="none"/>
              </w:rPr>
            </w:pPr>
            <w:r>
              <w:rPr>
                <w:bCs/>
                <w:color w:val="auto"/>
                <w:szCs w:val="21"/>
                <w:highlight w:val="none"/>
              </w:rPr>
              <w:t>9</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5CC515">
            <w:pPr>
              <w:spacing w:line="240" w:lineRule="exact"/>
              <w:jc w:val="center"/>
              <w:rPr>
                <w:bCs/>
                <w:color w:val="auto"/>
                <w:szCs w:val="21"/>
                <w:highlight w:val="none"/>
              </w:rPr>
            </w:pPr>
            <w:r>
              <w:rPr>
                <w:rFonts w:hint="eastAsia"/>
                <w:bCs/>
                <w:color w:val="auto"/>
                <w:szCs w:val="21"/>
                <w:highlight w:val="none"/>
              </w:rPr>
              <w:t>岗楼</w:t>
            </w:r>
            <w:r>
              <w:rPr>
                <w:bCs/>
                <w:color w:val="auto"/>
                <w:szCs w:val="21"/>
                <w:highlight w:val="none"/>
              </w:rPr>
              <w:t>2</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30AB00">
            <w:pPr>
              <w:spacing w:line="240" w:lineRule="exact"/>
              <w:jc w:val="center"/>
              <w:rPr>
                <w:bCs/>
                <w:color w:val="auto"/>
                <w:szCs w:val="21"/>
                <w:highlight w:val="none"/>
              </w:rPr>
            </w:pPr>
            <w:r>
              <w:rPr>
                <w:rFonts w:hint="eastAsia"/>
                <w:bCs/>
                <w:color w:val="auto"/>
                <w:szCs w:val="21"/>
                <w:highlight w:val="none"/>
              </w:rPr>
              <w:t>1</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8BF29A">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53D168">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3A0579">
            <w:pPr>
              <w:spacing w:line="240" w:lineRule="exact"/>
              <w:jc w:val="center"/>
              <w:rPr>
                <w:bCs/>
                <w:color w:val="auto"/>
                <w:szCs w:val="21"/>
                <w:highlight w:val="none"/>
              </w:rPr>
            </w:pPr>
            <w:r>
              <w:rPr>
                <w:bCs/>
                <w:color w:val="auto"/>
                <w:szCs w:val="21"/>
                <w:highlight w:val="none"/>
              </w:rPr>
              <w:t>0</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DE4789">
            <w:pPr>
              <w:spacing w:line="240" w:lineRule="exact"/>
              <w:jc w:val="center"/>
              <w:rPr>
                <w:bCs/>
                <w:color w:val="auto"/>
                <w:szCs w:val="21"/>
                <w:highlight w:val="none"/>
              </w:rPr>
            </w:pPr>
            <w:r>
              <w:rPr>
                <w:rFonts w:hint="eastAsia"/>
                <w:bCs/>
                <w:color w:val="auto"/>
                <w:szCs w:val="21"/>
                <w:highlight w:val="none"/>
              </w:rPr>
              <w:t>1</w:t>
            </w:r>
          </w:p>
        </w:tc>
      </w:tr>
      <w:tr w14:paraId="3237DE25">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47BA8D">
            <w:pPr>
              <w:spacing w:line="240" w:lineRule="exact"/>
              <w:jc w:val="center"/>
              <w:rPr>
                <w:bCs/>
                <w:color w:val="auto"/>
                <w:szCs w:val="21"/>
                <w:highlight w:val="none"/>
              </w:rPr>
            </w:pPr>
            <w:r>
              <w:rPr>
                <w:bCs/>
                <w:color w:val="auto"/>
                <w:szCs w:val="21"/>
                <w:highlight w:val="none"/>
              </w:rPr>
              <w:t>10</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744600">
            <w:pPr>
              <w:spacing w:line="240" w:lineRule="exact"/>
              <w:jc w:val="center"/>
              <w:rPr>
                <w:bCs/>
                <w:color w:val="auto"/>
                <w:szCs w:val="21"/>
                <w:highlight w:val="none"/>
              </w:rPr>
            </w:pPr>
            <w:r>
              <w:rPr>
                <w:rFonts w:hint="eastAsia"/>
                <w:bCs/>
                <w:color w:val="auto"/>
                <w:szCs w:val="21"/>
                <w:highlight w:val="none"/>
              </w:rPr>
              <w:t>物流安检中心</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BB3B21">
            <w:pPr>
              <w:spacing w:line="240" w:lineRule="exact"/>
              <w:jc w:val="center"/>
              <w:rPr>
                <w:bCs/>
                <w:color w:val="auto"/>
                <w:szCs w:val="21"/>
                <w:highlight w:val="none"/>
              </w:rPr>
            </w:pPr>
            <w:r>
              <w:rPr>
                <w:rFonts w:hint="eastAsia"/>
                <w:bCs/>
                <w:color w:val="auto"/>
                <w:szCs w:val="21"/>
                <w:highlight w:val="none"/>
              </w:rPr>
              <w:t>10</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733DBD">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3F1872">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E38FB4">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3FA92E">
            <w:pPr>
              <w:spacing w:line="240" w:lineRule="exact"/>
              <w:jc w:val="center"/>
              <w:rPr>
                <w:bCs/>
                <w:color w:val="auto"/>
                <w:szCs w:val="21"/>
                <w:highlight w:val="none"/>
              </w:rPr>
            </w:pPr>
            <w:r>
              <w:rPr>
                <w:rFonts w:hint="eastAsia"/>
                <w:bCs/>
                <w:color w:val="auto"/>
                <w:szCs w:val="21"/>
                <w:highlight w:val="none"/>
              </w:rPr>
              <w:t>1</w:t>
            </w:r>
          </w:p>
        </w:tc>
      </w:tr>
      <w:tr w14:paraId="729A22B8">
        <w:tblPrEx>
          <w:tblCellMar>
            <w:top w:w="0" w:type="dxa"/>
            <w:left w:w="0" w:type="dxa"/>
            <w:bottom w:w="0" w:type="dxa"/>
            <w:right w:w="0" w:type="dxa"/>
          </w:tblCellMar>
        </w:tblPrEx>
        <w:trPr>
          <w:trHeight w:val="270" w:hRule="atLeast"/>
        </w:trPr>
        <w:tc>
          <w:tcPr>
            <w:tcW w:w="6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9F2356">
            <w:pPr>
              <w:spacing w:line="240" w:lineRule="exact"/>
              <w:jc w:val="center"/>
              <w:rPr>
                <w:bCs/>
                <w:color w:val="auto"/>
                <w:szCs w:val="21"/>
                <w:highlight w:val="none"/>
              </w:rPr>
            </w:pPr>
            <w:r>
              <w:rPr>
                <w:bCs/>
                <w:color w:val="auto"/>
                <w:szCs w:val="21"/>
                <w:highlight w:val="none"/>
              </w:rPr>
              <w:t>11</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E6A1B">
            <w:pPr>
              <w:spacing w:line="240" w:lineRule="exact"/>
              <w:jc w:val="center"/>
              <w:rPr>
                <w:bCs/>
                <w:color w:val="auto"/>
                <w:szCs w:val="21"/>
                <w:highlight w:val="none"/>
              </w:rPr>
            </w:pPr>
            <w:r>
              <w:rPr>
                <w:rFonts w:hint="eastAsia"/>
                <w:bCs/>
                <w:color w:val="auto"/>
                <w:szCs w:val="21"/>
                <w:highlight w:val="none"/>
              </w:rPr>
              <w:t>罪犯伙房</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956224">
            <w:pPr>
              <w:spacing w:line="240" w:lineRule="exact"/>
              <w:jc w:val="center"/>
              <w:rPr>
                <w:bCs/>
                <w:color w:val="auto"/>
                <w:szCs w:val="21"/>
                <w:highlight w:val="none"/>
              </w:rPr>
            </w:pPr>
            <w:r>
              <w:rPr>
                <w:rFonts w:hint="eastAsia"/>
                <w:bCs/>
                <w:color w:val="auto"/>
                <w:szCs w:val="21"/>
                <w:highlight w:val="none"/>
              </w:rPr>
              <w:t>10</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0620C3">
            <w:pPr>
              <w:spacing w:line="240" w:lineRule="exact"/>
              <w:jc w:val="center"/>
              <w:rPr>
                <w:bCs/>
                <w:color w:val="auto"/>
                <w:szCs w:val="21"/>
                <w:highlight w:val="none"/>
              </w:rPr>
            </w:pP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593F49">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284C1">
            <w:pPr>
              <w:spacing w:line="240" w:lineRule="exact"/>
              <w:jc w:val="center"/>
              <w:rPr>
                <w:bCs/>
                <w:color w:val="auto"/>
                <w:szCs w:val="21"/>
                <w:highlight w:val="none"/>
              </w:rPr>
            </w:pPr>
            <w:r>
              <w:rPr>
                <w:rFonts w:hint="eastAsia"/>
                <w:bCs/>
                <w:color w:val="auto"/>
                <w:szCs w:val="21"/>
                <w:highlight w:val="none"/>
              </w:rPr>
              <w:t>1</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CB6078">
            <w:pPr>
              <w:spacing w:line="240" w:lineRule="exact"/>
              <w:jc w:val="center"/>
              <w:rPr>
                <w:bCs/>
                <w:color w:val="auto"/>
                <w:szCs w:val="21"/>
                <w:highlight w:val="none"/>
              </w:rPr>
            </w:pPr>
            <w:r>
              <w:rPr>
                <w:rFonts w:hint="eastAsia"/>
                <w:bCs/>
                <w:color w:val="auto"/>
                <w:szCs w:val="21"/>
                <w:highlight w:val="none"/>
              </w:rPr>
              <w:t>1</w:t>
            </w:r>
          </w:p>
        </w:tc>
      </w:tr>
      <w:tr w14:paraId="22D60AB2">
        <w:tblPrEx>
          <w:tblCellMar>
            <w:top w:w="0" w:type="dxa"/>
            <w:left w:w="0" w:type="dxa"/>
            <w:bottom w:w="0" w:type="dxa"/>
            <w:right w:w="0" w:type="dxa"/>
          </w:tblCellMar>
        </w:tblPrEx>
        <w:trPr>
          <w:trHeight w:val="349" w:hRule="atLeast"/>
        </w:trPr>
        <w:tc>
          <w:tcPr>
            <w:tcW w:w="224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65CD98">
            <w:pPr>
              <w:spacing w:line="240" w:lineRule="exact"/>
              <w:jc w:val="center"/>
              <w:rPr>
                <w:bCs/>
                <w:color w:val="auto"/>
                <w:szCs w:val="21"/>
                <w:highlight w:val="none"/>
              </w:rPr>
            </w:pPr>
            <w:r>
              <w:rPr>
                <w:rFonts w:hint="eastAsia"/>
                <w:bCs/>
                <w:color w:val="auto"/>
                <w:szCs w:val="21"/>
                <w:highlight w:val="none"/>
              </w:rPr>
              <w:t>合计</w:t>
            </w:r>
          </w:p>
        </w:tc>
        <w:tc>
          <w:tcPr>
            <w:tcW w:w="12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26075C">
            <w:pPr>
              <w:spacing w:line="240" w:lineRule="exact"/>
              <w:jc w:val="center"/>
              <w:rPr>
                <w:bCs/>
                <w:color w:val="auto"/>
                <w:szCs w:val="21"/>
                <w:highlight w:val="none"/>
              </w:rPr>
            </w:pPr>
            <w:r>
              <w:rPr>
                <w:bCs/>
                <w:color w:val="auto"/>
                <w:szCs w:val="21"/>
                <w:highlight w:val="none"/>
              </w:rPr>
              <w:t>93</w:t>
            </w:r>
          </w:p>
        </w:tc>
        <w:tc>
          <w:tcPr>
            <w:tcW w:w="14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9D2E2F">
            <w:pPr>
              <w:spacing w:line="240" w:lineRule="exact"/>
              <w:jc w:val="center"/>
              <w:rPr>
                <w:bCs/>
                <w:color w:val="auto"/>
                <w:szCs w:val="21"/>
                <w:highlight w:val="none"/>
              </w:rPr>
            </w:pPr>
            <w:r>
              <w:rPr>
                <w:bCs/>
                <w:color w:val="auto"/>
                <w:szCs w:val="21"/>
                <w:highlight w:val="none"/>
              </w:rPr>
              <w:t>100</w:t>
            </w:r>
          </w:p>
        </w:tc>
        <w:tc>
          <w:tcPr>
            <w:tcW w:w="12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47D269">
            <w:pPr>
              <w:spacing w:line="240" w:lineRule="exact"/>
              <w:jc w:val="center"/>
              <w:rPr>
                <w:bCs/>
                <w:color w:val="auto"/>
                <w:szCs w:val="21"/>
                <w:highlight w:val="none"/>
              </w:rPr>
            </w:pPr>
            <w:r>
              <w:rPr>
                <w:bCs/>
                <w:color w:val="auto"/>
                <w:szCs w:val="21"/>
                <w:highlight w:val="none"/>
              </w:rPr>
              <w:t>28</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C2A1B">
            <w:pPr>
              <w:spacing w:line="240" w:lineRule="exact"/>
              <w:jc w:val="center"/>
              <w:rPr>
                <w:bCs/>
                <w:color w:val="auto"/>
                <w:szCs w:val="21"/>
                <w:highlight w:val="none"/>
              </w:rPr>
            </w:pPr>
            <w:r>
              <w:rPr>
                <w:bCs/>
                <w:color w:val="auto"/>
                <w:szCs w:val="21"/>
                <w:highlight w:val="none"/>
              </w:rPr>
              <w:t>10</w:t>
            </w:r>
          </w:p>
        </w:tc>
        <w:tc>
          <w:tcPr>
            <w:tcW w:w="10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FE4FD3">
            <w:pPr>
              <w:spacing w:line="240" w:lineRule="exact"/>
              <w:jc w:val="center"/>
              <w:rPr>
                <w:bCs/>
                <w:color w:val="auto"/>
                <w:szCs w:val="21"/>
                <w:highlight w:val="none"/>
              </w:rPr>
            </w:pPr>
            <w:r>
              <w:rPr>
                <w:rFonts w:hint="eastAsia"/>
                <w:bCs/>
                <w:color w:val="auto"/>
                <w:szCs w:val="21"/>
                <w:highlight w:val="none"/>
              </w:rPr>
              <w:t>33</w:t>
            </w:r>
          </w:p>
        </w:tc>
      </w:tr>
    </w:tbl>
    <w:p w14:paraId="702F4A6E">
      <w:pPr>
        <w:pStyle w:val="59"/>
        <w:spacing w:line="360" w:lineRule="auto"/>
        <w:ind w:firstLine="420" w:firstLineChars="200"/>
        <w:rPr>
          <w:color w:val="auto"/>
          <w:highlight w:val="none"/>
        </w:rPr>
      </w:pPr>
    </w:p>
    <w:p w14:paraId="7B39FBEE">
      <w:pPr>
        <w:pStyle w:val="10"/>
        <w:spacing w:before="0" w:after="0" w:line="360" w:lineRule="auto"/>
        <w:ind w:firstLine="643" w:firstLineChars="200"/>
        <w:rPr>
          <w:color w:val="auto"/>
          <w:highlight w:val="none"/>
        </w:rPr>
      </w:pPr>
      <w:r>
        <w:rPr>
          <w:rFonts w:hint="eastAsia"/>
          <w:color w:val="auto"/>
          <w:highlight w:val="none"/>
        </w:rPr>
        <w:t>4.11监听对讲系统</w:t>
      </w:r>
    </w:p>
    <w:p w14:paraId="4A19F24E">
      <w:pPr>
        <w:spacing w:line="360" w:lineRule="auto"/>
        <w:ind w:firstLine="420" w:firstLineChars="200"/>
        <w:rPr>
          <w:bCs/>
          <w:color w:val="auto"/>
          <w:highlight w:val="none"/>
        </w:rPr>
      </w:pPr>
      <w:r>
        <w:rPr>
          <w:rFonts w:hint="eastAsia"/>
          <w:bCs/>
          <w:color w:val="auto"/>
          <w:highlight w:val="none"/>
        </w:rPr>
        <w:t>监听对讲系统可实现监狱警察之间的信息交流及监狱警察与罪犯之间的信息交流，具备监听、监视、对讲、广播及报警功能，并可进行录音、录像，方便事后查询，实现监狱内部通讯调度、指挥管理、报警联动。利用总控主机和分控主机及分控主机之间实现特殊时期（如疫情封闭期间），指挥中心与狱内各监区召开视频会议；也可用于到监狱会见室家属与不方便到会见室会见的罪犯之间的视频会见功能。</w:t>
      </w:r>
    </w:p>
    <w:p w14:paraId="71A19796">
      <w:pPr>
        <w:pStyle w:val="11"/>
        <w:spacing w:before="0" w:after="0" w:line="360" w:lineRule="auto"/>
        <w:ind w:firstLine="562" w:firstLineChars="200"/>
        <w:rPr>
          <w:color w:val="auto"/>
          <w:highlight w:val="none"/>
        </w:rPr>
      </w:pPr>
      <w:r>
        <w:rPr>
          <w:rFonts w:hint="eastAsia"/>
          <w:color w:val="auto"/>
          <w:highlight w:val="none"/>
        </w:rPr>
        <w:t>系统架构</w:t>
      </w:r>
    </w:p>
    <w:p w14:paraId="1A8A2205">
      <w:pPr>
        <w:spacing w:line="360" w:lineRule="auto"/>
        <w:ind w:firstLine="420" w:firstLineChars="200"/>
        <w:rPr>
          <w:bCs/>
          <w:color w:val="auto"/>
          <w:highlight w:val="none"/>
        </w:rPr>
      </w:pPr>
      <w:r>
        <w:rPr>
          <w:rFonts w:hint="eastAsia"/>
          <w:bCs/>
          <w:color w:val="auto"/>
          <w:highlight w:val="none"/>
        </w:rPr>
        <w:t>监听对讲系统主要由一体式IP监听可视对讲终端（防暴）、分控主机、总控主机等设备组成，设计采用全网络化的组网架构，即所有对讲设备间全采用以太网线连接，通过局域网集成到监狱安防集成平台上，实现与视频、广播等子系统的联动，并由平台统一管理。</w:t>
      </w:r>
    </w:p>
    <w:p w14:paraId="3C284A25">
      <w:pPr>
        <w:spacing w:line="360" w:lineRule="auto"/>
        <w:ind w:firstLine="420" w:firstLineChars="200"/>
        <w:rPr>
          <w:bCs/>
          <w:color w:val="auto"/>
          <w:highlight w:val="none"/>
        </w:rPr>
      </w:pPr>
      <w:r>
        <w:rPr>
          <w:rFonts w:hint="eastAsia"/>
          <w:bCs/>
          <w:color w:val="auto"/>
          <w:highlight w:val="none"/>
        </w:rPr>
        <w:t>系统拓扑结构如下图所示：</w:t>
      </w:r>
    </w:p>
    <w:p w14:paraId="022F7838">
      <w:pPr>
        <w:spacing w:line="360" w:lineRule="auto"/>
        <w:ind w:firstLine="420" w:firstLineChars="200"/>
        <w:jc w:val="center"/>
        <w:rPr>
          <w:bCs/>
          <w:color w:val="auto"/>
          <w:highlight w:val="none"/>
        </w:rPr>
      </w:pPr>
      <w:r>
        <w:rPr>
          <w:bCs/>
          <w:color w:val="auto"/>
          <w:highlight w:val="none"/>
        </w:rPr>
        <w:drawing>
          <wp:inline distT="0" distB="0" distL="114300" distR="114300">
            <wp:extent cx="5486400" cy="3291840"/>
            <wp:effectExtent l="0" t="0" r="0" b="3810"/>
            <wp:docPr id="19" name="图片 23" descr="C:\Users\Administrator\Document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C:\Users\Administrator\Documents\2.jpg"/>
                    <pic:cNvPicPr>
                      <a:picLocks noChangeAspect="1"/>
                    </pic:cNvPicPr>
                  </pic:nvPicPr>
                  <pic:blipFill>
                    <a:blip r:embed="rId37"/>
                    <a:stretch>
                      <a:fillRect/>
                    </a:stretch>
                  </pic:blipFill>
                  <pic:spPr>
                    <a:xfrm>
                      <a:off x="0" y="0"/>
                      <a:ext cx="5486400" cy="3291840"/>
                    </a:xfrm>
                    <a:prstGeom prst="rect">
                      <a:avLst/>
                    </a:prstGeom>
                    <a:noFill/>
                    <a:ln>
                      <a:noFill/>
                    </a:ln>
                  </pic:spPr>
                </pic:pic>
              </a:graphicData>
            </a:graphic>
          </wp:inline>
        </w:drawing>
      </w:r>
    </w:p>
    <w:p w14:paraId="4375FE79">
      <w:pPr>
        <w:spacing w:line="360" w:lineRule="auto"/>
        <w:ind w:firstLine="0" w:firstLineChars="200"/>
        <w:rPr>
          <w:bCs/>
          <w:color w:val="auto"/>
          <w:highlight w:val="none"/>
        </w:rPr>
      </w:pPr>
      <w:r>
        <w:rPr>
          <w:rFonts w:eastAsia="Times New Roman"/>
          <w:snapToGrid w:val="0"/>
          <w:color w:val="auto"/>
          <w:w w:val="0"/>
          <w:kern w:val="0"/>
          <w:sz w:val="16"/>
          <w:szCs w:val="0"/>
          <w:highlight w:val="none"/>
          <w:shd w:val="clear" w:color="000000" w:fill="000000"/>
          <w:lang w:val="zh-CN" w:bidi="zh-CN"/>
        </w:rPr>
        <w:t xml:space="preserve"> </w:t>
      </w:r>
    </w:p>
    <w:p w14:paraId="3A57806D">
      <w:pPr>
        <w:pStyle w:val="11"/>
        <w:spacing w:before="0" w:after="0" w:line="360" w:lineRule="auto"/>
        <w:ind w:firstLine="562" w:firstLineChars="200"/>
        <w:rPr>
          <w:color w:val="auto"/>
          <w:highlight w:val="none"/>
        </w:rPr>
      </w:pPr>
      <w:r>
        <w:rPr>
          <w:rFonts w:hint="eastAsia"/>
          <w:color w:val="auto"/>
          <w:highlight w:val="none"/>
        </w:rPr>
        <w:t>设计方案</w:t>
      </w:r>
    </w:p>
    <w:p w14:paraId="3ACD176A">
      <w:pPr>
        <w:spacing w:line="360" w:lineRule="auto"/>
        <w:ind w:firstLine="420" w:firstLineChars="200"/>
        <w:rPr>
          <w:bCs/>
          <w:color w:val="auto"/>
          <w:highlight w:val="none"/>
        </w:rPr>
      </w:pPr>
      <w:r>
        <w:rPr>
          <w:rFonts w:hint="eastAsia"/>
          <w:bCs/>
          <w:color w:val="auto"/>
          <w:highlight w:val="none"/>
        </w:rPr>
        <w:t>1、系统组成</w:t>
      </w:r>
    </w:p>
    <w:p w14:paraId="0CBEC0DF">
      <w:pPr>
        <w:spacing w:line="360" w:lineRule="auto"/>
        <w:ind w:firstLine="420" w:firstLineChars="200"/>
        <w:rPr>
          <w:bCs/>
          <w:color w:val="auto"/>
          <w:highlight w:val="none"/>
        </w:rPr>
      </w:pPr>
      <w:r>
        <w:rPr>
          <w:rFonts w:hint="eastAsia"/>
          <w:bCs/>
          <w:color w:val="auto"/>
          <w:highlight w:val="none"/>
        </w:rPr>
        <w:t>监听对讲系统采取</w:t>
      </w:r>
      <w:r>
        <w:rPr>
          <w:bCs/>
          <w:color w:val="auto"/>
          <w:highlight w:val="none"/>
        </w:rPr>
        <w:t>“</w:t>
      </w:r>
      <w:r>
        <w:rPr>
          <w:rFonts w:hint="eastAsia"/>
          <w:bCs/>
          <w:color w:val="auto"/>
          <w:highlight w:val="none"/>
        </w:rPr>
        <w:t>分级管理、统一指挥</w:t>
      </w:r>
      <w:r>
        <w:rPr>
          <w:bCs/>
          <w:color w:val="auto"/>
          <w:highlight w:val="none"/>
        </w:rPr>
        <w:t>”</w:t>
      </w:r>
      <w:r>
        <w:rPr>
          <w:rFonts w:hint="eastAsia"/>
          <w:bCs/>
          <w:color w:val="auto"/>
          <w:highlight w:val="none"/>
        </w:rPr>
        <w:t>的两级管理模式：一级为监舍楼联勤值班室、会见教学楼，二级为监狱监区大门指挥中心，监狱指挥中心拥有本监狱的最高管理权限。在联勤值班室，通过与视频监控系统的集成，可实现对讲、监听、音视频联动、分组广播及对讲录音等功能，</w:t>
      </w:r>
      <w:r>
        <w:rPr>
          <w:bCs/>
          <w:color w:val="auto"/>
          <w:highlight w:val="none"/>
        </w:rPr>
        <w:t>亦可用于指挥中心与</w:t>
      </w:r>
      <w:r>
        <w:rPr>
          <w:rFonts w:hint="eastAsia"/>
          <w:bCs/>
          <w:color w:val="auto"/>
          <w:highlight w:val="none"/>
        </w:rPr>
        <w:t>狱</w:t>
      </w:r>
      <w:r>
        <w:rPr>
          <w:bCs/>
          <w:color w:val="auto"/>
          <w:highlight w:val="none"/>
        </w:rPr>
        <w:t>内各监区视频会议</w:t>
      </w:r>
      <w:r>
        <w:rPr>
          <w:rFonts w:hint="eastAsia"/>
          <w:bCs/>
          <w:color w:val="auto"/>
          <w:highlight w:val="none"/>
        </w:rPr>
        <w:t>。</w:t>
      </w:r>
    </w:p>
    <w:p w14:paraId="033CCD55">
      <w:pPr>
        <w:spacing w:line="360" w:lineRule="auto"/>
        <w:ind w:firstLine="420" w:firstLineChars="200"/>
        <w:rPr>
          <w:bCs/>
          <w:color w:val="auto"/>
          <w:highlight w:val="none"/>
        </w:rPr>
      </w:pPr>
      <w:r>
        <w:rPr>
          <w:rFonts w:hint="eastAsia"/>
          <w:bCs/>
          <w:color w:val="auto"/>
          <w:highlight w:val="none"/>
        </w:rPr>
        <w:t>监听对讲系统由对讲分机、联勤值班室分控主机和指挥中心总控主机以及传输网络组成。</w:t>
      </w:r>
    </w:p>
    <w:p w14:paraId="4AB66CA9">
      <w:pPr>
        <w:spacing w:line="360" w:lineRule="auto"/>
        <w:ind w:firstLine="420" w:firstLineChars="200"/>
        <w:rPr>
          <w:bCs/>
          <w:color w:val="auto"/>
          <w:highlight w:val="none"/>
        </w:rPr>
      </w:pPr>
      <w:r>
        <w:rPr>
          <w:rFonts w:hint="eastAsia"/>
          <w:bCs/>
          <w:color w:val="auto"/>
          <w:highlight w:val="none"/>
        </w:rPr>
        <w:t>对讲分机：对讲分机接受联勤值班室分控主机和指挥中心总控主机的监控，能够报警、请求对讲、报告。对讲分机由报警按钮、麦克风和扬声器、摄像头等主要部件组成。</w:t>
      </w:r>
    </w:p>
    <w:p w14:paraId="3CD4ECCE">
      <w:pPr>
        <w:spacing w:line="360" w:lineRule="auto"/>
        <w:ind w:firstLine="420" w:firstLineChars="200"/>
        <w:rPr>
          <w:bCs/>
          <w:color w:val="auto"/>
          <w:highlight w:val="none"/>
        </w:rPr>
      </w:pPr>
      <w:r>
        <w:rPr>
          <w:rFonts w:hint="eastAsia"/>
          <w:bCs/>
          <w:color w:val="auto"/>
          <w:highlight w:val="none"/>
        </w:rPr>
        <w:t>联勤值班室：联勤值班室负责管理该监区内所有对讲系统，并对罪犯呼叫信息进行处理，当联勤值班室超时没有处理的，报警信息自动上传到监狱指挥中心。</w:t>
      </w:r>
    </w:p>
    <w:p w14:paraId="130264BC">
      <w:pPr>
        <w:spacing w:line="360" w:lineRule="auto"/>
        <w:ind w:firstLine="420" w:firstLineChars="200"/>
        <w:rPr>
          <w:bCs/>
          <w:color w:val="auto"/>
          <w:highlight w:val="none"/>
        </w:rPr>
      </w:pPr>
      <w:r>
        <w:rPr>
          <w:rFonts w:hint="eastAsia"/>
          <w:bCs/>
          <w:color w:val="auto"/>
          <w:highlight w:val="none"/>
        </w:rPr>
        <w:t>指挥中心：本监狱指挥中心统一管理、调度监狱所有对讲系统。当联勤值班室超时没有处理的，报警信息自动上传并</w:t>
      </w:r>
      <w:r>
        <w:rPr>
          <w:bCs/>
          <w:color w:val="auto"/>
          <w:highlight w:val="none"/>
        </w:rPr>
        <w:t>由监狱指挥中心直接处理。</w:t>
      </w:r>
    </w:p>
    <w:p w14:paraId="175D9A16">
      <w:pPr>
        <w:spacing w:line="360" w:lineRule="auto"/>
        <w:ind w:firstLine="420" w:firstLineChars="200"/>
        <w:rPr>
          <w:bCs/>
          <w:color w:val="auto"/>
          <w:highlight w:val="none"/>
        </w:rPr>
      </w:pPr>
      <w:r>
        <w:rPr>
          <w:rFonts w:hint="eastAsia"/>
          <w:bCs/>
          <w:color w:val="auto"/>
          <w:highlight w:val="none"/>
        </w:rPr>
        <w:t>网络传输：目前对讲分机、分控主机以及总控主机之间的信息传输通道采用</w:t>
      </w:r>
      <w:r>
        <w:rPr>
          <w:bCs/>
          <w:color w:val="auto"/>
          <w:highlight w:val="none"/>
        </w:rPr>
        <w:t>IP</w:t>
      </w:r>
      <w:r>
        <w:rPr>
          <w:rFonts w:hint="eastAsia"/>
          <w:bCs/>
          <w:color w:val="auto"/>
          <w:highlight w:val="none"/>
        </w:rPr>
        <w:t>网络传输方式，便于统一控制、灵活调配。</w:t>
      </w:r>
    </w:p>
    <w:p w14:paraId="510FFB9A">
      <w:pPr>
        <w:spacing w:line="360" w:lineRule="auto"/>
        <w:ind w:firstLine="420" w:firstLineChars="200"/>
        <w:rPr>
          <w:bCs/>
          <w:color w:val="auto"/>
          <w:highlight w:val="none"/>
        </w:rPr>
      </w:pPr>
      <w:r>
        <w:rPr>
          <w:rFonts w:hint="eastAsia"/>
          <w:bCs/>
          <w:color w:val="auto"/>
          <w:highlight w:val="none"/>
        </w:rPr>
        <w:t>本系统可实现如下功能：</w:t>
      </w:r>
    </w:p>
    <w:p w14:paraId="04894EB4">
      <w:pPr>
        <w:numPr>
          <w:ilvl w:val="0"/>
          <w:numId w:val="31"/>
        </w:numPr>
        <w:spacing w:line="360" w:lineRule="auto"/>
        <w:ind w:left="0" w:firstLine="420" w:firstLineChars="200"/>
        <w:rPr>
          <w:bCs/>
          <w:color w:val="auto"/>
          <w:highlight w:val="none"/>
        </w:rPr>
      </w:pPr>
      <w:r>
        <w:rPr>
          <w:rFonts w:hint="eastAsia"/>
          <w:bCs/>
          <w:color w:val="auto"/>
          <w:highlight w:val="none"/>
        </w:rPr>
        <w:t>对讲功能：监舍通过对讲分机与联勤值班室的分控主机、与监狱指挥中心的总控主机实现双工对讲；监狱指挥中心可以与联勤值班室双工对讲；监舍与监舍之间不可以互相对讲；监狱指挥中心可同时实现对多个监区的在线对讲广播、选址广播。</w:t>
      </w:r>
    </w:p>
    <w:p w14:paraId="4EC7525D">
      <w:pPr>
        <w:numPr>
          <w:ilvl w:val="0"/>
          <w:numId w:val="31"/>
        </w:numPr>
        <w:spacing w:line="360" w:lineRule="auto"/>
        <w:ind w:left="0" w:firstLine="420" w:firstLineChars="200"/>
        <w:rPr>
          <w:bCs/>
          <w:color w:val="auto"/>
          <w:highlight w:val="none"/>
        </w:rPr>
      </w:pPr>
      <w:r>
        <w:rPr>
          <w:rFonts w:hint="eastAsia"/>
          <w:bCs/>
          <w:color w:val="auto"/>
          <w:highlight w:val="none"/>
        </w:rPr>
        <w:t>可视</w:t>
      </w:r>
      <w:r>
        <w:rPr>
          <w:bCs/>
          <w:color w:val="auto"/>
          <w:highlight w:val="none"/>
        </w:rPr>
        <w:t>功能：</w:t>
      </w:r>
      <w:r>
        <w:rPr>
          <w:rFonts w:hint="eastAsia"/>
          <w:bCs/>
          <w:color w:val="auto"/>
          <w:highlight w:val="none"/>
        </w:rPr>
        <w:t>监舍通过分机与联勤值班室的分控主机进行对讲</w:t>
      </w:r>
      <w:r>
        <w:rPr>
          <w:bCs/>
          <w:color w:val="auto"/>
          <w:highlight w:val="none"/>
        </w:rPr>
        <w:t>时</w:t>
      </w:r>
      <w:r>
        <w:rPr>
          <w:rFonts w:hint="eastAsia"/>
          <w:bCs/>
          <w:color w:val="auto"/>
          <w:highlight w:val="none"/>
        </w:rPr>
        <w:t>，值班</w:t>
      </w:r>
      <w:r>
        <w:rPr>
          <w:bCs/>
          <w:color w:val="auto"/>
          <w:highlight w:val="none"/>
        </w:rPr>
        <w:t>警察可以对监舍内的画面进行</w:t>
      </w:r>
      <w:r>
        <w:rPr>
          <w:rFonts w:hint="eastAsia"/>
          <w:bCs/>
          <w:color w:val="auto"/>
          <w:highlight w:val="none"/>
        </w:rPr>
        <w:t>观察</w:t>
      </w:r>
      <w:r>
        <w:rPr>
          <w:bCs/>
          <w:color w:val="auto"/>
          <w:highlight w:val="none"/>
        </w:rPr>
        <w:t>查看，判断通话人员的身份。</w:t>
      </w:r>
    </w:p>
    <w:p w14:paraId="39F19D8A">
      <w:pPr>
        <w:numPr>
          <w:ilvl w:val="0"/>
          <w:numId w:val="31"/>
        </w:numPr>
        <w:spacing w:line="360" w:lineRule="auto"/>
        <w:ind w:left="0" w:firstLine="420" w:firstLineChars="200"/>
        <w:rPr>
          <w:bCs/>
          <w:color w:val="auto"/>
          <w:highlight w:val="none"/>
        </w:rPr>
      </w:pPr>
      <w:r>
        <w:rPr>
          <w:rFonts w:hint="eastAsia"/>
          <w:bCs/>
          <w:color w:val="auto"/>
          <w:highlight w:val="none"/>
        </w:rPr>
        <w:t>广播功能：通过联勤值班室的对讲控制设备，支持对监舍点对点、分组或全部广播；监狱指挥中心通过总控主机可以对本监狱所有监舍进行点对点、分组或全部广播；广播的同时不影响对讲、报警功能的实现。</w:t>
      </w:r>
    </w:p>
    <w:p w14:paraId="42AB0C3C">
      <w:pPr>
        <w:numPr>
          <w:ilvl w:val="0"/>
          <w:numId w:val="31"/>
        </w:numPr>
        <w:spacing w:line="360" w:lineRule="auto"/>
        <w:ind w:left="0" w:firstLine="420" w:firstLineChars="200"/>
        <w:rPr>
          <w:bCs/>
          <w:color w:val="auto"/>
          <w:highlight w:val="none"/>
        </w:rPr>
      </w:pPr>
      <w:r>
        <w:rPr>
          <w:rFonts w:hint="eastAsia"/>
          <w:bCs/>
          <w:color w:val="auto"/>
          <w:highlight w:val="none"/>
        </w:rPr>
        <w:t>监听功能：联勤值班室分控主机和指挥中心总控主机均可以对其所辖范围的对讲分机进行点对点监听，并可以分辨出在嘈杂环境中的语音。</w:t>
      </w:r>
    </w:p>
    <w:p w14:paraId="6E44F8A8">
      <w:pPr>
        <w:numPr>
          <w:ilvl w:val="0"/>
          <w:numId w:val="31"/>
        </w:numPr>
        <w:spacing w:line="360" w:lineRule="auto"/>
        <w:ind w:left="0" w:firstLine="420" w:firstLineChars="200"/>
        <w:rPr>
          <w:bCs/>
          <w:color w:val="auto"/>
          <w:highlight w:val="none"/>
        </w:rPr>
      </w:pPr>
      <w:r>
        <w:rPr>
          <w:rFonts w:hint="eastAsia"/>
          <w:bCs/>
          <w:color w:val="auto"/>
          <w:highlight w:val="none"/>
        </w:rPr>
        <w:t>录音功能：指挥中心总控主机与联勤值班室分控主机提供录音接口，可对监听、对讲、报警时的语音进行录制存储，存储时间不少于6个月。录音回放支持本地与远程回放，回放的录音要求双方谈话的内容应清晰，能辨别谈话人的声音。</w:t>
      </w:r>
    </w:p>
    <w:p w14:paraId="07F5E28C">
      <w:pPr>
        <w:numPr>
          <w:ilvl w:val="0"/>
          <w:numId w:val="31"/>
        </w:numPr>
        <w:spacing w:line="360" w:lineRule="auto"/>
        <w:ind w:left="0" w:firstLine="420" w:firstLineChars="200"/>
        <w:rPr>
          <w:bCs/>
          <w:color w:val="auto"/>
          <w:highlight w:val="none"/>
        </w:rPr>
      </w:pPr>
      <w:r>
        <w:rPr>
          <w:rFonts w:hint="eastAsia"/>
          <w:bCs/>
          <w:color w:val="auto"/>
          <w:highlight w:val="none"/>
        </w:rPr>
        <w:t>联动功能：能够与监舍的监控图像联动，通过接入联勤值班室的视频监控服务器，实现联动视频图像切换功能。</w:t>
      </w:r>
    </w:p>
    <w:p w14:paraId="3E990150">
      <w:pPr>
        <w:numPr>
          <w:ilvl w:val="0"/>
          <w:numId w:val="31"/>
        </w:numPr>
        <w:spacing w:line="360" w:lineRule="auto"/>
        <w:ind w:left="0" w:firstLine="420" w:firstLineChars="200"/>
        <w:rPr>
          <w:bCs/>
          <w:color w:val="auto"/>
          <w:highlight w:val="none"/>
        </w:rPr>
      </w:pPr>
      <w:r>
        <w:rPr>
          <w:rFonts w:hint="eastAsia"/>
          <w:bCs/>
          <w:color w:val="auto"/>
          <w:highlight w:val="none"/>
        </w:rPr>
        <w:t>视频</w:t>
      </w:r>
      <w:r>
        <w:rPr>
          <w:bCs/>
          <w:color w:val="auto"/>
          <w:highlight w:val="none"/>
        </w:rPr>
        <w:t>会议功能：可用于特殊时期（</w:t>
      </w:r>
      <w:r>
        <w:rPr>
          <w:rFonts w:hint="eastAsia"/>
          <w:bCs/>
          <w:color w:val="auto"/>
          <w:highlight w:val="none"/>
        </w:rPr>
        <w:t>如</w:t>
      </w:r>
      <w:r>
        <w:rPr>
          <w:bCs/>
          <w:color w:val="auto"/>
          <w:highlight w:val="none"/>
        </w:rPr>
        <w:t>疫情</w:t>
      </w:r>
      <w:r>
        <w:rPr>
          <w:rFonts w:hint="eastAsia"/>
          <w:bCs/>
          <w:color w:val="auto"/>
          <w:highlight w:val="none"/>
        </w:rPr>
        <w:t>封闭</w:t>
      </w:r>
      <w:r>
        <w:rPr>
          <w:bCs/>
          <w:color w:val="auto"/>
          <w:highlight w:val="none"/>
        </w:rPr>
        <w:t>期间）</w:t>
      </w:r>
      <w:r>
        <w:rPr>
          <w:rFonts w:hint="eastAsia"/>
          <w:bCs/>
          <w:color w:val="auto"/>
          <w:highlight w:val="none"/>
        </w:rPr>
        <w:t>，</w:t>
      </w:r>
      <w:r>
        <w:rPr>
          <w:bCs/>
          <w:color w:val="auto"/>
          <w:highlight w:val="none"/>
        </w:rPr>
        <w:t>指挥中心与狱内各监</w:t>
      </w:r>
      <w:r>
        <w:rPr>
          <w:rFonts w:hint="eastAsia"/>
          <w:bCs/>
          <w:color w:val="auto"/>
          <w:highlight w:val="none"/>
        </w:rPr>
        <w:t>区</w:t>
      </w:r>
      <w:r>
        <w:rPr>
          <w:bCs/>
          <w:color w:val="auto"/>
          <w:highlight w:val="none"/>
        </w:rPr>
        <w:t>召开视频会议。</w:t>
      </w:r>
    </w:p>
    <w:p w14:paraId="29A68AF3">
      <w:pPr>
        <w:numPr>
          <w:ilvl w:val="0"/>
          <w:numId w:val="31"/>
        </w:numPr>
        <w:spacing w:line="360" w:lineRule="auto"/>
        <w:ind w:left="0" w:firstLine="420" w:firstLineChars="200"/>
        <w:rPr>
          <w:bCs/>
          <w:color w:val="auto"/>
          <w:highlight w:val="none"/>
        </w:rPr>
      </w:pPr>
      <w:r>
        <w:rPr>
          <w:rFonts w:hint="eastAsia"/>
          <w:bCs/>
          <w:color w:val="auto"/>
          <w:highlight w:val="none"/>
        </w:rPr>
        <w:t>视频</w:t>
      </w:r>
      <w:r>
        <w:rPr>
          <w:bCs/>
          <w:color w:val="auto"/>
          <w:highlight w:val="none"/>
        </w:rPr>
        <w:t>会见功能：可用于</w:t>
      </w:r>
      <w:r>
        <w:rPr>
          <w:rFonts w:hint="eastAsia"/>
          <w:bCs/>
          <w:color w:val="auto"/>
          <w:highlight w:val="none"/>
        </w:rPr>
        <w:t>家属</w:t>
      </w:r>
      <w:r>
        <w:rPr>
          <w:bCs/>
          <w:color w:val="auto"/>
          <w:highlight w:val="none"/>
        </w:rPr>
        <w:t>与不方便到会见</w:t>
      </w:r>
      <w:r>
        <w:rPr>
          <w:rFonts w:hint="eastAsia"/>
          <w:bCs/>
          <w:color w:val="auto"/>
          <w:highlight w:val="none"/>
        </w:rPr>
        <w:t>室会见</w:t>
      </w:r>
      <w:r>
        <w:rPr>
          <w:bCs/>
          <w:color w:val="auto"/>
          <w:highlight w:val="none"/>
        </w:rPr>
        <w:t>的罪犯之间的视频会见功能。</w:t>
      </w:r>
    </w:p>
    <w:p w14:paraId="374CBE37">
      <w:pPr>
        <w:pStyle w:val="11"/>
        <w:spacing w:before="0" w:after="0" w:line="360" w:lineRule="auto"/>
        <w:ind w:firstLine="562" w:firstLineChars="200"/>
        <w:rPr>
          <w:color w:val="auto"/>
          <w:highlight w:val="none"/>
        </w:rPr>
      </w:pPr>
      <w:r>
        <w:rPr>
          <w:rFonts w:hint="eastAsia"/>
          <w:color w:val="auto"/>
          <w:highlight w:val="none"/>
        </w:rPr>
        <w:t>部署方案</w:t>
      </w:r>
    </w:p>
    <w:p w14:paraId="333C86C9">
      <w:pPr>
        <w:pStyle w:val="53"/>
        <w:spacing w:line="360" w:lineRule="auto"/>
        <w:ind w:left="0" w:right="0" w:firstLine="420" w:firstLineChars="200"/>
        <w:rPr>
          <w:bCs/>
          <w:color w:val="auto"/>
          <w:highlight w:val="none"/>
          <w:u w:val="none" w:color="auto"/>
        </w:rPr>
      </w:pPr>
      <w:r>
        <w:rPr>
          <w:rFonts w:hint="eastAsia"/>
          <w:bCs/>
          <w:color w:val="auto"/>
          <w:highlight w:val="none"/>
          <w:u w:val="none" w:color="auto"/>
        </w:rPr>
        <w:t>监舍、禁闭室、病房、大厅、晾衣房、浴室、盥洗室、储藏间、处置室：在每个门口一侧底边距离地面</w:t>
      </w:r>
      <w:r>
        <w:rPr>
          <w:bCs/>
          <w:color w:val="auto"/>
          <w:highlight w:val="none"/>
          <w:u w:val="none" w:color="auto"/>
        </w:rPr>
        <w:t>1.5</w:t>
      </w:r>
      <w:r>
        <w:rPr>
          <w:rFonts w:hint="eastAsia"/>
          <w:bCs/>
          <w:color w:val="auto"/>
          <w:highlight w:val="none"/>
          <w:u w:val="none" w:color="auto"/>
        </w:rPr>
        <w:t>m处各安装1台对讲分机。</w:t>
      </w:r>
    </w:p>
    <w:p w14:paraId="740240F1">
      <w:pPr>
        <w:pStyle w:val="53"/>
        <w:spacing w:line="360" w:lineRule="auto"/>
        <w:ind w:left="0" w:right="0" w:firstLine="420" w:firstLineChars="200"/>
        <w:rPr>
          <w:bCs/>
          <w:color w:val="auto"/>
          <w:highlight w:val="none"/>
          <w:u w:val="none" w:color="auto"/>
        </w:rPr>
      </w:pPr>
      <w:r>
        <w:rPr>
          <w:rFonts w:hint="eastAsia"/>
          <w:bCs/>
          <w:color w:val="auto"/>
          <w:highlight w:val="none"/>
          <w:u w:val="none" w:color="auto"/>
        </w:rPr>
        <w:t>监舍楼每个监区走廊两端各增加1台对讲分机，安装位置底边距离地面</w:t>
      </w:r>
      <w:r>
        <w:rPr>
          <w:bCs/>
          <w:color w:val="auto"/>
          <w:highlight w:val="none"/>
          <w:u w:val="none" w:color="auto"/>
        </w:rPr>
        <w:t>1.5</w:t>
      </w:r>
      <w:r>
        <w:rPr>
          <w:rFonts w:hint="eastAsia"/>
          <w:bCs/>
          <w:color w:val="auto"/>
          <w:highlight w:val="none"/>
          <w:u w:val="none" w:color="auto"/>
        </w:rPr>
        <w:t>m。传染病病房为带屏幕的可视分机，共计2套。</w:t>
      </w:r>
    </w:p>
    <w:p w14:paraId="0D1F53D0">
      <w:pPr>
        <w:pStyle w:val="53"/>
        <w:spacing w:line="360" w:lineRule="auto"/>
        <w:ind w:left="0" w:right="0" w:firstLine="420" w:firstLineChars="200"/>
        <w:rPr>
          <w:bCs/>
          <w:color w:val="auto"/>
          <w:highlight w:val="none"/>
          <w:u w:val="none" w:color="auto"/>
        </w:rPr>
      </w:pPr>
      <w:r>
        <w:rPr>
          <w:rFonts w:hint="eastAsia"/>
          <w:bCs/>
          <w:color w:val="auto"/>
          <w:highlight w:val="none"/>
          <w:u w:val="none" w:color="auto"/>
        </w:rPr>
        <w:t>监舍楼：在联勤值班室和各监区分控中心各配置1台一级分控主机。</w:t>
      </w:r>
    </w:p>
    <w:p w14:paraId="4F24878A">
      <w:pPr>
        <w:pStyle w:val="53"/>
        <w:spacing w:line="360" w:lineRule="auto"/>
        <w:ind w:left="0" w:right="0" w:firstLine="420" w:firstLineChars="200"/>
        <w:rPr>
          <w:bCs/>
          <w:color w:val="auto"/>
          <w:highlight w:val="none"/>
        </w:rPr>
      </w:pPr>
      <w:r>
        <w:rPr>
          <w:rFonts w:hint="eastAsia"/>
          <w:bCs/>
          <w:color w:val="auto"/>
          <w:highlight w:val="none"/>
          <w:u w:val="none" w:color="auto"/>
        </w:rPr>
        <w:t>会见教学楼：在一楼视频会见用房和四楼分控中心桌面上各配置1台一级分控主机。</w:t>
      </w:r>
    </w:p>
    <w:p w14:paraId="33788F36">
      <w:pPr>
        <w:spacing w:line="360" w:lineRule="auto"/>
        <w:ind w:firstLine="420" w:firstLineChars="200"/>
        <w:rPr>
          <w:bCs/>
          <w:color w:val="auto"/>
          <w:highlight w:val="none"/>
        </w:rPr>
      </w:pPr>
      <w:r>
        <w:rPr>
          <w:rFonts w:hint="eastAsia"/>
          <w:bCs/>
          <w:color w:val="auto"/>
          <w:highlight w:val="none"/>
        </w:rPr>
        <w:t>指挥中心：配置1台高级总控主机，在本监狱数据中心机房机柜内安装1台IP地址盒。</w:t>
      </w:r>
    </w:p>
    <w:p w14:paraId="3583503D">
      <w:pPr>
        <w:spacing w:line="360" w:lineRule="auto"/>
        <w:ind w:firstLine="420" w:firstLineChars="200"/>
        <w:rPr>
          <w:bCs/>
          <w:color w:val="auto"/>
          <w:highlight w:val="none"/>
        </w:rPr>
      </w:pPr>
      <w:r>
        <w:rPr>
          <w:rFonts w:hint="eastAsia"/>
          <w:bCs/>
          <w:color w:val="auto"/>
          <w:highlight w:val="none"/>
        </w:rPr>
        <w:t>具体点位分布如下：</w:t>
      </w:r>
    </w:p>
    <w:tbl>
      <w:tblPr>
        <w:tblStyle w:val="36"/>
        <w:tblW w:w="8205" w:type="dxa"/>
        <w:tblInd w:w="0" w:type="dxa"/>
        <w:tblLayout w:type="fixed"/>
        <w:tblCellMar>
          <w:top w:w="0" w:type="dxa"/>
          <w:left w:w="0" w:type="dxa"/>
          <w:bottom w:w="0" w:type="dxa"/>
          <w:right w:w="0" w:type="dxa"/>
        </w:tblCellMar>
      </w:tblPr>
      <w:tblGrid>
        <w:gridCol w:w="796"/>
        <w:gridCol w:w="1755"/>
        <w:gridCol w:w="1605"/>
        <w:gridCol w:w="1320"/>
        <w:gridCol w:w="1349"/>
        <w:gridCol w:w="1380"/>
      </w:tblGrid>
      <w:tr w14:paraId="7F279AFE">
        <w:tblPrEx>
          <w:tblCellMar>
            <w:top w:w="0" w:type="dxa"/>
            <w:left w:w="0" w:type="dxa"/>
            <w:bottom w:w="0" w:type="dxa"/>
            <w:right w:w="0" w:type="dxa"/>
          </w:tblCellMar>
        </w:tblPrEx>
        <w:trPr>
          <w:trHeight w:val="904"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5D08C2">
            <w:pPr>
              <w:spacing w:line="240" w:lineRule="exact"/>
              <w:jc w:val="center"/>
              <w:rPr>
                <w:bCs/>
                <w:color w:val="auto"/>
                <w:szCs w:val="21"/>
                <w:highlight w:val="none"/>
              </w:rPr>
            </w:pPr>
            <w:r>
              <w:rPr>
                <w:rFonts w:hint="eastAsia"/>
                <w:bCs/>
                <w:color w:val="auto"/>
                <w:szCs w:val="21"/>
                <w:highlight w:val="none"/>
              </w:rPr>
              <w:t>序号</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705FCC">
            <w:pPr>
              <w:spacing w:line="240" w:lineRule="exact"/>
              <w:jc w:val="center"/>
              <w:rPr>
                <w:bCs/>
                <w:color w:val="auto"/>
                <w:szCs w:val="21"/>
                <w:highlight w:val="none"/>
              </w:rPr>
            </w:pPr>
            <w:r>
              <w:rPr>
                <w:rFonts w:hint="eastAsia"/>
                <w:bCs/>
                <w:color w:val="auto"/>
                <w:szCs w:val="21"/>
                <w:highlight w:val="none"/>
              </w:rPr>
              <w:t>楼宇名称</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711FEF">
            <w:pPr>
              <w:spacing w:line="240" w:lineRule="exact"/>
              <w:jc w:val="center"/>
              <w:rPr>
                <w:bCs/>
                <w:color w:val="auto"/>
                <w:szCs w:val="21"/>
                <w:highlight w:val="none"/>
              </w:rPr>
            </w:pPr>
            <w:r>
              <w:rPr>
                <w:rFonts w:hint="eastAsia"/>
                <w:bCs/>
                <w:color w:val="auto"/>
                <w:szCs w:val="21"/>
                <w:highlight w:val="none"/>
              </w:rPr>
              <w:t>IP对讲分机</w:t>
            </w: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EBB52C">
            <w:pPr>
              <w:spacing w:line="240" w:lineRule="exact"/>
              <w:jc w:val="center"/>
              <w:rPr>
                <w:bCs/>
                <w:color w:val="auto"/>
                <w:szCs w:val="21"/>
                <w:highlight w:val="none"/>
              </w:rPr>
            </w:pPr>
            <w:r>
              <w:rPr>
                <w:rFonts w:hint="eastAsia"/>
                <w:bCs/>
                <w:color w:val="auto"/>
                <w:szCs w:val="21"/>
                <w:highlight w:val="none"/>
              </w:rPr>
              <w:t>分控主机</w:t>
            </w: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3DB149">
            <w:pPr>
              <w:spacing w:line="240" w:lineRule="exact"/>
              <w:jc w:val="center"/>
              <w:rPr>
                <w:bCs/>
                <w:color w:val="auto"/>
                <w:szCs w:val="21"/>
                <w:highlight w:val="none"/>
              </w:rPr>
            </w:pPr>
            <w:r>
              <w:rPr>
                <w:rFonts w:hint="eastAsia"/>
                <w:bCs/>
                <w:color w:val="auto"/>
                <w:szCs w:val="21"/>
                <w:highlight w:val="none"/>
              </w:rPr>
              <w:t>总控主机</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BA3951">
            <w:pPr>
              <w:spacing w:line="240" w:lineRule="exact"/>
              <w:jc w:val="center"/>
              <w:rPr>
                <w:bCs/>
                <w:color w:val="auto"/>
                <w:szCs w:val="21"/>
                <w:highlight w:val="none"/>
              </w:rPr>
            </w:pPr>
            <w:r>
              <w:rPr>
                <w:rFonts w:hint="eastAsia"/>
                <w:bCs/>
                <w:color w:val="auto"/>
                <w:szCs w:val="21"/>
                <w:highlight w:val="none"/>
              </w:rPr>
              <w:t>IP地址盒</w:t>
            </w:r>
          </w:p>
        </w:tc>
      </w:tr>
      <w:tr w14:paraId="76AF95AF">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61E9A8">
            <w:pPr>
              <w:spacing w:line="240" w:lineRule="exact"/>
              <w:jc w:val="center"/>
              <w:rPr>
                <w:bCs/>
                <w:color w:val="auto"/>
                <w:szCs w:val="21"/>
                <w:highlight w:val="none"/>
              </w:rPr>
            </w:pPr>
            <w:r>
              <w:rPr>
                <w:rFonts w:hint="eastAsia"/>
                <w:bCs/>
                <w:color w:val="auto"/>
                <w:szCs w:val="21"/>
                <w:highlight w:val="none"/>
              </w:rPr>
              <w:t>1</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CC97A0">
            <w:pPr>
              <w:spacing w:line="240" w:lineRule="exact"/>
              <w:jc w:val="center"/>
              <w:rPr>
                <w:bCs/>
                <w:color w:val="auto"/>
                <w:szCs w:val="21"/>
                <w:highlight w:val="none"/>
              </w:rPr>
            </w:pPr>
            <w:r>
              <w:rPr>
                <w:rFonts w:hint="eastAsia"/>
                <w:bCs/>
                <w:color w:val="auto"/>
                <w:szCs w:val="21"/>
                <w:highlight w:val="none"/>
              </w:rPr>
              <w:t>1#监舍楼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6739C">
            <w:pPr>
              <w:spacing w:line="240" w:lineRule="exact"/>
              <w:jc w:val="center"/>
              <w:rPr>
                <w:bCs/>
                <w:color w:val="auto"/>
                <w:szCs w:val="21"/>
                <w:highlight w:val="none"/>
              </w:rPr>
            </w:pPr>
            <w:r>
              <w:rPr>
                <w:rFonts w:hint="eastAsia"/>
                <w:bCs/>
                <w:color w:val="auto"/>
                <w:szCs w:val="21"/>
                <w:highlight w:val="none"/>
              </w:rPr>
              <w:t>17</w:t>
            </w:r>
            <w:r>
              <w:rPr>
                <w:bCs/>
                <w:color w:val="auto"/>
                <w:szCs w:val="21"/>
                <w:highlight w:val="none"/>
              </w:rPr>
              <w:t>4</w:t>
            </w: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420F97">
            <w:pPr>
              <w:spacing w:line="240" w:lineRule="exact"/>
              <w:jc w:val="center"/>
              <w:rPr>
                <w:bCs/>
                <w:color w:val="auto"/>
                <w:szCs w:val="21"/>
                <w:highlight w:val="none"/>
              </w:rPr>
            </w:pPr>
            <w:r>
              <w:rPr>
                <w:bCs/>
                <w:color w:val="auto"/>
                <w:szCs w:val="21"/>
                <w:highlight w:val="none"/>
              </w:rPr>
              <w:t>15</w:t>
            </w: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67979F">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223757">
            <w:pPr>
              <w:spacing w:line="240" w:lineRule="exact"/>
              <w:jc w:val="center"/>
              <w:rPr>
                <w:bCs/>
                <w:color w:val="auto"/>
                <w:szCs w:val="21"/>
                <w:highlight w:val="none"/>
              </w:rPr>
            </w:pPr>
          </w:p>
        </w:tc>
      </w:tr>
      <w:tr w14:paraId="6AEC446E">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F01D3E">
            <w:pPr>
              <w:spacing w:line="240" w:lineRule="exact"/>
              <w:jc w:val="center"/>
              <w:rPr>
                <w:bCs/>
                <w:color w:val="auto"/>
                <w:szCs w:val="21"/>
                <w:highlight w:val="none"/>
              </w:rPr>
            </w:pPr>
            <w:r>
              <w:rPr>
                <w:rFonts w:hint="eastAsia"/>
                <w:bCs/>
                <w:color w:val="auto"/>
                <w:szCs w:val="21"/>
                <w:highlight w:val="none"/>
              </w:rPr>
              <w:t>2</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A32C6D">
            <w:pPr>
              <w:spacing w:line="240" w:lineRule="exact"/>
              <w:jc w:val="center"/>
              <w:rPr>
                <w:bCs/>
                <w:color w:val="auto"/>
                <w:szCs w:val="21"/>
                <w:highlight w:val="none"/>
              </w:rPr>
            </w:pPr>
            <w:r>
              <w:rPr>
                <w:rFonts w:hint="eastAsia"/>
                <w:bCs/>
                <w:color w:val="auto"/>
                <w:szCs w:val="21"/>
                <w:highlight w:val="none"/>
              </w:rPr>
              <w:t>2#习艺楼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5C824">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3C7861">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190539">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11E4AF">
            <w:pPr>
              <w:spacing w:line="240" w:lineRule="exact"/>
              <w:jc w:val="center"/>
              <w:rPr>
                <w:bCs/>
                <w:color w:val="auto"/>
                <w:szCs w:val="21"/>
                <w:highlight w:val="none"/>
              </w:rPr>
            </w:pPr>
          </w:p>
        </w:tc>
      </w:tr>
      <w:tr w14:paraId="261280C3">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FC6612">
            <w:pPr>
              <w:spacing w:line="240" w:lineRule="exact"/>
              <w:jc w:val="center"/>
              <w:rPr>
                <w:bCs/>
                <w:color w:val="auto"/>
                <w:szCs w:val="21"/>
                <w:highlight w:val="none"/>
              </w:rPr>
            </w:pPr>
            <w:r>
              <w:rPr>
                <w:rFonts w:hint="eastAsia"/>
                <w:bCs/>
                <w:color w:val="auto"/>
                <w:szCs w:val="21"/>
                <w:highlight w:val="none"/>
              </w:rPr>
              <w:t>3</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A71DE4">
            <w:pPr>
              <w:spacing w:line="240" w:lineRule="exact"/>
              <w:jc w:val="center"/>
              <w:rPr>
                <w:bCs/>
                <w:color w:val="auto"/>
                <w:szCs w:val="21"/>
                <w:highlight w:val="none"/>
              </w:rPr>
            </w:pPr>
            <w:r>
              <w:rPr>
                <w:rFonts w:hint="eastAsia"/>
                <w:bCs/>
                <w:color w:val="auto"/>
                <w:szCs w:val="21"/>
                <w:highlight w:val="none"/>
              </w:rPr>
              <w:t>3#习艺楼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A11ED7">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692FAE">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0C7872">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2BBF4D">
            <w:pPr>
              <w:spacing w:line="240" w:lineRule="exact"/>
              <w:jc w:val="center"/>
              <w:rPr>
                <w:bCs/>
                <w:color w:val="auto"/>
                <w:szCs w:val="21"/>
                <w:highlight w:val="none"/>
              </w:rPr>
            </w:pPr>
          </w:p>
        </w:tc>
      </w:tr>
      <w:tr w14:paraId="3A6C23D7">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A0AC61">
            <w:pPr>
              <w:spacing w:line="240" w:lineRule="exact"/>
              <w:jc w:val="center"/>
              <w:rPr>
                <w:bCs/>
                <w:color w:val="auto"/>
                <w:szCs w:val="21"/>
                <w:highlight w:val="none"/>
              </w:rPr>
            </w:pPr>
            <w:r>
              <w:rPr>
                <w:rFonts w:hint="eastAsia"/>
                <w:bCs/>
                <w:color w:val="auto"/>
                <w:szCs w:val="21"/>
                <w:highlight w:val="none"/>
              </w:rPr>
              <w:t>4</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E9507D">
            <w:pPr>
              <w:spacing w:line="240" w:lineRule="exact"/>
              <w:jc w:val="center"/>
              <w:rPr>
                <w:bCs/>
                <w:color w:val="auto"/>
                <w:szCs w:val="21"/>
                <w:highlight w:val="none"/>
              </w:rPr>
            </w:pPr>
            <w:r>
              <w:rPr>
                <w:rFonts w:hint="eastAsia"/>
                <w:bCs/>
                <w:color w:val="auto"/>
                <w:szCs w:val="21"/>
                <w:highlight w:val="none"/>
              </w:rPr>
              <w:t>4#会见教学楼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6CB4F4">
            <w:pPr>
              <w:spacing w:line="240" w:lineRule="exact"/>
              <w:jc w:val="center"/>
              <w:rPr>
                <w:bCs/>
                <w:color w:val="auto"/>
                <w:szCs w:val="21"/>
                <w:highlight w:val="none"/>
              </w:rPr>
            </w:pPr>
            <w:r>
              <w:rPr>
                <w:bCs/>
                <w:color w:val="auto"/>
                <w:szCs w:val="21"/>
                <w:highlight w:val="none"/>
              </w:rPr>
              <w:t>21</w:t>
            </w: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8F9A52">
            <w:pPr>
              <w:spacing w:line="240" w:lineRule="exact"/>
              <w:jc w:val="center"/>
              <w:rPr>
                <w:bCs/>
                <w:color w:val="auto"/>
                <w:szCs w:val="21"/>
                <w:highlight w:val="none"/>
              </w:rPr>
            </w:pPr>
            <w:r>
              <w:rPr>
                <w:bCs/>
                <w:color w:val="auto"/>
                <w:szCs w:val="21"/>
                <w:highlight w:val="none"/>
              </w:rPr>
              <w:t>2</w:t>
            </w: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37AA73">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841D7C">
            <w:pPr>
              <w:spacing w:line="240" w:lineRule="exact"/>
              <w:jc w:val="center"/>
              <w:rPr>
                <w:bCs/>
                <w:color w:val="auto"/>
                <w:szCs w:val="21"/>
                <w:highlight w:val="none"/>
              </w:rPr>
            </w:pPr>
          </w:p>
        </w:tc>
      </w:tr>
      <w:tr w14:paraId="027FC3C3">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DD99F7">
            <w:pPr>
              <w:spacing w:line="240" w:lineRule="exact"/>
              <w:jc w:val="center"/>
              <w:rPr>
                <w:bCs/>
                <w:color w:val="auto"/>
                <w:szCs w:val="21"/>
                <w:highlight w:val="none"/>
              </w:rPr>
            </w:pPr>
            <w:r>
              <w:rPr>
                <w:rFonts w:hint="eastAsia"/>
                <w:bCs/>
                <w:color w:val="auto"/>
                <w:szCs w:val="21"/>
                <w:highlight w:val="none"/>
              </w:rPr>
              <w:t>5</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7FBC66">
            <w:pPr>
              <w:spacing w:line="240" w:lineRule="exact"/>
              <w:jc w:val="center"/>
              <w:rPr>
                <w:bCs/>
                <w:color w:val="auto"/>
                <w:szCs w:val="21"/>
                <w:highlight w:val="none"/>
              </w:rPr>
            </w:pPr>
            <w:r>
              <w:rPr>
                <w:rFonts w:hint="eastAsia"/>
                <w:bCs/>
                <w:color w:val="auto"/>
                <w:szCs w:val="21"/>
                <w:highlight w:val="none"/>
              </w:rPr>
              <w:t>5#监狱大门</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822A7A">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F5C6F4">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6ED859">
            <w:pPr>
              <w:spacing w:line="240" w:lineRule="exact"/>
              <w:jc w:val="center"/>
              <w:rPr>
                <w:bCs/>
                <w:color w:val="auto"/>
                <w:szCs w:val="21"/>
                <w:highlight w:val="none"/>
              </w:rPr>
            </w:pPr>
            <w:r>
              <w:rPr>
                <w:rFonts w:hint="eastAsia"/>
                <w:bCs/>
                <w:color w:val="auto"/>
                <w:szCs w:val="21"/>
                <w:highlight w:val="none"/>
              </w:rPr>
              <w:t>1</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9F0AF3">
            <w:pPr>
              <w:spacing w:line="240" w:lineRule="exact"/>
              <w:jc w:val="center"/>
              <w:rPr>
                <w:bCs/>
                <w:color w:val="auto"/>
                <w:szCs w:val="21"/>
                <w:highlight w:val="none"/>
              </w:rPr>
            </w:pPr>
            <w:r>
              <w:rPr>
                <w:rFonts w:hint="eastAsia"/>
                <w:bCs/>
                <w:color w:val="auto"/>
                <w:szCs w:val="21"/>
                <w:highlight w:val="none"/>
              </w:rPr>
              <w:t>1</w:t>
            </w:r>
          </w:p>
        </w:tc>
      </w:tr>
      <w:tr w14:paraId="3F7A1700">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CD639B">
            <w:pPr>
              <w:spacing w:line="240" w:lineRule="exact"/>
              <w:jc w:val="center"/>
              <w:rPr>
                <w:bCs/>
                <w:color w:val="auto"/>
                <w:szCs w:val="21"/>
                <w:highlight w:val="none"/>
              </w:rPr>
            </w:pPr>
            <w:r>
              <w:rPr>
                <w:rFonts w:hint="eastAsia"/>
                <w:bCs/>
                <w:color w:val="auto"/>
                <w:szCs w:val="21"/>
                <w:highlight w:val="none"/>
              </w:rPr>
              <w:t>6</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394007">
            <w:pPr>
              <w:spacing w:line="240" w:lineRule="exact"/>
              <w:jc w:val="center"/>
              <w:rPr>
                <w:bCs/>
                <w:color w:val="auto"/>
                <w:szCs w:val="21"/>
                <w:highlight w:val="none"/>
              </w:rPr>
            </w:pPr>
            <w:r>
              <w:rPr>
                <w:rFonts w:hint="eastAsia"/>
                <w:bCs/>
                <w:color w:val="auto"/>
                <w:szCs w:val="21"/>
                <w:highlight w:val="none"/>
              </w:rPr>
              <w:t>6#备勤综合楼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BBB626">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68EADE">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2BFEA6">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200EEA">
            <w:pPr>
              <w:spacing w:line="240" w:lineRule="exact"/>
              <w:jc w:val="center"/>
              <w:rPr>
                <w:bCs/>
                <w:color w:val="auto"/>
                <w:szCs w:val="21"/>
                <w:highlight w:val="none"/>
              </w:rPr>
            </w:pPr>
          </w:p>
        </w:tc>
      </w:tr>
      <w:tr w14:paraId="4B8F0BFA">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53BAB4">
            <w:pPr>
              <w:spacing w:line="240" w:lineRule="exact"/>
              <w:jc w:val="center"/>
              <w:rPr>
                <w:bCs/>
                <w:color w:val="auto"/>
                <w:szCs w:val="21"/>
                <w:highlight w:val="none"/>
              </w:rPr>
            </w:pPr>
            <w:r>
              <w:rPr>
                <w:rFonts w:hint="eastAsia"/>
                <w:bCs/>
                <w:color w:val="auto"/>
                <w:szCs w:val="21"/>
                <w:highlight w:val="none"/>
              </w:rPr>
              <w:t>7</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05C669">
            <w:pPr>
              <w:spacing w:line="240" w:lineRule="exact"/>
              <w:jc w:val="center"/>
              <w:rPr>
                <w:bCs/>
                <w:color w:val="auto"/>
                <w:szCs w:val="21"/>
                <w:highlight w:val="none"/>
              </w:rPr>
            </w:pPr>
            <w:r>
              <w:rPr>
                <w:rFonts w:hint="eastAsia"/>
                <w:bCs/>
                <w:color w:val="auto"/>
                <w:szCs w:val="21"/>
                <w:highlight w:val="none"/>
              </w:rPr>
              <w:t>7#后勤服务楼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F5A462">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C6304E">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B91B0">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5C2772">
            <w:pPr>
              <w:spacing w:line="240" w:lineRule="exact"/>
              <w:jc w:val="center"/>
              <w:rPr>
                <w:bCs/>
                <w:color w:val="auto"/>
                <w:szCs w:val="21"/>
                <w:highlight w:val="none"/>
              </w:rPr>
            </w:pPr>
          </w:p>
        </w:tc>
      </w:tr>
      <w:tr w14:paraId="65E9BD69">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6E4484">
            <w:pPr>
              <w:spacing w:line="240" w:lineRule="exact"/>
              <w:jc w:val="center"/>
              <w:rPr>
                <w:bCs/>
                <w:color w:val="auto"/>
                <w:szCs w:val="21"/>
                <w:highlight w:val="none"/>
              </w:rPr>
            </w:pPr>
            <w:r>
              <w:rPr>
                <w:rFonts w:hint="eastAsia"/>
                <w:bCs/>
                <w:color w:val="auto"/>
                <w:szCs w:val="21"/>
                <w:highlight w:val="none"/>
              </w:rPr>
              <w:t>8</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E74009">
            <w:pPr>
              <w:spacing w:line="240" w:lineRule="exact"/>
              <w:jc w:val="center"/>
              <w:rPr>
                <w:bCs/>
                <w:color w:val="auto"/>
                <w:szCs w:val="21"/>
                <w:highlight w:val="none"/>
              </w:rPr>
            </w:pPr>
            <w:r>
              <w:rPr>
                <w:rFonts w:hint="eastAsia"/>
                <w:bCs/>
                <w:color w:val="auto"/>
                <w:szCs w:val="21"/>
                <w:highlight w:val="none"/>
              </w:rPr>
              <w:t>物流安检中心</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EE63CD">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E33661">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5176D9">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C16534">
            <w:pPr>
              <w:spacing w:line="240" w:lineRule="exact"/>
              <w:jc w:val="center"/>
              <w:rPr>
                <w:bCs/>
                <w:color w:val="auto"/>
                <w:szCs w:val="21"/>
                <w:highlight w:val="none"/>
              </w:rPr>
            </w:pPr>
          </w:p>
        </w:tc>
      </w:tr>
      <w:tr w14:paraId="623B841D">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C96198">
            <w:pPr>
              <w:spacing w:line="240" w:lineRule="exact"/>
              <w:jc w:val="center"/>
              <w:rPr>
                <w:bCs/>
                <w:color w:val="auto"/>
                <w:szCs w:val="21"/>
                <w:highlight w:val="none"/>
              </w:rPr>
            </w:pPr>
            <w:r>
              <w:rPr>
                <w:rFonts w:hint="eastAsia"/>
                <w:bCs/>
                <w:color w:val="auto"/>
                <w:szCs w:val="21"/>
                <w:highlight w:val="none"/>
              </w:rPr>
              <w:t>9</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A099AB">
            <w:pPr>
              <w:spacing w:line="240" w:lineRule="exact"/>
              <w:jc w:val="center"/>
              <w:rPr>
                <w:bCs/>
                <w:color w:val="auto"/>
                <w:szCs w:val="21"/>
                <w:highlight w:val="none"/>
              </w:rPr>
            </w:pPr>
            <w:r>
              <w:rPr>
                <w:rFonts w:hint="eastAsia"/>
                <w:bCs/>
                <w:color w:val="auto"/>
                <w:szCs w:val="21"/>
                <w:highlight w:val="none"/>
              </w:rPr>
              <w:t>罪犯伙房</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EC12BF">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BACDD6">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BC143">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3188AB">
            <w:pPr>
              <w:spacing w:line="240" w:lineRule="exact"/>
              <w:jc w:val="center"/>
              <w:rPr>
                <w:bCs/>
                <w:color w:val="auto"/>
                <w:szCs w:val="21"/>
                <w:highlight w:val="none"/>
              </w:rPr>
            </w:pPr>
          </w:p>
        </w:tc>
      </w:tr>
      <w:tr w14:paraId="6D85D1A8">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8D54EB">
            <w:pPr>
              <w:spacing w:line="240" w:lineRule="exact"/>
              <w:jc w:val="center"/>
              <w:rPr>
                <w:bCs/>
                <w:color w:val="auto"/>
                <w:szCs w:val="21"/>
                <w:highlight w:val="none"/>
              </w:rPr>
            </w:pPr>
            <w:r>
              <w:rPr>
                <w:rFonts w:hint="eastAsia"/>
                <w:bCs/>
                <w:color w:val="auto"/>
                <w:szCs w:val="21"/>
                <w:highlight w:val="none"/>
              </w:rPr>
              <w:t>10</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293428">
            <w:pPr>
              <w:spacing w:line="240" w:lineRule="exact"/>
              <w:jc w:val="center"/>
              <w:rPr>
                <w:bCs/>
                <w:color w:val="auto"/>
                <w:szCs w:val="21"/>
                <w:highlight w:val="none"/>
              </w:rPr>
            </w:pPr>
            <w:r>
              <w:rPr>
                <w:rFonts w:hint="eastAsia"/>
                <w:bCs/>
                <w:color w:val="auto"/>
                <w:szCs w:val="21"/>
                <w:highlight w:val="none"/>
              </w:rPr>
              <w:t>警察办公楼</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CC2484">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534674">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06D37">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6BF059">
            <w:pPr>
              <w:spacing w:line="240" w:lineRule="exact"/>
              <w:jc w:val="center"/>
              <w:rPr>
                <w:bCs/>
                <w:color w:val="auto"/>
                <w:szCs w:val="21"/>
                <w:highlight w:val="none"/>
              </w:rPr>
            </w:pPr>
          </w:p>
        </w:tc>
      </w:tr>
      <w:tr w14:paraId="299F53C9">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DBBBE">
            <w:pPr>
              <w:spacing w:line="240" w:lineRule="exact"/>
              <w:jc w:val="center"/>
              <w:rPr>
                <w:bCs/>
                <w:color w:val="auto"/>
                <w:szCs w:val="21"/>
                <w:highlight w:val="none"/>
              </w:rPr>
            </w:pPr>
            <w:r>
              <w:rPr>
                <w:rFonts w:hint="eastAsia"/>
                <w:bCs/>
                <w:color w:val="auto"/>
                <w:szCs w:val="21"/>
                <w:highlight w:val="none"/>
              </w:rPr>
              <w:t>11</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0838B8">
            <w:pPr>
              <w:spacing w:line="240" w:lineRule="exact"/>
              <w:jc w:val="center"/>
              <w:rPr>
                <w:bCs/>
                <w:color w:val="auto"/>
                <w:szCs w:val="21"/>
                <w:highlight w:val="none"/>
              </w:rPr>
            </w:pPr>
            <w:r>
              <w:rPr>
                <w:rFonts w:hint="eastAsia"/>
                <w:bCs/>
                <w:color w:val="auto"/>
                <w:szCs w:val="21"/>
                <w:highlight w:val="none"/>
              </w:rPr>
              <w:t>岗楼1</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57B2AB">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447913">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761F72">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787513">
            <w:pPr>
              <w:spacing w:line="240" w:lineRule="exact"/>
              <w:jc w:val="center"/>
              <w:rPr>
                <w:bCs/>
                <w:color w:val="auto"/>
                <w:szCs w:val="21"/>
                <w:highlight w:val="none"/>
              </w:rPr>
            </w:pPr>
          </w:p>
        </w:tc>
      </w:tr>
      <w:tr w14:paraId="5200385F">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BA79C0">
            <w:pPr>
              <w:spacing w:line="240" w:lineRule="exact"/>
              <w:jc w:val="center"/>
              <w:rPr>
                <w:bCs/>
                <w:color w:val="auto"/>
                <w:szCs w:val="21"/>
                <w:highlight w:val="none"/>
              </w:rPr>
            </w:pPr>
            <w:r>
              <w:rPr>
                <w:rFonts w:hint="eastAsia"/>
                <w:bCs/>
                <w:color w:val="auto"/>
                <w:szCs w:val="21"/>
                <w:highlight w:val="none"/>
              </w:rPr>
              <w:t>12</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A59E53">
            <w:pPr>
              <w:spacing w:line="240" w:lineRule="exact"/>
              <w:jc w:val="center"/>
              <w:rPr>
                <w:bCs/>
                <w:color w:val="auto"/>
                <w:szCs w:val="21"/>
                <w:highlight w:val="none"/>
              </w:rPr>
            </w:pPr>
            <w:r>
              <w:rPr>
                <w:rFonts w:hint="eastAsia"/>
                <w:bCs/>
                <w:color w:val="auto"/>
                <w:szCs w:val="21"/>
                <w:highlight w:val="none"/>
              </w:rPr>
              <w:t>岗楼2</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2509DD">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02B0EB">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56F4F9">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FA1CBC">
            <w:pPr>
              <w:spacing w:line="240" w:lineRule="exact"/>
              <w:jc w:val="center"/>
              <w:rPr>
                <w:bCs/>
                <w:color w:val="auto"/>
                <w:szCs w:val="21"/>
                <w:highlight w:val="none"/>
              </w:rPr>
            </w:pPr>
          </w:p>
        </w:tc>
      </w:tr>
      <w:tr w14:paraId="2AE2BB53">
        <w:tblPrEx>
          <w:tblCellMar>
            <w:top w:w="0" w:type="dxa"/>
            <w:left w:w="0" w:type="dxa"/>
            <w:bottom w:w="0" w:type="dxa"/>
            <w:right w:w="0" w:type="dxa"/>
          </w:tblCellMar>
        </w:tblPrEx>
        <w:trPr>
          <w:trHeight w:val="270" w:hRule="atLeast"/>
        </w:trPr>
        <w:tc>
          <w:tcPr>
            <w:tcW w:w="7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EFA728">
            <w:pPr>
              <w:spacing w:line="240" w:lineRule="exact"/>
              <w:jc w:val="center"/>
              <w:rPr>
                <w:bCs/>
                <w:color w:val="auto"/>
                <w:szCs w:val="21"/>
                <w:highlight w:val="none"/>
              </w:rPr>
            </w:pPr>
            <w:r>
              <w:rPr>
                <w:rFonts w:hint="eastAsia"/>
                <w:bCs/>
                <w:color w:val="auto"/>
                <w:szCs w:val="21"/>
                <w:highlight w:val="none"/>
              </w:rPr>
              <w:t>13</w:t>
            </w:r>
          </w:p>
        </w:tc>
        <w:tc>
          <w:tcPr>
            <w:tcW w:w="175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DFF7F3">
            <w:pPr>
              <w:spacing w:line="240" w:lineRule="exact"/>
              <w:jc w:val="center"/>
              <w:rPr>
                <w:bCs/>
                <w:color w:val="auto"/>
                <w:szCs w:val="21"/>
                <w:highlight w:val="none"/>
              </w:rPr>
            </w:pPr>
            <w:r>
              <w:rPr>
                <w:rFonts w:hint="eastAsia"/>
                <w:bCs/>
                <w:color w:val="auto"/>
                <w:szCs w:val="21"/>
                <w:highlight w:val="none"/>
              </w:rPr>
              <w:t>行政区大门</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678BD3">
            <w:pPr>
              <w:spacing w:line="240" w:lineRule="exact"/>
              <w:jc w:val="center"/>
              <w:rPr>
                <w:bCs/>
                <w:color w:val="auto"/>
                <w:szCs w:val="21"/>
                <w:highlight w:val="none"/>
              </w:rPr>
            </w:pP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960FDD">
            <w:pPr>
              <w:spacing w:line="240" w:lineRule="exact"/>
              <w:jc w:val="center"/>
              <w:rPr>
                <w:bCs/>
                <w:color w:val="auto"/>
                <w:szCs w:val="21"/>
                <w:highlight w:val="none"/>
              </w:rPr>
            </w:pP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29AF9B">
            <w:pPr>
              <w:spacing w:line="240" w:lineRule="exact"/>
              <w:jc w:val="center"/>
              <w:rPr>
                <w:bCs/>
                <w:color w:val="auto"/>
                <w:szCs w:val="21"/>
                <w:highlight w:val="none"/>
              </w:rPr>
            </w:pP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DC0845">
            <w:pPr>
              <w:spacing w:line="240" w:lineRule="exact"/>
              <w:jc w:val="center"/>
              <w:rPr>
                <w:bCs/>
                <w:color w:val="auto"/>
                <w:szCs w:val="21"/>
                <w:highlight w:val="none"/>
              </w:rPr>
            </w:pPr>
          </w:p>
        </w:tc>
      </w:tr>
      <w:tr w14:paraId="5E8CB471">
        <w:tblPrEx>
          <w:tblCellMar>
            <w:top w:w="0" w:type="dxa"/>
            <w:left w:w="0" w:type="dxa"/>
            <w:bottom w:w="0" w:type="dxa"/>
            <w:right w:w="0" w:type="dxa"/>
          </w:tblCellMar>
        </w:tblPrEx>
        <w:trPr>
          <w:trHeight w:val="409" w:hRule="atLeast"/>
        </w:trPr>
        <w:tc>
          <w:tcPr>
            <w:tcW w:w="2551"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7B6D87">
            <w:pPr>
              <w:spacing w:line="240" w:lineRule="exact"/>
              <w:jc w:val="center"/>
              <w:rPr>
                <w:bCs/>
                <w:color w:val="auto"/>
                <w:szCs w:val="21"/>
                <w:highlight w:val="none"/>
              </w:rPr>
            </w:pPr>
            <w:r>
              <w:rPr>
                <w:rFonts w:hint="eastAsia"/>
                <w:bCs/>
                <w:color w:val="auto"/>
                <w:szCs w:val="21"/>
                <w:highlight w:val="none"/>
              </w:rPr>
              <w:t>合计</w:t>
            </w:r>
          </w:p>
        </w:tc>
        <w:tc>
          <w:tcPr>
            <w:tcW w:w="16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55278A">
            <w:pPr>
              <w:spacing w:line="240" w:lineRule="exact"/>
              <w:jc w:val="center"/>
              <w:rPr>
                <w:bCs/>
                <w:color w:val="auto"/>
                <w:szCs w:val="21"/>
                <w:highlight w:val="none"/>
              </w:rPr>
            </w:pPr>
            <w:r>
              <w:rPr>
                <w:bCs/>
                <w:color w:val="auto"/>
                <w:szCs w:val="21"/>
                <w:highlight w:val="none"/>
              </w:rPr>
              <w:t>195</w:t>
            </w:r>
          </w:p>
        </w:tc>
        <w:tc>
          <w:tcPr>
            <w:tcW w:w="13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07855B">
            <w:pPr>
              <w:spacing w:line="240" w:lineRule="exact"/>
              <w:jc w:val="center"/>
              <w:rPr>
                <w:bCs/>
                <w:color w:val="auto"/>
                <w:szCs w:val="21"/>
                <w:highlight w:val="none"/>
              </w:rPr>
            </w:pPr>
            <w:r>
              <w:rPr>
                <w:bCs/>
                <w:color w:val="auto"/>
                <w:szCs w:val="21"/>
                <w:highlight w:val="none"/>
              </w:rPr>
              <w:t>17</w:t>
            </w:r>
          </w:p>
        </w:tc>
        <w:tc>
          <w:tcPr>
            <w:tcW w:w="13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707E4C">
            <w:pPr>
              <w:spacing w:line="240" w:lineRule="exact"/>
              <w:jc w:val="center"/>
              <w:rPr>
                <w:bCs/>
                <w:color w:val="auto"/>
                <w:szCs w:val="21"/>
                <w:highlight w:val="none"/>
              </w:rPr>
            </w:pPr>
            <w:r>
              <w:rPr>
                <w:rFonts w:hint="eastAsia"/>
                <w:bCs/>
                <w:color w:val="auto"/>
                <w:szCs w:val="21"/>
                <w:highlight w:val="none"/>
              </w:rPr>
              <w:t>1</w:t>
            </w:r>
          </w:p>
        </w:tc>
        <w:tc>
          <w:tcPr>
            <w:tcW w:w="13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44E66C">
            <w:pPr>
              <w:spacing w:line="240" w:lineRule="exact"/>
              <w:jc w:val="center"/>
              <w:rPr>
                <w:bCs/>
                <w:color w:val="auto"/>
                <w:szCs w:val="21"/>
                <w:highlight w:val="none"/>
              </w:rPr>
            </w:pPr>
            <w:r>
              <w:rPr>
                <w:rFonts w:hint="eastAsia"/>
                <w:bCs/>
                <w:color w:val="auto"/>
                <w:szCs w:val="21"/>
                <w:highlight w:val="none"/>
              </w:rPr>
              <w:t>1</w:t>
            </w:r>
          </w:p>
        </w:tc>
      </w:tr>
    </w:tbl>
    <w:p w14:paraId="594F76CD">
      <w:pPr>
        <w:pStyle w:val="59"/>
        <w:spacing w:line="360" w:lineRule="auto"/>
        <w:ind w:firstLine="420" w:firstLineChars="200"/>
        <w:rPr>
          <w:color w:val="auto"/>
          <w:highlight w:val="none"/>
        </w:rPr>
      </w:pPr>
    </w:p>
    <w:p w14:paraId="6DF592FD">
      <w:pPr>
        <w:pStyle w:val="10"/>
        <w:spacing w:before="0" w:after="0" w:line="360" w:lineRule="auto"/>
        <w:ind w:firstLine="643" w:firstLineChars="200"/>
        <w:rPr>
          <w:color w:val="auto"/>
          <w:highlight w:val="none"/>
        </w:rPr>
      </w:pPr>
      <w:r>
        <w:rPr>
          <w:rFonts w:hint="eastAsia"/>
          <w:color w:val="auto"/>
          <w:highlight w:val="none"/>
        </w:rPr>
        <w:t>4.12出入口管理系统</w:t>
      </w:r>
    </w:p>
    <w:p w14:paraId="7E0E792C">
      <w:pPr>
        <w:spacing w:line="360" w:lineRule="auto"/>
        <w:ind w:firstLine="420" w:firstLineChars="200"/>
        <w:rPr>
          <w:rFonts w:ascii="宋体" w:hAnsi="宋体"/>
          <w:bCs/>
          <w:color w:val="auto"/>
          <w:highlight w:val="none"/>
        </w:rPr>
      </w:pPr>
      <w:r>
        <w:rPr>
          <w:rFonts w:hint="eastAsia" w:ascii="宋体" w:hAnsi="宋体"/>
          <w:bCs/>
          <w:color w:val="auto"/>
          <w:highlight w:val="none"/>
        </w:rPr>
        <w:t>出入口管理系统是通过身份识别认证和联网管理技术，对需要控制的各类出入口，按各种不同的通行对象及对象准入级别，对人员、车辆进出实施实时控制与管理。通过为罪犯、警察、会见人员等配发识别卡并绑定身份，并在出入口、通道等重点区域或环节部署识别载体或设备，从而有效地对本监狱各区域的门禁出入控制、会见等业务活动进行信息化管理。</w:t>
      </w:r>
    </w:p>
    <w:p w14:paraId="5007EA9C">
      <w:pPr>
        <w:spacing w:line="360" w:lineRule="auto"/>
        <w:ind w:firstLine="420" w:firstLineChars="200"/>
        <w:rPr>
          <w:rFonts w:ascii="宋体" w:hAnsi="宋体"/>
          <w:bCs/>
          <w:color w:val="auto"/>
          <w:highlight w:val="none"/>
        </w:rPr>
      </w:pPr>
      <w:r>
        <w:rPr>
          <w:rFonts w:hint="eastAsia" w:ascii="宋体" w:hAnsi="宋体"/>
          <w:bCs/>
          <w:color w:val="auto"/>
          <w:highlight w:val="none"/>
        </w:rPr>
        <w:t>监狱出入口按功能区分主要包括监区大门（AB门）、监区建筑物通道门（监舍楼、医院病房和会见楼等）、监舍门（监舍、谈话室等）、行政办公楼通道门等几种类型。本着“绝对安全、绝对可靠”的原则，根据实际情况需要对各类型的出入口加装不同类型的门禁系统，出入口的物理隔离设施和门禁系统共同组成了出入口管理系统。结合本监狱自身的建筑布局特点及功能需求，统一规划、分类设计，具体部署根据出入口流程要求设置。其中，监舍门分为两挡，一档开一半，</w:t>
      </w:r>
      <w:r>
        <w:rPr>
          <w:rFonts w:ascii="宋体" w:hAnsi="宋体"/>
          <w:bCs/>
          <w:color w:val="auto"/>
          <w:highlight w:val="none"/>
        </w:rPr>
        <w:t>两档为全开</w:t>
      </w:r>
      <w:r>
        <w:rPr>
          <w:rFonts w:hint="eastAsia" w:ascii="宋体" w:hAnsi="宋体"/>
          <w:bCs/>
          <w:color w:val="auto"/>
          <w:highlight w:val="none"/>
        </w:rPr>
        <w:t>。</w:t>
      </w:r>
    </w:p>
    <w:p w14:paraId="240406BB">
      <w:pPr>
        <w:spacing w:line="360" w:lineRule="auto"/>
        <w:ind w:firstLine="420" w:firstLineChars="200"/>
        <w:rPr>
          <w:rFonts w:ascii="宋体" w:hAnsi="宋体"/>
          <w:bCs/>
          <w:color w:val="auto"/>
          <w:highlight w:val="none"/>
        </w:rPr>
      </w:pPr>
      <w:r>
        <w:rPr>
          <w:rFonts w:hint="eastAsia" w:ascii="宋体" w:hAnsi="宋体"/>
          <w:bCs/>
          <w:color w:val="auto"/>
          <w:highlight w:val="none"/>
        </w:rPr>
        <w:t>安检相关设备（车底扫描仪、生命探测仪）也一并计入出入口管理系统统一考虑。</w:t>
      </w:r>
    </w:p>
    <w:p w14:paraId="36164CDA">
      <w:pPr>
        <w:pStyle w:val="11"/>
        <w:spacing w:before="0" w:after="0" w:line="360" w:lineRule="auto"/>
        <w:ind w:firstLine="562" w:firstLineChars="200"/>
        <w:rPr>
          <w:color w:val="auto"/>
          <w:highlight w:val="none"/>
        </w:rPr>
      </w:pPr>
      <w:bookmarkStart w:id="689" w:name="_Toc47966598"/>
      <w:bookmarkStart w:id="690" w:name="_Toc25424"/>
      <w:r>
        <w:rPr>
          <w:rFonts w:hint="eastAsia"/>
          <w:color w:val="auto"/>
          <w:highlight w:val="none"/>
        </w:rPr>
        <w:t>系统架构</w:t>
      </w:r>
      <w:bookmarkEnd w:id="689"/>
      <w:bookmarkEnd w:id="690"/>
    </w:p>
    <w:p w14:paraId="459C1903">
      <w:pPr>
        <w:pStyle w:val="12"/>
        <w:tabs>
          <w:tab w:val="left" w:pos="864"/>
        </w:tabs>
        <w:spacing w:line="360" w:lineRule="auto"/>
        <w:ind w:left="0" w:firstLine="420" w:firstLineChars="200"/>
        <w:rPr>
          <w:color w:val="auto"/>
          <w:highlight w:val="none"/>
        </w:rPr>
      </w:pPr>
      <w:r>
        <w:rPr>
          <w:rFonts w:hint="eastAsia"/>
          <w:color w:val="auto"/>
          <w:highlight w:val="none"/>
        </w:rPr>
        <w:t>系统架构</w:t>
      </w:r>
    </w:p>
    <w:p w14:paraId="1146EBDE">
      <w:pPr>
        <w:spacing w:line="360" w:lineRule="auto"/>
        <w:ind w:firstLine="420" w:firstLineChars="200"/>
        <w:rPr>
          <w:bCs/>
          <w:color w:val="auto"/>
          <w:highlight w:val="none"/>
        </w:rPr>
      </w:pPr>
      <w:r>
        <w:rPr>
          <w:rFonts w:hint="eastAsia"/>
          <w:bCs/>
          <w:color w:val="auto"/>
          <w:highlight w:val="none"/>
        </w:rPr>
        <w:t>本系统采用全IP架构。系统架构如下图所示：</w:t>
      </w:r>
    </w:p>
    <w:p w14:paraId="3CB6E581">
      <w:pPr>
        <w:spacing w:line="360" w:lineRule="auto"/>
        <w:ind w:firstLine="420" w:firstLineChars="200"/>
        <w:rPr>
          <w:bCs/>
          <w:color w:val="auto"/>
          <w:highlight w:val="none"/>
        </w:rPr>
      </w:pPr>
      <w:r>
        <w:rPr>
          <w:bCs/>
          <w:color w:val="auto"/>
          <w:highlight w:val="none"/>
        </w:rPr>
        <w:drawing>
          <wp:inline distT="0" distB="0" distL="114300" distR="114300">
            <wp:extent cx="5356860" cy="2872740"/>
            <wp:effectExtent l="0" t="0" r="15240" b="3810"/>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pic:cNvPicPr>
                      <a:picLocks noChangeAspect="1"/>
                    </pic:cNvPicPr>
                  </pic:nvPicPr>
                  <pic:blipFill>
                    <a:blip r:embed="rId38"/>
                    <a:stretch>
                      <a:fillRect/>
                    </a:stretch>
                  </pic:blipFill>
                  <pic:spPr>
                    <a:xfrm>
                      <a:off x="0" y="0"/>
                      <a:ext cx="5356860" cy="2872740"/>
                    </a:xfrm>
                    <a:prstGeom prst="rect">
                      <a:avLst/>
                    </a:prstGeom>
                    <a:noFill/>
                    <a:ln>
                      <a:noFill/>
                    </a:ln>
                  </pic:spPr>
                </pic:pic>
              </a:graphicData>
            </a:graphic>
          </wp:inline>
        </w:drawing>
      </w:r>
    </w:p>
    <w:p w14:paraId="136730CB">
      <w:pPr>
        <w:spacing w:line="360" w:lineRule="auto"/>
        <w:ind w:firstLine="420" w:firstLineChars="200"/>
        <w:rPr>
          <w:bCs/>
          <w:color w:val="auto"/>
          <w:highlight w:val="none"/>
        </w:rPr>
      </w:pPr>
      <w:r>
        <w:rPr>
          <w:rFonts w:hint="eastAsia"/>
          <w:bCs/>
          <w:color w:val="auto"/>
          <w:highlight w:val="none"/>
        </w:rPr>
        <w:t>出入口管理系统主要由物理隔离设施、门锁、感应卡、感应读卡器、门禁控制器、生物识别设备、发卡器、管理软件、管理服务器、管理终端等组成，指挥中心、分控中心和联勤值班室通过管理终端实现对所属管理的门禁的授权、控制和报警管理等。系统采用高稳定性的门禁控制器，通过设备SDK直接开发的方式接入到监狱安防集成平台中，实现监舍门、通道门、AB门等主要控制门的状态实时显示及门禁事件信息的集中处理等，并与视频监控、报警等子系统进行联动，提高值班民警应对事件的反应能力。</w:t>
      </w:r>
    </w:p>
    <w:p w14:paraId="40E2A367">
      <w:pPr>
        <w:spacing w:line="360" w:lineRule="auto"/>
        <w:ind w:firstLine="420" w:firstLineChars="200"/>
        <w:rPr>
          <w:bCs/>
          <w:color w:val="auto"/>
          <w:highlight w:val="none"/>
        </w:rPr>
      </w:pPr>
    </w:p>
    <w:p w14:paraId="475AA2AC">
      <w:pPr>
        <w:pStyle w:val="11"/>
        <w:spacing w:before="0" w:after="0" w:line="360" w:lineRule="auto"/>
        <w:ind w:firstLine="562" w:firstLineChars="200"/>
        <w:rPr>
          <w:color w:val="auto"/>
          <w:highlight w:val="none"/>
        </w:rPr>
      </w:pPr>
      <w:r>
        <w:rPr>
          <w:rFonts w:hint="eastAsia"/>
          <w:color w:val="auto"/>
          <w:highlight w:val="none"/>
        </w:rPr>
        <w:t>设计方案</w:t>
      </w:r>
    </w:p>
    <w:p w14:paraId="18CC4259">
      <w:pPr>
        <w:spacing w:line="360" w:lineRule="auto"/>
        <w:ind w:firstLine="420" w:firstLineChars="200"/>
        <w:rPr>
          <w:rFonts w:ascii="宋体" w:hAnsi="宋体"/>
          <w:bCs/>
          <w:color w:val="auto"/>
          <w:highlight w:val="none"/>
        </w:rPr>
      </w:pPr>
      <w:r>
        <w:rPr>
          <w:rFonts w:hint="eastAsia"/>
          <w:bCs/>
          <w:color w:val="auto"/>
          <w:highlight w:val="none"/>
        </w:rPr>
        <w:t>本系统主要包括门禁控制系统、AB门控制系统、梯控系统、智能卡管理系统及安检相关设备。</w:t>
      </w:r>
      <w:r>
        <w:rPr>
          <w:rFonts w:hint="eastAsia" w:ascii="宋体" w:hAnsi="宋体"/>
          <w:bCs/>
          <w:color w:val="auto"/>
          <w:highlight w:val="none"/>
        </w:rPr>
        <w:t>系统可实现如下功能：</w:t>
      </w:r>
    </w:p>
    <w:p w14:paraId="67278C48">
      <w:pPr>
        <w:numPr>
          <w:ilvl w:val="0"/>
          <w:numId w:val="32"/>
        </w:numPr>
        <w:spacing w:line="360" w:lineRule="auto"/>
        <w:ind w:left="0" w:firstLine="420" w:firstLineChars="200"/>
        <w:rPr>
          <w:rFonts w:ascii="宋体" w:hAnsi="宋体"/>
          <w:bCs/>
          <w:color w:val="auto"/>
          <w:highlight w:val="none"/>
        </w:rPr>
      </w:pPr>
      <w:r>
        <w:rPr>
          <w:rFonts w:ascii="宋体" w:hAnsi="宋体"/>
          <w:bCs/>
          <w:color w:val="auto"/>
          <w:highlight w:val="none"/>
        </w:rPr>
        <w:t>具有远程显示管理各门禁管理出入口的开启状态、进出人员和时间信息，GIS映射管理状态信息，违规刷卡和长时开启告警信息，联动的监控及抓拍信息等功能</w:t>
      </w:r>
      <w:r>
        <w:rPr>
          <w:rFonts w:hint="eastAsia" w:ascii="宋体" w:hAnsi="宋体"/>
          <w:bCs/>
          <w:color w:val="auto"/>
          <w:highlight w:val="none"/>
        </w:rPr>
        <w:t>；</w:t>
      </w:r>
    </w:p>
    <w:p w14:paraId="444B6BF4">
      <w:pPr>
        <w:numPr>
          <w:ilvl w:val="0"/>
          <w:numId w:val="32"/>
        </w:numPr>
        <w:spacing w:line="360" w:lineRule="auto"/>
        <w:ind w:left="0" w:firstLine="420" w:firstLineChars="200"/>
        <w:rPr>
          <w:rFonts w:ascii="宋体" w:hAnsi="宋体"/>
          <w:bCs/>
          <w:color w:val="auto"/>
          <w:highlight w:val="none"/>
        </w:rPr>
      </w:pPr>
      <w:r>
        <w:rPr>
          <w:rFonts w:ascii="宋体" w:hAnsi="宋体"/>
          <w:bCs/>
          <w:color w:val="auto"/>
          <w:highlight w:val="none"/>
        </w:rPr>
        <w:t>有对现场执勤</w:t>
      </w:r>
      <w:r>
        <w:rPr>
          <w:rFonts w:hint="eastAsia" w:ascii="宋体" w:hAnsi="宋体"/>
          <w:bCs/>
          <w:color w:val="auto"/>
          <w:highlight w:val="none"/>
        </w:rPr>
        <w:t>警察</w:t>
      </w:r>
      <w:r>
        <w:rPr>
          <w:rFonts w:ascii="宋体" w:hAnsi="宋体"/>
          <w:bCs/>
          <w:color w:val="auto"/>
          <w:highlight w:val="none"/>
        </w:rPr>
        <w:t>进行查询统计、联动调度管理的功能</w:t>
      </w:r>
      <w:r>
        <w:rPr>
          <w:rFonts w:hint="eastAsia" w:ascii="宋体" w:hAnsi="宋体"/>
          <w:bCs/>
          <w:color w:val="auto"/>
          <w:highlight w:val="none"/>
        </w:rPr>
        <w:t>；</w:t>
      </w:r>
    </w:p>
    <w:p w14:paraId="44A299C2">
      <w:pPr>
        <w:numPr>
          <w:ilvl w:val="0"/>
          <w:numId w:val="32"/>
        </w:numPr>
        <w:spacing w:line="360" w:lineRule="auto"/>
        <w:ind w:left="0" w:firstLine="420" w:firstLineChars="200"/>
        <w:rPr>
          <w:rFonts w:ascii="宋体" w:hAnsi="宋体"/>
          <w:bCs/>
          <w:color w:val="auto"/>
          <w:highlight w:val="none"/>
        </w:rPr>
      </w:pPr>
      <w:r>
        <w:rPr>
          <w:rFonts w:ascii="宋体" w:hAnsi="宋体"/>
          <w:bCs/>
          <w:color w:val="auto"/>
          <w:highlight w:val="none"/>
        </w:rPr>
        <w:t>具有远程控制管理</w:t>
      </w:r>
      <w:r>
        <w:rPr>
          <w:rFonts w:hint="eastAsia" w:ascii="宋体" w:hAnsi="宋体"/>
          <w:bCs/>
          <w:color w:val="auto"/>
          <w:highlight w:val="none"/>
        </w:rPr>
        <w:t>管控</w:t>
      </w:r>
      <w:r>
        <w:rPr>
          <w:rFonts w:ascii="宋体" w:hAnsi="宋体"/>
          <w:bCs/>
          <w:color w:val="auto"/>
          <w:highlight w:val="none"/>
        </w:rPr>
        <w:t>功能，实现远程开门、关门、戒严、一键全锁和时段、通道区间门控管理功能。</w:t>
      </w:r>
    </w:p>
    <w:p w14:paraId="16317157">
      <w:pPr>
        <w:pStyle w:val="12"/>
        <w:tabs>
          <w:tab w:val="left" w:pos="864"/>
        </w:tabs>
        <w:spacing w:line="360" w:lineRule="auto"/>
        <w:ind w:left="0" w:firstLine="420" w:firstLineChars="200"/>
        <w:rPr>
          <w:color w:val="auto"/>
          <w:highlight w:val="none"/>
        </w:rPr>
      </w:pPr>
      <w:r>
        <w:rPr>
          <w:rFonts w:hint="eastAsia"/>
          <w:color w:val="auto"/>
          <w:highlight w:val="none"/>
        </w:rPr>
        <w:t>门禁控制系统</w:t>
      </w:r>
    </w:p>
    <w:p w14:paraId="2DF1E0C7">
      <w:pPr>
        <w:spacing w:line="360" w:lineRule="auto"/>
        <w:ind w:firstLine="420" w:firstLineChars="200"/>
        <w:rPr>
          <w:bCs/>
          <w:color w:val="auto"/>
          <w:highlight w:val="none"/>
        </w:rPr>
      </w:pPr>
      <w:r>
        <w:rPr>
          <w:rFonts w:hint="eastAsia"/>
          <w:bCs/>
          <w:color w:val="auto"/>
          <w:highlight w:val="none"/>
        </w:rPr>
        <w:t>1、系统组成</w:t>
      </w:r>
    </w:p>
    <w:p w14:paraId="4569EC01">
      <w:pPr>
        <w:spacing w:line="360" w:lineRule="auto"/>
        <w:ind w:firstLine="420" w:firstLineChars="200"/>
        <w:rPr>
          <w:rFonts w:ascii="宋体"/>
          <w:bCs/>
          <w:color w:val="auto"/>
          <w:highlight w:val="none"/>
        </w:rPr>
      </w:pPr>
      <w:r>
        <w:rPr>
          <w:rFonts w:hint="eastAsia"/>
          <w:bCs/>
          <w:color w:val="auto"/>
          <w:highlight w:val="none"/>
        </w:rPr>
        <w:t>监管区门禁控制系统主要</w:t>
      </w:r>
      <w:r>
        <w:rPr>
          <w:rFonts w:hint="eastAsia" w:ascii="宋体"/>
          <w:bCs/>
          <w:color w:val="auto"/>
          <w:highlight w:val="none"/>
        </w:rPr>
        <w:t>由感应卡、读卡器、生物识别终端、开门按钮、警报指示灯、门禁控制器、门禁触控一体机、管理软件、发卡器等组成。其中，警报指示灯用于显示门的开关状态，门禁触控一体机用于实现各监区、车间、禁闭室、医院与家属会见等的一键开门功能，可实现各楼层门禁的分开控制。门禁系统由UPS集中供电，保证断电后能正常使用，能够与消防系统联动。所有人员进出记录保存周期要求不低于3年。</w:t>
      </w:r>
    </w:p>
    <w:p w14:paraId="25B5EA50">
      <w:pPr>
        <w:spacing w:line="360" w:lineRule="auto"/>
        <w:ind w:firstLine="420" w:firstLineChars="200"/>
        <w:rPr>
          <w:bCs/>
          <w:color w:val="auto"/>
          <w:highlight w:val="none"/>
        </w:rPr>
      </w:pPr>
      <w:r>
        <w:rPr>
          <w:rFonts w:hint="eastAsia"/>
          <w:bCs/>
          <w:color w:val="auto"/>
          <w:highlight w:val="none"/>
        </w:rPr>
        <w:t>通过相关接口，门禁控制系统接入到监狱智能安防集成平台中，实现监舍门、通道门、AB门等主要控制门的状态实时显示及门禁事件信息的集中处理等，并与</w:t>
      </w:r>
      <w:r>
        <w:rPr>
          <w:rFonts w:hint="eastAsia" w:ascii="宋体" w:hAnsi="宋体"/>
          <w:bCs/>
          <w:color w:val="auto"/>
          <w:highlight w:val="none"/>
        </w:rPr>
        <w:t>其他安全防范系统有效联动、集成，</w:t>
      </w:r>
      <w:r>
        <w:rPr>
          <w:rFonts w:hint="eastAsia"/>
          <w:bCs/>
          <w:color w:val="auto"/>
          <w:highlight w:val="none"/>
        </w:rPr>
        <w:t>提高值班警察应对事件的反应能力，</w:t>
      </w:r>
      <w:r>
        <w:rPr>
          <w:rFonts w:hint="eastAsia" w:ascii="宋体" w:hAnsi="宋体"/>
          <w:bCs/>
          <w:color w:val="auto"/>
          <w:highlight w:val="none"/>
        </w:rPr>
        <w:t>从而有效保证监狱安全</w:t>
      </w:r>
      <w:r>
        <w:rPr>
          <w:rFonts w:hint="eastAsia"/>
          <w:bCs/>
          <w:color w:val="auto"/>
          <w:highlight w:val="none"/>
        </w:rPr>
        <w:t>。</w:t>
      </w:r>
    </w:p>
    <w:p w14:paraId="7894D78A">
      <w:pPr>
        <w:spacing w:line="360" w:lineRule="auto"/>
        <w:ind w:firstLine="420" w:firstLineChars="200"/>
        <w:rPr>
          <w:bCs/>
          <w:color w:val="auto"/>
          <w:highlight w:val="none"/>
        </w:rPr>
      </w:pPr>
      <w:r>
        <w:rPr>
          <w:rFonts w:hint="eastAsia"/>
          <w:bCs/>
          <w:color w:val="auto"/>
          <w:highlight w:val="none"/>
        </w:rPr>
        <w:t>2、门禁类型</w:t>
      </w:r>
    </w:p>
    <w:p w14:paraId="36F9CE95">
      <w:pPr>
        <w:spacing w:line="360" w:lineRule="auto"/>
        <w:ind w:firstLine="420" w:firstLineChars="200"/>
        <w:rPr>
          <w:rFonts w:ascii="宋体" w:hAnsi="宋体"/>
          <w:bCs/>
          <w:color w:val="auto"/>
          <w:highlight w:val="none"/>
        </w:rPr>
      </w:pPr>
      <w:r>
        <w:rPr>
          <w:rFonts w:hint="eastAsia" w:ascii="宋体" w:hAnsi="宋体"/>
          <w:bCs/>
          <w:color w:val="auto"/>
          <w:highlight w:val="none"/>
        </w:rPr>
        <w:t>门禁系统根据点位设置类型不同分为如下几类：</w:t>
      </w:r>
    </w:p>
    <w:p w14:paraId="69A12D12">
      <w:pPr>
        <w:spacing w:line="360" w:lineRule="auto"/>
        <w:ind w:firstLine="420" w:firstLineChars="200"/>
        <w:rPr>
          <w:rFonts w:ascii="宋体" w:hAnsi="宋体"/>
          <w:bCs/>
          <w:color w:val="auto"/>
          <w:highlight w:val="none"/>
        </w:rPr>
      </w:pPr>
      <w:r>
        <w:rPr>
          <w:rFonts w:hint="eastAsia" w:ascii="宋体" w:hAnsi="宋体"/>
          <w:bCs/>
          <w:color w:val="auto"/>
          <w:highlight w:val="none"/>
        </w:rPr>
        <w:t>（1）是刷卡认证自动开启门禁</w:t>
      </w:r>
    </w:p>
    <w:p w14:paraId="302799DF">
      <w:pPr>
        <w:spacing w:line="360" w:lineRule="auto"/>
        <w:ind w:firstLine="420" w:firstLineChars="200"/>
        <w:rPr>
          <w:rFonts w:ascii="宋体" w:hAnsi="宋体"/>
          <w:bCs/>
          <w:color w:val="auto"/>
          <w:highlight w:val="none"/>
        </w:rPr>
      </w:pPr>
      <w:r>
        <w:rPr>
          <w:rFonts w:hint="eastAsia" w:ascii="宋体" w:hAnsi="宋体"/>
          <w:bCs/>
          <w:color w:val="auto"/>
          <w:highlight w:val="none"/>
        </w:rPr>
        <w:t>①单向刷卡自动开启单向通行门禁</w:t>
      </w:r>
    </w:p>
    <w:p w14:paraId="672D1B44">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此类门禁为门一侧设置读卡器刷卡开门，另一侧禁止开门，点位主要设置于：监管区大门的入监通道A2门、B1门和出监通道的A2门。</w:t>
      </w:r>
    </w:p>
    <w:p w14:paraId="74761B91">
      <w:pPr>
        <w:spacing w:line="360" w:lineRule="auto"/>
        <w:ind w:firstLine="420" w:firstLineChars="200"/>
        <w:rPr>
          <w:rFonts w:ascii="宋体" w:hAnsi="宋体"/>
          <w:bCs/>
          <w:color w:val="auto"/>
          <w:highlight w:val="none"/>
        </w:rPr>
      </w:pPr>
      <w:r>
        <w:rPr>
          <w:rFonts w:hint="eastAsia" w:ascii="宋体" w:hAnsi="宋体"/>
          <w:bCs/>
          <w:color w:val="auto"/>
          <w:highlight w:val="none"/>
        </w:rPr>
        <w:t>②单向刷卡自动开启双向通行门禁</w:t>
      </w:r>
    </w:p>
    <w:p w14:paraId="6632C038">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为门外侧设置读卡器刷卡开门，内侧设置手动开门按钮开门，点位主要设置于：习艺楼警察值班室；会见教学楼警察备勤室、值班室、法律援助室、社会帮教室、远程会见室、监听室、监控室；备勤综合楼一层直通室外门、各类办公室；监管区大门警察值班室、应急处置室、三层指挥中心、三层机房、三层值班室。</w:t>
      </w:r>
    </w:p>
    <w:p w14:paraId="64932B47">
      <w:pPr>
        <w:spacing w:line="360" w:lineRule="auto"/>
        <w:ind w:firstLine="420" w:firstLineChars="200"/>
        <w:rPr>
          <w:rFonts w:ascii="宋体" w:hAnsi="宋体"/>
          <w:bCs/>
          <w:color w:val="auto"/>
          <w:highlight w:val="none"/>
        </w:rPr>
      </w:pPr>
      <w:r>
        <w:rPr>
          <w:rFonts w:hint="eastAsia" w:ascii="宋体" w:hAnsi="宋体"/>
          <w:bCs/>
          <w:color w:val="auto"/>
          <w:highlight w:val="none"/>
        </w:rPr>
        <w:t>③双向刷卡自动开启双向通行门禁</w:t>
      </w:r>
    </w:p>
    <w:p w14:paraId="27304A02">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为门两侧设置读卡器刷卡开门，点位主要设置于：监舍楼的联勤值班室处走廊及楼梯间、一层医院出入口；习艺楼连廊、卫生间、楼梯间门；会见教学楼一层出入口、监狱长接待室、家属会见区、罪犯等候区、禁闭室区域巡道、文体活动入口、右侧楼梯间门；监管区大门的B2门。</w:t>
      </w:r>
    </w:p>
    <w:p w14:paraId="380F4189">
      <w:pPr>
        <w:spacing w:line="360" w:lineRule="auto"/>
        <w:ind w:firstLine="420" w:firstLineChars="200"/>
        <w:rPr>
          <w:rFonts w:ascii="宋体" w:hAnsi="宋体"/>
          <w:bCs/>
          <w:color w:val="auto"/>
          <w:highlight w:val="none"/>
        </w:rPr>
      </w:pPr>
      <w:r>
        <w:rPr>
          <w:rFonts w:hint="eastAsia" w:ascii="宋体" w:hAnsi="宋体"/>
          <w:bCs/>
          <w:color w:val="auto"/>
          <w:highlight w:val="none"/>
        </w:rPr>
        <w:t>（2）生物识别与刷卡双重认证自动开启门禁。</w:t>
      </w:r>
    </w:p>
    <w:p w14:paraId="76A9CB46">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此类门禁门一侧设置读卡器和生物识别设备，刷卡和生物识别认证开门，点位主要设置于：监管区大门的出监通道B1门（设置读卡器和掌静脉识别设备）；监墙哨门（设置读卡器和人脸识别识别设备）。</w:t>
      </w:r>
    </w:p>
    <w:p w14:paraId="6365935F">
      <w:pPr>
        <w:spacing w:line="360" w:lineRule="auto"/>
        <w:ind w:firstLine="420" w:firstLineChars="200"/>
        <w:rPr>
          <w:rFonts w:ascii="宋体" w:hAnsi="宋体"/>
          <w:bCs/>
          <w:color w:val="auto"/>
          <w:highlight w:val="none"/>
        </w:rPr>
      </w:pPr>
      <w:r>
        <w:rPr>
          <w:rFonts w:hint="eastAsia" w:ascii="宋体" w:hAnsi="宋体"/>
          <w:bCs/>
          <w:color w:val="auto"/>
          <w:highlight w:val="none"/>
        </w:rPr>
        <w:t>（3）生物识别认证手动开启门禁</w:t>
      </w:r>
    </w:p>
    <w:p w14:paraId="3AAFD715">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此类门禁门一侧设置生物识别设备，生物识别认证通过后手动开门，点位主要设置于：监管区大门人行通道A门的进、出辊闸门。</w:t>
      </w:r>
    </w:p>
    <w:p w14:paraId="5E687F6E">
      <w:pPr>
        <w:spacing w:line="360" w:lineRule="auto"/>
        <w:ind w:firstLine="420" w:firstLineChars="200"/>
        <w:rPr>
          <w:rFonts w:ascii="宋体" w:hAnsi="宋体"/>
          <w:bCs/>
          <w:color w:val="auto"/>
          <w:highlight w:val="none"/>
        </w:rPr>
      </w:pPr>
      <w:r>
        <w:rPr>
          <w:rFonts w:hint="eastAsia" w:ascii="宋体" w:hAnsi="宋体"/>
          <w:bCs/>
          <w:color w:val="auto"/>
          <w:highlight w:val="none"/>
        </w:rPr>
        <w:t>（4）生物识别与刷卡双重认证手动开启门禁</w:t>
      </w:r>
    </w:p>
    <w:p w14:paraId="1DA1FDC8">
      <w:pPr>
        <w:spacing w:line="360" w:lineRule="auto"/>
        <w:ind w:firstLine="420" w:firstLineChars="200"/>
        <w:rPr>
          <w:rFonts w:ascii="宋体" w:hAnsi="宋体"/>
          <w:bCs/>
          <w:color w:val="auto"/>
          <w:highlight w:val="none"/>
        </w:rPr>
      </w:pPr>
      <w:r>
        <w:rPr>
          <w:rFonts w:hint="eastAsia" w:ascii="宋体" w:hAnsi="宋体"/>
          <w:bCs/>
          <w:color w:val="auto"/>
          <w:highlight w:val="none"/>
        </w:rPr>
        <w:t>①单向生物识别与刷卡双重认证手动开启单向通行门禁</w:t>
      </w:r>
    </w:p>
    <w:p w14:paraId="2AB0A28D">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此类门禁门一侧设置读卡器和生物识别设备，刷卡和生物识别认证通过后手动开门，点位主要设置于：监管区大门人行通道B门的进、出辊闸门。</w:t>
      </w:r>
    </w:p>
    <w:p w14:paraId="5E350DFB">
      <w:pPr>
        <w:spacing w:line="360" w:lineRule="auto"/>
        <w:ind w:firstLine="420" w:firstLineChars="200"/>
        <w:rPr>
          <w:rFonts w:ascii="宋体" w:hAnsi="宋体"/>
          <w:bCs/>
          <w:color w:val="auto"/>
          <w:highlight w:val="none"/>
        </w:rPr>
      </w:pPr>
      <w:r>
        <w:rPr>
          <w:rFonts w:hint="eastAsia" w:ascii="宋体" w:hAnsi="宋体"/>
          <w:bCs/>
          <w:color w:val="auto"/>
          <w:highlight w:val="none"/>
        </w:rPr>
        <w:t>②双向生物识别与刷卡双重认证手动开启双向通行门禁</w:t>
      </w:r>
    </w:p>
    <w:p w14:paraId="298F125B">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此类门禁门两侧设置读卡器和生物识别设备，刷卡和生物识别认证通过后手动开门，点位主要设置于：监管区大门会见通道的进、出辊闸门。</w:t>
      </w:r>
    </w:p>
    <w:p w14:paraId="1A3D7BD1">
      <w:pPr>
        <w:spacing w:line="360" w:lineRule="auto"/>
        <w:ind w:firstLine="420" w:firstLineChars="200"/>
        <w:rPr>
          <w:rFonts w:ascii="宋体" w:hAnsi="宋体"/>
          <w:bCs/>
          <w:color w:val="auto"/>
          <w:highlight w:val="none"/>
        </w:rPr>
      </w:pPr>
      <w:r>
        <w:rPr>
          <w:rFonts w:hint="eastAsia" w:ascii="宋体" w:hAnsi="宋体"/>
          <w:bCs/>
          <w:color w:val="auto"/>
          <w:highlight w:val="none"/>
        </w:rPr>
        <w:t>（5）手动开启门禁</w:t>
      </w:r>
    </w:p>
    <w:p w14:paraId="18DF0692">
      <w:pPr>
        <w:spacing w:line="360" w:lineRule="auto"/>
        <w:ind w:firstLine="420" w:firstLineChars="200"/>
        <w:rPr>
          <w:rFonts w:ascii="宋体" w:hAnsi="宋体"/>
          <w:bCs/>
          <w:color w:val="auto"/>
          <w:highlight w:val="none"/>
        </w:rPr>
      </w:pPr>
      <w:r>
        <w:rPr>
          <w:rFonts w:hint="eastAsia" w:ascii="宋体" w:hAnsi="宋体"/>
          <w:bCs/>
          <w:color w:val="auto"/>
          <w:highlight w:val="none"/>
        </w:rPr>
        <w:t>此类门禁仅安装电子锁，由值班警察手动开门，该类点位主要设置于：监舍楼的监舍门、储藏间、浴室、盥洗室、卫生间、晾衣房、走廊门、通向连廊出入口、亲情电话室、心理咨询室、诊室、处置室、病房、传染病房；会见教学楼禁闭室、放风间、监舍；监管区车行AB门。</w:t>
      </w:r>
    </w:p>
    <w:p w14:paraId="16FF9F24">
      <w:pPr>
        <w:spacing w:line="360" w:lineRule="auto"/>
        <w:ind w:firstLine="420" w:firstLineChars="200"/>
        <w:rPr>
          <w:bCs/>
          <w:color w:val="auto"/>
          <w:highlight w:val="none"/>
        </w:rPr>
      </w:pPr>
      <w:r>
        <w:rPr>
          <w:rFonts w:hint="eastAsia"/>
          <w:bCs/>
          <w:color w:val="auto"/>
          <w:highlight w:val="none"/>
        </w:rPr>
        <w:t>3、系统功能</w:t>
      </w:r>
    </w:p>
    <w:p w14:paraId="4A60ACEC">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（1）根据出入口安全级别由低到高采用刷卡、刷卡加密码、刷卡加生物识别、技术识别加人工验证后手动开启等识别等级。</w:t>
      </w:r>
    </w:p>
    <w:p w14:paraId="541C0C98">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（2）具有外来车辆、人员图像比对、自动拍摄、押证换证、应急开启关闭等功能。</w:t>
      </w:r>
    </w:p>
    <w:p w14:paraId="2B9CD2E8">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（3）应可对接公安车辆管理系统、人口信息系统，在线获取准确的车辆和驾驶人信息，也应可实现与武警的互联互通。</w:t>
      </w:r>
    </w:p>
    <w:p w14:paraId="7E311218">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4）具有通道管制、权限管制、时区管制和胁迫报警功能；报警信号可与视频监控、警灯系统联动，且可上传至监控指挥中心；具有联动抓拍和录像功能，并可对联动抓拍的图像、录像进行标签记录化管理，关联通行人员信息，为大数据分析提供数据基础。</w:t>
      </w:r>
    </w:p>
    <w:p w14:paraId="7785E099">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（5）具有在管理主机上记录、存储、显示和打印持卡人员进出信息功能，并可在网上终端进行检索。</w:t>
      </w:r>
    </w:p>
    <w:p w14:paraId="5A5086EE">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（6）在没有门禁控制设备的防范区域内，可通过设置读卡器和电子地图来定位警察所在区域位置；经认证许可，可在联网计算机上实时查询人员进出情况、值班警察在岗情况和所在区域等信息。</w:t>
      </w:r>
    </w:p>
    <w:p w14:paraId="31053A7B">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（7）系统数据集中管理，能实现与数据库连接，运行信息和状态均可实时网络共享；可对相关人员进行登录、变更、换卡、注销等操作。</w:t>
      </w:r>
    </w:p>
    <w:p w14:paraId="28672EF9">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8）为保障警察人身安全和规范现场执法管理，利用联网型门禁管理系统实现电子巡更管理，按照预先编制的值班警察巡查时间和线路，通过识读器对值班警察巡逻的工作状态进行监督、记录，并对意外情况进行报警。巡更管理可与监控指挥管理平台联网，对值勤警察的巡查活动进行监督管理；具备对巡查人员、程序、巡查点等进行编程管理；具有巡查记录查询、打印功能。</w:t>
      </w:r>
    </w:p>
    <w:p w14:paraId="0C57E988">
      <w:pPr>
        <w:spacing w:line="360" w:lineRule="auto"/>
        <w:ind w:firstLine="420" w:firstLineChars="200"/>
        <w:rPr>
          <w:bCs/>
          <w:color w:val="auto"/>
          <w:highlight w:val="none"/>
        </w:rPr>
      </w:pPr>
      <w:r>
        <w:rPr>
          <w:rFonts w:hint="eastAsia"/>
          <w:bCs/>
          <w:color w:val="auto"/>
          <w:highlight w:val="none"/>
        </w:rPr>
        <w:t>（9）配合双向读卡门点设计，系统可将如监狱大门等</w:t>
      </w:r>
      <w:r>
        <w:rPr>
          <w:bCs/>
          <w:color w:val="auto"/>
          <w:highlight w:val="none"/>
        </w:rPr>
        <w:t>AB</w:t>
      </w:r>
      <w:r>
        <w:rPr>
          <w:rFonts w:hint="eastAsia"/>
          <w:bCs/>
          <w:color w:val="auto"/>
          <w:highlight w:val="none"/>
        </w:rPr>
        <w:t>门点设置为反潜回，限定能在该区域进、出的人员必须按照“进门→出门→进门→出门”的循环方式进出，否则持卡人会被锁定在该区域内或外。</w:t>
      </w:r>
    </w:p>
    <w:p w14:paraId="63715C34">
      <w:pPr>
        <w:spacing w:line="360" w:lineRule="auto"/>
        <w:ind w:firstLine="420" w:firstLineChars="200"/>
        <w:rPr>
          <w:bCs/>
          <w:color w:val="auto"/>
          <w:highlight w:val="none"/>
        </w:rPr>
      </w:pPr>
      <w:r>
        <w:rPr>
          <w:rFonts w:hint="eastAsia"/>
          <w:bCs/>
          <w:color w:val="auto"/>
          <w:highlight w:val="none"/>
        </w:rPr>
        <w:t>（10）支持多卡开门模式。设定某些重要门点，如监管区指挥中心、禁闭室等，只有多个人同时读卡才能开门。</w:t>
      </w:r>
    </w:p>
    <w:p w14:paraId="5BE91415">
      <w:pPr>
        <w:spacing w:line="360" w:lineRule="auto"/>
        <w:ind w:firstLine="420" w:firstLineChars="200"/>
        <w:rPr>
          <w:bCs/>
          <w:color w:val="auto"/>
          <w:highlight w:val="none"/>
        </w:rPr>
      </w:pPr>
      <w:r>
        <w:rPr>
          <w:rFonts w:hint="eastAsia"/>
          <w:bCs/>
          <w:color w:val="auto"/>
          <w:highlight w:val="none"/>
        </w:rPr>
        <w:t>（11）控制器可脱机（与管理主机失去联系）工作，并且不影响进出门；当门禁与管理中心重新建立通讯时，控制器能实时上传事件信息。</w:t>
      </w:r>
    </w:p>
    <w:p w14:paraId="3EB1D033">
      <w:pPr>
        <w:spacing w:line="360" w:lineRule="auto"/>
        <w:ind w:firstLine="420" w:firstLineChars="200"/>
        <w:rPr>
          <w:bCs/>
          <w:color w:val="auto"/>
          <w:highlight w:val="none"/>
        </w:rPr>
      </w:pPr>
      <w:r>
        <w:rPr>
          <w:rFonts w:hint="eastAsia"/>
          <w:bCs/>
          <w:color w:val="auto"/>
          <w:highlight w:val="none"/>
        </w:rPr>
        <w:t>（12）电子地图集中管理。在监控指挥中心，拥有权限的管理人员，在电子地图上可对各门点进行直接地开/闭控制。通过电子地图，可直观实时了解各门禁点的开关状态。当发生开门超时或强行开门等报警事件时，门图标也会发生相应变化，计算机同时发生报警声音提示。</w:t>
      </w:r>
    </w:p>
    <w:p w14:paraId="0DF82792">
      <w:pPr>
        <w:pStyle w:val="2"/>
        <w:tabs>
          <w:tab w:val="left" w:pos="1722"/>
        </w:tabs>
        <w:spacing w:after="0" w:line="360" w:lineRule="auto"/>
        <w:ind w:firstLine="480" w:firstLineChars="200"/>
        <w:rPr>
          <w:rFonts w:ascii="Calibri" w:hAnsi="Calibri"/>
          <w:bCs/>
          <w:color w:val="auto"/>
          <w:sz w:val="24"/>
          <w:szCs w:val="22"/>
          <w:highlight w:val="none"/>
        </w:rPr>
      </w:pPr>
      <w:r>
        <w:rPr>
          <w:rFonts w:hint="eastAsia" w:ascii="Calibri" w:hAnsi="Calibri"/>
          <w:bCs/>
          <w:color w:val="auto"/>
          <w:sz w:val="24"/>
          <w:szCs w:val="22"/>
          <w:highlight w:val="none"/>
        </w:rPr>
        <w:t>（13）采用的读卡器支持2000张以上卡片和30000次以上记录存储的能力；门禁控制器具备报警和报警触发功能。</w:t>
      </w:r>
    </w:p>
    <w:p w14:paraId="6AE6D71B">
      <w:pPr>
        <w:pStyle w:val="12"/>
        <w:tabs>
          <w:tab w:val="left" w:pos="864"/>
        </w:tabs>
        <w:spacing w:line="360" w:lineRule="auto"/>
        <w:ind w:left="0" w:firstLine="420" w:firstLineChars="200"/>
        <w:rPr>
          <w:color w:val="auto"/>
          <w:highlight w:val="none"/>
        </w:rPr>
      </w:pPr>
      <w:r>
        <w:rPr>
          <w:rFonts w:hint="eastAsia"/>
          <w:color w:val="auto"/>
          <w:highlight w:val="none"/>
        </w:rPr>
        <w:t>AB门控制系统</w:t>
      </w:r>
    </w:p>
    <w:p w14:paraId="5E5B18CE">
      <w:pPr>
        <w:spacing w:line="360" w:lineRule="auto"/>
        <w:ind w:firstLine="420" w:firstLineChars="200"/>
        <w:rPr>
          <w:bCs/>
          <w:color w:val="auto"/>
          <w:highlight w:val="none"/>
        </w:rPr>
      </w:pPr>
      <w:r>
        <w:rPr>
          <w:rFonts w:hint="eastAsia"/>
          <w:bCs/>
          <w:color w:val="auto"/>
          <w:highlight w:val="none"/>
        </w:rPr>
        <w:t>监管区大门及监舍警察通道门禁实现</w:t>
      </w:r>
      <w:r>
        <w:rPr>
          <w:bCs/>
          <w:color w:val="auto"/>
          <w:highlight w:val="none"/>
        </w:rPr>
        <w:t>AB</w:t>
      </w:r>
      <w:r>
        <w:rPr>
          <w:rFonts w:hint="eastAsia"/>
          <w:bCs/>
          <w:color w:val="auto"/>
          <w:highlight w:val="none"/>
        </w:rPr>
        <w:t>门的进出管理和控制，对出入人员的进出门时间管制，实现不同人员进出的权限管理。要求两道门互锁，以方便有效地控制尾随者进入，控制集体越狱的难度、人数和速度，为警察处理突发事件赢得时间。</w:t>
      </w:r>
    </w:p>
    <w:p w14:paraId="52DBB82E">
      <w:pPr>
        <w:spacing w:line="360" w:lineRule="auto"/>
        <w:ind w:firstLine="420" w:firstLineChars="200"/>
        <w:rPr>
          <w:bCs/>
          <w:color w:val="auto"/>
          <w:highlight w:val="none"/>
        </w:rPr>
      </w:pPr>
      <w:r>
        <w:rPr>
          <w:rFonts w:hint="eastAsia"/>
          <w:bCs/>
          <w:color w:val="auto"/>
          <w:highlight w:val="none"/>
        </w:rPr>
        <w:t>当第一道门以合法方式被打开后，若此门没关上，则第二道门不会被打开；只有当第一道门关闭之后，第二道门才能够被打开。同样的道理，如果第二道门没有关好前，第一道也不允许打开。</w:t>
      </w:r>
    </w:p>
    <w:p w14:paraId="223AA128">
      <w:pPr>
        <w:spacing w:line="360" w:lineRule="auto"/>
        <w:ind w:firstLine="420" w:firstLineChars="200"/>
        <w:rPr>
          <w:bCs/>
          <w:color w:val="auto"/>
          <w:highlight w:val="none"/>
        </w:rPr>
      </w:pPr>
      <w:r>
        <w:rPr>
          <w:rFonts w:hint="eastAsia"/>
          <w:bCs/>
          <w:color w:val="auto"/>
          <w:highlight w:val="none"/>
        </w:rPr>
        <w:t>在监管区大门人行通道AB门内加装</w:t>
      </w:r>
      <w:r>
        <w:rPr>
          <w:rFonts w:hint="eastAsia" w:ascii="仿宋" w:hAnsi="仿宋"/>
          <w:bCs/>
          <w:color w:val="auto"/>
          <w:highlight w:val="none"/>
        </w:rPr>
        <w:t>全高</w:t>
      </w:r>
      <w:r>
        <w:rPr>
          <w:rFonts w:ascii="仿宋" w:hAnsi="仿宋"/>
          <w:bCs/>
          <w:color w:val="auto"/>
          <w:highlight w:val="none"/>
        </w:rPr>
        <w:t>辊闸</w:t>
      </w:r>
      <w:r>
        <w:rPr>
          <w:rFonts w:hint="eastAsia"/>
          <w:bCs/>
          <w:color w:val="auto"/>
          <w:highlight w:val="none"/>
        </w:rPr>
        <w:t>，在</w:t>
      </w:r>
      <w:r>
        <w:rPr>
          <w:rFonts w:hint="eastAsia" w:ascii="仿宋" w:hAnsi="仿宋"/>
          <w:bCs/>
          <w:color w:val="auto"/>
          <w:highlight w:val="none"/>
        </w:rPr>
        <w:t>全高</w:t>
      </w:r>
      <w:r>
        <w:rPr>
          <w:rFonts w:ascii="仿宋" w:hAnsi="仿宋"/>
          <w:bCs/>
          <w:color w:val="auto"/>
          <w:highlight w:val="none"/>
        </w:rPr>
        <w:t>辊闸</w:t>
      </w:r>
      <w:r>
        <w:rPr>
          <w:rFonts w:hint="eastAsia" w:ascii="仿宋" w:hAnsi="仿宋"/>
          <w:bCs/>
          <w:color w:val="auto"/>
          <w:highlight w:val="none"/>
        </w:rPr>
        <w:t>入口</w:t>
      </w:r>
      <w:r>
        <w:rPr>
          <w:rFonts w:ascii="仿宋" w:hAnsi="仿宋"/>
          <w:bCs/>
          <w:color w:val="auto"/>
          <w:highlight w:val="none"/>
        </w:rPr>
        <w:t>和出口各安装门禁读卡器及人脸识别设备，</w:t>
      </w:r>
      <w:r>
        <w:rPr>
          <w:rFonts w:hint="eastAsia"/>
          <w:bCs/>
          <w:color w:val="auto"/>
          <w:highlight w:val="none"/>
        </w:rPr>
        <w:t>经虚拟换证授权</w:t>
      </w:r>
      <w:r>
        <w:rPr>
          <w:bCs/>
          <w:color w:val="auto"/>
          <w:highlight w:val="none"/>
        </w:rPr>
        <w:t>后方可</w:t>
      </w:r>
      <w:r>
        <w:rPr>
          <w:rFonts w:hint="eastAsia"/>
          <w:bCs/>
          <w:color w:val="auto"/>
          <w:highlight w:val="none"/>
        </w:rPr>
        <w:t>通行。</w:t>
      </w:r>
    </w:p>
    <w:p w14:paraId="7ECD302B">
      <w:pPr>
        <w:pStyle w:val="13"/>
        <w:ind w:firstLine="440" w:firstLineChars="200"/>
        <w:rPr>
          <w:b w:val="0"/>
          <w:color w:val="auto"/>
          <w:highlight w:val="none"/>
        </w:rPr>
      </w:pPr>
      <w:r>
        <w:rPr>
          <w:b w:val="0"/>
          <w:color w:val="auto"/>
          <w:highlight w:val="none"/>
        </w:rPr>
        <w:t>AB</w:t>
      </w:r>
      <w:r>
        <w:rPr>
          <w:rFonts w:hint="eastAsia"/>
          <w:b w:val="0"/>
          <w:color w:val="auto"/>
          <w:highlight w:val="none"/>
        </w:rPr>
        <w:t>门设计</w:t>
      </w:r>
    </w:p>
    <w:p w14:paraId="2157737A">
      <w:pPr>
        <w:spacing w:line="360" w:lineRule="auto"/>
        <w:ind w:firstLine="420" w:firstLineChars="200"/>
        <w:rPr>
          <w:bCs/>
          <w:color w:val="auto"/>
          <w:highlight w:val="none"/>
        </w:rPr>
      </w:pPr>
      <w:r>
        <w:rPr>
          <w:rFonts w:hint="eastAsia"/>
          <w:bCs/>
          <w:color w:val="auto"/>
          <w:highlight w:val="none"/>
        </w:rPr>
        <w:t>车行通道设计：</w:t>
      </w:r>
    </w:p>
    <w:p w14:paraId="447B045A">
      <w:pPr>
        <w:spacing w:line="360" w:lineRule="auto"/>
        <w:ind w:firstLine="420" w:firstLineChars="200"/>
        <w:rPr>
          <w:bCs/>
          <w:color w:val="auto"/>
          <w:highlight w:val="none"/>
        </w:rPr>
      </w:pPr>
      <w:r>
        <w:rPr>
          <w:rFonts w:hint="eastAsia"/>
          <w:bCs/>
          <w:color w:val="auto"/>
          <w:highlight w:val="none"/>
        </w:rPr>
        <w:t>AB门外各安装一套车行防撞桩和一套车辆识别设备；AB门与车行防撞桩之间各安装一套车行单向阻车器；在A门与B门之间安装车底扫描仪、生命探测仪各1套；AB门上设置一个开门警报指示灯；警察值班室门口设置一套人脸识别、虚拟换卡设备，预留移动执法终端模式切换信息点。</w:t>
      </w:r>
    </w:p>
    <w:p w14:paraId="083BCC71">
      <w:pPr>
        <w:spacing w:line="360" w:lineRule="auto"/>
        <w:ind w:firstLine="420" w:firstLineChars="200"/>
        <w:rPr>
          <w:bCs/>
          <w:color w:val="auto"/>
          <w:highlight w:val="none"/>
        </w:rPr>
      </w:pPr>
      <w:r>
        <w:rPr>
          <w:rFonts w:hint="eastAsia"/>
          <w:bCs/>
          <w:color w:val="auto"/>
          <w:highlight w:val="none"/>
        </w:rPr>
        <w:t>A门防撞桩、阻车器和开门警报指示灯要求与A门联动，B门防撞桩、阻车器和开门警报指示灯要求与B门联动。</w:t>
      </w:r>
    </w:p>
    <w:p w14:paraId="5B43494F">
      <w:pPr>
        <w:spacing w:line="360" w:lineRule="auto"/>
        <w:ind w:firstLine="420" w:firstLineChars="200"/>
        <w:rPr>
          <w:bCs/>
          <w:color w:val="auto"/>
          <w:highlight w:val="none"/>
        </w:rPr>
      </w:pPr>
      <w:r>
        <w:rPr>
          <w:rFonts w:hint="eastAsia"/>
          <w:bCs/>
          <w:color w:val="auto"/>
          <w:highlight w:val="none"/>
        </w:rPr>
        <w:t>车行通道设置AB门互锁。</w:t>
      </w:r>
    </w:p>
    <w:p w14:paraId="581B488E">
      <w:pPr>
        <w:spacing w:line="360" w:lineRule="auto"/>
        <w:ind w:firstLine="420" w:firstLineChars="200"/>
        <w:rPr>
          <w:bCs/>
          <w:color w:val="auto"/>
          <w:highlight w:val="none"/>
        </w:rPr>
      </w:pPr>
      <w:r>
        <w:rPr>
          <w:rFonts w:hint="eastAsia"/>
          <w:bCs/>
          <w:color w:val="auto"/>
          <w:highlight w:val="none"/>
        </w:rPr>
        <w:t>人行AB门设计：</w:t>
      </w:r>
    </w:p>
    <w:p w14:paraId="1DA4766D">
      <w:pPr>
        <w:spacing w:line="360" w:lineRule="auto"/>
        <w:ind w:firstLine="420" w:firstLineChars="200"/>
        <w:rPr>
          <w:bCs/>
          <w:color w:val="auto"/>
          <w:highlight w:val="none"/>
        </w:rPr>
      </w:pPr>
      <w:r>
        <w:rPr>
          <w:rFonts w:hint="eastAsia"/>
          <w:bCs/>
          <w:color w:val="auto"/>
          <w:highlight w:val="none"/>
        </w:rPr>
        <w:t>AB门人行入监通道主要设置为：A1门由武警（或警察）管控，B1由监狱警察管控，A2门至B1门之间区域设置单向全高辊闸，辊闸结合人脸识别及虚拟换证刷卡成功后，由监狱警察手动开启通过。B1门为单向刷卡通行，B2门为双向刷卡通行。A2门和B1门实现互锁。</w:t>
      </w:r>
    </w:p>
    <w:p w14:paraId="590FD01E">
      <w:pPr>
        <w:spacing w:line="360" w:lineRule="auto"/>
        <w:ind w:firstLine="420" w:firstLineChars="200"/>
        <w:rPr>
          <w:bCs/>
          <w:color w:val="auto"/>
          <w:highlight w:val="none"/>
        </w:rPr>
      </w:pPr>
      <w:r>
        <w:rPr>
          <w:rFonts w:hint="eastAsia"/>
          <w:bCs/>
          <w:color w:val="auto"/>
          <w:highlight w:val="none"/>
        </w:rPr>
        <w:t>AB门人行出监通道主要设置为：B1由监狱警察管控，A1门由武警（或警察）管控，A2门至B1门之间区域设置单向全高辊闸，辊闸结合人脸识别及虚拟换证刷卡成功后，由监狱警察手动开启通过。A2门为警察手动开门，A2门人脸识别通过后由武警手动开门。A2门和B1门实现互锁。</w:t>
      </w:r>
    </w:p>
    <w:p w14:paraId="28E11636">
      <w:pPr>
        <w:spacing w:line="360" w:lineRule="auto"/>
        <w:ind w:firstLine="420" w:firstLineChars="200"/>
        <w:rPr>
          <w:bCs/>
          <w:color w:val="auto"/>
          <w:highlight w:val="none"/>
        </w:rPr>
      </w:pPr>
      <w:r>
        <w:rPr>
          <w:rFonts w:hint="eastAsia"/>
          <w:bCs/>
          <w:color w:val="auto"/>
          <w:highlight w:val="none"/>
        </w:rPr>
        <w:t>会见通道设计：</w:t>
      </w:r>
    </w:p>
    <w:p w14:paraId="0D3C99A9">
      <w:pPr>
        <w:spacing w:line="360" w:lineRule="auto"/>
        <w:ind w:firstLine="420" w:firstLineChars="200"/>
        <w:rPr>
          <w:bCs/>
          <w:color w:val="auto"/>
          <w:highlight w:val="none"/>
        </w:rPr>
      </w:pPr>
      <w:r>
        <w:rPr>
          <w:rFonts w:hint="eastAsia"/>
          <w:bCs/>
          <w:color w:val="auto"/>
          <w:highlight w:val="none"/>
        </w:rPr>
        <w:t>AB门会见入监通道主要设置为：A门与B门均由监狱警察管控，A门至B门之间区域设置双向全高辊闸，辊闸结合人脸识别及虚拟换证刷卡成功后，由监狱警察手动开启通过。B门为双向刷卡通行。A门和B门实现互锁。</w:t>
      </w:r>
    </w:p>
    <w:p w14:paraId="6843E699">
      <w:pPr>
        <w:spacing w:line="360" w:lineRule="auto"/>
        <w:ind w:firstLine="420" w:firstLineChars="200"/>
        <w:rPr>
          <w:bCs/>
          <w:color w:val="auto"/>
          <w:highlight w:val="none"/>
        </w:rPr>
      </w:pPr>
      <w:r>
        <w:rPr>
          <w:rFonts w:hint="eastAsia"/>
          <w:bCs/>
          <w:color w:val="auto"/>
          <w:highlight w:val="none"/>
        </w:rPr>
        <w:t>AB门会见出监通道主要设置为：A门与B门均由监狱警察管控，A门至B门之间区域设置双向全高辊闸，辊闸结合人脸识别及虚拟换证刷卡成功后，由监狱警察手动开启通过。A门为警察手动开门。A门和B门实现互锁。</w:t>
      </w:r>
    </w:p>
    <w:p w14:paraId="46B2B7F0">
      <w:pPr>
        <w:spacing w:line="360" w:lineRule="auto"/>
        <w:ind w:firstLine="420" w:firstLineChars="200"/>
        <w:rPr>
          <w:bCs/>
          <w:color w:val="auto"/>
          <w:highlight w:val="none"/>
        </w:rPr>
      </w:pPr>
      <w:r>
        <w:rPr>
          <w:rFonts w:hint="eastAsia"/>
          <w:bCs/>
          <w:color w:val="auto"/>
          <w:highlight w:val="none"/>
        </w:rPr>
        <w:t>监舍内AB门设计：</w:t>
      </w:r>
    </w:p>
    <w:p w14:paraId="39859546">
      <w:pPr>
        <w:spacing w:line="360" w:lineRule="auto"/>
        <w:ind w:firstLine="420" w:firstLineChars="200"/>
        <w:rPr>
          <w:bCs/>
          <w:color w:val="auto"/>
          <w:highlight w:val="none"/>
        </w:rPr>
      </w:pPr>
      <w:r>
        <w:rPr>
          <w:rFonts w:hint="eastAsia"/>
          <w:bCs/>
          <w:color w:val="auto"/>
          <w:highlight w:val="none"/>
        </w:rPr>
        <w:t>监舍楼联勤值班室与文体活动中心通道主要设置为：A门与B门均由监狱警察管控，A门至B门之间区域设置双向刷卡开门。A门和B门实现互锁。</w:t>
      </w:r>
    </w:p>
    <w:p w14:paraId="54207974">
      <w:pPr>
        <w:pStyle w:val="13"/>
        <w:ind w:firstLine="440" w:firstLineChars="200"/>
        <w:rPr>
          <w:b w:val="0"/>
          <w:color w:val="auto"/>
          <w:highlight w:val="none"/>
        </w:rPr>
      </w:pPr>
      <w:r>
        <w:rPr>
          <w:rFonts w:hint="eastAsia"/>
          <w:b w:val="0"/>
          <w:color w:val="auto"/>
          <w:highlight w:val="none"/>
        </w:rPr>
        <w:t>人行通道AB门进门流程</w:t>
      </w:r>
    </w:p>
    <w:p w14:paraId="76B6ACE1">
      <w:pPr>
        <w:spacing w:line="360" w:lineRule="auto"/>
        <w:ind w:firstLine="420" w:firstLineChars="200"/>
        <w:rPr>
          <w:bCs/>
          <w:color w:val="auto"/>
          <w:highlight w:val="none"/>
        </w:rPr>
      </w:pPr>
      <w:r>
        <w:rPr>
          <w:rFonts w:hint="eastAsia"/>
          <w:bCs/>
          <w:color w:val="auto"/>
          <w:highlight w:val="none"/>
        </w:rPr>
        <w:t>本监狱人行AB门平面图如下所示：</w:t>
      </w:r>
    </w:p>
    <w:p w14:paraId="4A548C43">
      <w:pPr>
        <w:spacing w:line="360" w:lineRule="auto"/>
        <w:ind w:firstLine="420" w:firstLineChars="200"/>
        <w:jc w:val="center"/>
        <w:rPr>
          <w:bCs/>
          <w:color w:val="auto"/>
          <w:highlight w:val="none"/>
        </w:rPr>
      </w:pPr>
      <w:r>
        <w:rPr>
          <w:bCs/>
          <w:color w:val="auto"/>
          <w:highlight w:val="none"/>
        </w:rPr>
        <w:drawing>
          <wp:inline distT="0" distB="0" distL="114300" distR="114300">
            <wp:extent cx="7883525" cy="3307715"/>
            <wp:effectExtent l="0" t="0" r="6985" b="3175"/>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icPr>
                  <pic:blipFill>
                    <a:blip r:embed="rId39"/>
                    <a:stretch>
                      <a:fillRect/>
                    </a:stretch>
                  </pic:blipFill>
                  <pic:spPr>
                    <a:xfrm rot="5400000">
                      <a:off x="0" y="0"/>
                      <a:ext cx="7883525" cy="3307715"/>
                    </a:xfrm>
                    <a:prstGeom prst="rect">
                      <a:avLst/>
                    </a:prstGeom>
                    <a:noFill/>
                    <a:ln>
                      <a:noFill/>
                    </a:ln>
                  </pic:spPr>
                </pic:pic>
              </a:graphicData>
            </a:graphic>
          </wp:inline>
        </w:drawing>
      </w:r>
    </w:p>
    <w:p w14:paraId="36C929D6">
      <w:pPr>
        <w:spacing w:line="360" w:lineRule="auto"/>
        <w:ind w:firstLine="420" w:firstLineChars="200"/>
        <w:rPr>
          <w:bCs/>
          <w:color w:val="auto"/>
          <w:highlight w:val="none"/>
        </w:rPr>
      </w:pPr>
      <w:r>
        <w:rPr>
          <w:rFonts w:hint="eastAsia"/>
          <w:bCs/>
          <w:color w:val="auto"/>
          <w:highlight w:val="none"/>
        </w:rPr>
        <w:t>本监狱人行AB门进门流程如下所示：</w:t>
      </w:r>
    </w:p>
    <w:p w14:paraId="6DDE5775">
      <w:pPr>
        <w:spacing w:line="360" w:lineRule="auto"/>
        <w:ind w:firstLine="420" w:firstLineChars="200"/>
        <w:jc w:val="center"/>
        <w:rPr>
          <w:bCs/>
          <w:color w:val="auto"/>
          <w:highlight w:val="none"/>
        </w:rPr>
      </w:pPr>
    </w:p>
    <w:p w14:paraId="4A8AF95A">
      <w:pPr>
        <w:numPr>
          <w:ilvl w:val="0"/>
          <w:numId w:val="33"/>
        </w:numPr>
        <w:spacing w:line="360" w:lineRule="auto"/>
        <w:ind w:left="0" w:firstLine="420" w:firstLineChars="200"/>
        <w:rPr>
          <w:rFonts w:ascii="Arial" w:cs="Arial"/>
          <w:bCs/>
          <w:color w:val="auto"/>
          <w:highlight w:val="none"/>
        </w:rPr>
      </w:pPr>
      <w:r>
        <w:rPr>
          <w:rFonts w:hint="eastAsia" w:ascii="Arial" w:cs="Arial"/>
          <w:bCs/>
          <w:color w:val="auto"/>
          <w:highlight w:val="none"/>
        </w:rPr>
        <w:t>进入人员由本监狱警察带领去登记室办理登记手续，同时采集进入人员人脸信息。</w:t>
      </w:r>
    </w:p>
    <w:p w14:paraId="570F56CD">
      <w:pPr>
        <w:numPr>
          <w:ilvl w:val="0"/>
          <w:numId w:val="33"/>
        </w:numPr>
        <w:spacing w:line="360" w:lineRule="auto"/>
        <w:ind w:left="0" w:firstLine="420" w:firstLineChars="200"/>
        <w:rPr>
          <w:rFonts w:ascii="Arial" w:cs="Arial"/>
          <w:bCs/>
          <w:color w:val="auto"/>
          <w:highlight w:val="none"/>
        </w:rPr>
      </w:pPr>
      <w:r>
        <w:rPr>
          <w:rFonts w:ascii="Arial" w:cs="Arial"/>
          <w:bCs/>
          <w:color w:val="auto"/>
          <w:highlight w:val="none"/>
        </w:rPr>
        <w:t>A</w:t>
      </w:r>
      <w:r>
        <w:rPr>
          <w:rFonts w:hint="eastAsia" w:ascii="Arial" w:cs="Arial"/>
          <w:bCs/>
          <w:color w:val="auto"/>
          <w:highlight w:val="none"/>
        </w:rPr>
        <w:t>1门进：人脸识别成功后，由武警</w:t>
      </w:r>
      <w:r>
        <w:rPr>
          <w:rFonts w:hint="eastAsia"/>
          <w:bCs/>
          <w:color w:val="auto"/>
          <w:highlight w:val="none"/>
        </w:rPr>
        <w:t>（或警察）</w:t>
      </w:r>
      <w:r>
        <w:rPr>
          <w:rFonts w:hint="eastAsia" w:ascii="Arial" w:cs="Arial"/>
          <w:bCs/>
          <w:color w:val="auto"/>
          <w:highlight w:val="none"/>
        </w:rPr>
        <w:t>确认图像比对结果，手动开启辊闸门。</w:t>
      </w:r>
    </w:p>
    <w:p w14:paraId="06C4389B">
      <w:pPr>
        <w:numPr>
          <w:ilvl w:val="0"/>
          <w:numId w:val="33"/>
        </w:numPr>
        <w:spacing w:line="360" w:lineRule="auto"/>
        <w:ind w:left="0" w:firstLine="420" w:firstLineChars="200"/>
        <w:rPr>
          <w:rFonts w:ascii="Arial" w:cs="Arial"/>
          <w:bCs/>
          <w:color w:val="auto"/>
          <w:highlight w:val="none"/>
        </w:rPr>
      </w:pPr>
      <w:r>
        <w:rPr>
          <w:rFonts w:hint="eastAsia" w:ascii="Arial" w:cs="Arial"/>
          <w:bCs/>
          <w:color w:val="auto"/>
          <w:highlight w:val="none"/>
        </w:rPr>
        <w:t>安检：进行手机、金属物品探测安检。</w:t>
      </w:r>
    </w:p>
    <w:p w14:paraId="57C32886">
      <w:pPr>
        <w:numPr>
          <w:ilvl w:val="0"/>
          <w:numId w:val="33"/>
        </w:numPr>
        <w:spacing w:line="360" w:lineRule="auto"/>
        <w:ind w:left="0" w:firstLine="420" w:firstLineChars="200"/>
        <w:rPr>
          <w:rFonts w:ascii="Arial" w:cs="Arial"/>
          <w:bCs/>
          <w:color w:val="auto"/>
          <w:highlight w:val="none"/>
        </w:rPr>
      </w:pPr>
      <w:r>
        <w:rPr>
          <w:rFonts w:ascii="Arial" w:cs="Arial"/>
          <w:bCs/>
          <w:color w:val="auto"/>
          <w:highlight w:val="none"/>
        </w:rPr>
        <w:t>A</w:t>
      </w:r>
      <w:r>
        <w:rPr>
          <w:rFonts w:hint="eastAsia" w:ascii="Arial" w:cs="Arial"/>
          <w:bCs/>
          <w:color w:val="auto"/>
          <w:highlight w:val="none"/>
        </w:rPr>
        <w:t>2门进：进入人员刷卡后通过A2门，系统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判断后通过</w:t>
      </w:r>
      <w:r>
        <w:rPr>
          <w:rFonts w:hint="eastAsia" w:ascii="Arial" w:cs="Arial"/>
          <w:bCs/>
          <w:color w:val="auto"/>
          <w:highlight w:val="none"/>
        </w:rPr>
        <w:t>A2门（A2门与B1门实现互锁）。</w:t>
      </w:r>
    </w:p>
    <w:p w14:paraId="72E77A07">
      <w:pPr>
        <w:numPr>
          <w:ilvl w:val="0"/>
          <w:numId w:val="33"/>
        </w:numPr>
        <w:spacing w:line="360" w:lineRule="auto"/>
        <w:ind w:left="0" w:firstLine="420" w:firstLineChars="200"/>
        <w:rPr>
          <w:rFonts w:ascii="Arial" w:cs="Arial"/>
          <w:bCs/>
          <w:color w:val="auto"/>
          <w:highlight w:val="none"/>
        </w:rPr>
      </w:pPr>
      <w:r>
        <w:rPr>
          <w:rFonts w:hint="eastAsia" w:ascii="Arial" w:cs="Arial"/>
          <w:bCs/>
          <w:color w:val="auto"/>
          <w:highlight w:val="none"/>
        </w:rPr>
        <w:t>虚拟换证：进入人员刷卡换为</w:t>
      </w:r>
      <w:r>
        <w:rPr>
          <w:rFonts w:ascii="Arial" w:cs="Arial"/>
          <w:bCs/>
          <w:color w:val="auto"/>
          <w:highlight w:val="none"/>
        </w:rPr>
        <w:t>狱内通行模式</w:t>
      </w:r>
      <w:r>
        <w:rPr>
          <w:rFonts w:hint="eastAsia" w:ascii="Arial" w:cs="Arial"/>
          <w:bCs/>
          <w:color w:val="auto"/>
          <w:highlight w:val="none"/>
        </w:rPr>
        <w:t>。</w:t>
      </w:r>
    </w:p>
    <w:p w14:paraId="402D70CB">
      <w:pPr>
        <w:numPr>
          <w:ilvl w:val="0"/>
          <w:numId w:val="33"/>
        </w:numPr>
        <w:spacing w:line="360" w:lineRule="auto"/>
        <w:ind w:left="0" w:firstLine="420" w:firstLineChars="200"/>
        <w:rPr>
          <w:rFonts w:ascii="Arial" w:cs="Arial"/>
          <w:bCs/>
          <w:color w:val="auto"/>
          <w:highlight w:val="none"/>
        </w:rPr>
      </w:pPr>
      <w:r>
        <w:rPr>
          <w:rFonts w:hint="eastAsia" w:ascii="Arial" w:cs="Arial"/>
          <w:bCs/>
          <w:color w:val="auto"/>
          <w:highlight w:val="none"/>
        </w:rPr>
        <w:t>辊闸进：进入人员刷卡和</w:t>
      </w:r>
      <w:r>
        <w:rPr>
          <w:rFonts w:ascii="Arial" w:cs="Arial"/>
          <w:bCs/>
          <w:color w:val="auto"/>
          <w:highlight w:val="none"/>
        </w:rPr>
        <w:t>人脸识别通过，</w:t>
      </w:r>
      <w:r>
        <w:rPr>
          <w:rFonts w:hint="eastAsia" w:ascii="Arial" w:cs="Arial"/>
          <w:bCs/>
          <w:color w:val="auto"/>
          <w:highlight w:val="none"/>
        </w:rPr>
        <w:t>由值班警察确认，手动开启辊闸门。</w:t>
      </w:r>
    </w:p>
    <w:p w14:paraId="58951560">
      <w:pPr>
        <w:numPr>
          <w:ilvl w:val="0"/>
          <w:numId w:val="33"/>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1门进：人员刷卡，系统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判断后通过</w:t>
      </w:r>
      <w:r>
        <w:rPr>
          <w:rFonts w:hint="eastAsia" w:ascii="Arial" w:cs="Arial"/>
          <w:bCs/>
          <w:color w:val="auto"/>
          <w:highlight w:val="none"/>
        </w:rPr>
        <w:t>B1门（A2门与B1门实现互锁）。</w:t>
      </w:r>
    </w:p>
    <w:p w14:paraId="33C907EB">
      <w:pPr>
        <w:numPr>
          <w:ilvl w:val="0"/>
          <w:numId w:val="33"/>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2门进：进入人员刷卡后通过B2门。</w:t>
      </w:r>
    </w:p>
    <w:p w14:paraId="76365706">
      <w:pPr>
        <w:numPr>
          <w:ilvl w:val="0"/>
          <w:numId w:val="33"/>
        </w:numPr>
        <w:spacing w:line="360" w:lineRule="auto"/>
        <w:ind w:left="0" w:firstLine="420" w:firstLineChars="200"/>
        <w:rPr>
          <w:rFonts w:ascii="Arial" w:cs="Arial"/>
          <w:bCs/>
          <w:color w:val="auto"/>
          <w:highlight w:val="none"/>
        </w:rPr>
      </w:pPr>
      <w:r>
        <w:rPr>
          <w:rFonts w:hint="eastAsia" w:ascii="Arial" w:cs="Arial"/>
          <w:bCs/>
          <w:color w:val="auto"/>
          <w:highlight w:val="none"/>
        </w:rPr>
        <w:t>人员进入监区。</w:t>
      </w:r>
    </w:p>
    <w:p w14:paraId="65397A11">
      <w:pPr>
        <w:spacing w:line="360" w:lineRule="auto"/>
        <w:ind w:firstLine="420" w:firstLineChars="200"/>
        <w:jc w:val="center"/>
        <w:rPr>
          <w:rFonts w:ascii="Arial" w:cs="Arial"/>
          <w:bCs/>
          <w:color w:val="auto"/>
          <w:highlight w:val="none"/>
        </w:rPr>
      </w:pPr>
      <w:r>
        <w:rPr>
          <w:bCs/>
          <w:color w:val="auto"/>
          <w:highlight w:val="none"/>
        </w:rPr>
        <w:drawing>
          <wp:inline distT="0" distB="0" distL="114300" distR="114300">
            <wp:extent cx="4611370" cy="3758565"/>
            <wp:effectExtent l="0" t="0" r="0" b="13335"/>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6"/>
                    <pic:cNvPicPr>
                      <a:picLocks noChangeAspect="1"/>
                    </pic:cNvPicPr>
                  </pic:nvPicPr>
                  <pic:blipFill>
                    <a:blip r:embed="rId40"/>
                    <a:srcRect r="8916"/>
                    <a:stretch>
                      <a:fillRect/>
                    </a:stretch>
                  </pic:blipFill>
                  <pic:spPr>
                    <a:xfrm>
                      <a:off x="0" y="0"/>
                      <a:ext cx="4611370" cy="3758565"/>
                    </a:xfrm>
                    <a:prstGeom prst="rect">
                      <a:avLst/>
                    </a:prstGeom>
                    <a:noFill/>
                    <a:ln>
                      <a:noFill/>
                    </a:ln>
                  </pic:spPr>
                </pic:pic>
              </a:graphicData>
            </a:graphic>
          </wp:inline>
        </w:drawing>
      </w:r>
    </w:p>
    <w:p w14:paraId="3FAAB24E">
      <w:pPr>
        <w:pStyle w:val="13"/>
        <w:ind w:firstLine="440" w:firstLineChars="200"/>
        <w:rPr>
          <w:b w:val="0"/>
          <w:color w:val="auto"/>
          <w:highlight w:val="none"/>
        </w:rPr>
      </w:pPr>
      <w:r>
        <w:rPr>
          <w:rFonts w:hint="eastAsia"/>
          <w:b w:val="0"/>
          <w:color w:val="auto"/>
          <w:highlight w:val="none"/>
        </w:rPr>
        <w:t>人行通道</w:t>
      </w:r>
      <w:r>
        <w:rPr>
          <w:b w:val="0"/>
          <w:color w:val="auto"/>
          <w:highlight w:val="none"/>
        </w:rPr>
        <w:t>AB</w:t>
      </w:r>
      <w:r>
        <w:rPr>
          <w:rFonts w:hint="eastAsia"/>
          <w:b w:val="0"/>
          <w:color w:val="auto"/>
          <w:highlight w:val="none"/>
        </w:rPr>
        <w:t>门出门流程</w:t>
      </w:r>
    </w:p>
    <w:p w14:paraId="54A485F5">
      <w:pPr>
        <w:spacing w:line="360" w:lineRule="auto"/>
        <w:ind w:firstLine="420" w:firstLineChars="200"/>
        <w:rPr>
          <w:bCs/>
          <w:color w:val="auto"/>
          <w:highlight w:val="none"/>
        </w:rPr>
      </w:pPr>
      <w:r>
        <w:rPr>
          <w:rFonts w:hint="eastAsia"/>
          <w:bCs/>
          <w:color w:val="auto"/>
          <w:highlight w:val="none"/>
        </w:rPr>
        <w:t>人行通道AB门出门流程如下所示：</w:t>
      </w:r>
    </w:p>
    <w:p w14:paraId="685C7E4C">
      <w:pPr>
        <w:numPr>
          <w:ilvl w:val="0"/>
          <w:numId w:val="34"/>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2门出：人员在</w:t>
      </w:r>
      <w:r>
        <w:rPr>
          <w:rFonts w:ascii="Arial" w:cs="Arial"/>
          <w:bCs/>
          <w:color w:val="auto"/>
          <w:highlight w:val="none"/>
        </w:rPr>
        <w:t>B</w:t>
      </w:r>
      <w:r>
        <w:rPr>
          <w:rFonts w:hint="eastAsia" w:ascii="Arial" w:cs="Arial"/>
          <w:bCs/>
          <w:color w:val="auto"/>
          <w:highlight w:val="none"/>
        </w:rPr>
        <w:t>2门刷卡通过。</w:t>
      </w:r>
    </w:p>
    <w:p w14:paraId="3E79EAE2">
      <w:pPr>
        <w:numPr>
          <w:ilvl w:val="0"/>
          <w:numId w:val="34"/>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1门出：人员在</w:t>
      </w:r>
      <w:r>
        <w:rPr>
          <w:rFonts w:ascii="Arial" w:cs="Arial"/>
          <w:bCs/>
          <w:color w:val="auto"/>
          <w:highlight w:val="none"/>
        </w:rPr>
        <w:t>B</w:t>
      </w:r>
      <w:r>
        <w:rPr>
          <w:rFonts w:hint="eastAsia" w:ascii="Arial" w:cs="Arial"/>
          <w:bCs/>
          <w:color w:val="auto"/>
          <w:highlight w:val="none"/>
        </w:rPr>
        <w:t>1门“刷卡+掌静脉”确认，系统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判断后通过</w:t>
      </w:r>
      <w:r>
        <w:rPr>
          <w:rFonts w:hint="eastAsia" w:ascii="Arial" w:cs="Arial"/>
          <w:bCs/>
          <w:color w:val="auto"/>
          <w:highlight w:val="none"/>
        </w:rPr>
        <w:t>B1门（A2门与B1门实现互锁）</w:t>
      </w:r>
    </w:p>
    <w:p w14:paraId="36154F20">
      <w:pPr>
        <w:numPr>
          <w:ilvl w:val="0"/>
          <w:numId w:val="34"/>
        </w:numPr>
        <w:spacing w:line="360" w:lineRule="auto"/>
        <w:ind w:left="0" w:firstLine="420" w:firstLineChars="200"/>
        <w:rPr>
          <w:rFonts w:ascii="Arial" w:cs="Arial"/>
          <w:bCs/>
          <w:color w:val="auto"/>
          <w:highlight w:val="none"/>
        </w:rPr>
      </w:pPr>
      <w:r>
        <w:rPr>
          <w:rFonts w:hint="eastAsia" w:ascii="Arial" w:cs="Arial"/>
          <w:bCs/>
          <w:color w:val="auto"/>
          <w:highlight w:val="none"/>
        </w:rPr>
        <w:t>虚拟换证：人员刷卡换为</w:t>
      </w:r>
      <w:r>
        <w:rPr>
          <w:rFonts w:ascii="Arial" w:cs="Arial"/>
          <w:bCs/>
          <w:color w:val="auto"/>
          <w:highlight w:val="none"/>
        </w:rPr>
        <w:t>狱</w:t>
      </w:r>
      <w:r>
        <w:rPr>
          <w:rFonts w:hint="eastAsia" w:ascii="Arial" w:cs="Arial"/>
          <w:bCs/>
          <w:color w:val="auto"/>
          <w:highlight w:val="none"/>
        </w:rPr>
        <w:t>外</w:t>
      </w:r>
      <w:r>
        <w:rPr>
          <w:rFonts w:ascii="Arial" w:cs="Arial"/>
          <w:bCs/>
          <w:color w:val="auto"/>
          <w:highlight w:val="none"/>
        </w:rPr>
        <w:t>通行模式</w:t>
      </w:r>
      <w:r>
        <w:rPr>
          <w:rFonts w:hint="eastAsia" w:ascii="Arial" w:cs="Arial"/>
          <w:bCs/>
          <w:color w:val="auto"/>
          <w:highlight w:val="none"/>
        </w:rPr>
        <w:t>。</w:t>
      </w:r>
    </w:p>
    <w:p w14:paraId="2B4E4269">
      <w:pPr>
        <w:numPr>
          <w:ilvl w:val="0"/>
          <w:numId w:val="34"/>
        </w:numPr>
        <w:spacing w:line="360" w:lineRule="auto"/>
        <w:ind w:left="0" w:firstLine="420" w:firstLineChars="200"/>
        <w:rPr>
          <w:rFonts w:ascii="Arial" w:cs="Arial"/>
          <w:bCs/>
          <w:color w:val="auto"/>
          <w:highlight w:val="none"/>
        </w:rPr>
      </w:pPr>
      <w:r>
        <w:rPr>
          <w:rFonts w:hint="eastAsia" w:ascii="Arial" w:cs="Arial"/>
          <w:bCs/>
          <w:color w:val="auto"/>
          <w:highlight w:val="none"/>
        </w:rPr>
        <w:t>辊闸出：外出人员刷卡和</w:t>
      </w:r>
      <w:r>
        <w:rPr>
          <w:rFonts w:ascii="Arial" w:cs="Arial"/>
          <w:bCs/>
          <w:color w:val="auto"/>
          <w:highlight w:val="none"/>
        </w:rPr>
        <w:t>人脸识别通过，</w:t>
      </w:r>
      <w:r>
        <w:rPr>
          <w:rFonts w:hint="eastAsia" w:ascii="Arial" w:cs="Arial"/>
          <w:bCs/>
          <w:color w:val="auto"/>
          <w:highlight w:val="none"/>
        </w:rPr>
        <w:t>由值班警察确认后手动开启辊闸门。</w:t>
      </w:r>
    </w:p>
    <w:p w14:paraId="5DF6488D">
      <w:pPr>
        <w:numPr>
          <w:ilvl w:val="0"/>
          <w:numId w:val="34"/>
        </w:numPr>
        <w:spacing w:line="360" w:lineRule="auto"/>
        <w:ind w:left="0" w:firstLine="420" w:firstLineChars="200"/>
        <w:rPr>
          <w:rFonts w:ascii="Arial" w:cs="Arial"/>
          <w:bCs/>
          <w:color w:val="auto"/>
          <w:highlight w:val="none"/>
        </w:rPr>
      </w:pPr>
      <w:r>
        <w:rPr>
          <w:rFonts w:hint="eastAsia" w:ascii="Arial" w:cs="Arial"/>
          <w:bCs/>
          <w:color w:val="auto"/>
          <w:highlight w:val="none"/>
        </w:rPr>
        <w:t>A2门出：人员刷卡，系统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判断后通过</w:t>
      </w:r>
      <w:r>
        <w:rPr>
          <w:rFonts w:hint="eastAsia" w:ascii="Arial" w:cs="Arial"/>
          <w:bCs/>
          <w:color w:val="auto"/>
          <w:highlight w:val="none"/>
        </w:rPr>
        <w:t>A2门（A2门与B1门实现互锁）。</w:t>
      </w:r>
    </w:p>
    <w:p w14:paraId="048CF31C">
      <w:pPr>
        <w:numPr>
          <w:ilvl w:val="0"/>
          <w:numId w:val="34"/>
        </w:numPr>
        <w:spacing w:line="360" w:lineRule="auto"/>
        <w:ind w:left="0" w:firstLine="420" w:firstLineChars="200"/>
        <w:rPr>
          <w:rFonts w:ascii="Arial" w:cs="Arial"/>
          <w:bCs/>
          <w:color w:val="auto"/>
          <w:highlight w:val="none"/>
        </w:rPr>
      </w:pPr>
      <w:r>
        <w:rPr>
          <w:rFonts w:ascii="Arial" w:cs="Arial"/>
          <w:bCs/>
          <w:color w:val="auto"/>
          <w:highlight w:val="none"/>
        </w:rPr>
        <w:t>A</w:t>
      </w:r>
      <w:r>
        <w:rPr>
          <w:rFonts w:hint="eastAsia" w:ascii="Arial" w:cs="Arial"/>
          <w:bCs/>
          <w:color w:val="auto"/>
          <w:highlight w:val="none"/>
        </w:rPr>
        <w:t>1门出：人脸识别成功后，由武警</w:t>
      </w:r>
      <w:r>
        <w:rPr>
          <w:rFonts w:hint="eastAsia"/>
          <w:bCs/>
          <w:color w:val="auto"/>
          <w:highlight w:val="none"/>
        </w:rPr>
        <w:t>（或警察）</w:t>
      </w:r>
      <w:r>
        <w:rPr>
          <w:rFonts w:hint="eastAsia" w:ascii="Arial" w:cs="Arial"/>
          <w:bCs/>
          <w:color w:val="auto"/>
          <w:highlight w:val="none"/>
        </w:rPr>
        <w:t>确认图像比对结果，手动开启</w:t>
      </w:r>
      <w:r>
        <w:rPr>
          <w:rFonts w:ascii="Arial" w:cs="Arial"/>
          <w:bCs/>
          <w:color w:val="auto"/>
          <w:highlight w:val="none"/>
        </w:rPr>
        <w:t>A</w:t>
      </w:r>
      <w:r>
        <w:rPr>
          <w:rFonts w:hint="eastAsia" w:ascii="Arial" w:cs="Arial"/>
          <w:bCs/>
          <w:color w:val="auto"/>
          <w:highlight w:val="none"/>
        </w:rPr>
        <w:t>1门（辊闸门）。</w:t>
      </w:r>
    </w:p>
    <w:p w14:paraId="714D3F53">
      <w:pPr>
        <w:numPr>
          <w:ilvl w:val="0"/>
          <w:numId w:val="34"/>
        </w:numPr>
        <w:spacing w:line="360" w:lineRule="auto"/>
        <w:ind w:left="0" w:firstLine="420" w:firstLineChars="200"/>
        <w:rPr>
          <w:rFonts w:ascii="Arial" w:cs="Arial"/>
          <w:bCs/>
          <w:color w:val="auto"/>
          <w:highlight w:val="none"/>
        </w:rPr>
      </w:pPr>
      <w:r>
        <w:rPr>
          <w:rFonts w:hint="eastAsia" w:ascii="Arial" w:cs="Arial"/>
          <w:bCs/>
          <w:color w:val="auto"/>
          <w:highlight w:val="none"/>
        </w:rPr>
        <w:t>人员离开监区。</w:t>
      </w:r>
    </w:p>
    <w:p w14:paraId="3F47D3B6">
      <w:pPr>
        <w:pStyle w:val="53"/>
        <w:spacing w:line="360" w:lineRule="auto"/>
        <w:ind w:left="0" w:right="0" w:firstLine="420" w:firstLineChars="200"/>
        <w:jc w:val="center"/>
        <w:rPr>
          <w:bCs/>
          <w:color w:val="auto"/>
          <w:highlight w:val="none"/>
        </w:rPr>
      </w:pPr>
      <w:r>
        <w:rPr>
          <w:bCs/>
          <w:color w:val="auto"/>
          <w:highlight w:val="none"/>
        </w:rPr>
        <w:drawing>
          <wp:inline distT="0" distB="0" distL="114300" distR="114300">
            <wp:extent cx="4701540" cy="3839845"/>
            <wp:effectExtent l="0" t="0" r="3810" b="8255"/>
            <wp:docPr id="2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7"/>
                    <pic:cNvPicPr>
                      <a:picLocks noChangeAspect="1"/>
                    </pic:cNvPicPr>
                  </pic:nvPicPr>
                  <pic:blipFill>
                    <a:blip r:embed="rId41"/>
                    <a:stretch>
                      <a:fillRect/>
                    </a:stretch>
                  </pic:blipFill>
                  <pic:spPr>
                    <a:xfrm>
                      <a:off x="0" y="0"/>
                      <a:ext cx="4701540" cy="3839845"/>
                    </a:xfrm>
                    <a:prstGeom prst="rect">
                      <a:avLst/>
                    </a:prstGeom>
                    <a:noFill/>
                    <a:ln>
                      <a:noFill/>
                    </a:ln>
                  </pic:spPr>
                </pic:pic>
              </a:graphicData>
            </a:graphic>
          </wp:inline>
        </w:drawing>
      </w:r>
    </w:p>
    <w:p w14:paraId="60E918E7">
      <w:pPr>
        <w:pStyle w:val="59"/>
        <w:spacing w:line="360" w:lineRule="auto"/>
        <w:ind w:firstLine="420" w:firstLineChars="200"/>
        <w:rPr>
          <w:bCs/>
          <w:color w:val="auto"/>
          <w:highlight w:val="none"/>
        </w:rPr>
      </w:pPr>
    </w:p>
    <w:p w14:paraId="14F27AB6">
      <w:pPr>
        <w:pStyle w:val="13"/>
        <w:ind w:firstLine="440" w:firstLineChars="200"/>
        <w:rPr>
          <w:b w:val="0"/>
          <w:color w:val="auto"/>
          <w:highlight w:val="none"/>
        </w:rPr>
      </w:pPr>
      <w:r>
        <w:rPr>
          <w:rFonts w:hint="eastAsia"/>
          <w:b w:val="0"/>
          <w:color w:val="auto"/>
          <w:highlight w:val="none"/>
        </w:rPr>
        <w:t>会见通道AB门进门流程</w:t>
      </w:r>
    </w:p>
    <w:p w14:paraId="013F4E40">
      <w:pPr>
        <w:spacing w:line="360" w:lineRule="auto"/>
        <w:ind w:firstLine="420" w:firstLineChars="200"/>
        <w:rPr>
          <w:bCs/>
          <w:color w:val="auto"/>
          <w:highlight w:val="none"/>
        </w:rPr>
      </w:pPr>
      <w:r>
        <w:rPr>
          <w:rFonts w:hint="eastAsia"/>
          <w:bCs/>
          <w:color w:val="auto"/>
          <w:highlight w:val="none"/>
        </w:rPr>
        <w:t>本监狱会见通道AB门平面图如下所示：</w:t>
      </w:r>
    </w:p>
    <w:p w14:paraId="59A2846B">
      <w:pPr>
        <w:spacing w:line="360" w:lineRule="auto"/>
        <w:ind w:firstLine="420" w:firstLineChars="200"/>
        <w:jc w:val="center"/>
        <w:rPr>
          <w:bCs/>
          <w:color w:val="auto"/>
          <w:highlight w:val="none"/>
        </w:rPr>
      </w:pPr>
      <w:r>
        <w:rPr>
          <w:bCs/>
          <w:color w:val="auto"/>
          <w:highlight w:val="none"/>
        </w:rPr>
        <w:drawing>
          <wp:inline distT="0" distB="0" distL="114300" distR="114300">
            <wp:extent cx="3817620" cy="6332220"/>
            <wp:effectExtent l="0" t="0" r="11430" b="11430"/>
            <wp:docPr id="26" name="图片 28" descr="1579663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8" descr="1579663187(1)"/>
                    <pic:cNvPicPr>
                      <a:picLocks noChangeAspect="1"/>
                    </pic:cNvPicPr>
                  </pic:nvPicPr>
                  <pic:blipFill>
                    <a:blip r:embed="rId42"/>
                    <a:stretch>
                      <a:fillRect/>
                    </a:stretch>
                  </pic:blipFill>
                  <pic:spPr>
                    <a:xfrm>
                      <a:off x="0" y="0"/>
                      <a:ext cx="3817620" cy="6332220"/>
                    </a:xfrm>
                    <a:prstGeom prst="rect">
                      <a:avLst/>
                    </a:prstGeom>
                    <a:noFill/>
                    <a:ln>
                      <a:noFill/>
                    </a:ln>
                  </pic:spPr>
                </pic:pic>
              </a:graphicData>
            </a:graphic>
          </wp:inline>
        </w:drawing>
      </w:r>
    </w:p>
    <w:p w14:paraId="487C4F49">
      <w:pPr>
        <w:spacing w:line="360" w:lineRule="auto"/>
        <w:ind w:firstLine="420" w:firstLineChars="200"/>
        <w:jc w:val="left"/>
        <w:rPr>
          <w:bCs/>
          <w:color w:val="auto"/>
          <w:highlight w:val="none"/>
        </w:rPr>
      </w:pPr>
      <w:r>
        <w:rPr>
          <w:rFonts w:hint="eastAsia"/>
          <w:bCs/>
          <w:color w:val="auto"/>
          <w:highlight w:val="none"/>
        </w:rPr>
        <w:t>本监狱会见通道AB门进门流程如下所示：</w:t>
      </w:r>
    </w:p>
    <w:p w14:paraId="779FF09A">
      <w:pPr>
        <w:numPr>
          <w:ilvl w:val="0"/>
          <w:numId w:val="35"/>
        </w:numPr>
        <w:spacing w:line="360" w:lineRule="auto"/>
        <w:ind w:left="0" w:firstLine="420" w:firstLineChars="200"/>
        <w:rPr>
          <w:rFonts w:ascii="Arial" w:cs="Arial"/>
          <w:bCs/>
          <w:color w:val="auto"/>
          <w:highlight w:val="none"/>
        </w:rPr>
      </w:pPr>
      <w:r>
        <w:rPr>
          <w:rFonts w:hint="eastAsia" w:ascii="Arial" w:cs="Arial"/>
          <w:bCs/>
          <w:color w:val="auto"/>
          <w:highlight w:val="none"/>
        </w:rPr>
        <w:t>安检：家属进大厅后进行安检。</w:t>
      </w:r>
    </w:p>
    <w:p w14:paraId="3D5B99E8">
      <w:pPr>
        <w:numPr>
          <w:ilvl w:val="0"/>
          <w:numId w:val="35"/>
        </w:numPr>
        <w:spacing w:line="360" w:lineRule="auto"/>
        <w:ind w:left="0" w:firstLine="420" w:firstLineChars="200"/>
        <w:rPr>
          <w:rFonts w:ascii="Arial" w:cs="Arial"/>
          <w:bCs/>
          <w:color w:val="auto"/>
          <w:highlight w:val="none"/>
        </w:rPr>
      </w:pPr>
      <w:r>
        <w:rPr>
          <w:rFonts w:ascii="Arial" w:cs="Arial"/>
          <w:bCs/>
          <w:color w:val="auto"/>
          <w:highlight w:val="none"/>
        </w:rPr>
        <w:t>A</w:t>
      </w:r>
      <w:r>
        <w:rPr>
          <w:rFonts w:hint="eastAsia" w:ascii="Arial" w:cs="Arial"/>
          <w:bCs/>
          <w:color w:val="auto"/>
          <w:highlight w:val="none"/>
        </w:rPr>
        <w:t>门进：</w:t>
      </w:r>
      <w:r>
        <w:rPr>
          <w:rFonts w:hint="eastAsia"/>
          <w:bCs/>
          <w:color w:val="auto"/>
          <w:highlight w:val="none"/>
        </w:rPr>
        <w:t>监狱带领警察</w:t>
      </w:r>
      <w:r>
        <w:rPr>
          <w:rFonts w:hint="eastAsia" w:ascii="Arial" w:cs="Arial"/>
          <w:bCs/>
          <w:color w:val="auto"/>
          <w:highlight w:val="none"/>
        </w:rPr>
        <w:t>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开启A门通过（AB门互锁）。</w:t>
      </w:r>
    </w:p>
    <w:p w14:paraId="2D774B55">
      <w:pPr>
        <w:numPr>
          <w:ilvl w:val="0"/>
          <w:numId w:val="35"/>
        </w:numPr>
        <w:spacing w:line="360" w:lineRule="auto"/>
        <w:ind w:left="0" w:firstLine="420" w:firstLineChars="200"/>
        <w:rPr>
          <w:rFonts w:ascii="Arial" w:cs="Arial"/>
          <w:bCs/>
          <w:color w:val="auto"/>
          <w:highlight w:val="none"/>
        </w:rPr>
      </w:pPr>
      <w:r>
        <w:rPr>
          <w:rFonts w:hint="eastAsia" w:ascii="Arial" w:cs="Arial"/>
          <w:bCs/>
          <w:color w:val="auto"/>
          <w:highlight w:val="none"/>
        </w:rPr>
        <w:t>虚拟换证：</w:t>
      </w:r>
      <w:r>
        <w:rPr>
          <w:rFonts w:hint="eastAsia"/>
          <w:bCs/>
          <w:color w:val="auto"/>
          <w:highlight w:val="none"/>
        </w:rPr>
        <w:t>带领警察</w:t>
      </w:r>
      <w:r>
        <w:rPr>
          <w:rFonts w:hint="eastAsia" w:ascii="Arial" w:cs="Arial"/>
          <w:bCs/>
          <w:color w:val="auto"/>
          <w:highlight w:val="none"/>
        </w:rPr>
        <w:t>刷卡换为</w:t>
      </w:r>
      <w:r>
        <w:rPr>
          <w:rFonts w:ascii="Arial" w:cs="Arial"/>
          <w:bCs/>
          <w:color w:val="auto"/>
          <w:highlight w:val="none"/>
        </w:rPr>
        <w:t>狱内通行模式</w:t>
      </w:r>
      <w:r>
        <w:rPr>
          <w:rFonts w:hint="eastAsia" w:ascii="Arial" w:cs="Arial"/>
          <w:bCs/>
          <w:color w:val="auto"/>
          <w:highlight w:val="none"/>
        </w:rPr>
        <w:t>。</w:t>
      </w:r>
    </w:p>
    <w:p w14:paraId="17968C6A">
      <w:pPr>
        <w:numPr>
          <w:ilvl w:val="0"/>
          <w:numId w:val="35"/>
        </w:numPr>
        <w:spacing w:line="360" w:lineRule="auto"/>
        <w:ind w:left="0" w:firstLine="420" w:firstLineChars="200"/>
        <w:rPr>
          <w:rFonts w:ascii="Arial" w:cs="Arial"/>
          <w:bCs/>
          <w:color w:val="auto"/>
          <w:highlight w:val="none"/>
        </w:rPr>
      </w:pPr>
      <w:r>
        <w:rPr>
          <w:rFonts w:hint="eastAsia" w:ascii="Arial" w:cs="Arial"/>
          <w:bCs/>
          <w:color w:val="auto"/>
          <w:highlight w:val="none"/>
        </w:rPr>
        <w:t>辊闸进：家属先</w:t>
      </w:r>
      <w:r>
        <w:rPr>
          <w:rFonts w:ascii="Arial" w:cs="Arial"/>
          <w:bCs/>
          <w:color w:val="auto"/>
          <w:highlight w:val="none"/>
        </w:rPr>
        <w:t>人脸识别通过</w:t>
      </w:r>
      <w:r>
        <w:rPr>
          <w:rFonts w:hint="eastAsia" w:ascii="Arial" w:cs="Arial"/>
          <w:bCs/>
          <w:color w:val="auto"/>
          <w:highlight w:val="none"/>
        </w:rPr>
        <w:t>、带领警察而后刷卡</w:t>
      </w:r>
      <w:r>
        <w:rPr>
          <w:rFonts w:ascii="Arial" w:cs="Arial"/>
          <w:bCs/>
          <w:color w:val="auto"/>
          <w:highlight w:val="none"/>
        </w:rPr>
        <w:t>，</w:t>
      </w:r>
      <w:r>
        <w:rPr>
          <w:rFonts w:hint="eastAsia" w:ascii="Arial" w:cs="Arial"/>
          <w:bCs/>
          <w:color w:val="auto"/>
          <w:highlight w:val="none"/>
        </w:rPr>
        <w:t>由值班警察确认双重认证成功后，手动开启辊闸门。</w:t>
      </w:r>
    </w:p>
    <w:p w14:paraId="1F508FEC">
      <w:pPr>
        <w:numPr>
          <w:ilvl w:val="0"/>
          <w:numId w:val="35"/>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门进：</w:t>
      </w:r>
      <w:r>
        <w:rPr>
          <w:rFonts w:hint="eastAsia"/>
          <w:bCs/>
          <w:color w:val="auto"/>
          <w:highlight w:val="none"/>
        </w:rPr>
        <w:t>监狱带领警察</w:t>
      </w:r>
      <w:r>
        <w:rPr>
          <w:rFonts w:hint="eastAsia" w:ascii="Arial" w:cs="Arial"/>
          <w:bCs/>
          <w:color w:val="auto"/>
          <w:highlight w:val="none"/>
        </w:rPr>
        <w:t>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开启B门通过（AB门互锁）。</w:t>
      </w:r>
    </w:p>
    <w:p w14:paraId="78FC9D4D">
      <w:pPr>
        <w:numPr>
          <w:ilvl w:val="0"/>
          <w:numId w:val="35"/>
        </w:numPr>
        <w:spacing w:line="360" w:lineRule="auto"/>
        <w:ind w:left="0" w:firstLine="420" w:firstLineChars="200"/>
        <w:rPr>
          <w:rFonts w:ascii="Arial" w:cs="Arial"/>
          <w:bCs/>
          <w:color w:val="auto"/>
          <w:highlight w:val="none"/>
        </w:rPr>
      </w:pPr>
      <w:r>
        <w:rPr>
          <w:rFonts w:hint="eastAsia" w:ascii="Arial" w:cs="Arial"/>
          <w:bCs/>
          <w:color w:val="auto"/>
          <w:highlight w:val="none"/>
        </w:rPr>
        <w:t>家属进入狱内会见通道。</w:t>
      </w:r>
    </w:p>
    <w:p w14:paraId="313C20AF">
      <w:pPr>
        <w:spacing w:line="360" w:lineRule="auto"/>
        <w:ind w:firstLine="420" w:firstLineChars="200"/>
        <w:jc w:val="center"/>
        <w:rPr>
          <w:rFonts w:ascii="Arial" w:cs="Arial"/>
          <w:bCs/>
          <w:color w:val="auto"/>
          <w:highlight w:val="none"/>
        </w:rPr>
      </w:pPr>
      <w:r>
        <w:rPr>
          <w:rFonts w:ascii="Arial" w:cs="Arial"/>
          <w:bCs/>
          <w:color w:val="auto"/>
          <w:highlight w:val="none"/>
        </w:rPr>
        <w:drawing>
          <wp:inline distT="0" distB="0" distL="114300" distR="114300">
            <wp:extent cx="4780280" cy="3648075"/>
            <wp:effectExtent l="0" t="0" r="0" b="9525"/>
            <wp:docPr id="2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9"/>
                    <pic:cNvPicPr>
                      <a:picLocks noChangeAspect="1"/>
                    </pic:cNvPicPr>
                  </pic:nvPicPr>
                  <pic:blipFill>
                    <a:blip r:embed="rId43"/>
                    <a:srcRect r="2869"/>
                    <a:stretch>
                      <a:fillRect/>
                    </a:stretch>
                  </pic:blipFill>
                  <pic:spPr>
                    <a:xfrm>
                      <a:off x="0" y="0"/>
                      <a:ext cx="4780280" cy="3648075"/>
                    </a:xfrm>
                    <a:prstGeom prst="rect">
                      <a:avLst/>
                    </a:prstGeom>
                    <a:noFill/>
                    <a:ln>
                      <a:noFill/>
                    </a:ln>
                  </pic:spPr>
                </pic:pic>
              </a:graphicData>
            </a:graphic>
          </wp:inline>
        </w:drawing>
      </w:r>
    </w:p>
    <w:p w14:paraId="2A304879">
      <w:pPr>
        <w:pStyle w:val="13"/>
        <w:ind w:firstLine="440" w:firstLineChars="200"/>
        <w:rPr>
          <w:b w:val="0"/>
          <w:color w:val="auto"/>
          <w:highlight w:val="none"/>
        </w:rPr>
      </w:pPr>
      <w:r>
        <w:rPr>
          <w:rFonts w:hint="eastAsia"/>
          <w:b w:val="0"/>
          <w:color w:val="auto"/>
          <w:highlight w:val="none"/>
        </w:rPr>
        <w:t>会见通道</w:t>
      </w:r>
      <w:r>
        <w:rPr>
          <w:b w:val="0"/>
          <w:color w:val="auto"/>
          <w:highlight w:val="none"/>
        </w:rPr>
        <w:t>AB</w:t>
      </w:r>
      <w:r>
        <w:rPr>
          <w:rFonts w:hint="eastAsia"/>
          <w:b w:val="0"/>
          <w:color w:val="auto"/>
          <w:highlight w:val="none"/>
        </w:rPr>
        <w:t>门出门流程</w:t>
      </w:r>
    </w:p>
    <w:p w14:paraId="47025230">
      <w:pPr>
        <w:spacing w:line="360" w:lineRule="auto"/>
        <w:ind w:firstLine="420" w:firstLineChars="200"/>
        <w:rPr>
          <w:bCs/>
          <w:color w:val="auto"/>
          <w:highlight w:val="none"/>
        </w:rPr>
      </w:pPr>
      <w:r>
        <w:rPr>
          <w:rFonts w:hint="eastAsia"/>
          <w:bCs/>
          <w:color w:val="auto"/>
          <w:highlight w:val="none"/>
        </w:rPr>
        <w:t>本监狱会见通道AB门出门流程如下所示：</w:t>
      </w:r>
    </w:p>
    <w:p w14:paraId="5374BF6C">
      <w:pPr>
        <w:numPr>
          <w:ilvl w:val="0"/>
          <w:numId w:val="36"/>
        </w:numPr>
        <w:spacing w:line="360" w:lineRule="auto"/>
        <w:ind w:left="0" w:firstLine="420" w:firstLineChars="200"/>
        <w:rPr>
          <w:rFonts w:ascii="Arial" w:cs="Arial"/>
          <w:bCs/>
          <w:color w:val="auto"/>
          <w:highlight w:val="none"/>
        </w:rPr>
      </w:pPr>
      <w:r>
        <w:rPr>
          <w:rFonts w:ascii="Arial" w:cs="Arial"/>
          <w:bCs/>
          <w:color w:val="auto"/>
          <w:highlight w:val="none"/>
        </w:rPr>
        <w:t>B</w:t>
      </w:r>
      <w:r>
        <w:rPr>
          <w:rFonts w:hint="eastAsia" w:ascii="Arial" w:cs="Arial"/>
          <w:bCs/>
          <w:color w:val="auto"/>
          <w:highlight w:val="none"/>
        </w:rPr>
        <w:t>门出：</w:t>
      </w:r>
      <w:r>
        <w:rPr>
          <w:rFonts w:hint="eastAsia"/>
          <w:bCs/>
          <w:color w:val="auto"/>
          <w:highlight w:val="none"/>
        </w:rPr>
        <w:t>监狱带领警察</w:t>
      </w:r>
      <w:r>
        <w:rPr>
          <w:rFonts w:hint="eastAsia" w:ascii="Arial" w:cs="Arial"/>
          <w:bCs/>
          <w:color w:val="auto"/>
          <w:highlight w:val="none"/>
        </w:rPr>
        <w:t>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开启B门通过（AB门互锁）。</w:t>
      </w:r>
    </w:p>
    <w:p w14:paraId="1CC9F954">
      <w:pPr>
        <w:numPr>
          <w:ilvl w:val="0"/>
          <w:numId w:val="36"/>
        </w:numPr>
        <w:spacing w:line="360" w:lineRule="auto"/>
        <w:ind w:left="0" w:firstLine="420" w:firstLineChars="200"/>
        <w:rPr>
          <w:rFonts w:ascii="Arial" w:cs="Arial"/>
          <w:bCs/>
          <w:color w:val="auto"/>
          <w:highlight w:val="none"/>
        </w:rPr>
      </w:pPr>
      <w:r>
        <w:rPr>
          <w:rFonts w:hint="eastAsia" w:ascii="Arial" w:cs="Arial"/>
          <w:bCs/>
          <w:color w:val="auto"/>
          <w:highlight w:val="none"/>
        </w:rPr>
        <w:t>虚拟换证：</w:t>
      </w:r>
      <w:r>
        <w:rPr>
          <w:rFonts w:hint="eastAsia"/>
          <w:bCs/>
          <w:color w:val="auto"/>
          <w:highlight w:val="none"/>
        </w:rPr>
        <w:t>带领警察</w:t>
      </w:r>
      <w:r>
        <w:rPr>
          <w:rFonts w:hint="eastAsia" w:ascii="Arial" w:cs="Arial"/>
          <w:bCs/>
          <w:color w:val="auto"/>
          <w:highlight w:val="none"/>
        </w:rPr>
        <w:t>刷卡换为</w:t>
      </w:r>
      <w:r>
        <w:rPr>
          <w:rFonts w:ascii="Arial" w:cs="Arial"/>
          <w:bCs/>
          <w:color w:val="auto"/>
          <w:highlight w:val="none"/>
        </w:rPr>
        <w:t>狱</w:t>
      </w:r>
      <w:r>
        <w:rPr>
          <w:rFonts w:hint="eastAsia" w:ascii="Arial" w:cs="Arial"/>
          <w:bCs/>
          <w:color w:val="auto"/>
          <w:highlight w:val="none"/>
        </w:rPr>
        <w:t>外</w:t>
      </w:r>
      <w:r>
        <w:rPr>
          <w:rFonts w:ascii="Arial" w:cs="Arial"/>
          <w:bCs/>
          <w:color w:val="auto"/>
          <w:highlight w:val="none"/>
        </w:rPr>
        <w:t>通行模式</w:t>
      </w:r>
      <w:r>
        <w:rPr>
          <w:rFonts w:hint="eastAsia" w:ascii="Arial" w:cs="Arial"/>
          <w:bCs/>
          <w:color w:val="auto"/>
          <w:highlight w:val="none"/>
        </w:rPr>
        <w:t>。</w:t>
      </w:r>
    </w:p>
    <w:p w14:paraId="2CC7B906">
      <w:pPr>
        <w:numPr>
          <w:ilvl w:val="0"/>
          <w:numId w:val="36"/>
        </w:numPr>
        <w:spacing w:line="360" w:lineRule="auto"/>
        <w:ind w:left="0" w:firstLine="420" w:firstLineChars="200"/>
        <w:rPr>
          <w:rFonts w:ascii="Arial" w:cs="Arial"/>
          <w:bCs/>
          <w:color w:val="auto"/>
          <w:highlight w:val="none"/>
        </w:rPr>
      </w:pPr>
      <w:r>
        <w:rPr>
          <w:rFonts w:hint="eastAsia" w:ascii="Arial" w:cs="Arial"/>
          <w:bCs/>
          <w:color w:val="auto"/>
          <w:highlight w:val="none"/>
        </w:rPr>
        <w:t>辊闸出：家属先</w:t>
      </w:r>
      <w:r>
        <w:rPr>
          <w:rFonts w:ascii="Arial" w:cs="Arial"/>
          <w:bCs/>
          <w:color w:val="auto"/>
          <w:highlight w:val="none"/>
        </w:rPr>
        <w:t>人脸识别通过</w:t>
      </w:r>
      <w:r>
        <w:rPr>
          <w:rFonts w:hint="eastAsia" w:ascii="Arial" w:cs="Arial"/>
          <w:bCs/>
          <w:color w:val="auto"/>
          <w:highlight w:val="none"/>
        </w:rPr>
        <w:t>、带领警察而后刷卡</w:t>
      </w:r>
      <w:r>
        <w:rPr>
          <w:rFonts w:ascii="Arial" w:cs="Arial"/>
          <w:bCs/>
          <w:color w:val="auto"/>
          <w:highlight w:val="none"/>
        </w:rPr>
        <w:t>，</w:t>
      </w:r>
      <w:r>
        <w:rPr>
          <w:rFonts w:hint="eastAsia" w:ascii="Arial" w:cs="Arial"/>
          <w:bCs/>
          <w:color w:val="auto"/>
          <w:highlight w:val="none"/>
        </w:rPr>
        <w:t>由值班警察确认双重认证成功后，手动开启辊闸门。</w:t>
      </w:r>
    </w:p>
    <w:p w14:paraId="5AF45EDD">
      <w:pPr>
        <w:numPr>
          <w:ilvl w:val="0"/>
          <w:numId w:val="36"/>
        </w:numPr>
        <w:spacing w:line="360" w:lineRule="auto"/>
        <w:ind w:left="0" w:firstLine="420" w:firstLineChars="200"/>
        <w:rPr>
          <w:rFonts w:ascii="Arial" w:cs="Arial"/>
          <w:bCs/>
          <w:color w:val="auto"/>
          <w:highlight w:val="none"/>
        </w:rPr>
      </w:pPr>
      <w:r>
        <w:rPr>
          <w:rFonts w:ascii="Arial" w:cs="Arial"/>
          <w:bCs/>
          <w:color w:val="auto"/>
          <w:highlight w:val="none"/>
        </w:rPr>
        <w:t>A</w:t>
      </w:r>
      <w:r>
        <w:rPr>
          <w:rFonts w:hint="eastAsia" w:ascii="Arial" w:cs="Arial"/>
          <w:bCs/>
          <w:color w:val="auto"/>
          <w:highlight w:val="none"/>
        </w:rPr>
        <w:t>门出：</w:t>
      </w:r>
      <w:r>
        <w:rPr>
          <w:rFonts w:hint="eastAsia"/>
          <w:bCs/>
          <w:color w:val="auto"/>
          <w:highlight w:val="none"/>
        </w:rPr>
        <w:t>监狱带领警察</w:t>
      </w:r>
      <w:r>
        <w:rPr>
          <w:rFonts w:hint="eastAsia" w:ascii="Arial" w:cs="Arial"/>
          <w:bCs/>
          <w:color w:val="auto"/>
          <w:highlight w:val="none"/>
        </w:rPr>
        <w:t>刷卡，系统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开启A门通过（AB门互锁）。</w:t>
      </w:r>
    </w:p>
    <w:p w14:paraId="14AC1491">
      <w:pPr>
        <w:numPr>
          <w:ilvl w:val="0"/>
          <w:numId w:val="36"/>
        </w:numPr>
        <w:spacing w:line="360" w:lineRule="auto"/>
        <w:ind w:left="0" w:firstLine="420" w:firstLineChars="200"/>
        <w:rPr>
          <w:rFonts w:ascii="Arial" w:cs="Arial"/>
          <w:bCs/>
          <w:color w:val="auto"/>
          <w:highlight w:val="none"/>
        </w:rPr>
      </w:pPr>
      <w:r>
        <w:rPr>
          <w:rFonts w:hint="eastAsia" w:ascii="Arial" w:cs="Arial"/>
          <w:bCs/>
          <w:color w:val="auto"/>
          <w:highlight w:val="none"/>
        </w:rPr>
        <w:t>家属进入狱外会见通道。</w:t>
      </w:r>
    </w:p>
    <w:p w14:paraId="1869BB57">
      <w:pPr>
        <w:spacing w:line="360" w:lineRule="auto"/>
        <w:ind w:firstLine="420" w:firstLineChars="200"/>
        <w:rPr>
          <w:rFonts w:ascii="Arial" w:cs="Arial"/>
          <w:bCs/>
          <w:color w:val="auto"/>
          <w:highlight w:val="none"/>
        </w:rPr>
      </w:pPr>
      <w:r>
        <w:rPr>
          <w:rFonts w:ascii="Arial" w:cs="Arial"/>
          <w:bCs/>
          <w:color w:val="auto"/>
          <w:highlight w:val="none"/>
        </w:rPr>
        <w:drawing>
          <wp:inline distT="0" distB="0" distL="114300" distR="114300">
            <wp:extent cx="5192395" cy="3442970"/>
            <wp:effectExtent l="0" t="0" r="0" b="5080"/>
            <wp:docPr id="2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0"/>
                    <pic:cNvPicPr>
                      <a:picLocks noChangeAspect="1"/>
                    </pic:cNvPicPr>
                  </pic:nvPicPr>
                  <pic:blipFill>
                    <a:blip r:embed="rId44"/>
                    <a:srcRect r="9232"/>
                    <a:stretch>
                      <a:fillRect/>
                    </a:stretch>
                  </pic:blipFill>
                  <pic:spPr>
                    <a:xfrm>
                      <a:off x="0" y="0"/>
                      <a:ext cx="5192395" cy="3442970"/>
                    </a:xfrm>
                    <a:prstGeom prst="rect">
                      <a:avLst/>
                    </a:prstGeom>
                    <a:noFill/>
                    <a:ln>
                      <a:noFill/>
                    </a:ln>
                  </pic:spPr>
                </pic:pic>
              </a:graphicData>
            </a:graphic>
          </wp:inline>
        </w:drawing>
      </w:r>
    </w:p>
    <w:p w14:paraId="6ABF382B">
      <w:pPr>
        <w:pStyle w:val="13"/>
        <w:ind w:firstLine="440" w:firstLineChars="200"/>
        <w:rPr>
          <w:b w:val="0"/>
          <w:color w:val="auto"/>
          <w:highlight w:val="none"/>
        </w:rPr>
      </w:pPr>
      <w:r>
        <w:rPr>
          <w:rFonts w:hint="eastAsia"/>
          <w:b w:val="0"/>
          <w:color w:val="auto"/>
          <w:highlight w:val="none"/>
        </w:rPr>
        <w:t>外来人</w:t>
      </w:r>
      <w:r>
        <w:rPr>
          <w:b w:val="0"/>
          <w:color w:val="auto"/>
          <w:highlight w:val="none"/>
        </w:rPr>
        <w:t>员AB</w:t>
      </w:r>
      <w:r>
        <w:rPr>
          <w:rFonts w:hint="eastAsia"/>
          <w:b w:val="0"/>
          <w:color w:val="auto"/>
          <w:highlight w:val="none"/>
        </w:rPr>
        <w:t>门进出门流程</w:t>
      </w:r>
    </w:p>
    <w:p w14:paraId="6585E9FA">
      <w:pPr>
        <w:numPr>
          <w:ilvl w:val="0"/>
          <w:numId w:val="37"/>
        </w:numPr>
        <w:spacing w:line="360" w:lineRule="auto"/>
        <w:ind w:left="0" w:firstLine="420" w:firstLineChars="200"/>
        <w:rPr>
          <w:bCs/>
          <w:color w:val="auto"/>
          <w:highlight w:val="none"/>
          <w:lang w:bidi="en-US"/>
        </w:rPr>
      </w:pPr>
      <w:r>
        <w:rPr>
          <w:rFonts w:hint="eastAsia"/>
          <w:bCs/>
          <w:color w:val="auto"/>
          <w:highlight w:val="none"/>
          <w:lang w:bidi="en-US"/>
        </w:rPr>
        <w:t>外来</w:t>
      </w:r>
      <w:r>
        <w:rPr>
          <w:bCs/>
          <w:color w:val="auto"/>
          <w:highlight w:val="none"/>
          <w:lang w:bidi="en-US"/>
        </w:rPr>
        <w:t>人员</w:t>
      </w:r>
      <w:r>
        <w:rPr>
          <w:rFonts w:hint="eastAsia"/>
          <w:bCs/>
          <w:color w:val="auto"/>
          <w:highlight w:val="none"/>
          <w:lang w:bidi="en-US"/>
        </w:rPr>
        <w:t>进出管理</w:t>
      </w:r>
    </w:p>
    <w:p w14:paraId="3F34B4E3">
      <w:pPr>
        <w:spacing w:line="360" w:lineRule="auto"/>
        <w:ind w:firstLine="420" w:firstLineChars="200"/>
        <w:rPr>
          <w:bCs/>
          <w:color w:val="auto"/>
          <w:highlight w:val="none"/>
          <w:lang w:bidi="en-US"/>
        </w:rPr>
      </w:pPr>
      <w:r>
        <w:rPr>
          <w:rFonts w:hint="eastAsia"/>
          <w:bCs/>
          <w:color w:val="auto"/>
          <w:highlight w:val="none"/>
          <w:lang w:bidi="en-US"/>
        </w:rPr>
        <w:t>外来</w:t>
      </w:r>
      <w:r>
        <w:rPr>
          <w:bCs/>
          <w:color w:val="auto"/>
          <w:highlight w:val="none"/>
          <w:lang w:bidi="en-US"/>
        </w:rPr>
        <w:t>人员</w:t>
      </w:r>
      <w:r>
        <w:rPr>
          <w:rFonts w:hint="eastAsia"/>
          <w:bCs/>
          <w:color w:val="auto"/>
          <w:highlight w:val="none"/>
          <w:lang w:bidi="en-US"/>
        </w:rPr>
        <w:t>包括外协人员等，因工作原因需要通过人行通道进出监区。外来</w:t>
      </w:r>
      <w:r>
        <w:rPr>
          <w:bCs/>
          <w:color w:val="auto"/>
          <w:highlight w:val="none"/>
          <w:lang w:bidi="en-US"/>
        </w:rPr>
        <w:t>人员进</w:t>
      </w:r>
      <w:r>
        <w:rPr>
          <w:rFonts w:hint="eastAsia"/>
          <w:bCs/>
          <w:color w:val="auto"/>
          <w:highlight w:val="none"/>
          <w:lang w:bidi="en-US"/>
        </w:rPr>
        <w:t>出监门流程如下</w:t>
      </w:r>
      <w:r>
        <w:rPr>
          <w:bCs/>
          <w:color w:val="auto"/>
          <w:highlight w:val="none"/>
          <w:lang w:bidi="en-US"/>
        </w:rPr>
        <w:t>：</w:t>
      </w:r>
    </w:p>
    <w:p w14:paraId="71316DCC">
      <w:pPr>
        <w:pStyle w:val="53"/>
        <w:numPr>
          <w:ilvl w:val="0"/>
          <w:numId w:val="38"/>
        </w:numPr>
        <w:spacing w:line="360" w:lineRule="auto"/>
        <w:ind w:left="0" w:right="0" w:firstLine="420" w:firstLineChars="200"/>
        <w:rPr>
          <w:bCs/>
          <w:color w:val="auto"/>
          <w:highlight w:val="none"/>
          <w:lang w:bidi="en-US"/>
        </w:rPr>
      </w:pPr>
      <w:r>
        <w:rPr>
          <w:rFonts w:hint="eastAsia"/>
          <w:bCs/>
          <w:color w:val="auto"/>
          <w:highlight w:val="none"/>
          <w:lang w:bidi="en-US"/>
        </w:rPr>
        <w:t>登记和信息采集</w:t>
      </w:r>
      <w:r>
        <w:rPr>
          <w:bCs/>
          <w:color w:val="auto"/>
          <w:highlight w:val="none"/>
          <w:lang w:bidi="en-US"/>
        </w:rPr>
        <w:tab/>
      </w:r>
    </w:p>
    <w:p w14:paraId="3C374546">
      <w:pPr>
        <w:spacing w:line="360" w:lineRule="auto"/>
        <w:ind w:firstLine="420" w:firstLineChars="200"/>
        <w:rPr>
          <w:bCs/>
          <w:color w:val="auto"/>
          <w:highlight w:val="none"/>
          <w:lang w:bidi="en-US"/>
        </w:rPr>
      </w:pPr>
      <w:r>
        <w:rPr>
          <w:rFonts w:hint="eastAsia"/>
          <w:bCs/>
          <w:color w:val="auto"/>
          <w:highlight w:val="none"/>
          <w:lang w:bidi="en-US"/>
        </w:rPr>
        <w:t>对</w:t>
      </w:r>
      <w:r>
        <w:rPr>
          <w:bCs/>
          <w:color w:val="auto"/>
          <w:highlight w:val="none"/>
          <w:lang w:bidi="en-US"/>
        </w:rPr>
        <w:t>外来人员</w:t>
      </w:r>
      <w:r>
        <w:rPr>
          <w:rFonts w:hint="eastAsia"/>
          <w:bCs/>
          <w:color w:val="auto"/>
          <w:highlight w:val="none"/>
          <w:lang w:bidi="en-US"/>
        </w:rPr>
        <w:t>进行</w:t>
      </w:r>
      <w:r>
        <w:rPr>
          <w:bCs/>
          <w:color w:val="auto"/>
          <w:highlight w:val="none"/>
          <w:lang w:bidi="en-US"/>
        </w:rPr>
        <w:t>身份证</w:t>
      </w:r>
      <w:r>
        <w:rPr>
          <w:rFonts w:hint="eastAsia"/>
          <w:bCs/>
          <w:color w:val="auto"/>
          <w:highlight w:val="none"/>
          <w:lang w:bidi="en-US"/>
        </w:rPr>
        <w:t>和人脸</w:t>
      </w:r>
      <w:r>
        <w:rPr>
          <w:bCs/>
          <w:color w:val="auto"/>
          <w:highlight w:val="none"/>
          <w:lang w:bidi="en-US"/>
        </w:rPr>
        <w:t>信息采集；</w:t>
      </w:r>
      <w:r>
        <w:rPr>
          <w:rFonts w:hint="eastAsia"/>
          <w:bCs/>
          <w:color w:val="auto"/>
          <w:highlight w:val="none"/>
          <w:lang w:bidi="en-US"/>
        </w:rPr>
        <w:t>采集后与带领</w:t>
      </w:r>
      <w:r>
        <w:rPr>
          <w:bCs/>
          <w:color w:val="auto"/>
          <w:highlight w:val="none"/>
          <w:lang w:bidi="en-US"/>
        </w:rPr>
        <w:t>警察</w:t>
      </w:r>
      <w:r>
        <w:rPr>
          <w:rFonts w:hint="eastAsia"/>
          <w:bCs/>
          <w:color w:val="auto"/>
          <w:highlight w:val="none"/>
          <w:lang w:bidi="en-US"/>
        </w:rPr>
        <w:t>的出入</w:t>
      </w:r>
      <w:r>
        <w:rPr>
          <w:bCs/>
          <w:color w:val="auto"/>
          <w:highlight w:val="none"/>
          <w:lang w:bidi="en-US"/>
        </w:rPr>
        <w:t>卡</w:t>
      </w:r>
      <w:r>
        <w:rPr>
          <w:rFonts w:hint="eastAsia"/>
          <w:bCs/>
          <w:color w:val="auto"/>
          <w:highlight w:val="none"/>
          <w:lang w:bidi="en-US"/>
        </w:rPr>
        <w:t>进行</w:t>
      </w:r>
      <w:r>
        <w:rPr>
          <w:bCs/>
          <w:color w:val="auto"/>
          <w:highlight w:val="none"/>
          <w:lang w:bidi="en-US"/>
        </w:rPr>
        <w:t>绑定。</w:t>
      </w:r>
    </w:p>
    <w:p w14:paraId="60569BF1">
      <w:pPr>
        <w:pStyle w:val="53"/>
        <w:numPr>
          <w:ilvl w:val="0"/>
          <w:numId w:val="38"/>
        </w:numPr>
        <w:spacing w:line="360" w:lineRule="auto"/>
        <w:ind w:left="0" w:right="0" w:firstLine="420" w:firstLineChars="200"/>
        <w:rPr>
          <w:bCs/>
          <w:color w:val="auto"/>
          <w:highlight w:val="none"/>
          <w:lang w:bidi="en-US"/>
        </w:rPr>
      </w:pPr>
      <w:r>
        <w:rPr>
          <w:rFonts w:hint="eastAsia"/>
          <w:bCs/>
          <w:color w:val="auto"/>
          <w:highlight w:val="none"/>
          <w:lang w:bidi="en-US"/>
        </w:rPr>
        <w:t>审核审批</w:t>
      </w:r>
    </w:p>
    <w:p w14:paraId="32BAFF88">
      <w:pPr>
        <w:pStyle w:val="53"/>
        <w:spacing w:line="360" w:lineRule="auto"/>
        <w:ind w:left="0" w:right="0" w:firstLine="420" w:firstLineChars="200"/>
        <w:rPr>
          <w:bCs/>
          <w:color w:val="auto"/>
          <w:highlight w:val="none"/>
          <w:lang w:bidi="en-US"/>
        </w:rPr>
      </w:pPr>
      <w:r>
        <w:rPr>
          <w:rFonts w:hint="eastAsia"/>
          <w:bCs/>
          <w:color w:val="auto"/>
          <w:highlight w:val="none"/>
          <w:lang w:bidi="en-US"/>
        </w:rPr>
        <w:t>业务科室审核+分管领导审批。</w:t>
      </w:r>
    </w:p>
    <w:p w14:paraId="0B732CDB">
      <w:pPr>
        <w:pStyle w:val="53"/>
        <w:numPr>
          <w:ilvl w:val="0"/>
          <w:numId w:val="38"/>
        </w:numPr>
        <w:spacing w:line="360" w:lineRule="auto"/>
        <w:ind w:left="0" w:right="0" w:firstLine="420" w:firstLineChars="200"/>
        <w:rPr>
          <w:bCs/>
          <w:color w:val="auto"/>
          <w:highlight w:val="none"/>
          <w:lang w:bidi="en-US"/>
        </w:rPr>
      </w:pPr>
      <w:r>
        <w:rPr>
          <w:rFonts w:hint="eastAsia"/>
          <w:bCs/>
          <w:color w:val="auto"/>
          <w:highlight w:val="none"/>
          <w:lang w:bidi="en-US"/>
        </w:rPr>
        <w:t>进出流程</w:t>
      </w:r>
    </w:p>
    <w:p w14:paraId="1ECB4436">
      <w:pPr>
        <w:pStyle w:val="53"/>
        <w:spacing w:line="360" w:lineRule="auto"/>
        <w:ind w:left="0" w:right="0" w:firstLine="420" w:firstLineChars="200"/>
        <w:rPr>
          <w:bCs/>
          <w:color w:val="auto"/>
          <w:highlight w:val="none"/>
          <w:lang w:bidi="en-US"/>
        </w:rPr>
      </w:pPr>
      <w:r>
        <w:rPr>
          <w:rFonts w:hint="eastAsia"/>
          <w:bCs/>
          <w:color w:val="auto"/>
          <w:highlight w:val="none"/>
          <w:lang w:bidi="en-US"/>
        </w:rPr>
        <w:t>除在B门辊闸门处需警察刷卡、外来人员人脸识别外，其他步骤按人行通道出入监流程进行。</w:t>
      </w:r>
    </w:p>
    <w:p w14:paraId="67E116D3">
      <w:pPr>
        <w:pStyle w:val="13"/>
        <w:ind w:firstLine="440" w:firstLineChars="200"/>
        <w:rPr>
          <w:b w:val="0"/>
          <w:color w:val="auto"/>
          <w:highlight w:val="none"/>
        </w:rPr>
      </w:pPr>
      <w:r>
        <w:rPr>
          <w:rFonts w:hint="eastAsia"/>
          <w:b w:val="0"/>
          <w:color w:val="auto"/>
          <w:highlight w:val="none"/>
        </w:rPr>
        <w:t>车行通道</w:t>
      </w:r>
      <w:r>
        <w:rPr>
          <w:b w:val="0"/>
          <w:color w:val="auto"/>
          <w:highlight w:val="none"/>
        </w:rPr>
        <w:t>AB</w:t>
      </w:r>
      <w:r>
        <w:rPr>
          <w:rFonts w:hint="eastAsia"/>
          <w:b w:val="0"/>
          <w:color w:val="auto"/>
          <w:highlight w:val="none"/>
        </w:rPr>
        <w:t>门进门流程</w:t>
      </w:r>
    </w:p>
    <w:p w14:paraId="4F75DDE2">
      <w:pPr>
        <w:spacing w:line="360" w:lineRule="auto"/>
        <w:ind w:firstLine="420" w:firstLineChars="200"/>
        <w:rPr>
          <w:bCs/>
          <w:color w:val="auto"/>
          <w:highlight w:val="none"/>
        </w:rPr>
      </w:pPr>
      <w:r>
        <w:rPr>
          <w:rFonts w:hint="eastAsia"/>
          <w:bCs/>
          <w:color w:val="auto"/>
          <w:highlight w:val="none"/>
        </w:rPr>
        <w:t>本监狱车行AB门平面图如下所示：</w:t>
      </w:r>
    </w:p>
    <w:p w14:paraId="27CD6042">
      <w:pPr>
        <w:spacing w:line="360" w:lineRule="auto"/>
        <w:ind w:firstLine="420" w:firstLineChars="200"/>
        <w:jc w:val="center"/>
        <w:rPr>
          <w:bCs/>
          <w:color w:val="auto"/>
          <w:highlight w:val="none"/>
        </w:rPr>
      </w:pPr>
      <w:r>
        <w:rPr>
          <w:bCs/>
          <w:color w:val="auto"/>
          <w:highlight w:val="none"/>
        </w:rPr>
        <w:drawing>
          <wp:inline distT="0" distB="0" distL="114300" distR="114300">
            <wp:extent cx="4321175" cy="7098665"/>
            <wp:effectExtent l="0" t="0" r="3175" b="6985"/>
            <wp:docPr id="29" name="图片 31" descr="C:\Users\Administrator\Picture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1" descr="C:\Users\Administrator\Pictures\3.png"/>
                    <pic:cNvPicPr>
                      <a:picLocks noChangeAspect="1"/>
                    </pic:cNvPicPr>
                  </pic:nvPicPr>
                  <pic:blipFill>
                    <a:blip r:embed="rId45"/>
                    <a:srcRect l="5116" t="3313" r="1779" b="2370"/>
                    <a:stretch>
                      <a:fillRect/>
                    </a:stretch>
                  </pic:blipFill>
                  <pic:spPr>
                    <a:xfrm>
                      <a:off x="0" y="0"/>
                      <a:ext cx="4321175" cy="7098665"/>
                    </a:xfrm>
                    <a:prstGeom prst="rect">
                      <a:avLst/>
                    </a:prstGeom>
                    <a:noFill/>
                    <a:ln>
                      <a:noFill/>
                    </a:ln>
                  </pic:spPr>
                </pic:pic>
              </a:graphicData>
            </a:graphic>
          </wp:inline>
        </w:drawing>
      </w:r>
    </w:p>
    <w:p w14:paraId="3FABDB9E">
      <w:pPr>
        <w:numPr>
          <w:ilvl w:val="0"/>
          <w:numId w:val="39"/>
        </w:numPr>
        <w:spacing w:line="360" w:lineRule="auto"/>
        <w:ind w:left="0" w:firstLine="420" w:firstLineChars="200"/>
        <w:rPr>
          <w:rFonts w:ascii="Arial" w:cs="Arial"/>
          <w:bCs/>
          <w:color w:val="auto"/>
          <w:highlight w:val="none"/>
        </w:rPr>
      </w:pPr>
      <w:r>
        <w:rPr>
          <w:rFonts w:hint="eastAsia" w:ascii="Arial" w:cs="Arial"/>
          <w:bCs/>
          <w:color w:val="auto"/>
          <w:highlight w:val="none"/>
        </w:rPr>
        <w:t>登记和信息采集</w:t>
      </w:r>
    </w:p>
    <w:p w14:paraId="40275160">
      <w:pPr>
        <w:spacing w:line="360" w:lineRule="auto"/>
        <w:ind w:firstLine="420" w:firstLineChars="200"/>
        <w:rPr>
          <w:bCs/>
          <w:color w:val="auto"/>
          <w:highlight w:val="none"/>
          <w:lang w:bidi="en-US"/>
        </w:rPr>
      </w:pPr>
      <w:r>
        <w:rPr>
          <w:rFonts w:hint="eastAsia"/>
          <w:bCs/>
          <w:color w:val="auto"/>
          <w:highlight w:val="none"/>
          <w:lang w:bidi="en-US"/>
        </w:rPr>
        <w:t>对</w:t>
      </w:r>
      <w:r>
        <w:rPr>
          <w:bCs/>
          <w:color w:val="auto"/>
          <w:highlight w:val="none"/>
          <w:lang w:bidi="en-US"/>
        </w:rPr>
        <w:t>外来人员</w:t>
      </w:r>
      <w:r>
        <w:rPr>
          <w:rFonts w:hint="eastAsia"/>
          <w:bCs/>
          <w:color w:val="auto"/>
          <w:highlight w:val="none"/>
          <w:lang w:bidi="en-US"/>
        </w:rPr>
        <w:t>和车辆进行</w:t>
      </w:r>
      <w:r>
        <w:rPr>
          <w:bCs/>
          <w:color w:val="auto"/>
          <w:highlight w:val="none"/>
          <w:lang w:bidi="en-US"/>
        </w:rPr>
        <w:t>身份</w:t>
      </w:r>
      <w:r>
        <w:rPr>
          <w:rFonts w:hint="eastAsia"/>
          <w:bCs/>
          <w:color w:val="auto"/>
          <w:highlight w:val="none"/>
          <w:lang w:bidi="en-US"/>
        </w:rPr>
        <w:t>、人脸和车辆（车牌号）</w:t>
      </w:r>
      <w:r>
        <w:rPr>
          <w:bCs/>
          <w:color w:val="auto"/>
          <w:highlight w:val="none"/>
          <w:lang w:bidi="en-US"/>
        </w:rPr>
        <w:t>信息采集；</w:t>
      </w:r>
      <w:r>
        <w:rPr>
          <w:rFonts w:hint="eastAsia"/>
          <w:bCs/>
          <w:color w:val="auto"/>
          <w:highlight w:val="none"/>
          <w:lang w:bidi="en-US"/>
        </w:rPr>
        <w:t>采集后与带领</w:t>
      </w:r>
      <w:r>
        <w:rPr>
          <w:bCs/>
          <w:color w:val="auto"/>
          <w:highlight w:val="none"/>
          <w:lang w:bidi="en-US"/>
        </w:rPr>
        <w:t>警察</w:t>
      </w:r>
      <w:r>
        <w:rPr>
          <w:rFonts w:hint="eastAsia"/>
          <w:bCs/>
          <w:color w:val="auto"/>
          <w:highlight w:val="none"/>
          <w:lang w:bidi="en-US"/>
        </w:rPr>
        <w:t>的出入</w:t>
      </w:r>
      <w:r>
        <w:rPr>
          <w:bCs/>
          <w:color w:val="auto"/>
          <w:highlight w:val="none"/>
          <w:lang w:bidi="en-US"/>
        </w:rPr>
        <w:t>卡</w:t>
      </w:r>
      <w:r>
        <w:rPr>
          <w:rFonts w:hint="eastAsia"/>
          <w:bCs/>
          <w:color w:val="auto"/>
          <w:highlight w:val="none"/>
          <w:lang w:bidi="en-US"/>
        </w:rPr>
        <w:t>进行</w:t>
      </w:r>
      <w:r>
        <w:rPr>
          <w:bCs/>
          <w:color w:val="auto"/>
          <w:highlight w:val="none"/>
          <w:lang w:bidi="en-US"/>
        </w:rPr>
        <w:t>绑定。</w:t>
      </w:r>
    </w:p>
    <w:p w14:paraId="66705A5C">
      <w:pPr>
        <w:numPr>
          <w:ilvl w:val="0"/>
          <w:numId w:val="39"/>
        </w:numPr>
        <w:spacing w:line="360" w:lineRule="auto"/>
        <w:ind w:left="0" w:firstLine="420" w:firstLineChars="200"/>
        <w:rPr>
          <w:rFonts w:ascii="Arial" w:cs="Arial"/>
          <w:bCs/>
          <w:color w:val="auto"/>
          <w:highlight w:val="none"/>
        </w:rPr>
      </w:pPr>
      <w:r>
        <w:rPr>
          <w:rFonts w:hint="eastAsia"/>
          <w:bCs/>
          <w:color w:val="auto"/>
          <w:highlight w:val="none"/>
          <w:lang w:bidi="en-US"/>
        </w:rPr>
        <w:t>审核审批</w:t>
      </w:r>
    </w:p>
    <w:p w14:paraId="512C4007">
      <w:pPr>
        <w:spacing w:line="360" w:lineRule="auto"/>
        <w:ind w:firstLine="420" w:firstLineChars="200"/>
        <w:rPr>
          <w:rFonts w:ascii="Arial" w:cs="Arial"/>
          <w:bCs/>
          <w:color w:val="auto"/>
          <w:highlight w:val="none"/>
        </w:rPr>
      </w:pPr>
      <w:r>
        <w:rPr>
          <w:rFonts w:hint="eastAsia"/>
          <w:bCs/>
          <w:color w:val="auto"/>
          <w:highlight w:val="none"/>
          <w:lang w:bidi="en-US"/>
        </w:rPr>
        <w:t>业务</w:t>
      </w:r>
      <w:r>
        <w:rPr>
          <w:bCs/>
          <w:color w:val="auto"/>
          <w:highlight w:val="none"/>
          <w:lang w:bidi="en-US"/>
        </w:rPr>
        <w:t>科室</w:t>
      </w:r>
      <w:r>
        <w:rPr>
          <w:rFonts w:hint="eastAsia"/>
          <w:bCs/>
          <w:color w:val="auto"/>
          <w:highlight w:val="none"/>
          <w:lang w:bidi="en-US"/>
        </w:rPr>
        <w:t>审核+</w:t>
      </w:r>
      <w:r>
        <w:rPr>
          <w:bCs/>
          <w:color w:val="auto"/>
          <w:highlight w:val="none"/>
          <w:lang w:bidi="en-US"/>
        </w:rPr>
        <w:t>分管领导审批</w:t>
      </w:r>
      <w:r>
        <w:rPr>
          <w:rFonts w:hint="eastAsia"/>
          <w:bCs/>
          <w:color w:val="auto"/>
          <w:highlight w:val="none"/>
          <w:lang w:bidi="en-US"/>
        </w:rPr>
        <w:t>。</w:t>
      </w:r>
    </w:p>
    <w:p w14:paraId="4A3D3348">
      <w:pPr>
        <w:numPr>
          <w:ilvl w:val="0"/>
          <w:numId w:val="39"/>
        </w:numPr>
        <w:spacing w:line="360" w:lineRule="auto"/>
        <w:ind w:left="0" w:firstLine="420" w:firstLineChars="200"/>
        <w:rPr>
          <w:rFonts w:ascii="Arial" w:cs="Arial"/>
          <w:bCs/>
          <w:color w:val="auto"/>
          <w:highlight w:val="none"/>
        </w:rPr>
      </w:pPr>
      <w:r>
        <w:rPr>
          <w:rFonts w:hint="eastAsia" w:ascii="Arial" w:cs="Arial"/>
          <w:bCs/>
          <w:color w:val="auto"/>
          <w:highlight w:val="none"/>
        </w:rPr>
        <w:t>A门：武警（或警察）查验审批证明、核实身份和证件，并进行车辆识别后，手动开启A门，系统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开启A门通过（AB门互锁）。</w:t>
      </w:r>
    </w:p>
    <w:p w14:paraId="0B74B927">
      <w:pPr>
        <w:numPr>
          <w:ilvl w:val="0"/>
          <w:numId w:val="39"/>
        </w:numPr>
        <w:spacing w:line="360" w:lineRule="auto"/>
        <w:ind w:left="0" w:firstLine="420" w:firstLineChars="200"/>
        <w:rPr>
          <w:rFonts w:ascii="Arial" w:cs="Arial"/>
          <w:bCs/>
          <w:color w:val="auto"/>
          <w:highlight w:val="none"/>
        </w:rPr>
      </w:pPr>
      <w:r>
        <w:rPr>
          <w:rFonts w:hint="eastAsia" w:ascii="Arial" w:cs="Arial"/>
          <w:bCs/>
          <w:color w:val="auto"/>
          <w:highlight w:val="none"/>
        </w:rPr>
        <w:t>安检：值班警察和武警对车辆和驾乘人员进行安检。</w:t>
      </w:r>
    </w:p>
    <w:p w14:paraId="218A46EE">
      <w:pPr>
        <w:numPr>
          <w:ilvl w:val="0"/>
          <w:numId w:val="39"/>
        </w:numPr>
        <w:spacing w:line="360" w:lineRule="auto"/>
        <w:ind w:left="0" w:firstLine="420" w:firstLineChars="200"/>
        <w:rPr>
          <w:rFonts w:ascii="Arial" w:cs="Arial"/>
          <w:bCs/>
          <w:color w:val="auto"/>
          <w:highlight w:val="none"/>
        </w:rPr>
      </w:pPr>
      <w:r>
        <w:rPr>
          <w:rFonts w:hint="eastAsia" w:ascii="Arial" w:cs="Arial"/>
          <w:bCs/>
          <w:color w:val="auto"/>
          <w:highlight w:val="none"/>
        </w:rPr>
        <w:t>B1门：值班警察对驾乘人员进行人脸验证后留置相关证件，带领警察进行虚拟换卡，值班警察手动开启B1门，系统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开启B1门通过（AB门互锁）。</w:t>
      </w:r>
    </w:p>
    <w:p w14:paraId="107BDD2F">
      <w:pPr>
        <w:numPr>
          <w:ilvl w:val="0"/>
          <w:numId w:val="39"/>
        </w:numPr>
        <w:spacing w:line="360" w:lineRule="auto"/>
        <w:ind w:left="0" w:firstLine="420" w:firstLineChars="200"/>
        <w:rPr>
          <w:rFonts w:ascii="Arial" w:cs="Arial"/>
          <w:bCs/>
          <w:color w:val="auto"/>
          <w:highlight w:val="none"/>
        </w:rPr>
      </w:pPr>
      <w:r>
        <w:rPr>
          <w:rFonts w:hint="eastAsia" w:ascii="Arial" w:cs="Arial"/>
          <w:bCs/>
          <w:color w:val="auto"/>
          <w:highlight w:val="none"/>
        </w:rPr>
        <w:t>B2门：进入待检区后，待B1门关闭，值班警察手动开启B2门，进入狱内。</w:t>
      </w:r>
    </w:p>
    <w:p w14:paraId="1B2EB5CE">
      <w:pPr>
        <w:numPr>
          <w:ilvl w:val="0"/>
          <w:numId w:val="39"/>
        </w:numPr>
        <w:spacing w:line="360" w:lineRule="auto"/>
        <w:ind w:left="0" w:firstLine="420" w:firstLineChars="200"/>
        <w:rPr>
          <w:bCs/>
          <w:color w:val="auto"/>
          <w:highlight w:val="none"/>
        </w:rPr>
      </w:pPr>
      <w:r>
        <w:rPr>
          <w:rFonts w:hint="eastAsia" w:ascii="Arial" w:cs="Arial"/>
          <w:bCs/>
          <w:color w:val="auto"/>
          <w:highlight w:val="none"/>
        </w:rPr>
        <w:t>防撞柱、阻车器、门实现联动互控。</w:t>
      </w:r>
    </w:p>
    <w:p w14:paraId="4417F5F0">
      <w:pPr>
        <w:spacing w:line="360" w:lineRule="auto"/>
        <w:ind w:firstLine="420" w:firstLineChars="200"/>
        <w:rPr>
          <w:bCs/>
          <w:color w:val="auto"/>
          <w:highlight w:val="none"/>
        </w:rPr>
      </w:pPr>
      <w:r>
        <w:rPr>
          <w:bCs/>
          <w:color w:val="auto"/>
          <w:highlight w:val="none"/>
        </w:rPr>
        <w:drawing>
          <wp:inline distT="0" distB="0" distL="114300" distR="114300">
            <wp:extent cx="5274310" cy="3794125"/>
            <wp:effectExtent l="0" t="0" r="2540" b="15875"/>
            <wp:docPr id="30" name="图片 32" descr="C:\Users\Administrator\Pictur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2" descr="C:\Users\Administrator\Pictures\6.png"/>
                    <pic:cNvPicPr>
                      <a:picLocks noChangeAspect="1"/>
                    </pic:cNvPicPr>
                  </pic:nvPicPr>
                  <pic:blipFill>
                    <a:blip r:embed="rId46"/>
                    <a:stretch>
                      <a:fillRect/>
                    </a:stretch>
                  </pic:blipFill>
                  <pic:spPr>
                    <a:xfrm>
                      <a:off x="0" y="0"/>
                      <a:ext cx="5274310" cy="3794125"/>
                    </a:xfrm>
                    <a:prstGeom prst="rect">
                      <a:avLst/>
                    </a:prstGeom>
                    <a:noFill/>
                    <a:ln>
                      <a:noFill/>
                    </a:ln>
                  </pic:spPr>
                </pic:pic>
              </a:graphicData>
            </a:graphic>
          </wp:inline>
        </w:drawing>
      </w:r>
    </w:p>
    <w:p w14:paraId="48733752">
      <w:pPr>
        <w:pStyle w:val="13"/>
        <w:ind w:firstLine="440" w:firstLineChars="200"/>
        <w:rPr>
          <w:b w:val="0"/>
          <w:color w:val="auto"/>
          <w:highlight w:val="none"/>
        </w:rPr>
      </w:pPr>
      <w:r>
        <w:rPr>
          <w:rFonts w:hint="eastAsia"/>
          <w:b w:val="0"/>
          <w:color w:val="auto"/>
          <w:highlight w:val="none"/>
        </w:rPr>
        <w:t>车行通道</w:t>
      </w:r>
      <w:r>
        <w:rPr>
          <w:b w:val="0"/>
          <w:color w:val="auto"/>
          <w:highlight w:val="none"/>
        </w:rPr>
        <w:t>AB</w:t>
      </w:r>
      <w:r>
        <w:rPr>
          <w:rFonts w:hint="eastAsia"/>
          <w:b w:val="0"/>
          <w:color w:val="auto"/>
          <w:highlight w:val="none"/>
        </w:rPr>
        <w:t>门出门流程</w:t>
      </w:r>
    </w:p>
    <w:p w14:paraId="40B070FA">
      <w:pPr>
        <w:numPr>
          <w:ilvl w:val="0"/>
          <w:numId w:val="40"/>
        </w:numPr>
        <w:spacing w:line="360" w:lineRule="auto"/>
        <w:ind w:left="0" w:firstLine="420" w:firstLineChars="200"/>
        <w:rPr>
          <w:bCs/>
          <w:color w:val="auto"/>
          <w:highlight w:val="none"/>
        </w:rPr>
      </w:pPr>
      <w:r>
        <w:rPr>
          <w:rFonts w:hint="eastAsia"/>
          <w:bCs/>
          <w:color w:val="auto"/>
          <w:highlight w:val="none"/>
        </w:rPr>
        <w:t>B2门：带车警察通知值班警察开启B2门，车辆进入待检区。值班警察报告指挥中心，进行人员点名。</w:t>
      </w:r>
    </w:p>
    <w:p w14:paraId="6292AB30">
      <w:pPr>
        <w:numPr>
          <w:ilvl w:val="0"/>
          <w:numId w:val="40"/>
        </w:numPr>
        <w:spacing w:line="360" w:lineRule="auto"/>
        <w:ind w:left="0" w:firstLine="420" w:firstLineChars="200"/>
        <w:rPr>
          <w:bCs/>
          <w:color w:val="auto"/>
          <w:highlight w:val="none"/>
        </w:rPr>
      </w:pPr>
      <w:r>
        <w:rPr>
          <w:rFonts w:hint="eastAsia"/>
          <w:bCs/>
          <w:color w:val="auto"/>
          <w:highlight w:val="none"/>
        </w:rPr>
        <w:t>B1门：指挥中心完成点名后，通知值班警察手动开启B2门，</w:t>
      </w:r>
      <w:r>
        <w:rPr>
          <w:rFonts w:hint="eastAsia" w:ascii="Arial" w:cs="Arial"/>
          <w:bCs/>
          <w:color w:val="auto"/>
          <w:highlight w:val="none"/>
        </w:rPr>
        <w:t>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开启B1门通过（AB门互锁）</w:t>
      </w:r>
      <w:r>
        <w:rPr>
          <w:rFonts w:hint="eastAsia"/>
          <w:bCs/>
          <w:color w:val="auto"/>
          <w:highlight w:val="none"/>
        </w:rPr>
        <w:t>。</w:t>
      </w:r>
    </w:p>
    <w:p w14:paraId="7C76EB93">
      <w:pPr>
        <w:numPr>
          <w:ilvl w:val="0"/>
          <w:numId w:val="40"/>
        </w:numPr>
        <w:spacing w:line="360" w:lineRule="auto"/>
        <w:ind w:left="0" w:firstLine="420" w:firstLineChars="200"/>
        <w:rPr>
          <w:bCs/>
          <w:color w:val="auto"/>
          <w:highlight w:val="none"/>
        </w:rPr>
      </w:pPr>
      <w:r>
        <w:rPr>
          <w:bCs/>
          <w:color w:val="auto"/>
          <w:highlight w:val="none"/>
        </w:rPr>
        <w:t>安检</w:t>
      </w:r>
      <w:r>
        <w:rPr>
          <w:rFonts w:hint="eastAsia"/>
          <w:bCs/>
          <w:color w:val="auto"/>
          <w:highlight w:val="none"/>
        </w:rPr>
        <w:t>；</w:t>
      </w:r>
      <w:r>
        <w:rPr>
          <w:rFonts w:hint="eastAsia" w:ascii="Arial" w:cs="Arial"/>
          <w:bCs/>
          <w:color w:val="auto"/>
          <w:highlight w:val="none"/>
        </w:rPr>
        <w:t>值班警察和武警对车辆和驾乘人员进行安检（包含车底扫描和生命探测），驾乘人员进行人脸验证后发还相关证件，带领警察进行虚拟换卡，通知A门</w:t>
      </w:r>
      <w:r>
        <w:rPr>
          <w:rFonts w:hint="eastAsia"/>
          <w:bCs/>
          <w:color w:val="auto"/>
          <w:highlight w:val="none"/>
        </w:rPr>
        <w:t>武警（或警察）放行</w:t>
      </w:r>
      <w:r>
        <w:rPr>
          <w:rFonts w:hint="eastAsia" w:ascii="Arial" w:cs="Arial"/>
          <w:bCs/>
          <w:color w:val="auto"/>
          <w:highlight w:val="none"/>
        </w:rPr>
        <w:t>。</w:t>
      </w:r>
    </w:p>
    <w:p w14:paraId="4D5FE23C">
      <w:pPr>
        <w:numPr>
          <w:ilvl w:val="0"/>
          <w:numId w:val="40"/>
        </w:numPr>
        <w:spacing w:line="360" w:lineRule="auto"/>
        <w:ind w:left="0" w:firstLine="420" w:firstLineChars="200"/>
        <w:rPr>
          <w:bCs/>
          <w:color w:val="auto"/>
          <w:highlight w:val="none"/>
        </w:rPr>
      </w:pPr>
      <w:r>
        <w:rPr>
          <w:rFonts w:hint="eastAsia"/>
          <w:bCs/>
          <w:color w:val="auto"/>
          <w:highlight w:val="none"/>
        </w:rPr>
        <w:t>A门：武警（或警察）接值班警察通知后，手动开启A门，</w:t>
      </w:r>
      <w:r>
        <w:rPr>
          <w:rFonts w:hint="eastAsia" w:ascii="Arial" w:cs="Arial"/>
          <w:bCs/>
          <w:color w:val="auto"/>
          <w:highlight w:val="none"/>
        </w:rPr>
        <w:t>系统</w:t>
      </w:r>
      <w:r>
        <w:rPr>
          <w:rFonts w:ascii="Arial" w:cs="Arial"/>
          <w:bCs/>
          <w:color w:val="auto"/>
          <w:highlight w:val="none"/>
        </w:rPr>
        <w:t>进行</w:t>
      </w:r>
      <w:r>
        <w:rPr>
          <w:rFonts w:hint="eastAsia" w:ascii="Arial" w:cs="Arial"/>
          <w:bCs/>
          <w:color w:val="auto"/>
          <w:highlight w:val="none"/>
        </w:rPr>
        <w:t>AB门</w:t>
      </w:r>
      <w:r>
        <w:rPr>
          <w:rFonts w:ascii="Arial" w:cs="Arial"/>
          <w:bCs/>
          <w:color w:val="auto"/>
          <w:highlight w:val="none"/>
        </w:rPr>
        <w:t>判断后</w:t>
      </w:r>
      <w:r>
        <w:rPr>
          <w:rFonts w:hint="eastAsia" w:ascii="Arial" w:cs="Arial"/>
          <w:bCs/>
          <w:color w:val="auto"/>
          <w:highlight w:val="none"/>
        </w:rPr>
        <w:t>开启A门通过（AB门互锁）。</w:t>
      </w:r>
    </w:p>
    <w:p w14:paraId="2443C704">
      <w:pPr>
        <w:numPr>
          <w:ilvl w:val="0"/>
          <w:numId w:val="40"/>
        </w:numPr>
        <w:spacing w:line="360" w:lineRule="auto"/>
        <w:ind w:left="0" w:firstLine="420" w:firstLineChars="200"/>
        <w:rPr>
          <w:bCs/>
          <w:color w:val="auto"/>
          <w:highlight w:val="none"/>
        </w:rPr>
      </w:pPr>
      <w:r>
        <w:rPr>
          <w:rFonts w:hint="eastAsia"/>
          <w:bCs/>
          <w:color w:val="auto"/>
          <w:highlight w:val="none"/>
        </w:rPr>
        <w:t>防撞柱、阻车器、门实现联动互控。</w:t>
      </w:r>
    </w:p>
    <w:p w14:paraId="6465057D">
      <w:pPr>
        <w:spacing w:line="360" w:lineRule="auto"/>
        <w:ind w:firstLine="420" w:firstLineChars="200"/>
        <w:rPr>
          <w:bCs/>
          <w:color w:val="auto"/>
          <w:highlight w:val="none"/>
        </w:rPr>
      </w:pPr>
      <w:r>
        <w:rPr>
          <w:bCs/>
          <w:color w:val="auto"/>
          <w:highlight w:val="none"/>
        </w:rPr>
        <w:drawing>
          <wp:inline distT="0" distB="0" distL="114300" distR="114300">
            <wp:extent cx="5312410" cy="3876675"/>
            <wp:effectExtent l="0" t="0" r="0" b="9525"/>
            <wp:docPr id="3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3"/>
                    <pic:cNvPicPr>
                      <a:picLocks noChangeAspect="1"/>
                    </pic:cNvPicPr>
                  </pic:nvPicPr>
                  <pic:blipFill>
                    <a:blip r:embed="rId47"/>
                    <a:stretch>
                      <a:fillRect/>
                    </a:stretch>
                  </pic:blipFill>
                  <pic:spPr>
                    <a:xfrm>
                      <a:off x="0" y="0"/>
                      <a:ext cx="5312410" cy="3876675"/>
                    </a:xfrm>
                    <a:prstGeom prst="rect">
                      <a:avLst/>
                    </a:prstGeom>
                    <a:noFill/>
                    <a:ln>
                      <a:noFill/>
                    </a:ln>
                  </pic:spPr>
                </pic:pic>
              </a:graphicData>
            </a:graphic>
          </wp:inline>
        </w:drawing>
      </w:r>
    </w:p>
    <w:p w14:paraId="36236459">
      <w:pPr>
        <w:pStyle w:val="13"/>
        <w:ind w:firstLine="440" w:firstLineChars="200"/>
        <w:rPr>
          <w:b w:val="0"/>
          <w:color w:val="auto"/>
          <w:highlight w:val="none"/>
        </w:rPr>
      </w:pPr>
      <w:r>
        <w:rPr>
          <w:rFonts w:hint="eastAsia"/>
          <w:b w:val="0"/>
          <w:color w:val="auto"/>
          <w:highlight w:val="none"/>
        </w:rPr>
        <w:t>罪犯入监流程</w:t>
      </w:r>
    </w:p>
    <w:p w14:paraId="64E4910C">
      <w:pPr>
        <w:numPr>
          <w:ilvl w:val="0"/>
          <w:numId w:val="41"/>
        </w:numPr>
        <w:spacing w:line="360" w:lineRule="auto"/>
        <w:ind w:left="0" w:firstLine="420" w:firstLineChars="200"/>
        <w:rPr>
          <w:bCs/>
          <w:color w:val="auto"/>
          <w:highlight w:val="none"/>
        </w:rPr>
      </w:pPr>
      <w:r>
        <w:rPr>
          <w:rFonts w:hint="eastAsia"/>
          <w:bCs/>
          <w:color w:val="auto"/>
          <w:highlight w:val="none"/>
        </w:rPr>
        <w:t>登记和信息采集</w:t>
      </w:r>
    </w:p>
    <w:p w14:paraId="6FC19BAF">
      <w:pPr>
        <w:spacing w:line="360" w:lineRule="auto"/>
        <w:ind w:firstLine="420" w:firstLineChars="200"/>
        <w:rPr>
          <w:bCs/>
          <w:color w:val="auto"/>
          <w:highlight w:val="none"/>
          <w:lang w:bidi="en-US"/>
        </w:rPr>
      </w:pPr>
      <w:r>
        <w:rPr>
          <w:rFonts w:hint="eastAsia"/>
          <w:bCs/>
          <w:color w:val="auto"/>
          <w:highlight w:val="none"/>
          <w:lang w:bidi="en-US"/>
        </w:rPr>
        <w:t>对入监罪犯进行</w:t>
      </w:r>
      <w:r>
        <w:rPr>
          <w:bCs/>
          <w:color w:val="auto"/>
          <w:highlight w:val="none"/>
          <w:lang w:bidi="en-US"/>
        </w:rPr>
        <w:t>身份</w:t>
      </w:r>
      <w:r>
        <w:rPr>
          <w:rFonts w:hint="eastAsia"/>
          <w:bCs/>
          <w:color w:val="auto"/>
          <w:highlight w:val="none"/>
          <w:lang w:bidi="en-US"/>
        </w:rPr>
        <w:t>、人脸</w:t>
      </w:r>
      <w:r>
        <w:rPr>
          <w:bCs/>
          <w:color w:val="auto"/>
          <w:highlight w:val="none"/>
          <w:lang w:bidi="en-US"/>
        </w:rPr>
        <w:t>信息采集。</w:t>
      </w:r>
    </w:p>
    <w:p w14:paraId="1C6F4A92">
      <w:pPr>
        <w:numPr>
          <w:ilvl w:val="0"/>
          <w:numId w:val="41"/>
        </w:numPr>
        <w:spacing w:line="360" w:lineRule="auto"/>
        <w:ind w:left="0" w:firstLine="420" w:firstLineChars="200"/>
        <w:rPr>
          <w:bCs/>
          <w:color w:val="auto"/>
          <w:highlight w:val="none"/>
        </w:rPr>
      </w:pPr>
      <w:r>
        <w:rPr>
          <w:rFonts w:hint="eastAsia"/>
          <w:bCs/>
          <w:color w:val="auto"/>
          <w:highlight w:val="none"/>
        </w:rPr>
        <w:t>审核审批</w:t>
      </w:r>
    </w:p>
    <w:p w14:paraId="160A5171">
      <w:pPr>
        <w:spacing w:line="360" w:lineRule="auto"/>
        <w:ind w:firstLine="420" w:firstLineChars="200"/>
        <w:rPr>
          <w:rFonts w:ascii="Arial" w:cs="Arial"/>
          <w:bCs/>
          <w:color w:val="auto"/>
          <w:highlight w:val="none"/>
        </w:rPr>
      </w:pPr>
      <w:r>
        <w:rPr>
          <w:rFonts w:hint="eastAsia"/>
          <w:bCs/>
          <w:color w:val="auto"/>
          <w:highlight w:val="none"/>
          <w:lang w:bidi="en-US"/>
        </w:rPr>
        <w:t>业务</w:t>
      </w:r>
      <w:r>
        <w:rPr>
          <w:bCs/>
          <w:color w:val="auto"/>
          <w:highlight w:val="none"/>
          <w:lang w:bidi="en-US"/>
        </w:rPr>
        <w:t>科室</w:t>
      </w:r>
      <w:r>
        <w:rPr>
          <w:rFonts w:hint="eastAsia"/>
          <w:bCs/>
          <w:color w:val="auto"/>
          <w:highlight w:val="none"/>
          <w:lang w:bidi="en-US"/>
        </w:rPr>
        <w:t>审核+</w:t>
      </w:r>
      <w:r>
        <w:rPr>
          <w:bCs/>
          <w:color w:val="auto"/>
          <w:highlight w:val="none"/>
          <w:lang w:bidi="en-US"/>
        </w:rPr>
        <w:t>分管领导审批</w:t>
      </w:r>
      <w:r>
        <w:rPr>
          <w:rFonts w:hint="eastAsia"/>
          <w:bCs/>
          <w:color w:val="auto"/>
          <w:highlight w:val="none"/>
          <w:lang w:bidi="en-US"/>
        </w:rPr>
        <w:t>。</w:t>
      </w:r>
    </w:p>
    <w:p w14:paraId="5C16F0E9">
      <w:pPr>
        <w:numPr>
          <w:ilvl w:val="0"/>
          <w:numId w:val="41"/>
        </w:numPr>
        <w:spacing w:line="360" w:lineRule="auto"/>
        <w:ind w:left="0" w:firstLine="420" w:firstLineChars="200"/>
        <w:rPr>
          <w:bCs/>
          <w:color w:val="auto"/>
          <w:highlight w:val="none"/>
        </w:rPr>
      </w:pPr>
      <w:r>
        <w:rPr>
          <w:rFonts w:hint="eastAsia"/>
          <w:bCs/>
          <w:color w:val="auto"/>
          <w:highlight w:val="none"/>
        </w:rPr>
        <w:t>A门：武警（或警察）查验证明文件后，手动开启A门，系统进行AB门判断后开启A门通过（AB门互锁）。</w:t>
      </w:r>
    </w:p>
    <w:p w14:paraId="1E5B3F0C">
      <w:pPr>
        <w:numPr>
          <w:ilvl w:val="0"/>
          <w:numId w:val="41"/>
        </w:numPr>
        <w:spacing w:line="360" w:lineRule="auto"/>
        <w:ind w:left="0" w:firstLine="420" w:firstLineChars="200"/>
        <w:rPr>
          <w:bCs/>
          <w:color w:val="auto"/>
          <w:highlight w:val="none"/>
        </w:rPr>
      </w:pPr>
      <w:r>
        <w:rPr>
          <w:rFonts w:hint="eastAsia"/>
          <w:bCs/>
          <w:color w:val="auto"/>
          <w:highlight w:val="none"/>
        </w:rPr>
        <w:t>安检：值班警察对罪犯进行安检。</w:t>
      </w:r>
    </w:p>
    <w:p w14:paraId="2EB02079">
      <w:pPr>
        <w:numPr>
          <w:ilvl w:val="0"/>
          <w:numId w:val="41"/>
        </w:numPr>
        <w:spacing w:line="360" w:lineRule="auto"/>
        <w:ind w:left="0" w:firstLine="420" w:firstLineChars="200"/>
        <w:rPr>
          <w:bCs/>
          <w:color w:val="auto"/>
          <w:highlight w:val="none"/>
        </w:rPr>
      </w:pPr>
      <w:r>
        <w:rPr>
          <w:rFonts w:hint="eastAsia"/>
          <w:bCs/>
          <w:color w:val="auto"/>
          <w:highlight w:val="none"/>
        </w:rPr>
        <w:t>B1门：值班警察对罪犯查验证明文件并进行人脸识别验证，带领警察进行虚拟换卡，值班警察手动开启B门，系统进行AB门判断后开启B1门通过（AB门互锁）。</w:t>
      </w:r>
    </w:p>
    <w:p w14:paraId="49E0923F">
      <w:pPr>
        <w:numPr>
          <w:ilvl w:val="0"/>
          <w:numId w:val="41"/>
        </w:numPr>
        <w:spacing w:line="360" w:lineRule="auto"/>
        <w:ind w:left="0" w:firstLine="420" w:firstLineChars="200"/>
        <w:rPr>
          <w:bCs/>
          <w:color w:val="auto"/>
          <w:highlight w:val="none"/>
        </w:rPr>
      </w:pPr>
      <w:r>
        <w:rPr>
          <w:rFonts w:hint="eastAsia"/>
          <w:bCs/>
          <w:color w:val="auto"/>
          <w:highlight w:val="none"/>
        </w:rPr>
        <w:t>B2门：进入待检区后，待B1门关闭，值班警察手动开启B2门，进入狱内。</w:t>
      </w:r>
    </w:p>
    <w:p w14:paraId="7A1178CD">
      <w:pPr>
        <w:numPr>
          <w:ilvl w:val="0"/>
          <w:numId w:val="41"/>
        </w:numPr>
        <w:spacing w:line="360" w:lineRule="auto"/>
        <w:ind w:left="0" w:firstLine="420" w:firstLineChars="200"/>
        <w:rPr>
          <w:bCs/>
          <w:color w:val="auto"/>
          <w:highlight w:val="none"/>
        </w:rPr>
      </w:pPr>
      <w:r>
        <w:rPr>
          <w:rFonts w:hint="eastAsia"/>
          <w:bCs/>
          <w:color w:val="auto"/>
          <w:highlight w:val="none"/>
        </w:rPr>
        <w:t>防撞柱、阻车器、门实现联动互控。</w:t>
      </w:r>
    </w:p>
    <w:p w14:paraId="652F4F6F">
      <w:pPr>
        <w:pStyle w:val="13"/>
        <w:ind w:firstLine="440" w:firstLineChars="200"/>
        <w:rPr>
          <w:b w:val="0"/>
          <w:color w:val="auto"/>
          <w:highlight w:val="none"/>
        </w:rPr>
      </w:pPr>
      <w:r>
        <w:rPr>
          <w:rFonts w:hint="eastAsia"/>
          <w:b w:val="0"/>
          <w:color w:val="auto"/>
          <w:highlight w:val="none"/>
        </w:rPr>
        <w:t>罪犯出监流程</w:t>
      </w:r>
    </w:p>
    <w:p w14:paraId="7731426B">
      <w:pPr>
        <w:numPr>
          <w:ilvl w:val="0"/>
          <w:numId w:val="42"/>
        </w:numPr>
        <w:spacing w:line="360" w:lineRule="auto"/>
        <w:ind w:left="0" w:firstLine="420" w:firstLineChars="200"/>
        <w:rPr>
          <w:bCs/>
          <w:color w:val="auto"/>
          <w:highlight w:val="none"/>
        </w:rPr>
      </w:pPr>
      <w:r>
        <w:rPr>
          <w:rFonts w:hint="eastAsia"/>
          <w:bCs/>
          <w:color w:val="auto"/>
          <w:highlight w:val="none"/>
        </w:rPr>
        <w:t>审核审批</w:t>
      </w:r>
    </w:p>
    <w:p w14:paraId="75DAAE06">
      <w:pPr>
        <w:spacing w:line="360" w:lineRule="auto"/>
        <w:ind w:firstLine="420" w:firstLineChars="200"/>
        <w:rPr>
          <w:rFonts w:ascii="Arial" w:cs="Arial"/>
          <w:bCs/>
          <w:color w:val="auto"/>
          <w:highlight w:val="none"/>
        </w:rPr>
      </w:pPr>
      <w:r>
        <w:rPr>
          <w:rFonts w:hint="eastAsia"/>
          <w:bCs/>
          <w:color w:val="auto"/>
          <w:highlight w:val="none"/>
          <w:lang w:bidi="en-US"/>
        </w:rPr>
        <w:t>业务</w:t>
      </w:r>
      <w:r>
        <w:rPr>
          <w:bCs/>
          <w:color w:val="auto"/>
          <w:highlight w:val="none"/>
          <w:lang w:bidi="en-US"/>
        </w:rPr>
        <w:t>科室</w:t>
      </w:r>
      <w:r>
        <w:rPr>
          <w:rFonts w:hint="eastAsia"/>
          <w:bCs/>
          <w:color w:val="auto"/>
          <w:highlight w:val="none"/>
          <w:lang w:bidi="en-US"/>
        </w:rPr>
        <w:t>审核+</w:t>
      </w:r>
      <w:r>
        <w:rPr>
          <w:bCs/>
          <w:color w:val="auto"/>
          <w:highlight w:val="none"/>
          <w:lang w:bidi="en-US"/>
        </w:rPr>
        <w:t>分管领导审批</w:t>
      </w:r>
      <w:r>
        <w:rPr>
          <w:rFonts w:hint="eastAsia"/>
          <w:bCs/>
          <w:color w:val="auto"/>
          <w:highlight w:val="none"/>
          <w:lang w:bidi="en-US"/>
        </w:rPr>
        <w:t>。</w:t>
      </w:r>
    </w:p>
    <w:p w14:paraId="57F98203">
      <w:pPr>
        <w:numPr>
          <w:ilvl w:val="0"/>
          <w:numId w:val="42"/>
        </w:numPr>
        <w:spacing w:line="360" w:lineRule="auto"/>
        <w:ind w:left="0" w:firstLine="420" w:firstLineChars="200"/>
        <w:rPr>
          <w:bCs/>
          <w:color w:val="auto"/>
          <w:highlight w:val="none"/>
        </w:rPr>
      </w:pPr>
      <w:r>
        <w:rPr>
          <w:rFonts w:hint="eastAsia"/>
          <w:bCs/>
          <w:color w:val="auto"/>
          <w:highlight w:val="none"/>
        </w:rPr>
        <w:t>B2门：带领警察通知值班警察开启B2门，进入待检区，值班警察报告指挥中心。</w:t>
      </w:r>
    </w:p>
    <w:p w14:paraId="110CDA46">
      <w:pPr>
        <w:numPr>
          <w:ilvl w:val="0"/>
          <w:numId w:val="42"/>
        </w:numPr>
        <w:spacing w:line="360" w:lineRule="auto"/>
        <w:ind w:left="0" w:firstLine="420" w:firstLineChars="200"/>
        <w:rPr>
          <w:bCs/>
          <w:color w:val="auto"/>
          <w:highlight w:val="none"/>
        </w:rPr>
      </w:pPr>
      <w:r>
        <w:rPr>
          <w:rFonts w:hint="eastAsia"/>
          <w:bCs/>
          <w:color w:val="auto"/>
          <w:highlight w:val="none"/>
        </w:rPr>
        <w:t>B1门：指挥中心核对完成后，通知值班警察手动开启B2门，系统进行AB门判断后开启B1门通过（AB门互锁）。</w:t>
      </w:r>
    </w:p>
    <w:p w14:paraId="76793F45">
      <w:pPr>
        <w:numPr>
          <w:ilvl w:val="0"/>
          <w:numId w:val="42"/>
        </w:numPr>
        <w:spacing w:line="360" w:lineRule="auto"/>
        <w:ind w:left="0" w:firstLine="420" w:firstLineChars="200"/>
        <w:rPr>
          <w:bCs/>
          <w:color w:val="auto"/>
          <w:highlight w:val="none"/>
        </w:rPr>
      </w:pPr>
      <w:r>
        <w:rPr>
          <w:rFonts w:hint="eastAsia"/>
          <w:bCs/>
          <w:color w:val="auto"/>
          <w:highlight w:val="none"/>
        </w:rPr>
        <w:t>安检；值班警察进行安检。查验证明文件并进行人脸识别验证，带领警察进行虚拟换卡，通知A门武警（或警察）放行。</w:t>
      </w:r>
    </w:p>
    <w:p w14:paraId="381B1B68">
      <w:pPr>
        <w:numPr>
          <w:ilvl w:val="0"/>
          <w:numId w:val="42"/>
        </w:numPr>
        <w:spacing w:line="360" w:lineRule="auto"/>
        <w:ind w:left="0" w:firstLine="420" w:firstLineChars="200"/>
        <w:rPr>
          <w:bCs/>
          <w:color w:val="auto"/>
          <w:highlight w:val="none"/>
        </w:rPr>
      </w:pPr>
      <w:r>
        <w:rPr>
          <w:rFonts w:hint="eastAsia"/>
          <w:bCs/>
          <w:color w:val="auto"/>
          <w:highlight w:val="none"/>
        </w:rPr>
        <w:t>A门：武警（或警察）接值班警察通知后，手动开启A门，系统进行AB门判断后开启A门通过（AB门互锁）。</w:t>
      </w:r>
    </w:p>
    <w:p w14:paraId="5E5AAA41">
      <w:pPr>
        <w:numPr>
          <w:ilvl w:val="0"/>
          <w:numId w:val="42"/>
        </w:numPr>
        <w:spacing w:line="360" w:lineRule="auto"/>
        <w:ind w:left="0" w:firstLine="420" w:firstLineChars="200"/>
        <w:rPr>
          <w:bCs/>
          <w:color w:val="auto"/>
          <w:highlight w:val="none"/>
        </w:rPr>
      </w:pPr>
      <w:r>
        <w:rPr>
          <w:rFonts w:hint="eastAsia"/>
          <w:bCs/>
          <w:color w:val="auto"/>
          <w:highlight w:val="none"/>
        </w:rPr>
        <w:t>防撞柱、阻车器、门实现联动互控。</w:t>
      </w:r>
    </w:p>
    <w:p w14:paraId="08CA8BD3">
      <w:pPr>
        <w:pStyle w:val="12"/>
        <w:tabs>
          <w:tab w:val="left" w:pos="864"/>
        </w:tabs>
        <w:spacing w:line="360" w:lineRule="auto"/>
        <w:ind w:left="0" w:firstLine="420" w:firstLineChars="200"/>
        <w:rPr>
          <w:color w:val="auto"/>
          <w:highlight w:val="none"/>
        </w:rPr>
      </w:pPr>
      <w:r>
        <w:rPr>
          <w:rFonts w:hint="eastAsia"/>
          <w:color w:val="auto"/>
          <w:highlight w:val="none"/>
        </w:rPr>
        <w:t>梯控系统</w:t>
      </w:r>
    </w:p>
    <w:p w14:paraId="59B1387D">
      <w:pPr>
        <w:spacing w:line="360" w:lineRule="auto"/>
        <w:ind w:firstLine="420" w:firstLineChars="200"/>
        <w:rPr>
          <w:bCs/>
          <w:color w:val="auto"/>
          <w:highlight w:val="none"/>
        </w:rPr>
      </w:pPr>
      <w:r>
        <w:rPr>
          <w:rFonts w:hint="eastAsia"/>
          <w:bCs/>
          <w:color w:val="auto"/>
          <w:highlight w:val="none"/>
        </w:rPr>
        <w:t>本次</w:t>
      </w:r>
      <w:r>
        <w:rPr>
          <w:bCs/>
          <w:color w:val="auto"/>
          <w:highlight w:val="none"/>
        </w:rPr>
        <w:t>设计</w:t>
      </w:r>
      <w:r>
        <w:rPr>
          <w:rFonts w:hint="eastAsia"/>
          <w:bCs/>
          <w:color w:val="auto"/>
          <w:highlight w:val="none"/>
        </w:rPr>
        <w:t>梯控</w:t>
      </w:r>
      <w:r>
        <w:rPr>
          <w:bCs/>
          <w:color w:val="auto"/>
          <w:highlight w:val="none"/>
        </w:rPr>
        <w:t>系统</w:t>
      </w:r>
      <w:r>
        <w:rPr>
          <w:rFonts w:hint="eastAsia"/>
          <w:bCs/>
          <w:color w:val="auto"/>
          <w:highlight w:val="none"/>
        </w:rPr>
        <w:t>设置于习艺楼电梯，用于对电梯使用进行管理，只有授权的卡才能刷开电梯，无权限的人无法进入电梯。</w:t>
      </w:r>
    </w:p>
    <w:p w14:paraId="465B97C1">
      <w:pPr>
        <w:spacing w:line="360" w:lineRule="auto"/>
        <w:ind w:firstLine="420" w:firstLineChars="200"/>
        <w:rPr>
          <w:bCs/>
          <w:color w:val="auto"/>
          <w:highlight w:val="none"/>
        </w:rPr>
      </w:pPr>
      <w:r>
        <w:rPr>
          <w:rFonts w:hint="eastAsia"/>
          <w:bCs/>
          <w:color w:val="auto"/>
          <w:highlight w:val="none"/>
        </w:rPr>
        <w:t>每部电梯设置一个读卡器，每个习艺楼给梯控系统设置一个四门门禁控制器，每层预留两张卡供值班警察使用，该系统共计需要8个读卡器、2个四门门禁控制器</w:t>
      </w:r>
      <w:r>
        <w:rPr>
          <w:bCs/>
          <w:color w:val="auto"/>
          <w:highlight w:val="none"/>
        </w:rPr>
        <w:t>。</w:t>
      </w:r>
    </w:p>
    <w:p w14:paraId="03623C1A">
      <w:pPr>
        <w:pStyle w:val="12"/>
        <w:tabs>
          <w:tab w:val="left" w:pos="864"/>
        </w:tabs>
        <w:spacing w:line="360" w:lineRule="auto"/>
        <w:ind w:left="0" w:firstLine="420" w:firstLineChars="200"/>
        <w:rPr>
          <w:color w:val="auto"/>
          <w:highlight w:val="none"/>
        </w:rPr>
      </w:pPr>
      <w:r>
        <w:rPr>
          <w:rFonts w:hint="eastAsia"/>
          <w:color w:val="auto"/>
          <w:highlight w:val="none"/>
        </w:rPr>
        <w:t>智能卡管理系统</w:t>
      </w:r>
    </w:p>
    <w:p w14:paraId="2198226C">
      <w:pPr>
        <w:spacing w:line="360" w:lineRule="auto"/>
        <w:ind w:firstLine="420" w:firstLineChars="200"/>
        <w:rPr>
          <w:bCs/>
          <w:color w:val="auto"/>
          <w:highlight w:val="none"/>
        </w:rPr>
      </w:pPr>
      <w:r>
        <w:rPr>
          <w:rFonts w:hint="eastAsia"/>
          <w:bCs/>
          <w:color w:val="auto"/>
          <w:highlight w:val="none"/>
        </w:rPr>
        <w:t>本次设计的智能卡管理系统可分为警察卡、罪犯卡和外来人员卡。</w:t>
      </w:r>
    </w:p>
    <w:p w14:paraId="7EACAFB0">
      <w:pPr>
        <w:spacing w:line="360" w:lineRule="auto"/>
        <w:ind w:firstLine="420" w:firstLineChars="200"/>
        <w:rPr>
          <w:bCs/>
          <w:color w:val="auto"/>
          <w:highlight w:val="none"/>
        </w:rPr>
      </w:pPr>
      <w:r>
        <w:rPr>
          <w:rFonts w:hint="eastAsia"/>
          <w:bCs/>
          <w:color w:val="auto"/>
          <w:highlight w:val="none"/>
        </w:rPr>
        <w:t>警察卡通过身份识别认证可用于考勤签到、门禁通行管控、日常管理业务（会见、通讯、区域管控等）审批绑定等应用场景。</w:t>
      </w:r>
    </w:p>
    <w:p w14:paraId="387029B5">
      <w:pPr>
        <w:spacing w:line="360" w:lineRule="auto"/>
        <w:ind w:firstLine="420" w:firstLineChars="200"/>
        <w:rPr>
          <w:bCs/>
          <w:color w:val="auto"/>
          <w:highlight w:val="none"/>
        </w:rPr>
      </w:pPr>
      <w:r>
        <w:rPr>
          <w:rFonts w:hint="eastAsia"/>
          <w:bCs/>
          <w:color w:val="auto"/>
          <w:highlight w:val="none"/>
        </w:rPr>
        <w:t>罪犯卡通过身份识别认证可用于点名签到、等级处遇、区域管控、会见通讯、狱内消费、电子阅览、借阅图书、医院就诊、工具管理、学习教育等应用场景。</w:t>
      </w:r>
    </w:p>
    <w:p w14:paraId="0C72875C">
      <w:pPr>
        <w:spacing w:line="360" w:lineRule="auto"/>
        <w:ind w:firstLine="420" w:firstLineChars="200"/>
        <w:rPr>
          <w:bCs/>
          <w:color w:val="auto"/>
          <w:highlight w:val="none"/>
        </w:rPr>
      </w:pPr>
      <w:r>
        <w:rPr>
          <w:rFonts w:hint="eastAsia"/>
          <w:bCs/>
          <w:color w:val="auto"/>
          <w:highlight w:val="none"/>
        </w:rPr>
        <w:t>外来人员卡可分为外协卡和临时卡。外协卡主要核发给外协人员，长期有效，主要用于狱内区域管控应用场景；临时卡核发给需进入监管区的施工、参观等人员，当天有效，主要用于狱内区域管控应用场景。</w:t>
      </w:r>
    </w:p>
    <w:p w14:paraId="012BEE05">
      <w:pPr>
        <w:pStyle w:val="12"/>
        <w:tabs>
          <w:tab w:val="left" w:pos="864"/>
        </w:tabs>
        <w:spacing w:line="360" w:lineRule="auto"/>
        <w:ind w:left="0" w:firstLine="420" w:firstLineChars="200"/>
        <w:rPr>
          <w:color w:val="auto"/>
          <w:highlight w:val="none"/>
        </w:rPr>
      </w:pPr>
      <w:r>
        <w:rPr>
          <w:rFonts w:hint="eastAsia"/>
          <w:color w:val="auto"/>
          <w:highlight w:val="none"/>
        </w:rPr>
        <w:t>安检相关设备</w:t>
      </w:r>
    </w:p>
    <w:p w14:paraId="70B7B047">
      <w:pPr>
        <w:spacing w:line="360" w:lineRule="auto"/>
        <w:ind w:firstLine="420" w:firstLineChars="200"/>
        <w:rPr>
          <w:rFonts w:ascii="宋体" w:hAnsi="宋体"/>
          <w:bCs/>
          <w:color w:val="auto"/>
          <w:highlight w:val="none"/>
        </w:rPr>
      </w:pPr>
      <w:r>
        <w:rPr>
          <w:rFonts w:hint="eastAsia" w:ascii="宋体" w:hAnsi="宋体"/>
          <w:bCs/>
          <w:color w:val="auto"/>
          <w:highlight w:val="none"/>
        </w:rPr>
        <w:t>安检相关设备主要有车底扫描仪、生命探测仪、X射线检查系统、门式安检设备等，其中车底扫描仪1套设置于车行AB门中间，生命探测仪1套设置于车行AB门中间靠近东侧警察值班室处，X射线检查系统2套设置于人行AB门进门处的大厅安检和会见通道入口处，门式安检设备</w:t>
      </w:r>
      <w:r>
        <w:rPr>
          <w:rFonts w:ascii="宋体" w:hAnsi="宋体"/>
          <w:bCs/>
          <w:color w:val="auto"/>
          <w:highlight w:val="none"/>
        </w:rPr>
        <w:t>21</w:t>
      </w:r>
      <w:r>
        <w:rPr>
          <w:rFonts w:hint="eastAsia" w:ascii="宋体" w:hAnsi="宋体"/>
          <w:bCs/>
          <w:color w:val="auto"/>
          <w:highlight w:val="none"/>
        </w:rPr>
        <w:t>套设置于人行AB门进门处的大厅安检、会见通道安检处、习艺楼连廊两端、3#习艺楼1楼、医院、伙房、物流中心、会见教学楼（1楼、2楼、4楼）。</w:t>
      </w:r>
    </w:p>
    <w:p w14:paraId="5BA41218">
      <w:pPr>
        <w:pStyle w:val="11"/>
        <w:spacing w:before="0" w:after="0" w:line="360" w:lineRule="auto"/>
        <w:ind w:firstLine="562" w:firstLineChars="200"/>
        <w:rPr>
          <w:color w:val="auto"/>
          <w:highlight w:val="none"/>
        </w:rPr>
      </w:pPr>
      <w:r>
        <w:rPr>
          <w:rFonts w:hint="eastAsia"/>
          <w:color w:val="auto"/>
          <w:highlight w:val="none"/>
        </w:rPr>
        <w:t>部署方案</w:t>
      </w:r>
    </w:p>
    <w:p w14:paraId="3099203A">
      <w:pPr>
        <w:spacing w:line="360" w:lineRule="auto"/>
        <w:ind w:firstLine="420" w:firstLineChars="200"/>
        <w:rPr>
          <w:rFonts w:ascii="仿宋" w:hAnsi="仿宋"/>
          <w:bCs/>
          <w:color w:val="auto"/>
          <w:highlight w:val="none"/>
        </w:rPr>
      </w:pPr>
      <w:r>
        <w:rPr>
          <w:rFonts w:hint="eastAsia" w:ascii="仿宋" w:hAnsi="仿宋"/>
          <w:bCs/>
          <w:color w:val="auto"/>
          <w:highlight w:val="none"/>
        </w:rPr>
        <w:t>根据本监狱门禁点位选择原则，将监狱的门禁点位部署原则说明如下：</w:t>
      </w:r>
    </w:p>
    <w:p w14:paraId="348BBC3F">
      <w:pPr>
        <w:pStyle w:val="53"/>
        <w:numPr>
          <w:ilvl w:val="0"/>
          <w:numId w:val="43"/>
        </w:numPr>
        <w:spacing w:line="360" w:lineRule="auto"/>
        <w:ind w:left="0" w:right="0" w:firstLine="422" w:firstLineChars="200"/>
        <w:rPr>
          <w:bCs/>
          <w:color w:val="auto"/>
          <w:highlight w:val="none"/>
        </w:rPr>
      </w:pPr>
      <w:r>
        <w:rPr>
          <w:rFonts w:hint="eastAsia"/>
          <w:b/>
          <w:bCs/>
          <w:color w:val="auto"/>
          <w:highlight w:val="none"/>
        </w:rPr>
        <w:t>监舍门（监舍、病房等）</w:t>
      </w:r>
    </w:p>
    <w:p w14:paraId="10B6ED26">
      <w:pPr>
        <w:spacing w:line="360" w:lineRule="auto"/>
        <w:ind w:firstLine="420" w:firstLineChars="200"/>
        <w:rPr>
          <w:rFonts w:ascii="仿宋" w:hAnsi="仿宋"/>
          <w:bCs/>
          <w:color w:val="auto"/>
          <w:highlight w:val="none"/>
        </w:rPr>
      </w:pPr>
      <w:r>
        <w:rPr>
          <w:rFonts w:hint="eastAsia" w:ascii="仿宋" w:hAnsi="仿宋"/>
          <w:bCs/>
          <w:color w:val="auto"/>
          <w:highlight w:val="none"/>
        </w:rPr>
        <w:t>监舍、病房：采用专用的电动监舍门，并在门上安装1个电控锁，可实现所在监区联勤值班室或监狱指挥中心的一键开门；监舍及病房门设置三色灯，红色表示报警，黄色表示小岗警示，绿色表示开门。</w:t>
      </w:r>
    </w:p>
    <w:p w14:paraId="0A81BD5A">
      <w:pPr>
        <w:spacing w:line="360" w:lineRule="auto"/>
        <w:ind w:firstLine="420" w:firstLineChars="200"/>
        <w:rPr>
          <w:rFonts w:ascii="仿宋" w:hAnsi="仿宋"/>
          <w:bCs/>
          <w:color w:val="auto"/>
          <w:highlight w:val="none"/>
        </w:rPr>
      </w:pPr>
      <w:r>
        <w:rPr>
          <w:rFonts w:hint="eastAsia" w:ascii="仿宋" w:hAnsi="仿宋"/>
          <w:bCs/>
          <w:color w:val="auto"/>
          <w:highlight w:val="none"/>
        </w:rPr>
        <w:t>监舍联勤值班室：在各联勤值班室去监区走廊的门上均安装电动锁，在门两侧墙上安装1个门禁读卡器。</w:t>
      </w:r>
    </w:p>
    <w:p w14:paraId="44C0D138">
      <w:pPr>
        <w:pStyle w:val="53"/>
        <w:numPr>
          <w:ilvl w:val="0"/>
          <w:numId w:val="43"/>
        </w:numPr>
        <w:spacing w:line="360" w:lineRule="auto"/>
        <w:ind w:left="0" w:right="0" w:firstLine="422" w:firstLineChars="200"/>
        <w:rPr>
          <w:b/>
          <w:bCs/>
          <w:color w:val="auto"/>
          <w:highlight w:val="none"/>
        </w:rPr>
      </w:pPr>
      <w:r>
        <w:rPr>
          <w:rFonts w:hint="eastAsia"/>
          <w:b/>
          <w:bCs/>
          <w:color w:val="auto"/>
          <w:highlight w:val="none"/>
        </w:rPr>
        <w:t>监区建筑物通道门（监舍楼、医院病房和会见楼等）</w:t>
      </w:r>
    </w:p>
    <w:p w14:paraId="4FEF83AB">
      <w:pPr>
        <w:spacing w:line="360" w:lineRule="auto"/>
        <w:ind w:firstLine="420" w:firstLineChars="200"/>
        <w:rPr>
          <w:rFonts w:ascii="仿宋" w:hAnsi="仿宋"/>
          <w:bCs/>
          <w:color w:val="auto"/>
          <w:highlight w:val="none"/>
        </w:rPr>
      </w:pPr>
      <w:r>
        <w:rPr>
          <w:rFonts w:hint="eastAsia" w:ascii="仿宋" w:hAnsi="仿宋"/>
          <w:bCs/>
          <w:color w:val="auto"/>
          <w:highlight w:val="none"/>
        </w:rPr>
        <w:t>习艺楼通道门：在习艺楼门上安装1把电动锁，门的两侧各安装1个读卡器。</w:t>
      </w:r>
    </w:p>
    <w:p w14:paraId="22D6CACC">
      <w:pPr>
        <w:spacing w:line="360" w:lineRule="auto"/>
        <w:ind w:firstLine="420" w:firstLineChars="200"/>
        <w:rPr>
          <w:rFonts w:ascii="仿宋" w:hAnsi="仿宋"/>
          <w:bCs/>
          <w:color w:val="auto"/>
          <w:highlight w:val="none"/>
        </w:rPr>
      </w:pPr>
      <w:r>
        <w:rPr>
          <w:rFonts w:hint="eastAsia" w:ascii="仿宋" w:hAnsi="仿宋"/>
          <w:bCs/>
          <w:color w:val="auto"/>
          <w:highlight w:val="none"/>
        </w:rPr>
        <w:t>7#后勤服务楼与会见通道连接处，安装带单向通行的门（2套）。</w:t>
      </w:r>
    </w:p>
    <w:p w14:paraId="56B24EDC">
      <w:pPr>
        <w:spacing w:line="360" w:lineRule="auto"/>
        <w:ind w:firstLine="420" w:firstLineChars="200"/>
        <w:rPr>
          <w:rFonts w:ascii="仿宋" w:hAnsi="仿宋"/>
          <w:bCs/>
          <w:color w:val="auto"/>
          <w:highlight w:val="none"/>
        </w:rPr>
      </w:pPr>
      <w:r>
        <w:rPr>
          <w:rFonts w:ascii="仿宋" w:hAnsi="仿宋"/>
          <w:bCs/>
          <w:color w:val="auto"/>
          <w:highlight w:val="none"/>
        </w:rPr>
        <w:t>在</w:t>
      </w:r>
      <w:r>
        <w:rPr>
          <w:rFonts w:hint="eastAsia" w:ascii="仿宋" w:hAnsi="仿宋"/>
          <w:bCs/>
          <w:color w:val="auto"/>
          <w:highlight w:val="none"/>
        </w:rPr>
        <w:t>1#监舍楼罪犯走廊与文体活动区，安装带电锁的通道门（10套），门类型、外观与监舍门一致。</w:t>
      </w:r>
    </w:p>
    <w:p w14:paraId="0AF04074">
      <w:pPr>
        <w:pStyle w:val="53"/>
        <w:numPr>
          <w:ilvl w:val="0"/>
          <w:numId w:val="43"/>
        </w:numPr>
        <w:spacing w:line="360" w:lineRule="auto"/>
        <w:ind w:left="0" w:right="0" w:firstLine="422" w:firstLineChars="200"/>
        <w:rPr>
          <w:b/>
          <w:bCs/>
          <w:color w:val="auto"/>
          <w:highlight w:val="none"/>
        </w:rPr>
      </w:pPr>
      <w:r>
        <w:rPr>
          <w:rFonts w:hint="eastAsia"/>
          <w:b/>
          <w:bCs/>
          <w:color w:val="auto"/>
          <w:highlight w:val="none"/>
        </w:rPr>
        <w:t>监区大门（AB门）</w:t>
      </w:r>
    </w:p>
    <w:p w14:paraId="5BF4E912">
      <w:pPr>
        <w:spacing w:line="360" w:lineRule="auto"/>
        <w:ind w:firstLine="420" w:firstLineChars="200"/>
        <w:rPr>
          <w:rFonts w:ascii="仿宋" w:hAnsi="仿宋"/>
          <w:bCs/>
          <w:color w:val="auto"/>
          <w:highlight w:val="none"/>
        </w:rPr>
      </w:pPr>
      <w:r>
        <w:rPr>
          <w:rFonts w:hint="eastAsia" w:ascii="仿宋" w:hAnsi="仿宋"/>
          <w:bCs/>
          <w:color w:val="auto"/>
          <w:highlight w:val="none"/>
        </w:rPr>
        <w:t>监狱AB门：在人行通道A前门两侧各安装1个人脸生物识别，用于武警</w:t>
      </w:r>
      <w:r>
        <w:rPr>
          <w:rFonts w:hint="eastAsia"/>
          <w:bCs/>
          <w:color w:val="auto"/>
          <w:highlight w:val="none"/>
        </w:rPr>
        <w:t>（或警察）</w:t>
      </w:r>
      <w:r>
        <w:rPr>
          <w:rFonts w:hint="eastAsia" w:ascii="仿宋" w:hAnsi="仿宋"/>
          <w:bCs/>
          <w:color w:val="auto"/>
          <w:highlight w:val="none"/>
        </w:rPr>
        <w:t>对其身份的核实确认，并在武警监门哨内安装1个开门按钮用于人行通道A门的手动开启；在入狱通道的全高</w:t>
      </w:r>
      <w:r>
        <w:rPr>
          <w:rFonts w:ascii="仿宋" w:hAnsi="仿宋"/>
          <w:bCs/>
          <w:color w:val="auto"/>
          <w:highlight w:val="none"/>
        </w:rPr>
        <w:t>辊闸</w:t>
      </w:r>
      <w:r>
        <w:rPr>
          <w:rFonts w:hint="eastAsia" w:ascii="仿宋" w:hAnsi="仿宋"/>
          <w:bCs/>
          <w:color w:val="auto"/>
          <w:highlight w:val="none"/>
        </w:rPr>
        <w:t>入口通道</w:t>
      </w:r>
      <w:r>
        <w:rPr>
          <w:rFonts w:ascii="仿宋" w:hAnsi="仿宋"/>
          <w:bCs/>
          <w:color w:val="auto"/>
          <w:highlight w:val="none"/>
        </w:rPr>
        <w:t>处</w:t>
      </w:r>
      <w:r>
        <w:rPr>
          <w:rFonts w:hint="eastAsia" w:ascii="仿宋" w:hAnsi="仿宋"/>
          <w:bCs/>
          <w:color w:val="auto"/>
          <w:highlight w:val="none"/>
        </w:rPr>
        <w:t>安装1个门禁读卡器与1个人脸生物识别，用于值班警察对其身份的核实和虚拟换证；在人行通道</w:t>
      </w:r>
      <w:r>
        <w:rPr>
          <w:rFonts w:ascii="仿宋" w:hAnsi="仿宋"/>
          <w:bCs/>
          <w:color w:val="auto"/>
          <w:highlight w:val="none"/>
        </w:rPr>
        <w:t>B门上安装1把电动机械锁，</w:t>
      </w:r>
      <w:r>
        <w:rPr>
          <w:rFonts w:hint="eastAsia" w:ascii="仿宋" w:hAnsi="仿宋"/>
          <w:bCs/>
          <w:color w:val="auto"/>
          <w:highlight w:val="none"/>
        </w:rPr>
        <w:t>在入狱通道的出B门处与出狱通道的进B门处各安装1个读卡器，在出狱通道全高</w:t>
      </w:r>
      <w:r>
        <w:rPr>
          <w:rFonts w:ascii="仿宋" w:hAnsi="仿宋"/>
          <w:bCs/>
          <w:color w:val="auto"/>
          <w:highlight w:val="none"/>
        </w:rPr>
        <w:t>辊闸</w:t>
      </w:r>
      <w:r>
        <w:rPr>
          <w:rFonts w:hint="eastAsia" w:ascii="仿宋" w:hAnsi="仿宋"/>
          <w:bCs/>
          <w:color w:val="auto"/>
          <w:highlight w:val="none"/>
        </w:rPr>
        <w:t>处</w:t>
      </w:r>
      <w:r>
        <w:rPr>
          <w:rFonts w:ascii="仿宋" w:hAnsi="仿宋"/>
          <w:bCs/>
          <w:color w:val="auto"/>
          <w:highlight w:val="none"/>
        </w:rPr>
        <w:t>安装</w:t>
      </w:r>
      <w:r>
        <w:rPr>
          <w:rFonts w:hint="eastAsia" w:ascii="仿宋" w:hAnsi="仿宋"/>
          <w:bCs/>
          <w:color w:val="auto"/>
          <w:highlight w:val="none"/>
        </w:rPr>
        <w:t>一个1个门禁读卡器与1个人脸生物识别。会见通道的无障碍通道增加1个门禁点位。</w:t>
      </w:r>
    </w:p>
    <w:p w14:paraId="07521DE6">
      <w:pPr>
        <w:spacing w:line="360" w:lineRule="auto"/>
        <w:ind w:firstLine="420" w:firstLineChars="200"/>
        <w:rPr>
          <w:rFonts w:ascii="仿宋" w:hAnsi="仿宋"/>
          <w:bCs/>
          <w:color w:val="auto"/>
          <w:highlight w:val="none"/>
        </w:rPr>
      </w:pPr>
      <w:r>
        <w:rPr>
          <w:rFonts w:hint="eastAsia" w:ascii="仿宋" w:hAnsi="仿宋"/>
          <w:bCs/>
          <w:color w:val="auto"/>
          <w:highlight w:val="none"/>
        </w:rPr>
        <w:t>在武警监门哨处安装1个车行通道A门的开、闭开关，在警察值班室安装1个车行通道B门的开、闭开关，同时在武警监门哨设置门禁。</w:t>
      </w:r>
    </w:p>
    <w:p w14:paraId="1C03EF00">
      <w:pPr>
        <w:spacing w:line="360" w:lineRule="auto"/>
        <w:ind w:firstLine="420" w:firstLineChars="200"/>
        <w:rPr>
          <w:rFonts w:ascii="仿宋" w:hAnsi="仿宋"/>
          <w:bCs/>
          <w:color w:val="auto"/>
          <w:highlight w:val="none"/>
        </w:rPr>
      </w:pPr>
      <w:r>
        <w:rPr>
          <w:rFonts w:ascii="仿宋" w:hAnsi="仿宋"/>
          <w:bCs/>
          <w:color w:val="auto"/>
          <w:highlight w:val="none"/>
        </w:rPr>
        <w:t>大门实现</w:t>
      </w:r>
      <w:r>
        <w:rPr>
          <w:rFonts w:hint="eastAsia" w:ascii="仿宋" w:hAnsi="仿宋"/>
          <w:bCs/>
          <w:color w:val="auto"/>
          <w:highlight w:val="none"/>
        </w:rPr>
        <w:t>AB门</w:t>
      </w:r>
      <w:r>
        <w:rPr>
          <w:rFonts w:ascii="仿宋" w:hAnsi="仿宋"/>
          <w:bCs/>
          <w:color w:val="auto"/>
          <w:highlight w:val="none"/>
        </w:rPr>
        <w:t>互锁</w:t>
      </w:r>
      <w:r>
        <w:rPr>
          <w:rFonts w:hint="eastAsia" w:ascii="仿宋" w:hAnsi="仿宋"/>
          <w:bCs/>
          <w:color w:val="auto"/>
          <w:highlight w:val="none"/>
        </w:rPr>
        <w:t>，</w:t>
      </w:r>
      <w:r>
        <w:rPr>
          <w:rFonts w:ascii="仿宋" w:hAnsi="仿宋"/>
          <w:bCs/>
          <w:color w:val="auto"/>
          <w:highlight w:val="none"/>
        </w:rPr>
        <w:t>升降柱、阻车器和大门实现联动</w:t>
      </w:r>
      <w:r>
        <w:rPr>
          <w:rFonts w:hint="eastAsia" w:ascii="仿宋" w:hAnsi="仿宋"/>
          <w:bCs/>
          <w:color w:val="auto"/>
          <w:highlight w:val="none"/>
        </w:rPr>
        <w:t>功能</w:t>
      </w:r>
      <w:r>
        <w:rPr>
          <w:rFonts w:ascii="仿宋" w:hAnsi="仿宋"/>
          <w:bCs/>
          <w:color w:val="auto"/>
          <w:highlight w:val="none"/>
        </w:rPr>
        <w:t>。</w:t>
      </w:r>
      <w:r>
        <w:rPr>
          <w:rFonts w:hint="eastAsia" w:ascii="仿宋" w:hAnsi="仿宋"/>
          <w:bCs/>
          <w:color w:val="auto"/>
          <w:highlight w:val="none"/>
        </w:rPr>
        <w:t>车行通道A门外2米处安装阻车器（长度暂定6m），阻车器外3米处安装升降柱（数量暂定5个），升降柱间距1.5m。车行通道B门外2米处安装阻车器（长度暂定6m），阻车器外3米处安装升降柱（数量暂定5个），升降柱间距1.5m。在阻车器和升降柱下设置排水措施和集水井。</w:t>
      </w:r>
    </w:p>
    <w:p w14:paraId="41C15D21">
      <w:pPr>
        <w:pStyle w:val="53"/>
        <w:numPr>
          <w:ilvl w:val="0"/>
          <w:numId w:val="43"/>
        </w:numPr>
        <w:spacing w:line="360" w:lineRule="auto"/>
        <w:ind w:left="0" w:right="0" w:firstLine="422" w:firstLineChars="200"/>
        <w:rPr>
          <w:b/>
          <w:bCs/>
          <w:color w:val="auto"/>
          <w:highlight w:val="none"/>
        </w:rPr>
      </w:pPr>
      <w:r>
        <w:rPr>
          <w:rFonts w:hint="eastAsia"/>
          <w:b/>
          <w:bCs/>
          <w:color w:val="auto"/>
          <w:highlight w:val="none"/>
        </w:rPr>
        <w:t>其他</w:t>
      </w:r>
    </w:p>
    <w:p w14:paraId="378BFC1C">
      <w:pPr>
        <w:spacing w:line="360" w:lineRule="auto"/>
        <w:ind w:firstLine="420" w:firstLineChars="200"/>
        <w:rPr>
          <w:rFonts w:ascii="仿宋" w:hAnsi="仿宋"/>
          <w:bCs/>
          <w:color w:val="auto"/>
          <w:highlight w:val="none"/>
        </w:rPr>
      </w:pPr>
      <w:r>
        <w:rPr>
          <w:rFonts w:hint="eastAsia" w:ascii="仿宋" w:hAnsi="仿宋"/>
          <w:bCs/>
          <w:color w:val="auto"/>
          <w:highlight w:val="none"/>
        </w:rPr>
        <w:t>岗楼：在岗楼各设置一个门禁点位，每个点位安装1把电动锁，门的外侧安装1个读卡器，岗楼门仅能从外边打开。</w:t>
      </w:r>
    </w:p>
    <w:p w14:paraId="5F3A356C">
      <w:pPr>
        <w:spacing w:line="360" w:lineRule="auto"/>
        <w:ind w:firstLine="420" w:firstLineChars="200"/>
        <w:rPr>
          <w:rFonts w:ascii="仿宋" w:hAnsi="仿宋"/>
          <w:bCs/>
          <w:color w:val="auto"/>
          <w:highlight w:val="none"/>
        </w:rPr>
      </w:pPr>
      <w:r>
        <w:rPr>
          <w:rFonts w:ascii="仿宋" w:hAnsi="仿宋"/>
          <w:bCs/>
          <w:color w:val="auto"/>
          <w:highlight w:val="none"/>
        </w:rPr>
        <w:t>物流中心</w:t>
      </w:r>
      <w:r>
        <w:rPr>
          <w:rFonts w:hint="eastAsia" w:ascii="仿宋" w:hAnsi="仿宋"/>
          <w:bCs/>
          <w:color w:val="auto"/>
          <w:highlight w:val="none"/>
        </w:rPr>
        <w:t>预估门禁系统5套，伙房预估门禁系统4套。</w:t>
      </w:r>
    </w:p>
    <w:p w14:paraId="0BAAFBBF">
      <w:pPr>
        <w:pStyle w:val="10"/>
        <w:spacing w:before="0" w:after="0" w:line="360" w:lineRule="auto"/>
        <w:ind w:firstLine="643" w:firstLineChars="200"/>
        <w:rPr>
          <w:color w:val="auto"/>
          <w:highlight w:val="none"/>
        </w:rPr>
      </w:pPr>
      <w:r>
        <w:rPr>
          <w:rFonts w:hint="eastAsia"/>
          <w:color w:val="auto"/>
          <w:highlight w:val="none"/>
        </w:rPr>
        <w:t>4.13会见管理系统</w:t>
      </w:r>
    </w:p>
    <w:p w14:paraId="7C5B03C4">
      <w:pPr>
        <w:spacing w:line="360" w:lineRule="auto"/>
        <w:ind w:firstLine="420" w:firstLineChars="200"/>
        <w:rPr>
          <w:bCs/>
          <w:color w:val="auto"/>
          <w:highlight w:val="none"/>
        </w:rPr>
      </w:pPr>
      <w:r>
        <w:rPr>
          <w:rFonts w:hint="eastAsia"/>
          <w:bCs/>
          <w:color w:val="auto"/>
          <w:highlight w:val="none"/>
        </w:rPr>
        <w:t>会见管理系统对于了解罪犯的思想，稳定罪犯的情绪，监控罪犯的改造过程，起着非常重要的作用，本次设计利用先进的电话录音控制、网络通信等技术，结合本监狱罪犯会见管理工作的实际流程，实现对使监狱罪犯会见工作的信息化管理，在规范监狱罪犯会见工作的同时，利用计算机提高警察办理罪犯会见登记的工作效率。满足监狱登记、组织会见、录音录像、监听、控制、查询、回放、远程传输的高效、快捷要求。</w:t>
      </w:r>
      <w:r>
        <w:rPr>
          <w:bCs/>
          <w:color w:val="auto"/>
          <w:highlight w:val="none"/>
        </w:rPr>
        <w:t>区分首次会见家属和非首次会见家属</w:t>
      </w:r>
      <w:r>
        <w:rPr>
          <w:rFonts w:hint="eastAsia"/>
          <w:bCs/>
          <w:color w:val="auto"/>
          <w:highlight w:val="none"/>
        </w:rPr>
        <w:t>，</w:t>
      </w:r>
      <w:r>
        <w:rPr>
          <w:bCs/>
          <w:color w:val="auto"/>
          <w:highlight w:val="none"/>
        </w:rPr>
        <w:t>按照不同的流程组织会见</w:t>
      </w:r>
      <w:r>
        <w:rPr>
          <w:rFonts w:hint="eastAsia"/>
          <w:bCs/>
          <w:color w:val="auto"/>
          <w:highlight w:val="none"/>
        </w:rPr>
        <w:t>。</w:t>
      </w:r>
    </w:p>
    <w:p w14:paraId="7CCF6CEB">
      <w:pPr>
        <w:pStyle w:val="11"/>
        <w:spacing w:before="0" w:after="0" w:line="360" w:lineRule="auto"/>
        <w:ind w:firstLine="562" w:firstLineChars="200"/>
        <w:rPr>
          <w:color w:val="auto"/>
          <w:highlight w:val="none"/>
        </w:rPr>
      </w:pPr>
      <w:r>
        <w:rPr>
          <w:rFonts w:hint="eastAsia"/>
          <w:color w:val="auto"/>
          <w:highlight w:val="none"/>
        </w:rPr>
        <w:t>系统架构</w:t>
      </w:r>
    </w:p>
    <w:p w14:paraId="3BAFE9B2">
      <w:pPr>
        <w:spacing w:line="360" w:lineRule="auto"/>
        <w:ind w:firstLine="420" w:firstLineChars="200"/>
        <w:rPr>
          <w:bCs/>
          <w:color w:val="auto"/>
          <w:highlight w:val="none"/>
        </w:rPr>
      </w:pPr>
      <w:r>
        <w:rPr>
          <w:rFonts w:hint="eastAsia"/>
          <w:bCs/>
          <w:color w:val="auto"/>
          <w:highlight w:val="none"/>
        </w:rPr>
        <w:t>会见管理系统由会见电话机、监听电话机、排队取号机、液晶电视机、身份证读卡器、小票机、大屏显示器、高清</w:t>
      </w:r>
      <w:r>
        <w:rPr>
          <w:bCs/>
          <w:color w:val="auto"/>
          <w:highlight w:val="none"/>
        </w:rPr>
        <w:t>卡片机、</w:t>
      </w:r>
      <w:r>
        <w:rPr>
          <w:rFonts w:hint="eastAsia"/>
          <w:bCs/>
          <w:color w:val="auto"/>
          <w:highlight w:val="none"/>
        </w:rPr>
        <w:t>会见</w:t>
      </w:r>
      <w:r>
        <w:rPr>
          <w:bCs/>
          <w:color w:val="auto"/>
          <w:highlight w:val="none"/>
        </w:rPr>
        <w:t>管理主机</w:t>
      </w:r>
      <w:r>
        <w:rPr>
          <w:rFonts w:hint="eastAsia"/>
          <w:bCs/>
          <w:color w:val="auto"/>
          <w:highlight w:val="none"/>
        </w:rPr>
        <w:t>、网络</w:t>
      </w:r>
      <w:r>
        <w:rPr>
          <w:bCs/>
          <w:color w:val="auto"/>
          <w:highlight w:val="none"/>
        </w:rPr>
        <w:t>录音盒、</w:t>
      </w:r>
      <w:r>
        <w:rPr>
          <w:rFonts w:hint="eastAsia"/>
          <w:bCs/>
          <w:color w:val="auto"/>
          <w:highlight w:val="none"/>
        </w:rPr>
        <w:t>会见管理软件及其相关客户端电脑、服务器等组成。并通过与视频</w:t>
      </w:r>
      <w:r>
        <w:rPr>
          <w:bCs/>
          <w:color w:val="auto"/>
          <w:highlight w:val="none"/>
        </w:rPr>
        <w:t>监控系统、紧急报警系统、</w:t>
      </w:r>
      <w:r>
        <w:rPr>
          <w:rFonts w:hint="eastAsia"/>
          <w:bCs/>
          <w:color w:val="auto"/>
          <w:highlight w:val="none"/>
        </w:rPr>
        <w:t>出入口管理系统</w:t>
      </w:r>
      <w:r>
        <w:rPr>
          <w:bCs/>
          <w:color w:val="auto"/>
          <w:highlight w:val="none"/>
        </w:rPr>
        <w:t>、语音广播系统、安全检查系统</w:t>
      </w:r>
      <w:r>
        <w:rPr>
          <w:rFonts w:hint="eastAsia"/>
          <w:bCs/>
          <w:color w:val="auto"/>
          <w:highlight w:val="none"/>
        </w:rPr>
        <w:t>以及</w:t>
      </w:r>
      <w:r>
        <w:rPr>
          <w:bCs/>
          <w:color w:val="auto"/>
          <w:highlight w:val="none"/>
        </w:rPr>
        <w:t>罪犯信息管理系统等</w:t>
      </w:r>
      <w:r>
        <w:rPr>
          <w:rFonts w:hint="eastAsia"/>
          <w:bCs/>
          <w:color w:val="auto"/>
          <w:highlight w:val="none"/>
        </w:rPr>
        <w:t>的对接，实现会见数据信息的共享。</w:t>
      </w:r>
    </w:p>
    <w:p w14:paraId="28F84FC1">
      <w:pPr>
        <w:spacing w:line="360" w:lineRule="auto"/>
        <w:ind w:firstLine="420" w:firstLineChars="200"/>
        <w:rPr>
          <w:bCs/>
          <w:color w:val="auto"/>
          <w:highlight w:val="none"/>
        </w:rPr>
      </w:pPr>
      <w:r>
        <w:rPr>
          <w:rFonts w:hint="eastAsia"/>
          <w:bCs/>
          <w:color w:val="auto"/>
          <w:highlight w:val="none"/>
        </w:rPr>
        <w:t>会见管理系统使用电子狱务专网局域网作为接入媒体，可通过本网络下挂多种终端设备，系统拓扑结构如下图所示：</w:t>
      </w:r>
    </w:p>
    <w:p w14:paraId="6122816E">
      <w:pPr>
        <w:spacing w:line="360" w:lineRule="auto"/>
        <w:ind w:firstLine="420" w:firstLineChars="200"/>
        <w:rPr>
          <w:bCs/>
          <w:color w:val="auto"/>
          <w:highlight w:val="none"/>
        </w:rPr>
      </w:pPr>
      <w:r>
        <w:rPr>
          <w:bCs/>
          <w:color w:val="auto"/>
          <w:highlight w:val="none"/>
        </w:rPr>
        <w:drawing>
          <wp:inline distT="0" distB="0" distL="114300" distR="114300">
            <wp:extent cx="5646420" cy="3535680"/>
            <wp:effectExtent l="0" t="0" r="11430" b="7620"/>
            <wp:docPr id="32" name="图片 34"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4" descr="23"/>
                    <pic:cNvPicPr>
                      <a:picLocks noChangeAspect="1"/>
                    </pic:cNvPicPr>
                  </pic:nvPicPr>
                  <pic:blipFill>
                    <a:blip r:embed="rId48"/>
                    <a:stretch>
                      <a:fillRect/>
                    </a:stretch>
                  </pic:blipFill>
                  <pic:spPr>
                    <a:xfrm>
                      <a:off x="0" y="0"/>
                      <a:ext cx="5646420" cy="3535680"/>
                    </a:xfrm>
                    <a:prstGeom prst="rect">
                      <a:avLst/>
                    </a:prstGeom>
                    <a:noFill/>
                    <a:ln>
                      <a:noFill/>
                    </a:ln>
                  </pic:spPr>
                </pic:pic>
              </a:graphicData>
            </a:graphic>
          </wp:inline>
        </w:drawing>
      </w:r>
    </w:p>
    <w:p w14:paraId="01A238BD">
      <w:pPr>
        <w:pStyle w:val="11"/>
        <w:spacing w:before="0" w:after="0" w:line="360" w:lineRule="auto"/>
        <w:ind w:firstLine="562" w:firstLineChars="200"/>
        <w:rPr>
          <w:color w:val="auto"/>
          <w:highlight w:val="none"/>
        </w:rPr>
      </w:pPr>
      <w:r>
        <w:rPr>
          <w:rFonts w:hint="eastAsia"/>
          <w:color w:val="auto"/>
          <w:highlight w:val="none"/>
        </w:rPr>
        <w:t>设计方案</w:t>
      </w:r>
    </w:p>
    <w:p w14:paraId="7F0BC11D">
      <w:pPr>
        <w:spacing w:line="360" w:lineRule="auto"/>
        <w:ind w:firstLine="420" w:firstLineChars="200"/>
        <w:rPr>
          <w:bCs/>
          <w:color w:val="auto"/>
          <w:highlight w:val="none"/>
        </w:rPr>
      </w:pPr>
      <w:r>
        <w:rPr>
          <w:rFonts w:hint="eastAsia"/>
          <w:bCs/>
          <w:color w:val="auto"/>
          <w:highlight w:val="none"/>
        </w:rPr>
        <w:t>会见管理系统基于流程化的设计思想，通过分布式、模块化的实现方式，将会见流程的各个环节通过软件的数据共享、实时控制有效的协调同步起来，形成一个完善的、规范的、可控的流程系统。系统通过权限认证，能方便、快捷地实现任何一个网络终端对会见服务器的状态监视，音视频查询，操作控制等。</w:t>
      </w:r>
    </w:p>
    <w:p w14:paraId="3D16072F">
      <w:pPr>
        <w:spacing w:line="360" w:lineRule="auto"/>
        <w:ind w:firstLine="420" w:firstLineChars="200"/>
        <w:rPr>
          <w:bCs/>
          <w:color w:val="auto"/>
          <w:highlight w:val="none"/>
        </w:rPr>
      </w:pPr>
      <w:r>
        <w:rPr>
          <w:rFonts w:hint="eastAsia"/>
          <w:bCs/>
          <w:color w:val="auto"/>
          <w:highlight w:val="none"/>
        </w:rPr>
        <w:t>本次共在会见室规划设计会见窗口</w:t>
      </w:r>
      <w:r>
        <w:rPr>
          <w:bCs/>
          <w:color w:val="auto"/>
          <w:highlight w:val="none"/>
        </w:rPr>
        <w:t>20</w:t>
      </w:r>
      <w:r>
        <w:rPr>
          <w:rFonts w:hint="eastAsia"/>
          <w:bCs/>
          <w:color w:val="auto"/>
          <w:highlight w:val="none"/>
        </w:rPr>
        <w:t>个</w:t>
      </w:r>
      <w:r>
        <w:rPr>
          <w:bCs/>
          <w:color w:val="auto"/>
          <w:highlight w:val="none"/>
        </w:rPr>
        <w:t>，</w:t>
      </w:r>
      <w:r>
        <w:rPr>
          <w:rFonts w:hint="eastAsia"/>
          <w:bCs/>
          <w:color w:val="auto"/>
          <w:highlight w:val="none"/>
        </w:rPr>
        <w:t>每个窗口内网各2部话机，共</w:t>
      </w:r>
      <w:r>
        <w:rPr>
          <w:bCs/>
          <w:color w:val="auto"/>
          <w:highlight w:val="none"/>
        </w:rPr>
        <w:t>80</w:t>
      </w:r>
      <w:r>
        <w:rPr>
          <w:rFonts w:hint="eastAsia"/>
          <w:bCs/>
          <w:color w:val="auto"/>
          <w:highlight w:val="none"/>
        </w:rPr>
        <w:t>个，针孔摄像头内外各1个。</w:t>
      </w:r>
    </w:p>
    <w:p w14:paraId="32B0E664">
      <w:pPr>
        <w:spacing w:line="360" w:lineRule="auto"/>
        <w:ind w:firstLine="420" w:firstLineChars="200"/>
        <w:rPr>
          <w:bCs/>
          <w:color w:val="auto"/>
          <w:highlight w:val="none"/>
        </w:rPr>
      </w:pPr>
      <w:r>
        <w:rPr>
          <w:rFonts w:hint="eastAsia"/>
          <w:bCs/>
          <w:color w:val="auto"/>
          <w:highlight w:val="none"/>
        </w:rPr>
        <w:t>1、系统流程</w:t>
      </w:r>
    </w:p>
    <w:p w14:paraId="620EEA68">
      <w:pPr>
        <w:spacing w:line="360" w:lineRule="auto"/>
        <w:ind w:firstLine="420" w:firstLineChars="200"/>
        <w:rPr>
          <w:bCs/>
          <w:color w:val="auto"/>
          <w:highlight w:val="none"/>
        </w:rPr>
      </w:pPr>
      <w:r>
        <w:rPr>
          <w:rFonts w:hint="eastAsia"/>
          <w:bCs/>
          <w:color w:val="auto"/>
          <w:highlight w:val="none"/>
        </w:rPr>
        <w:t>整个会见流程可归结为会见前流程、会见中流程和会见后流程。会见前流程包括会见安检、会见登记、会见复核、会见通知、会见等待；会见中流程包括会见告知、开始会见、会见控制、会见后流程为复听评价等。</w:t>
      </w:r>
    </w:p>
    <w:p w14:paraId="57B70877">
      <w:pPr>
        <w:spacing w:line="360" w:lineRule="auto"/>
        <w:ind w:firstLine="420" w:firstLineChars="200"/>
        <w:rPr>
          <w:bCs/>
          <w:color w:val="auto"/>
          <w:highlight w:val="none"/>
        </w:rPr>
      </w:pPr>
      <w:r>
        <w:rPr>
          <w:rFonts w:hint="eastAsia"/>
          <w:bCs/>
          <w:color w:val="auto"/>
          <w:highlight w:val="none"/>
        </w:rPr>
        <w:t>会见整体流程设计如下图所示：</w:t>
      </w:r>
    </w:p>
    <w:p w14:paraId="33ED5C8A">
      <w:pPr>
        <w:spacing w:line="360" w:lineRule="auto"/>
        <w:ind w:firstLine="420" w:firstLineChars="200"/>
        <w:jc w:val="center"/>
        <w:rPr>
          <w:bCs/>
          <w:color w:val="auto"/>
          <w:highlight w:val="none"/>
        </w:rPr>
      </w:pPr>
      <w:r>
        <w:rPr>
          <w:color w:val="auto"/>
          <w:highlight w:val="none"/>
        </w:rPr>
        <w:object>
          <v:shape id="_x0000_i1027" o:spt="75" type="#_x0000_t75" style="height:691.2pt;width:328.8pt;" o:ole="t" filled="f" o:preferrelative="t" stroked="f" coordsize="21600,21600">
            <v:path/>
            <v:fill on="f" focussize="0,0"/>
            <v:stroke on="f"/>
            <v:imagedata r:id="rId50" embosscolor="#FFFFFF" o:title=""/>
            <o:lock v:ext="edit" grouping="f" rotation="f" text="f" aspectratio="t"/>
            <w10:wrap type="none"/>
            <w10:anchorlock/>
          </v:shape>
          <o:OLEObject Type="Embed" ProgID="Visio.Drawing.15" ShapeID="_x0000_i1027" DrawAspect="Content" ObjectID="_1468075727" r:id="rId49">
            <o:LockedField>false</o:LockedField>
          </o:OLEObject>
        </w:object>
      </w:r>
    </w:p>
    <w:p w14:paraId="1FE9378A">
      <w:pPr>
        <w:spacing w:line="360" w:lineRule="auto"/>
        <w:ind w:firstLine="420" w:firstLineChars="200"/>
        <w:jc w:val="center"/>
        <w:rPr>
          <w:bCs/>
          <w:color w:val="auto"/>
          <w:highlight w:val="none"/>
        </w:rPr>
      </w:pPr>
    </w:p>
    <w:p w14:paraId="4D153FCB">
      <w:pPr>
        <w:numPr>
          <w:ilvl w:val="0"/>
          <w:numId w:val="44"/>
        </w:numPr>
        <w:spacing w:line="360" w:lineRule="auto"/>
        <w:ind w:left="0" w:firstLine="420" w:firstLineChars="200"/>
        <w:rPr>
          <w:bCs/>
          <w:color w:val="auto"/>
          <w:highlight w:val="none"/>
        </w:rPr>
      </w:pPr>
      <w:r>
        <w:rPr>
          <w:rFonts w:hint="eastAsia"/>
          <w:bCs/>
          <w:color w:val="auto"/>
          <w:highlight w:val="none"/>
        </w:rPr>
        <w:t>安全检查</w:t>
      </w:r>
    </w:p>
    <w:p w14:paraId="4AC8153E">
      <w:pPr>
        <w:spacing w:line="360" w:lineRule="auto"/>
        <w:ind w:firstLine="420" w:firstLineChars="200"/>
        <w:rPr>
          <w:bCs/>
          <w:color w:val="auto"/>
          <w:highlight w:val="none"/>
        </w:rPr>
      </w:pPr>
      <w:r>
        <w:rPr>
          <w:rFonts w:hint="eastAsia"/>
          <w:bCs/>
          <w:color w:val="auto"/>
          <w:highlight w:val="none"/>
        </w:rPr>
        <w:t>凡来接见的家属，需在通过安检后方可进行会见登记。在进入会见大厅前须将手机、金属品、现金等违禁品存入储物柜，在警察带领下进入会见通道，前往会见大厅。</w:t>
      </w:r>
    </w:p>
    <w:p w14:paraId="41C548A5">
      <w:pPr>
        <w:numPr>
          <w:ilvl w:val="0"/>
          <w:numId w:val="44"/>
        </w:numPr>
        <w:spacing w:line="360" w:lineRule="auto"/>
        <w:ind w:left="0" w:firstLine="420" w:firstLineChars="200"/>
        <w:rPr>
          <w:bCs/>
          <w:color w:val="auto"/>
          <w:highlight w:val="none"/>
        </w:rPr>
      </w:pPr>
      <w:r>
        <w:rPr>
          <w:rFonts w:hint="eastAsia"/>
          <w:bCs/>
          <w:color w:val="auto"/>
          <w:highlight w:val="none"/>
        </w:rPr>
        <w:t>会见登记</w:t>
      </w:r>
    </w:p>
    <w:p w14:paraId="21CFF706">
      <w:pPr>
        <w:spacing w:line="360" w:lineRule="auto"/>
        <w:ind w:firstLine="420" w:firstLineChars="200"/>
        <w:rPr>
          <w:bCs/>
          <w:color w:val="auto"/>
          <w:highlight w:val="none"/>
        </w:rPr>
      </w:pPr>
      <w:r>
        <w:rPr>
          <w:rFonts w:hint="eastAsia"/>
          <w:bCs/>
          <w:color w:val="auto"/>
          <w:highlight w:val="none"/>
        </w:rPr>
        <w:t>登记监狱警察通知家属到相应的会见登记设备登记信息，登记警察刷取会见人员身份证，系统自动调出相应罪犯和其家属的信息，以及该罪犯最近几次的历史会见信息，对罪犯是否满足会见条件进行审核，不满足会见条件的，登记监狱警察可以拒绝家属会见该罪犯，并结束会见流程。若罪犯符合会见条件，则登记监狱警察查看家属提交的二代身份证与系统采集人脸特征信息的比对结果进行人工审核，确认后读取家属二代身份证信息，会见家属直接通过刷身份证即可通过闸机。</w:t>
      </w:r>
    </w:p>
    <w:p w14:paraId="0112195B">
      <w:pPr>
        <w:spacing w:line="360" w:lineRule="auto"/>
        <w:ind w:firstLine="420" w:firstLineChars="200"/>
        <w:rPr>
          <w:bCs/>
          <w:color w:val="auto"/>
          <w:highlight w:val="none"/>
        </w:rPr>
      </w:pPr>
      <w:r>
        <w:rPr>
          <w:rFonts w:hint="eastAsia"/>
          <w:bCs/>
          <w:color w:val="auto"/>
          <w:highlight w:val="none"/>
        </w:rPr>
        <w:t>家属进行会见登记后（身份证具备通过辊闸权限），直接刷卡进入会见通道。</w:t>
      </w:r>
    </w:p>
    <w:p w14:paraId="24AE14D1">
      <w:pPr>
        <w:spacing w:line="360" w:lineRule="auto"/>
        <w:ind w:firstLine="420" w:firstLineChars="200"/>
        <w:rPr>
          <w:bCs/>
          <w:color w:val="auto"/>
          <w:highlight w:val="none"/>
        </w:rPr>
      </w:pPr>
      <w:r>
        <w:rPr>
          <w:rFonts w:hint="eastAsia"/>
          <w:bCs/>
          <w:color w:val="auto"/>
          <w:highlight w:val="none"/>
        </w:rPr>
        <w:t>家属进行会见登记后，在开启身份证通过辊闸权限时，系统自动发送需要会见罪犯的名单到监区值班警察的客户端上，或通过网络对讲、无线对讲设备通知到相应的值班警察带罪犯前往会见场所会见其家属。</w:t>
      </w:r>
    </w:p>
    <w:p w14:paraId="3A719115">
      <w:pPr>
        <w:spacing w:line="360" w:lineRule="auto"/>
        <w:ind w:firstLine="420" w:firstLineChars="200"/>
        <w:rPr>
          <w:bCs/>
          <w:color w:val="auto"/>
          <w:highlight w:val="none"/>
        </w:rPr>
      </w:pPr>
      <w:r>
        <w:rPr>
          <w:bCs/>
          <w:color w:val="auto"/>
          <w:highlight w:val="none"/>
        </w:rPr>
        <w:t>非首次会见家属通过安检和审核后</w:t>
      </w:r>
      <w:r>
        <w:rPr>
          <w:rFonts w:hint="eastAsia"/>
          <w:bCs/>
          <w:color w:val="auto"/>
          <w:highlight w:val="none"/>
        </w:rPr>
        <w:t>，</w:t>
      </w:r>
      <w:r>
        <w:rPr>
          <w:bCs/>
          <w:color w:val="auto"/>
          <w:highlight w:val="none"/>
        </w:rPr>
        <w:t>可在自助登记终端登记</w:t>
      </w:r>
      <w:r>
        <w:rPr>
          <w:rFonts w:hint="eastAsia"/>
          <w:bCs/>
          <w:color w:val="auto"/>
          <w:highlight w:val="none"/>
        </w:rPr>
        <w:t>，自行刷卡通过闸机，进入家属等候区，待警察带领进入会见通道。</w:t>
      </w:r>
    </w:p>
    <w:p w14:paraId="24EB1616">
      <w:pPr>
        <w:numPr>
          <w:ilvl w:val="0"/>
          <w:numId w:val="44"/>
        </w:numPr>
        <w:spacing w:line="360" w:lineRule="auto"/>
        <w:ind w:left="0" w:firstLine="420" w:firstLineChars="200"/>
        <w:rPr>
          <w:bCs/>
          <w:color w:val="auto"/>
          <w:highlight w:val="none"/>
        </w:rPr>
      </w:pPr>
      <w:r>
        <w:rPr>
          <w:rFonts w:hint="eastAsia"/>
          <w:bCs/>
          <w:color w:val="auto"/>
          <w:highlight w:val="none"/>
        </w:rPr>
        <w:t>会见确认</w:t>
      </w:r>
    </w:p>
    <w:p w14:paraId="3B6799B4">
      <w:pPr>
        <w:spacing w:line="360" w:lineRule="auto"/>
        <w:ind w:firstLine="420" w:firstLineChars="200"/>
        <w:rPr>
          <w:bCs/>
          <w:color w:val="auto"/>
          <w:highlight w:val="none"/>
        </w:rPr>
      </w:pPr>
      <w:r>
        <w:rPr>
          <w:rFonts w:hint="eastAsia"/>
          <w:bCs/>
          <w:color w:val="auto"/>
          <w:highlight w:val="none"/>
        </w:rPr>
        <w:t>接到会见通知后，监区值班警察点击确认。</w:t>
      </w:r>
    </w:p>
    <w:p w14:paraId="60A93B8E">
      <w:pPr>
        <w:numPr>
          <w:ilvl w:val="0"/>
          <w:numId w:val="44"/>
        </w:numPr>
        <w:spacing w:line="360" w:lineRule="auto"/>
        <w:ind w:left="0" w:firstLine="420" w:firstLineChars="200"/>
        <w:rPr>
          <w:bCs/>
          <w:color w:val="auto"/>
          <w:highlight w:val="none"/>
        </w:rPr>
      </w:pPr>
      <w:r>
        <w:rPr>
          <w:rFonts w:hint="eastAsia"/>
          <w:bCs/>
          <w:color w:val="auto"/>
          <w:highlight w:val="none"/>
        </w:rPr>
        <w:t>罪犯签到</w:t>
      </w:r>
    </w:p>
    <w:p w14:paraId="51E45C9F">
      <w:pPr>
        <w:spacing w:line="360" w:lineRule="auto"/>
        <w:ind w:firstLine="420" w:firstLineChars="200"/>
        <w:rPr>
          <w:bCs/>
          <w:color w:val="auto"/>
          <w:highlight w:val="none"/>
        </w:rPr>
      </w:pPr>
      <w:r>
        <w:rPr>
          <w:rFonts w:hint="eastAsia"/>
          <w:bCs/>
          <w:color w:val="auto"/>
          <w:highlight w:val="none"/>
        </w:rPr>
        <w:t>罪犯在监区值班警察带领下到达会见场所后，值班警察首先刷卡确认权限，然后犯人刷卡签到，一批次会见罪犯签到结束后，带领警察再次刷卡关闭权限。罪犯签到后系统会根据罪犯的处遇级别自动设置会见时间，并自动根据窗口的空置情况进行会见排序和会见窗口分配</w:t>
      </w:r>
      <w:r>
        <w:rPr>
          <w:rFonts w:hint="eastAsia" w:ascii="宋体"/>
          <w:bCs/>
          <w:color w:val="auto"/>
          <w:highlight w:val="none"/>
        </w:rPr>
        <w:t>。</w:t>
      </w:r>
    </w:p>
    <w:p w14:paraId="56074905">
      <w:pPr>
        <w:numPr>
          <w:ilvl w:val="0"/>
          <w:numId w:val="44"/>
        </w:numPr>
        <w:spacing w:line="360" w:lineRule="auto"/>
        <w:ind w:left="0" w:firstLine="420" w:firstLineChars="200"/>
        <w:rPr>
          <w:bCs/>
          <w:color w:val="auto"/>
          <w:highlight w:val="none"/>
        </w:rPr>
      </w:pPr>
      <w:r>
        <w:rPr>
          <w:rFonts w:hint="eastAsia"/>
          <w:bCs/>
          <w:color w:val="auto"/>
          <w:highlight w:val="none"/>
        </w:rPr>
        <w:t>会见提醒</w:t>
      </w:r>
    </w:p>
    <w:p w14:paraId="4BCCF7D5">
      <w:pPr>
        <w:spacing w:line="360" w:lineRule="auto"/>
        <w:ind w:firstLine="420" w:firstLineChars="200"/>
        <w:rPr>
          <w:bCs/>
          <w:color w:val="auto"/>
          <w:highlight w:val="none"/>
        </w:rPr>
      </w:pPr>
      <w:r>
        <w:rPr>
          <w:rFonts w:hint="eastAsia"/>
          <w:bCs/>
          <w:color w:val="auto"/>
          <w:highlight w:val="none"/>
        </w:rPr>
        <w:t>当有会见窗口空闲或轮到下一批次会见时，系统会自动通过排队叫号显示屏在家属等候区和罪犯等候区同步显示可以进行会见的罪犯和相应家属的名字、窗口等信息，同时会自动广播喊话通知。</w:t>
      </w:r>
    </w:p>
    <w:p w14:paraId="4A849DFE">
      <w:pPr>
        <w:numPr>
          <w:ilvl w:val="0"/>
          <w:numId w:val="44"/>
        </w:numPr>
        <w:spacing w:line="360" w:lineRule="auto"/>
        <w:ind w:left="0" w:firstLine="420" w:firstLineChars="200"/>
        <w:rPr>
          <w:bCs/>
          <w:color w:val="auto"/>
          <w:highlight w:val="none"/>
        </w:rPr>
      </w:pPr>
      <w:r>
        <w:rPr>
          <w:rFonts w:hint="eastAsia"/>
          <w:bCs/>
          <w:color w:val="auto"/>
          <w:highlight w:val="none"/>
        </w:rPr>
        <w:t>开始会见</w:t>
      </w:r>
    </w:p>
    <w:p w14:paraId="11AC1DE6">
      <w:pPr>
        <w:spacing w:line="360" w:lineRule="auto"/>
        <w:ind w:firstLine="420" w:firstLineChars="200"/>
        <w:rPr>
          <w:bCs/>
          <w:color w:val="auto"/>
          <w:highlight w:val="none"/>
        </w:rPr>
      </w:pPr>
      <w:r>
        <w:rPr>
          <w:rFonts w:hint="eastAsia"/>
          <w:bCs/>
          <w:color w:val="auto"/>
          <w:highlight w:val="none"/>
        </w:rPr>
        <w:t>罪犯和其家属进入会见大厅相应窗口入座，当罪犯或其家属拿起电话时，系统自动开始计时，并对会见过程进行全程录音录像，并自动记录罪犯和其家属的信息与录音资料绑定。监听警察可以在罪犯和其家属的对话过程中进行全程监听、插话和挂断，可根据通话情况修改会见时间，也可对会见过程中的内容进行记录和评价等。</w:t>
      </w:r>
    </w:p>
    <w:p w14:paraId="596CA7E4">
      <w:pPr>
        <w:numPr>
          <w:ilvl w:val="0"/>
          <w:numId w:val="44"/>
        </w:numPr>
        <w:spacing w:line="360" w:lineRule="auto"/>
        <w:ind w:left="0" w:firstLine="420" w:firstLineChars="200"/>
        <w:rPr>
          <w:bCs/>
          <w:color w:val="auto"/>
          <w:highlight w:val="none"/>
        </w:rPr>
      </w:pPr>
      <w:r>
        <w:rPr>
          <w:rFonts w:hint="eastAsia"/>
          <w:bCs/>
          <w:color w:val="auto"/>
          <w:highlight w:val="none"/>
        </w:rPr>
        <w:t>会见结束</w:t>
      </w:r>
    </w:p>
    <w:p w14:paraId="1D738BDF">
      <w:pPr>
        <w:spacing w:line="360" w:lineRule="auto"/>
        <w:ind w:firstLine="420" w:firstLineChars="200"/>
        <w:rPr>
          <w:bCs/>
          <w:color w:val="auto"/>
          <w:highlight w:val="none"/>
        </w:rPr>
      </w:pPr>
      <w:r>
        <w:rPr>
          <w:rFonts w:hint="eastAsia"/>
          <w:bCs/>
          <w:color w:val="auto"/>
          <w:highlight w:val="none"/>
        </w:rPr>
        <w:t>系统在会见时间结束前1分钟会语音告知相应罪犯和其家属“会见时间还剩1分钟，请抓紧！”，系统以中途被监听警察挂断、会见时间到、罪犯或家属中途挂断电话等为结束节点。</w:t>
      </w:r>
    </w:p>
    <w:p w14:paraId="2FFDAD64">
      <w:pPr>
        <w:spacing w:line="360" w:lineRule="auto"/>
        <w:ind w:firstLine="420" w:firstLineChars="200"/>
        <w:rPr>
          <w:bCs/>
          <w:color w:val="auto"/>
          <w:highlight w:val="none"/>
        </w:rPr>
      </w:pPr>
      <w:r>
        <w:rPr>
          <w:rFonts w:hint="eastAsia"/>
          <w:bCs/>
          <w:color w:val="auto"/>
          <w:highlight w:val="none"/>
        </w:rPr>
        <w:t>会见结束后，家属离开会见大厅刷二代身份证通过闸机后，离开监狱；而罪犯则由其监区值班警察带回监区。</w:t>
      </w:r>
    </w:p>
    <w:p w14:paraId="76F5CF2C">
      <w:pPr>
        <w:numPr>
          <w:ilvl w:val="0"/>
          <w:numId w:val="44"/>
        </w:numPr>
        <w:spacing w:line="360" w:lineRule="auto"/>
        <w:ind w:left="0" w:firstLine="420" w:firstLineChars="200"/>
        <w:rPr>
          <w:bCs/>
          <w:color w:val="auto"/>
          <w:highlight w:val="none"/>
        </w:rPr>
      </w:pPr>
      <w:r>
        <w:rPr>
          <w:rFonts w:hint="eastAsia"/>
          <w:bCs/>
          <w:color w:val="auto"/>
          <w:highlight w:val="none"/>
        </w:rPr>
        <w:t>特殊会见审批</w:t>
      </w:r>
    </w:p>
    <w:p w14:paraId="4DC3A337">
      <w:pPr>
        <w:spacing w:line="360" w:lineRule="auto"/>
        <w:ind w:firstLine="420" w:firstLineChars="200"/>
        <w:rPr>
          <w:bCs/>
          <w:color w:val="auto"/>
          <w:highlight w:val="none"/>
        </w:rPr>
      </w:pPr>
      <w:r>
        <w:rPr>
          <w:rFonts w:hint="eastAsia"/>
          <w:bCs/>
          <w:color w:val="auto"/>
          <w:highlight w:val="none"/>
        </w:rPr>
        <w:t>若家属未登记备案；或该次会见时间为非会见日；或该罪犯本月会见次数已满；会见人数超过规定人数等情况，则该次会见需要到狱政科进行登记审批，狱政科监狱警察提交审批单后，系统会自动将审批信息发送到狱政科领导或经监狱授权的监区负责人的客户端上，领导未在客户端上审批的话，系统也可通过短信将审批信息发送到领导的移动执法终端上供相应领导审批。</w:t>
      </w:r>
    </w:p>
    <w:p w14:paraId="5C48BE13">
      <w:pPr>
        <w:spacing w:line="360" w:lineRule="auto"/>
        <w:ind w:firstLine="420" w:firstLineChars="200"/>
        <w:rPr>
          <w:bCs/>
          <w:color w:val="auto"/>
          <w:highlight w:val="none"/>
        </w:rPr>
      </w:pPr>
      <w:r>
        <w:rPr>
          <w:rFonts w:hint="eastAsia"/>
          <w:bCs/>
          <w:color w:val="auto"/>
          <w:highlight w:val="none"/>
        </w:rPr>
        <w:t>2、系统功能</w:t>
      </w:r>
    </w:p>
    <w:p w14:paraId="21990D21">
      <w:pPr>
        <w:numPr>
          <w:ilvl w:val="0"/>
          <w:numId w:val="45"/>
        </w:numPr>
        <w:spacing w:line="360" w:lineRule="auto"/>
        <w:ind w:left="0" w:firstLine="420" w:firstLineChars="200"/>
        <w:rPr>
          <w:bCs/>
          <w:color w:val="auto"/>
          <w:highlight w:val="none"/>
        </w:rPr>
      </w:pPr>
      <w:r>
        <w:rPr>
          <w:rFonts w:hint="eastAsia"/>
          <w:bCs/>
          <w:color w:val="auto"/>
          <w:highlight w:val="none"/>
        </w:rPr>
        <w:t>会见登记</w:t>
      </w:r>
    </w:p>
    <w:p w14:paraId="63F1CAE7">
      <w:pPr>
        <w:numPr>
          <w:ilvl w:val="0"/>
          <w:numId w:val="46"/>
        </w:numPr>
        <w:spacing w:line="360" w:lineRule="auto"/>
        <w:ind w:left="0" w:firstLine="420" w:firstLineChars="200"/>
        <w:rPr>
          <w:bCs/>
          <w:color w:val="auto"/>
          <w:highlight w:val="none"/>
        </w:rPr>
      </w:pPr>
      <w:r>
        <w:rPr>
          <w:rFonts w:hint="eastAsia"/>
          <w:bCs/>
          <w:color w:val="auto"/>
          <w:highlight w:val="none"/>
        </w:rPr>
        <w:t>寻找空闲会见座位，指定会见座位；没有空闲座位，则设置到会见排队队列中；</w:t>
      </w:r>
    </w:p>
    <w:p w14:paraId="50A19FD9">
      <w:pPr>
        <w:numPr>
          <w:ilvl w:val="0"/>
          <w:numId w:val="46"/>
        </w:numPr>
        <w:spacing w:line="360" w:lineRule="auto"/>
        <w:ind w:left="0" w:firstLine="420" w:firstLineChars="200"/>
        <w:rPr>
          <w:bCs/>
          <w:color w:val="auto"/>
          <w:highlight w:val="none"/>
        </w:rPr>
      </w:pPr>
      <w:r>
        <w:rPr>
          <w:rFonts w:hint="eastAsia"/>
          <w:bCs/>
          <w:color w:val="auto"/>
          <w:highlight w:val="none"/>
        </w:rPr>
        <w:t>系统查找会见人要会见的罪犯，并选择对应的会见人信息；</w:t>
      </w:r>
    </w:p>
    <w:p w14:paraId="2D471632">
      <w:pPr>
        <w:numPr>
          <w:ilvl w:val="0"/>
          <w:numId w:val="46"/>
        </w:numPr>
        <w:spacing w:line="360" w:lineRule="auto"/>
        <w:ind w:left="0" w:firstLine="420" w:firstLineChars="200"/>
        <w:rPr>
          <w:bCs/>
          <w:color w:val="auto"/>
          <w:highlight w:val="none"/>
        </w:rPr>
      </w:pPr>
      <w:r>
        <w:rPr>
          <w:rFonts w:hint="eastAsia"/>
          <w:bCs/>
          <w:color w:val="auto"/>
          <w:highlight w:val="none"/>
        </w:rPr>
        <w:t>设置会见通话时长，以及会见说明；</w:t>
      </w:r>
    </w:p>
    <w:p w14:paraId="10A0AF9C">
      <w:pPr>
        <w:numPr>
          <w:ilvl w:val="0"/>
          <w:numId w:val="46"/>
        </w:numPr>
        <w:spacing w:line="360" w:lineRule="auto"/>
        <w:ind w:left="0" w:firstLine="420" w:firstLineChars="200"/>
        <w:rPr>
          <w:bCs/>
          <w:color w:val="auto"/>
          <w:highlight w:val="none"/>
        </w:rPr>
      </w:pPr>
      <w:r>
        <w:rPr>
          <w:rFonts w:hint="eastAsia"/>
          <w:bCs/>
          <w:color w:val="auto"/>
          <w:highlight w:val="none"/>
        </w:rPr>
        <w:t>打印准见证，准见证包含信息：座位号，会见人姓名，会见人身份证号，关系，罪犯编号，罪犯姓名，会见时长；</w:t>
      </w:r>
    </w:p>
    <w:p w14:paraId="77FE9C8B">
      <w:pPr>
        <w:numPr>
          <w:ilvl w:val="0"/>
          <w:numId w:val="46"/>
        </w:numPr>
        <w:spacing w:line="360" w:lineRule="auto"/>
        <w:ind w:left="0" w:firstLine="420" w:firstLineChars="200"/>
        <w:rPr>
          <w:bCs/>
          <w:color w:val="auto"/>
          <w:highlight w:val="none"/>
        </w:rPr>
      </w:pPr>
      <w:r>
        <w:rPr>
          <w:rFonts w:hint="eastAsia"/>
          <w:bCs/>
          <w:color w:val="auto"/>
          <w:highlight w:val="none"/>
        </w:rPr>
        <w:t>对于登记错误的会见，可以取消。</w:t>
      </w:r>
    </w:p>
    <w:p w14:paraId="40B891F0">
      <w:pPr>
        <w:numPr>
          <w:ilvl w:val="0"/>
          <w:numId w:val="45"/>
        </w:numPr>
        <w:spacing w:line="360" w:lineRule="auto"/>
        <w:ind w:left="0" w:firstLine="420" w:firstLineChars="200"/>
        <w:rPr>
          <w:bCs/>
          <w:color w:val="auto"/>
          <w:highlight w:val="none"/>
        </w:rPr>
      </w:pPr>
      <w:r>
        <w:rPr>
          <w:rFonts w:hint="eastAsia"/>
          <w:bCs/>
          <w:color w:val="auto"/>
          <w:highlight w:val="none"/>
        </w:rPr>
        <w:t>多方会见通话</w:t>
      </w:r>
    </w:p>
    <w:p w14:paraId="6A2D9984">
      <w:pPr>
        <w:spacing w:line="360" w:lineRule="auto"/>
        <w:ind w:firstLine="420" w:firstLineChars="200"/>
        <w:rPr>
          <w:bCs/>
          <w:color w:val="auto"/>
          <w:highlight w:val="none"/>
        </w:rPr>
      </w:pPr>
      <w:r>
        <w:rPr>
          <w:rFonts w:hint="eastAsia"/>
          <w:bCs/>
          <w:color w:val="auto"/>
          <w:highlight w:val="none"/>
        </w:rPr>
        <w:t>支持会见人与罪犯一对一通话，所有会见电话之间互不干扰，并且支持三个会见人与一个罪犯同时进行三方通话。</w:t>
      </w:r>
    </w:p>
    <w:p w14:paraId="246D4129">
      <w:pPr>
        <w:numPr>
          <w:ilvl w:val="0"/>
          <w:numId w:val="45"/>
        </w:numPr>
        <w:spacing w:line="360" w:lineRule="auto"/>
        <w:ind w:left="0" w:firstLine="420" w:firstLineChars="200"/>
        <w:rPr>
          <w:bCs/>
          <w:color w:val="auto"/>
          <w:highlight w:val="none"/>
        </w:rPr>
      </w:pPr>
      <w:r>
        <w:rPr>
          <w:rFonts w:hint="eastAsia"/>
          <w:bCs/>
          <w:color w:val="auto"/>
          <w:highlight w:val="none"/>
        </w:rPr>
        <w:t>会见全程录音录像</w:t>
      </w:r>
    </w:p>
    <w:p w14:paraId="4D511B22">
      <w:pPr>
        <w:spacing w:line="360" w:lineRule="auto"/>
        <w:ind w:firstLine="420" w:firstLineChars="200"/>
        <w:rPr>
          <w:bCs/>
          <w:color w:val="auto"/>
          <w:highlight w:val="none"/>
        </w:rPr>
      </w:pPr>
      <w:r>
        <w:rPr>
          <w:rFonts w:hint="eastAsia"/>
          <w:bCs/>
          <w:color w:val="auto"/>
          <w:highlight w:val="none"/>
        </w:rPr>
        <w:t>对会见进行全程录音录像，录音录像完全自动启动。</w:t>
      </w:r>
    </w:p>
    <w:p w14:paraId="183842AE">
      <w:pPr>
        <w:numPr>
          <w:ilvl w:val="0"/>
          <w:numId w:val="45"/>
        </w:numPr>
        <w:spacing w:line="360" w:lineRule="auto"/>
        <w:ind w:left="0" w:firstLine="420" w:firstLineChars="200"/>
        <w:rPr>
          <w:bCs/>
          <w:color w:val="auto"/>
          <w:highlight w:val="none"/>
        </w:rPr>
      </w:pPr>
      <w:r>
        <w:rPr>
          <w:rFonts w:hint="eastAsia"/>
          <w:bCs/>
          <w:color w:val="auto"/>
          <w:highlight w:val="none"/>
        </w:rPr>
        <w:t>会见监控</w:t>
      </w:r>
    </w:p>
    <w:p w14:paraId="24A6E9A3">
      <w:pPr>
        <w:numPr>
          <w:ilvl w:val="0"/>
          <w:numId w:val="47"/>
        </w:numPr>
        <w:spacing w:line="360" w:lineRule="auto"/>
        <w:ind w:left="0" w:firstLine="420" w:firstLineChars="200"/>
        <w:rPr>
          <w:bCs/>
          <w:color w:val="auto"/>
          <w:highlight w:val="none"/>
        </w:rPr>
      </w:pPr>
      <w:r>
        <w:rPr>
          <w:rFonts w:hint="eastAsia"/>
          <w:bCs/>
          <w:color w:val="auto"/>
          <w:highlight w:val="none"/>
        </w:rPr>
        <w:t>会见信息显示</w:t>
      </w:r>
    </w:p>
    <w:p w14:paraId="66C118DD">
      <w:pPr>
        <w:spacing w:line="360" w:lineRule="auto"/>
        <w:ind w:firstLine="420" w:firstLineChars="200"/>
        <w:rPr>
          <w:bCs/>
          <w:color w:val="auto"/>
          <w:highlight w:val="none"/>
        </w:rPr>
      </w:pPr>
      <w:r>
        <w:rPr>
          <w:rFonts w:hint="eastAsia"/>
          <w:bCs/>
          <w:color w:val="auto"/>
          <w:highlight w:val="none"/>
        </w:rPr>
        <w:t>实时显示每次会见的信息和状态变化。可显示的信息有：座位号、会见状态、罪犯姓名、会见人姓名、相互关系、会见说明、监听状态等。</w:t>
      </w:r>
    </w:p>
    <w:p w14:paraId="3835D5A6">
      <w:pPr>
        <w:numPr>
          <w:ilvl w:val="0"/>
          <w:numId w:val="47"/>
        </w:numPr>
        <w:spacing w:line="360" w:lineRule="auto"/>
        <w:ind w:left="0" w:firstLine="420" w:firstLineChars="200"/>
        <w:rPr>
          <w:bCs/>
          <w:color w:val="auto"/>
          <w:highlight w:val="none"/>
        </w:rPr>
      </w:pPr>
      <w:r>
        <w:rPr>
          <w:rFonts w:hint="eastAsia"/>
          <w:bCs/>
          <w:color w:val="auto"/>
          <w:highlight w:val="none"/>
        </w:rPr>
        <w:t>会见过程控制</w:t>
      </w:r>
    </w:p>
    <w:p w14:paraId="6121F66E">
      <w:pPr>
        <w:numPr>
          <w:ilvl w:val="0"/>
          <w:numId w:val="46"/>
        </w:numPr>
        <w:spacing w:line="360" w:lineRule="auto"/>
        <w:ind w:left="0" w:firstLine="420" w:firstLineChars="200"/>
        <w:rPr>
          <w:bCs/>
          <w:color w:val="auto"/>
          <w:highlight w:val="none"/>
        </w:rPr>
      </w:pPr>
      <w:r>
        <w:rPr>
          <w:rFonts w:hint="eastAsia"/>
          <w:bCs/>
          <w:color w:val="auto"/>
          <w:highlight w:val="none"/>
        </w:rPr>
        <w:t>可以设置会见通话的最长时间，通话超过最长时间后，自动中止会见通话；</w:t>
      </w:r>
    </w:p>
    <w:p w14:paraId="063C5B9F">
      <w:pPr>
        <w:numPr>
          <w:ilvl w:val="0"/>
          <w:numId w:val="46"/>
        </w:numPr>
        <w:spacing w:line="360" w:lineRule="auto"/>
        <w:ind w:left="0" w:firstLine="420" w:firstLineChars="200"/>
        <w:rPr>
          <w:bCs/>
          <w:color w:val="auto"/>
          <w:highlight w:val="none"/>
        </w:rPr>
      </w:pPr>
      <w:r>
        <w:rPr>
          <w:rFonts w:hint="eastAsia"/>
          <w:bCs/>
          <w:color w:val="auto"/>
          <w:highlight w:val="none"/>
        </w:rPr>
        <w:t>会见过程中，可以中止/恢复任何一个会见的通话；</w:t>
      </w:r>
    </w:p>
    <w:p w14:paraId="555374AC">
      <w:pPr>
        <w:numPr>
          <w:ilvl w:val="0"/>
          <w:numId w:val="46"/>
        </w:numPr>
        <w:spacing w:line="360" w:lineRule="auto"/>
        <w:ind w:left="0" w:firstLine="420" w:firstLineChars="200"/>
        <w:rPr>
          <w:bCs/>
          <w:color w:val="auto"/>
          <w:highlight w:val="none"/>
        </w:rPr>
      </w:pPr>
      <w:r>
        <w:rPr>
          <w:rFonts w:hint="eastAsia"/>
          <w:bCs/>
          <w:color w:val="auto"/>
          <w:highlight w:val="none"/>
        </w:rPr>
        <w:t>可以同时中止/恢复所有会见的通话；</w:t>
      </w:r>
    </w:p>
    <w:p w14:paraId="4731FFE1">
      <w:pPr>
        <w:numPr>
          <w:ilvl w:val="0"/>
          <w:numId w:val="46"/>
        </w:numPr>
        <w:spacing w:line="360" w:lineRule="auto"/>
        <w:ind w:left="0" w:firstLine="420" w:firstLineChars="200"/>
        <w:rPr>
          <w:bCs/>
          <w:color w:val="auto"/>
          <w:highlight w:val="none"/>
        </w:rPr>
      </w:pPr>
      <w:r>
        <w:rPr>
          <w:rFonts w:hint="eastAsia"/>
          <w:bCs/>
          <w:color w:val="auto"/>
          <w:highlight w:val="none"/>
        </w:rPr>
        <w:t>以上操作支持现场执勤警察直接控制，也支持网络上任何一个网络终端通过控制台进行控制。</w:t>
      </w:r>
    </w:p>
    <w:p w14:paraId="0501167A">
      <w:pPr>
        <w:numPr>
          <w:ilvl w:val="0"/>
          <w:numId w:val="47"/>
        </w:numPr>
        <w:spacing w:line="360" w:lineRule="auto"/>
        <w:ind w:left="0" w:firstLine="420" w:firstLineChars="200"/>
        <w:rPr>
          <w:bCs/>
          <w:color w:val="auto"/>
          <w:highlight w:val="none"/>
        </w:rPr>
      </w:pPr>
      <w:r>
        <w:rPr>
          <w:rFonts w:hint="eastAsia"/>
          <w:bCs/>
          <w:color w:val="auto"/>
          <w:highlight w:val="none"/>
        </w:rPr>
        <w:t>通话监听</w:t>
      </w:r>
    </w:p>
    <w:p w14:paraId="2DE10F0C">
      <w:pPr>
        <w:numPr>
          <w:ilvl w:val="0"/>
          <w:numId w:val="46"/>
        </w:numPr>
        <w:spacing w:line="360" w:lineRule="auto"/>
        <w:ind w:left="0" w:firstLine="420" w:firstLineChars="200"/>
        <w:rPr>
          <w:bCs/>
          <w:color w:val="auto"/>
          <w:highlight w:val="none"/>
        </w:rPr>
      </w:pPr>
      <w:r>
        <w:rPr>
          <w:rFonts w:hint="eastAsia"/>
          <w:bCs/>
          <w:color w:val="auto"/>
          <w:highlight w:val="none"/>
        </w:rPr>
        <w:t>会见过程中，现场值班警察可以通过电话对任何一个会见进行实时监听，支持对多个会见同时进行监听。</w:t>
      </w:r>
    </w:p>
    <w:p w14:paraId="100207E6">
      <w:pPr>
        <w:numPr>
          <w:ilvl w:val="0"/>
          <w:numId w:val="46"/>
        </w:numPr>
        <w:spacing w:line="360" w:lineRule="auto"/>
        <w:ind w:left="0" w:firstLine="420" w:firstLineChars="200"/>
        <w:rPr>
          <w:bCs/>
          <w:color w:val="auto"/>
          <w:highlight w:val="none"/>
        </w:rPr>
      </w:pPr>
      <w:r>
        <w:rPr>
          <w:rFonts w:hint="eastAsia"/>
          <w:bCs/>
          <w:color w:val="auto"/>
          <w:highlight w:val="none"/>
        </w:rPr>
        <w:t>同时支持网络上任何一个网络终端通过控制台声卡进行实时监听。</w:t>
      </w:r>
    </w:p>
    <w:p w14:paraId="41D016F8">
      <w:pPr>
        <w:numPr>
          <w:ilvl w:val="0"/>
          <w:numId w:val="47"/>
        </w:numPr>
        <w:spacing w:line="360" w:lineRule="auto"/>
        <w:ind w:left="0" w:firstLine="420" w:firstLineChars="200"/>
        <w:rPr>
          <w:bCs/>
          <w:color w:val="auto"/>
          <w:highlight w:val="none"/>
        </w:rPr>
      </w:pPr>
      <w:r>
        <w:rPr>
          <w:rFonts w:hint="eastAsia"/>
          <w:bCs/>
          <w:color w:val="auto"/>
          <w:highlight w:val="none"/>
        </w:rPr>
        <w:t>插话</w:t>
      </w:r>
    </w:p>
    <w:p w14:paraId="679C633D">
      <w:pPr>
        <w:spacing w:line="360" w:lineRule="auto"/>
        <w:ind w:firstLine="420" w:firstLineChars="200"/>
        <w:rPr>
          <w:bCs/>
          <w:color w:val="auto"/>
          <w:highlight w:val="none"/>
        </w:rPr>
      </w:pPr>
      <w:r>
        <w:rPr>
          <w:rFonts w:hint="eastAsia"/>
          <w:bCs/>
          <w:color w:val="auto"/>
          <w:highlight w:val="none"/>
        </w:rPr>
        <w:t>会见过程中，现场值班警察可以通过电话对任何一个会见进行插话，实现与罪犯、会见人的三方通话。</w:t>
      </w:r>
    </w:p>
    <w:p w14:paraId="495EFDAB">
      <w:pPr>
        <w:numPr>
          <w:ilvl w:val="0"/>
          <w:numId w:val="45"/>
        </w:numPr>
        <w:spacing w:line="360" w:lineRule="auto"/>
        <w:ind w:left="0" w:firstLine="420" w:firstLineChars="200"/>
        <w:rPr>
          <w:bCs/>
          <w:color w:val="auto"/>
          <w:highlight w:val="none"/>
        </w:rPr>
      </w:pPr>
      <w:r>
        <w:rPr>
          <w:rFonts w:hint="eastAsia"/>
          <w:bCs/>
          <w:color w:val="auto"/>
          <w:highlight w:val="none"/>
        </w:rPr>
        <w:t>会见录音管理</w:t>
      </w:r>
    </w:p>
    <w:p w14:paraId="478C51FC">
      <w:pPr>
        <w:numPr>
          <w:ilvl w:val="0"/>
          <w:numId w:val="46"/>
        </w:numPr>
        <w:spacing w:line="360" w:lineRule="auto"/>
        <w:ind w:left="0" w:firstLine="420" w:firstLineChars="200"/>
        <w:rPr>
          <w:bCs/>
          <w:color w:val="auto"/>
          <w:highlight w:val="none"/>
        </w:rPr>
      </w:pPr>
      <w:r>
        <w:rPr>
          <w:rFonts w:hint="eastAsia"/>
          <w:bCs/>
          <w:color w:val="auto"/>
          <w:highlight w:val="none"/>
        </w:rPr>
        <w:t>音视频回放查询，可以使用多种条件对会见音视频进行查询和回放；</w:t>
      </w:r>
    </w:p>
    <w:p w14:paraId="3050BC0D">
      <w:pPr>
        <w:numPr>
          <w:ilvl w:val="0"/>
          <w:numId w:val="46"/>
        </w:numPr>
        <w:spacing w:line="360" w:lineRule="auto"/>
        <w:ind w:left="0" w:firstLine="420" w:firstLineChars="200"/>
        <w:rPr>
          <w:bCs/>
          <w:color w:val="auto"/>
          <w:highlight w:val="none"/>
        </w:rPr>
      </w:pPr>
      <w:r>
        <w:rPr>
          <w:rFonts w:hint="eastAsia"/>
          <w:bCs/>
          <w:color w:val="auto"/>
          <w:highlight w:val="none"/>
        </w:rPr>
        <w:t>音视频回放，提供类似媒体播放器的音视频播放界面，可以开始、停止、暂停播放，实时显示播放进度条，可以直接拖拉进度条定位播放点，批量选择播放多条音视频文件；</w:t>
      </w:r>
    </w:p>
    <w:p w14:paraId="4065EE30">
      <w:pPr>
        <w:numPr>
          <w:ilvl w:val="0"/>
          <w:numId w:val="46"/>
        </w:numPr>
        <w:spacing w:line="360" w:lineRule="auto"/>
        <w:ind w:left="0" w:firstLine="420" w:firstLineChars="200"/>
        <w:rPr>
          <w:bCs/>
          <w:color w:val="auto"/>
          <w:highlight w:val="none"/>
        </w:rPr>
      </w:pPr>
      <w:r>
        <w:rPr>
          <w:rFonts w:hint="eastAsia"/>
          <w:bCs/>
          <w:color w:val="auto"/>
          <w:highlight w:val="none"/>
        </w:rPr>
        <w:t>会见说明编辑，对音视频文件相对应的会见情况可以进行编辑；</w:t>
      </w:r>
    </w:p>
    <w:p w14:paraId="665D0DD2">
      <w:pPr>
        <w:numPr>
          <w:ilvl w:val="0"/>
          <w:numId w:val="46"/>
        </w:numPr>
        <w:spacing w:line="360" w:lineRule="auto"/>
        <w:ind w:left="0" w:firstLine="420" w:firstLineChars="200"/>
        <w:rPr>
          <w:bCs/>
          <w:color w:val="auto"/>
          <w:highlight w:val="none"/>
        </w:rPr>
      </w:pPr>
      <w:r>
        <w:rPr>
          <w:rFonts w:hint="eastAsia"/>
          <w:bCs/>
          <w:color w:val="auto"/>
          <w:highlight w:val="none"/>
        </w:rPr>
        <w:t>音视频锁定/解锁，可以根据重要性，选择单条、多条或者全部音视频进行锁定，锁定后的音视频不能被删除；对于锁定的音视频解锁后，可以进行删除；</w:t>
      </w:r>
    </w:p>
    <w:p w14:paraId="4D83781E">
      <w:pPr>
        <w:numPr>
          <w:ilvl w:val="0"/>
          <w:numId w:val="46"/>
        </w:numPr>
        <w:spacing w:line="360" w:lineRule="auto"/>
        <w:ind w:left="0" w:firstLine="420" w:firstLineChars="200"/>
        <w:rPr>
          <w:bCs/>
          <w:color w:val="auto"/>
          <w:highlight w:val="none"/>
        </w:rPr>
      </w:pPr>
      <w:r>
        <w:rPr>
          <w:rFonts w:hint="eastAsia"/>
          <w:bCs/>
          <w:color w:val="auto"/>
          <w:highlight w:val="none"/>
        </w:rPr>
        <w:t>音视频导出，可以选择单条、多条或者全部音视频文件，将对应的音视频文件直接保存到U盘或者磁盘；</w:t>
      </w:r>
    </w:p>
    <w:p w14:paraId="7C405881">
      <w:pPr>
        <w:numPr>
          <w:ilvl w:val="0"/>
          <w:numId w:val="46"/>
        </w:numPr>
        <w:spacing w:line="360" w:lineRule="auto"/>
        <w:ind w:left="0" w:firstLine="420" w:firstLineChars="200"/>
        <w:rPr>
          <w:bCs/>
          <w:color w:val="auto"/>
          <w:highlight w:val="none"/>
        </w:rPr>
      </w:pPr>
      <w:r>
        <w:rPr>
          <w:rFonts w:hint="eastAsia"/>
          <w:bCs/>
          <w:color w:val="auto"/>
          <w:highlight w:val="none"/>
        </w:rPr>
        <w:t>系统实时对音视频系统状态进行监控，具有自动告警机制，当磁盘空间不足或产生错误时系统将启动自动告警系统；系统自动检测服务器程序的运行情况，如果音视频服务器出现意外错误，可以关闭当前服务并重新启动一个新的音视频服务。</w:t>
      </w:r>
    </w:p>
    <w:p w14:paraId="280E9155">
      <w:pPr>
        <w:numPr>
          <w:ilvl w:val="0"/>
          <w:numId w:val="45"/>
        </w:numPr>
        <w:spacing w:line="360" w:lineRule="auto"/>
        <w:ind w:left="0" w:firstLine="420" w:firstLineChars="200"/>
        <w:rPr>
          <w:bCs/>
          <w:color w:val="auto"/>
          <w:highlight w:val="none"/>
        </w:rPr>
      </w:pPr>
      <w:r>
        <w:rPr>
          <w:rFonts w:hint="eastAsia"/>
          <w:bCs/>
          <w:color w:val="auto"/>
          <w:highlight w:val="none"/>
        </w:rPr>
        <w:t>会见公告</w:t>
      </w:r>
    </w:p>
    <w:p w14:paraId="019BDE51">
      <w:pPr>
        <w:spacing w:line="360" w:lineRule="auto"/>
        <w:ind w:firstLine="420" w:firstLineChars="200"/>
        <w:rPr>
          <w:bCs/>
          <w:color w:val="auto"/>
          <w:highlight w:val="none"/>
        </w:rPr>
      </w:pPr>
      <w:r>
        <w:rPr>
          <w:rFonts w:hint="eastAsia"/>
          <w:bCs/>
          <w:color w:val="auto"/>
          <w:highlight w:val="none"/>
        </w:rPr>
        <w:t>显示当前会见座位的安排信息，主要用于监区内查看哪些罪犯要参加会见，方便提取罪犯。</w:t>
      </w:r>
    </w:p>
    <w:p w14:paraId="3E2E0EE2">
      <w:pPr>
        <w:numPr>
          <w:ilvl w:val="0"/>
          <w:numId w:val="45"/>
        </w:numPr>
        <w:spacing w:line="360" w:lineRule="auto"/>
        <w:ind w:left="0" w:firstLine="420" w:firstLineChars="200"/>
        <w:rPr>
          <w:bCs/>
          <w:color w:val="auto"/>
          <w:highlight w:val="none"/>
        </w:rPr>
      </w:pPr>
      <w:r>
        <w:rPr>
          <w:rFonts w:hint="eastAsia"/>
          <w:bCs/>
          <w:color w:val="auto"/>
          <w:highlight w:val="none"/>
        </w:rPr>
        <w:t>罪犯管理</w:t>
      </w:r>
    </w:p>
    <w:p w14:paraId="15FDE90F">
      <w:pPr>
        <w:numPr>
          <w:ilvl w:val="0"/>
          <w:numId w:val="46"/>
        </w:numPr>
        <w:spacing w:line="360" w:lineRule="auto"/>
        <w:ind w:left="0" w:firstLine="420" w:firstLineChars="200"/>
        <w:rPr>
          <w:bCs/>
          <w:color w:val="auto"/>
          <w:highlight w:val="none"/>
        </w:rPr>
      </w:pPr>
      <w:r>
        <w:rPr>
          <w:rFonts w:hint="eastAsia"/>
          <w:bCs/>
          <w:color w:val="auto"/>
          <w:highlight w:val="none"/>
        </w:rPr>
        <w:t>可以</w:t>
      </w:r>
      <w:r>
        <w:rPr>
          <w:bCs/>
          <w:color w:val="auto"/>
          <w:highlight w:val="none"/>
        </w:rPr>
        <w:t>新建、修改和删除</w:t>
      </w:r>
      <w:r>
        <w:rPr>
          <w:rFonts w:hint="eastAsia"/>
          <w:bCs/>
          <w:color w:val="auto"/>
          <w:highlight w:val="none"/>
        </w:rPr>
        <w:t>罪犯</w:t>
      </w:r>
      <w:r>
        <w:rPr>
          <w:bCs/>
          <w:color w:val="auto"/>
          <w:highlight w:val="none"/>
        </w:rPr>
        <w:t>信息</w:t>
      </w:r>
      <w:r>
        <w:rPr>
          <w:rFonts w:hint="eastAsia"/>
          <w:bCs/>
          <w:color w:val="auto"/>
          <w:highlight w:val="none"/>
        </w:rPr>
        <w:t>，罪犯</w:t>
      </w:r>
      <w:r>
        <w:rPr>
          <w:bCs/>
          <w:color w:val="auto"/>
          <w:highlight w:val="none"/>
        </w:rPr>
        <w:t>信息包括：</w:t>
      </w:r>
      <w:r>
        <w:rPr>
          <w:rFonts w:hint="eastAsia"/>
          <w:bCs/>
          <w:color w:val="auto"/>
          <w:highlight w:val="none"/>
        </w:rPr>
        <w:t>罪犯</w:t>
      </w:r>
      <w:r>
        <w:rPr>
          <w:bCs/>
          <w:color w:val="auto"/>
          <w:highlight w:val="none"/>
        </w:rPr>
        <w:t>编号、</w:t>
      </w:r>
      <w:r>
        <w:rPr>
          <w:rFonts w:hint="eastAsia"/>
          <w:bCs/>
          <w:color w:val="auto"/>
          <w:highlight w:val="none"/>
        </w:rPr>
        <w:t>罪犯</w:t>
      </w:r>
      <w:r>
        <w:rPr>
          <w:bCs/>
          <w:color w:val="auto"/>
          <w:highlight w:val="none"/>
        </w:rPr>
        <w:t>姓名、分监区号、</w:t>
      </w:r>
      <w:r>
        <w:rPr>
          <w:rFonts w:hint="eastAsia"/>
          <w:bCs/>
          <w:color w:val="auto"/>
          <w:highlight w:val="none"/>
        </w:rPr>
        <w:t>罪犯</w:t>
      </w:r>
      <w:r>
        <w:rPr>
          <w:bCs/>
          <w:color w:val="auto"/>
          <w:highlight w:val="none"/>
        </w:rPr>
        <w:t>级别号、</w:t>
      </w:r>
      <w:r>
        <w:rPr>
          <w:rFonts w:hint="eastAsia"/>
          <w:bCs/>
          <w:color w:val="auto"/>
          <w:highlight w:val="none"/>
        </w:rPr>
        <w:t>罪犯</w:t>
      </w:r>
      <w:r>
        <w:rPr>
          <w:bCs/>
          <w:color w:val="auto"/>
          <w:highlight w:val="none"/>
        </w:rPr>
        <w:t>备注</w:t>
      </w:r>
      <w:r>
        <w:rPr>
          <w:rFonts w:hint="eastAsia"/>
          <w:bCs/>
          <w:color w:val="auto"/>
          <w:highlight w:val="none"/>
        </w:rPr>
        <w:t>等；</w:t>
      </w:r>
    </w:p>
    <w:p w14:paraId="05CA13AD">
      <w:pPr>
        <w:numPr>
          <w:ilvl w:val="0"/>
          <w:numId w:val="46"/>
        </w:numPr>
        <w:spacing w:line="360" w:lineRule="auto"/>
        <w:ind w:left="0" w:firstLine="420" w:firstLineChars="200"/>
        <w:rPr>
          <w:bCs/>
          <w:color w:val="auto"/>
          <w:highlight w:val="none"/>
        </w:rPr>
      </w:pPr>
      <w:r>
        <w:rPr>
          <w:rFonts w:hint="eastAsia"/>
          <w:bCs/>
          <w:color w:val="auto"/>
          <w:highlight w:val="none"/>
        </w:rPr>
        <w:t>设置罪犯对应的会见人信息，一个罪犯可以设置多个会见人，会见人信息包括：会见人姓名、会见人身份证号、和罪犯关系；</w:t>
      </w:r>
    </w:p>
    <w:p w14:paraId="5B756A73">
      <w:pPr>
        <w:numPr>
          <w:ilvl w:val="0"/>
          <w:numId w:val="46"/>
        </w:numPr>
        <w:spacing w:line="360" w:lineRule="auto"/>
        <w:ind w:left="0" w:firstLine="420" w:firstLineChars="200"/>
        <w:rPr>
          <w:bCs/>
          <w:color w:val="auto"/>
          <w:highlight w:val="none"/>
        </w:rPr>
      </w:pPr>
      <w:r>
        <w:rPr>
          <w:rFonts w:hint="eastAsia"/>
          <w:bCs/>
          <w:color w:val="auto"/>
          <w:highlight w:val="none"/>
        </w:rPr>
        <w:t>罪犯</w:t>
      </w:r>
      <w:r>
        <w:rPr>
          <w:bCs/>
          <w:color w:val="auto"/>
          <w:highlight w:val="none"/>
        </w:rPr>
        <w:t>查找：可以根据</w:t>
      </w:r>
      <w:r>
        <w:rPr>
          <w:rFonts w:hint="eastAsia"/>
          <w:bCs/>
          <w:color w:val="auto"/>
          <w:highlight w:val="none"/>
        </w:rPr>
        <w:t>各种条件组合查询，定位罪犯记录，</w:t>
      </w:r>
      <w:r>
        <w:rPr>
          <w:bCs/>
          <w:color w:val="auto"/>
          <w:highlight w:val="none"/>
        </w:rPr>
        <w:t>提供模糊匹配功能</w:t>
      </w:r>
      <w:r>
        <w:rPr>
          <w:rFonts w:hint="eastAsia"/>
          <w:bCs/>
          <w:color w:val="auto"/>
          <w:highlight w:val="none"/>
        </w:rPr>
        <w:t>；</w:t>
      </w:r>
    </w:p>
    <w:p w14:paraId="79BE8D4D">
      <w:pPr>
        <w:numPr>
          <w:ilvl w:val="0"/>
          <w:numId w:val="46"/>
        </w:numPr>
        <w:spacing w:line="360" w:lineRule="auto"/>
        <w:ind w:left="0" w:firstLine="420" w:firstLineChars="200"/>
        <w:rPr>
          <w:bCs/>
          <w:color w:val="auto"/>
          <w:highlight w:val="none"/>
        </w:rPr>
      </w:pPr>
      <w:r>
        <w:rPr>
          <w:rFonts w:hint="eastAsia"/>
          <w:bCs/>
          <w:color w:val="auto"/>
          <w:highlight w:val="none"/>
        </w:rPr>
        <w:t>可以</w:t>
      </w:r>
      <w:r>
        <w:rPr>
          <w:bCs/>
          <w:color w:val="auto"/>
          <w:highlight w:val="none"/>
        </w:rPr>
        <w:t>编辑</w:t>
      </w:r>
      <w:r>
        <w:rPr>
          <w:rFonts w:hint="eastAsia"/>
          <w:bCs/>
          <w:color w:val="auto"/>
          <w:highlight w:val="none"/>
        </w:rPr>
        <w:t>罪犯</w:t>
      </w:r>
      <w:r>
        <w:rPr>
          <w:bCs/>
          <w:color w:val="auto"/>
          <w:highlight w:val="none"/>
        </w:rPr>
        <w:t>级别表，</w:t>
      </w:r>
      <w:r>
        <w:rPr>
          <w:rFonts w:hint="eastAsia"/>
          <w:bCs/>
          <w:color w:val="auto"/>
          <w:highlight w:val="none"/>
        </w:rPr>
        <w:t>罪犯</w:t>
      </w:r>
      <w:r>
        <w:rPr>
          <w:bCs/>
          <w:color w:val="auto"/>
          <w:highlight w:val="none"/>
        </w:rPr>
        <w:t>级别包含信息：</w:t>
      </w:r>
      <w:r>
        <w:rPr>
          <w:rFonts w:hint="eastAsia"/>
          <w:bCs/>
          <w:color w:val="auto"/>
          <w:highlight w:val="none"/>
        </w:rPr>
        <w:t>罪犯</w:t>
      </w:r>
      <w:r>
        <w:rPr>
          <w:bCs/>
          <w:color w:val="auto"/>
          <w:highlight w:val="none"/>
        </w:rPr>
        <w:t>级别号</w:t>
      </w:r>
      <w:r>
        <w:rPr>
          <w:rFonts w:hint="eastAsia"/>
          <w:bCs/>
          <w:color w:val="auto"/>
          <w:highlight w:val="none"/>
        </w:rPr>
        <w:t>、</w:t>
      </w:r>
      <w:r>
        <w:rPr>
          <w:bCs/>
          <w:color w:val="auto"/>
          <w:highlight w:val="none"/>
        </w:rPr>
        <w:t>级别说明</w:t>
      </w:r>
      <w:r>
        <w:rPr>
          <w:rFonts w:hint="eastAsia"/>
          <w:bCs/>
          <w:color w:val="auto"/>
          <w:highlight w:val="none"/>
        </w:rPr>
        <w:t>；</w:t>
      </w:r>
    </w:p>
    <w:p w14:paraId="520B787D">
      <w:pPr>
        <w:numPr>
          <w:ilvl w:val="0"/>
          <w:numId w:val="46"/>
        </w:numPr>
        <w:spacing w:line="360" w:lineRule="auto"/>
        <w:ind w:left="0" w:firstLine="420" w:firstLineChars="200"/>
        <w:rPr>
          <w:bCs/>
          <w:color w:val="auto"/>
          <w:highlight w:val="none"/>
        </w:rPr>
      </w:pPr>
      <w:r>
        <w:rPr>
          <w:rFonts w:hint="eastAsia"/>
          <w:bCs/>
          <w:color w:val="auto"/>
          <w:highlight w:val="none"/>
        </w:rPr>
        <w:t>罪犯信息统计：统计每个分监区的各级别罪犯数量以及整个监狱的罪犯总数；</w:t>
      </w:r>
    </w:p>
    <w:p w14:paraId="2B373922">
      <w:pPr>
        <w:numPr>
          <w:ilvl w:val="0"/>
          <w:numId w:val="46"/>
        </w:numPr>
        <w:spacing w:line="360" w:lineRule="auto"/>
        <w:ind w:left="0" w:firstLine="420" w:firstLineChars="200"/>
        <w:rPr>
          <w:bCs/>
          <w:color w:val="auto"/>
          <w:highlight w:val="none"/>
        </w:rPr>
      </w:pPr>
      <w:r>
        <w:rPr>
          <w:rFonts w:hint="eastAsia"/>
          <w:bCs/>
          <w:color w:val="auto"/>
          <w:highlight w:val="none"/>
        </w:rPr>
        <w:t>分监区调换：可以一次性将两个分监区的罪犯信息对调。</w:t>
      </w:r>
    </w:p>
    <w:p w14:paraId="5B400633">
      <w:pPr>
        <w:numPr>
          <w:ilvl w:val="0"/>
          <w:numId w:val="45"/>
        </w:numPr>
        <w:spacing w:line="360" w:lineRule="auto"/>
        <w:ind w:left="0" w:firstLine="420" w:firstLineChars="200"/>
        <w:rPr>
          <w:bCs/>
          <w:color w:val="auto"/>
          <w:highlight w:val="none"/>
        </w:rPr>
      </w:pPr>
      <w:r>
        <w:rPr>
          <w:rFonts w:hint="eastAsia"/>
          <w:bCs/>
          <w:color w:val="auto"/>
          <w:highlight w:val="none"/>
        </w:rPr>
        <w:t>智能身份识别</w:t>
      </w:r>
    </w:p>
    <w:p w14:paraId="5327F416">
      <w:pPr>
        <w:spacing w:line="360" w:lineRule="auto"/>
        <w:ind w:firstLine="420" w:firstLineChars="200"/>
        <w:rPr>
          <w:bCs/>
          <w:color w:val="auto"/>
          <w:highlight w:val="none"/>
        </w:rPr>
      </w:pPr>
      <w:r>
        <w:rPr>
          <w:rFonts w:hint="eastAsia"/>
          <w:bCs/>
          <w:color w:val="auto"/>
          <w:highlight w:val="none"/>
        </w:rPr>
        <w:t>每次会见前，通过罪犯刷卡，系统自动识别罪犯身份，让罪犯信息自动与音视频相关联，同时获取会见登记中的会见人信息，将会见人信息也与音视频关联起来。并且还可以根据罪犯信息，结合狱政管理系统对每个会见根据需要进行不同的控制。</w:t>
      </w:r>
    </w:p>
    <w:p w14:paraId="471C5BD8">
      <w:pPr>
        <w:numPr>
          <w:ilvl w:val="0"/>
          <w:numId w:val="45"/>
        </w:numPr>
        <w:spacing w:line="360" w:lineRule="auto"/>
        <w:ind w:left="0" w:firstLine="420" w:firstLineChars="200"/>
        <w:rPr>
          <w:bCs/>
          <w:color w:val="auto"/>
          <w:highlight w:val="none"/>
        </w:rPr>
      </w:pPr>
      <w:r>
        <w:rPr>
          <w:rFonts w:hint="eastAsia"/>
          <w:bCs/>
          <w:color w:val="auto"/>
          <w:highlight w:val="none"/>
        </w:rPr>
        <w:t>系统管理</w:t>
      </w:r>
    </w:p>
    <w:p w14:paraId="4531025F">
      <w:pPr>
        <w:spacing w:line="360" w:lineRule="auto"/>
        <w:ind w:firstLine="420" w:firstLineChars="200"/>
        <w:rPr>
          <w:bCs/>
          <w:color w:val="auto"/>
          <w:highlight w:val="none"/>
        </w:rPr>
      </w:pPr>
      <w:r>
        <w:rPr>
          <w:rFonts w:hint="eastAsia"/>
          <w:bCs/>
          <w:color w:val="auto"/>
          <w:highlight w:val="none"/>
        </w:rPr>
        <w:t>对用户的所有操作进行记录，管理员通过该模块可以查询系统中的详细日志。包括时间、来源、用户、操作内容、计算机等多种日志查询条件。日志文件任何人不得删除，以方便平时和出现问题时能快速查阅和分析情况。</w:t>
      </w:r>
    </w:p>
    <w:p w14:paraId="6A8AB68C">
      <w:pPr>
        <w:spacing w:line="360" w:lineRule="auto"/>
        <w:ind w:firstLine="420" w:firstLineChars="200"/>
        <w:rPr>
          <w:bCs/>
          <w:color w:val="auto"/>
          <w:highlight w:val="none"/>
        </w:rPr>
      </w:pPr>
      <w:r>
        <w:rPr>
          <w:rFonts w:hint="eastAsia"/>
          <w:bCs/>
          <w:color w:val="auto"/>
          <w:highlight w:val="none"/>
        </w:rPr>
        <w:t>本系统可实现如下功能：</w:t>
      </w:r>
    </w:p>
    <w:p w14:paraId="55349B5E">
      <w:pPr>
        <w:numPr>
          <w:ilvl w:val="0"/>
          <w:numId w:val="10"/>
        </w:numPr>
        <w:spacing w:line="360" w:lineRule="auto"/>
        <w:ind w:left="0" w:firstLine="420" w:firstLineChars="200"/>
        <w:rPr>
          <w:bCs/>
          <w:color w:val="auto"/>
          <w:highlight w:val="none"/>
        </w:rPr>
      </w:pPr>
      <w:r>
        <w:rPr>
          <w:rFonts w:hint="eastAsia"/>
          <w:bCs/>
          <w:color w:val="auto"/>
          <w:highlight w:val="none"/>
        </w:rPr>
        <w:t>信息采集功能；</w:t>
      </w:r>
    </w:p>
    <w:p w14:paraId="14BFD6AF">
      <w:pPr>
        <w:numPr>
          <w:ilvl w:val="0"/>
          <w:numId w:val="10"/>
        </w:numPr>
        <w:spacing w:line="360" w:lineRule="auto"/>
        <w:ind w:left="0" w:firstLine="420" w:firstLineChars="200"/>
        <w:rPr>
          <w:bCs/>
          <w:color w:val="auto"/>
          <w:highlight w:val="none"/>
        </w:rPr>
      </w:pPr>
      <w:r>
        <w:rPr>
          <w:rFonts w:hint="eastAsia"/>
          <w:bCs/>
          <w:color w:val="auto"/>
          <w:highlight w:val="none"/>
        </w:rPr>
        <w:t>自助登记功能；</w:t>
      </w:r>
    </w:p>
    <w:p w14:paraId="56778A31">
      <w:pPr>
        <w:numPr>
          <w:ilvl w:val="0"/>
          <w:numId w:val="10"/>
        </w:numPr>
        <w:spacing w:line="360" w:lineRule="auto"/>
        <w:ind w:left="0" w:firstLine="420" w:firstLineChars="200"/>
        <w:rPr>
          <w:bCs/>
          <w:color w:val="auto"/>
          <w:highlight w:val="none"/>
        </w:rPr>
      </w:pPr>
      <w:r>
        <w:rPr>
          <w:rFonts w:hint="eastAsia"/>
          <w:bCs/>
          <w:color w:val="auto"/>
          <w:highlight w:val="none"/>
        </w:rPr>
        <w:t>自动录音录像功能；</w:t>
      </w:r>
    </w:p>
    <w:p w14:paraId="142F2446">
      <w:pPr>
        <w:numPr>
          <w:ilvl w:val="0"/>
          <w:numId w:val="10"/>
        </w:numPr>
        <w:spacing w:line="360" w:lineRule="auto"/>
        <w:ind w:left="0" w:firstLine="420" w:firstLineChars="200"/>
        <w:rPr>
          <w:bCs/>
          <w:color w:val="auto"/>
          <w:highlight w:val="none"/>
        </w:rPr>
      </w:pPr>
      <w:r>
        <w:rPr>
          <w:rFonts w:hint="eastAsia"/>
          <w:bCs/>
          <w:color w:val="auto"/>
          <w:highlight w:val="none"/>
        </w:rPr>
        <w:t>会见次数、时长、监听控制；</w:t>
      </w:r>
    </w:p>
    <w:p w14:paraId="1053CD2A">
      <w:pPr>
        <w:numPr>
          <w:ilvl w:val="0"/>
          <w:numId w:val="10"/>
        </w:numPr>
        <w:spacing w:line="360" w:lineRule="auto"/>
        <w:ind w:left="0" w:firstLine="420" w:firstLineChars="200"/>
        <w:rPr>
          <w:bCs/>
          <w:color w:val="auto"/>
          <w:highlight w:val="none"/>
        </w:rPr>
      </w:pPr>
      <w:r>
        <w:rPr>
          <w:rFonts w:hint="eastAsia"/>
          <w:bCs/>
          <w:color w:val="auto"/>
          <w:highlight w:val="none"/>
        </w:rPr>
        <w:t>狱务公开；</w:t>
      </w:r>
    </w:p>
    <w:p w14:paraId="1C834C30">
      <w:pPr>
        <w:numPr>
          <w:ilvl w:val="0"/>
          <w:numId w:val="10"/>
        </w:numPr>
        <w:spacing w:line="360" w:lineRule="auto"/>
        <w:ind w:left="0" w:firstLine="420" w:firstLineChars="200"/>
        <w:rPr>
          <w:bCs/>
          <w:color w:val="auto"/>
          <w:highlight w:val="none"/>
        </w:rPr>
      </w:pPr>
      <w:r>
        <w:rPr>
          <w:rFonts w:hint="eastAsia"/>
          <w:bCs/>
          <w:color w:val="auto"/>
          <w:highlight w:val="none"/>
        </w:rPr>
        <w:t>会见黑名单。</w:t>
      </w:r>
    </w:p>
    <w:p w14:paraId="09153032">
      <w:pPr>
        <w:pStyle w:val="11"/>
        <w:spacing w:before="0" w:after="0" w:line="360" w:lineRule="auto"/>
        <w:ind w:firstLine="562" w:firstLineChars="200"/>
        <w:rPr>
          <w:color w:val="auto"/>
          <w:highlight w:val="none"/>
        </w:rPr>
      </w:pPr>
      <w:r>
        <w:rPr>
          <w:rFonts w:hint="eastAsia"/>
          <w:color w:val="auto"/>
          <w:highlight w:val="none"/>
        </w:rPr>
        <w:t>部署方案</w:t>
      </w:r>
    </w:p>
    <w:p w14:paraId="4919FE41">
      <w:pPr>
        <w:spacing w:line="360" w:lineRule="auto"/>
        <w:ind w:firstLine="420" w:firstLineChars="200"/>
        <w:rPr>
          <w:rFonts w:ascii="仿宋" w:hAnsi="仿宋"/>
          <w:bCs/>
          <w:color w:val="auto"/>
          <w:highlight w:val="none"/>
        </w:rPr>
      </w:pPr>
      <w:r>
        <w:rPr>
          <w:rFonts w:hint="eastAsia" w:ascii="仿宋" w:hAnsi="仿宋"/>
          <w:bCs/>
          <w:color w:val="auto"/>
          <w:highlight w:val="none"/>
        </w:rPr>
        <w:t>本次设计会见点位的选择，考虑部署方案如下：</w:t>
      </w:r>
    </w:p>
    <w:p w14:paraId="6E5FB228">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会见窗口20个，每个窗口4部话机（罪犯1部</w:t>
      </w:r>
      <w:r>
        <w:rPr>
          <w:rFonts w:ascii="仿宋" w:hAnsi="仿宋"/>
          <w:bCs/>
          <w:color w:val="auto"/>
          <w:highlight w:val="none"/>
        </w:rPr>
        <w:t>、家属</w:t>
      </w:r>
      <w:r>
        <w:rPr>
          <w:rFonts w:hint="eastAsia" w:ascii="仿宋" w:hAnsi="仿宋"/>
          <w:bCs/>
          <w:color w:val="auto"/>
          <w:highlight w:val="none"/>
        </w:rPr>
        <w:t>2部</w:t>
      </w:r>
      <w:r>
        <w:rPr>
          <w:rFonts w:ascii="仿宋" w:hAnsi="仿宋"/>
          <w:bCs/>
          <w:color w:val="auto"/>
          <w:highlight w:val="none"/>
        </w:rPr>
        <w:t>、警察</w:t>
      </w:r>
      <w:r>
        <w:rPr>
          <w:rFonts w:hint="eastAsia" w:ascii="仿宋" w:hAnsi="仿宋"/>
          <w:bCs/>
          <w:color w:val="auto"/>
          <w:highlight w:val="none"/>
        </w:rPr>
        <w:t>1部），共80个，针孔摄像头内外各1个，并实现一对一同步视频录像；</w:t>
      </w:r>
    </w:p>
    <w:p w14:paraId="6372C54F">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会见进门区域设置会见人员自助登记机；</w:t>
      </w:r>
    </w:p>
    <w:p w14:paraId="24D33013">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会见登记处配置登记客户端、身份证读卡器及人脸采集设备等；</w:t>
      </w:r>
    </w:p>
    <w:p w14:paraId="1E16AFCF">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会见监听室配置1台音视频监听电脑；</w:t>
      </w:r>
    </w:p>
    <w:p w14:paraId="368DEADB">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罪犯等候区和家属等候区配置会见液晶一体机。</w:t>
      </w:r>
    </w:p>
    <w:p w14:paraId="40E5CF18">
      <w:pPr>
        <w:numPr>
          <w:ilvl w:val="0"/>
          <w:numId w:val="48"/>
        </w:numPr>
        <w:spacing w:line="360" w:lineRule="auto"/>
        <w:ind w:left="0" w:firstLine="420" w:firstLineChars="200"/>
        <w:rPr>
          <w:rFonts w:ascii="仿宋" w:hAnsi="仿宋"/>
          <w:bCs/>
          <w:color w:val="auto"/>
          <w:highlight w:val="none"/>
        </w:rPr>
      </w:pPr>
      <w:r>
        <w:rPr>
          <w:rFonts w:hint="eastAsia" w:ascii="仿宋" w:hAnsi="仿宋"/>
          <w:bCs/>
          <w:color w:val="auto"/>
          <w:highlight w:val="none"/>
        </w:rPr>
        <w:t>会见窗口分配（按罪犯签到顺序进行会见），在罪犯等候区配置罪犯签到电脑；</w:t>
      </w:r>
    </w:p>
    <w:p w14:paraId="3063CF57">
      <w:pPr>
        <w:numPr>
          <w:ilvl w:val="0"/>
          <w:numId w:val="48"/>
        </w:numPr>
        <w:spacing w:line="360" w:lineRule="auto"/>
        <w:ind w:left="0" w:firstLine="420" w:firstLineChars="200"/>
        <w:rPr>
          <w:rFonts w:ascii="仿宋" w:hAnsi="仿宋"/>
          <w:bCs/>
          <w:color w:val="auto"/>
          <w:highlight w:val="none"/>
        </w:rPr>
      </w:pPr>
      <w:r>
        <w:rPr>
          <w:rFonts w:ascii="仿宋" w:hAnsi="仿宋"/>
          <w:bCs/>
          <w:color w:val="auto"/>
          <w:highlight w:val="none"/>
        </w:rPr>
        <w:t>7号楼至</w:t>
      </w:r>
      <w:r>
        <w:rPr>
          <w:rFonts w:hint="eastAsia" w:ascii="仿宋" w:hAnsi="仿宋"/>
          <w:bCs/>
          <w:color w:val="auto"/>
          <w:highlight w:val="none"/>
        </w:rPr>
        <w:t>5#楼监狱大门采用隔离栅栏和顶棚，组成狱外会见通道；</w:t>
      </w:r>
    </w:p>
    <w:p w14:paraId="379659E0">
      <w:pPr>
        <w:numPr>
          <w:ilvl w:val="0"/>
          <w:numId w:val="48"/>
        </w:numPr>
        <w:spacing w:line="360" w:lineRule="auto"/>
        <w:ind w:left="0" w:firstLine="420" w:firstLineChars="200"/>
        <w:rPr>
          <w:rFonts w:ascii="仿宋" w:hAnsi="仿宋"/>
          <w:bCs/>
          <w:color w:val="auto"/>
          <w:highlight w:val="none"/>
        </w:rPr>
      </w:pPr>
      <w:r>
        <w:rPr>
          <w:rFonts w:ascii="仿宋" w:hAnsi="仿宋"/>
          <w:bCs/>
          <w:color w:val="auto"/>
          <w:highlight w:val="none"/>
        </w:rPr>
        <w:t>在会见通道待检区至四号会见楼采用自动伸缩栅栏机组成狱内会见通道</w:t>
      </w:r>
      <w:r>
        <w:rPr>
          <w:rFonts w:hint="eastAsia" w:ascii="仿宋" w:hAnsi="仿宋"/>
          <w:bCs/>
          <w:color w:val="auto"/>
          <w:highlight w:val="none"/>
        </w:rPr>
        <w:t>。</w:t>
      </w:r>
    </w:p>
    <w:p w14:paraId="79FB5DDC">
      <w:pPr>
        <w:pStyle w:val="10"/>
        <w:spacing w:before="0" w:after="0" w:line="360" w:lineRule="auto"/>
        <w:ind w:firstLine="643" w:firstLineChars="200"/>
        <w:rPr>
          <w:color w:val="auto"/>
          <w:highlight w:val="none"/>
        </w:rPr>
      </w:pPr>
      <w:r>
        <w:rPr>
          <w:rFonts w:hint="eastAsia"/>
          <w:color w:val="auto"/>
          <w:highlight w:val="none"/>
        </w:rPr>
        <w:t>4.14亲情电话管理系统</w:t>
      </w:r>
    </w:p>
    <w:p w14:paraId="22245398">
      <w:pPr>
        <w:spacing w:line="360" w:lineRule="auto"/>
        <w:ind w:firstLine="420" w:firstLineChars="200"/>
        <w:rPr>
          <w:bCs/>
          <w:color w:val="auto"/>
          <w:highlight w:val="none"/>
        </w:rPr>
      </w:pPr>
      <w:r>
        <w:rPr>
          <w:rFonts w:hint="eastAsia"/>
          <w:bCs/>
          <w:color w:val="auto"/>
          <w:highlight w:val="none"/>
        </w:rPr>
        <w:t>本监狱亲情电话管理系统是利用当前成熟的语音存储、电话拨控、网络通信等技术，实现监狱对罪犯拨打亲情电话的信息化管理。通过本监狱亲情电话管理系统的建设和应用，可以达到如下效果：</w:t>
      </w:r>
    </w:p>
    <w:p w14:paraId="439EF920">
      <w:pPr>
        <w:numPr>
          <w:ilvl w:val="0"/>
          <w:numId w:val="49"/>
        </w:numPr>
        <w:spacing w:line="360" w:lineRule="auto"/>
        <w:ind w:firstLine="420" w:firstLineChars="200"/>
        <w:rPr>
          <w:bCs/>
          <w:color w:val="auto"/>
          <w:highlight w:val="none"/>
        </w:rPr>
      </w:pPr>
      <w:r>
        <w:rPr>
          <w:rFonts w:hint="eastAsia"/>
          <w:bCs/>
          <w:color w:val="auto"/>
          <w:highlight w:val="none"/>
        </w:rPr>
        <w:t>是规范监狱罪犯拨打亲情电话的管理工作，提高监狱对罪犯拨打亲情电话的管理和控制水平。</w:t>
      </w:r>
    </w:p>
    <w:p w14:paraId="2C9900D7">
      <w:pPr>
        <w:numPr>
          <w:ilvl w:val="0"/>
          <w:numId w:val="49"/>
        </w:numPr>
        <w:spacing w:line="360" w:lineRule="auto"/>
        <w:ind w:firstLine="420" w:firstLineChars="200"/>
        <w:rPr>
          <w:bCs/>
          <w:color w:val="auto"/>
          <w:highlight w:val="none"/>
        </w:rPr>
      </w:pPr>
      <w:r>
        <w:rPr>
          <w:rFonts w:hint="eastAsia"/>
          <w:bCs/>
          <w:color w:val="auto"/>
          <w:highlight w:val="none"/>
        </w:rPr>
        <w:t>实现罪犯与亲属直接沟通，了解家庭情况，填补平时亲情交流的空白，有效缓解在押罪犯思念亲人的心理压力，消除心理障碍，稳定罪犯的改造情绪，增强罪犯改造信心，促进安心改造的要求。</w:t>
      </w:r>
    </w:p>
    <w:p w14:paraId="48861FCB">
      <w:pPr>
        <w:numPr>
          <w:ilvl w:val="0"/>
          <w:numId w:val="49"/>
        </w:numPr>
        <w:spacing w:line="360" w:lineRule="auto"/>
        <w:ind w:firstLine="420" w:firstLineChars="200"/>
        <w:rPr>
          <w:bCs/>
          <w:color w:val="auto"/>
          <w:highlight w:val="none"/>
        </w:rPr>
      </w:pPr>
      <w:r>
        <w:rPr>
          <w:rFonts w:hint="eastAsia"/>
          <w:bCs/>
          <w:color w:val="auto"/>
          <w:highlight w:val="none"/>
        </w:rPr>
        <w:t>同时能够满足杜绝管理漏洞、限制非法通话，达到对通话进行监听、录音、查询的要求。</w:t>
      </w:r>
    </w:p>
    <w:p w14:paraId="429090A9">
      <w:pPr>
        <w:pStyle w:val="11"/>
        <w:spacing w:before="0" w:after="0" w:line="360" w:lineRule="auto"/>
        <w:ind w:firstLine="562" w:firstLineChars="200"/>
        <w:rPr>
          <w:color w:val="auto"/>
          <w:highlight w:val="none"/>
        </w:rPr>
      </w:pPr>
      <w:r>
        <w:rPr>
          <w:rFonts w:hint="eastAsia"/>
          <w:color w:val="auto"/>
          <w:highlight w:val="none"/>
        </w:rPr>
        <w:t>系统架构</w:t>
      </w:r>
    </w:p>
    <w:p w14:paraId="52E46DBC">
      <w:pPr>
        <w:spacing w:line="360" w:lineRule="auto"/>
        <w:ind w:firstLine="420" w:firstLineChars="200"/>
        <w:rPr>
          <w:bCs/>
          <w:color w:val="auto"/>
          <w:highlight w:val="none"/>
        </w:rPr>
      </w:pPr>
      <w:r>
        <w:rPr>
          <w:rFonts w:hint="eastAsia"/>
          <w:bCs/>
          <w:color w:val="auto"/>
          <w:highlight w:val="none"/>
        </w:rPr>
        <w:t>本系统架构如下图所示：</w:t>
      </w:r>
    </w:p>
    <w:p w14:paraId="12D96671">
      <w:pPr>
        <w:spacing w:line="360" w:lineRule="auto"/>
        <w:ind w:firstLine="420" w:firstLineChars="200"/>
        <w:jc w:val="center"/>
        <w:rPr>
          <w:bCs/>
          <w:color w:val="auto"/>
          <w:highlight w:val="none"/>
        </w:rPr>
      </w:pPr>
      <w:r>
        <w:rPr>
          <w:bCs/>
          <w:color w:val="auto"/>
          <w:highlight w:val="none"/>
        </w:rPr>
        <w:drawing>
          <wp:inline distT="0" distB="0" distL="114300" distR="114300">
            <wp:extent cx="5166360" cy="3520440"/>
            <wp:effectExtent l="0" t="0" r="15240" b="3810"/>
            <wp:docPr id="3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pic:cNvPicPr>
                      <a:picLocks noChangeAspect="1"/>
                    </pic:cNvPicPr>
                  </pic:nvPicPr>
                  <pic:blipFill>
                    <a:blip r:embed="rId51"/>
                    <a:stretch>
                      <a:fillRect/>
                    </a:stretch>
                  </pic:blipFill>
                  <pic:spPr>
                    <a:xfrm>
                      <a:off x="0" y="0"/>
                      <a:ext cx="5166360" cy="3520440"/>
                    </a:xfrm>
                    <a:prstGeom prst="rect">
                      <a:avLst/>
                    </a:prstGeom>
                    <a:noFill/>
                    <a:ln>
                      <a:noFill/>
                    </a:ln>
                  </pic:spPr>
                </pic:pic>
              </a:graphicData>
            </a:graphic>
          </wp:inline>
        </w:drawing>
      </w:r>
    </w:p>
    <w:p w14:paraId="748E29AC">
      <w:pPr>
        <w:spacing w:line="360" w:lineRule="auto"/>
        <w:ind w:firstLine="420" w:firstLineChars="200"/>
        <w:rPr>
          <w:bCs/>
          <w:color w:val="auto"/>
          <w:highlight w:val="none"/>
        </w:rPr>
      </w:pPr>
      <w:r>
        <w:rPr>
          <w:rFonts w:hint="eastAsia"/>
          <w:bCs/>
          <w:color w:val="auto"/>
          <w:highlight w:val="none"/>
        </w:rPr>
        <w:t>组网说明如下：</w:t>
      </w:r>
    </w:p>
    <w:p w14:paraId="079FFEA9">
      <w:pPr>
        <w:spacing w:line="360" w:lineRule="auto"/>
        <w:ind w:firstLine="420" w:firstLineChars="200"/>
        <w:rPr>
          <w:bCs/>
          <w:color w:val="auto"/>
          <w:highlight w:val="none"/>
        </w:rPr>
      </w:pPr>
      <w:r>
        <w:rPr>
          <w:rFonts w:hint="eastAsia"/>
          <w:bCs/>
          <w:color w:val="auto"/>
          <w:highlight w:val="none"/>
        </w:rPr>
        <w:t>1、系统通过媒体网关接入PSTN/PLMN，媒体网关（IPPBX）通过局域网接入软交换平台，实现呼叫控制和语音接续，其语音接入模块支持用户线接入、数字中继接入、IP中继接入。</w:t>
      </w:r>
    </w:p>
    <w:p w14:paraId="0BE6BEF9">
      <w:pPr>
        <w:spacing w:line="360" w:lineRule="auto"/>
        <w:ind w:firstLine="420" w:firstLineChars="200"/>
        <w:rPr>
          <w:bCs/>
          <w:color w:val="auto"/>
          <w:highlight w:val="none"/>
        </w:rPr>
      </w:pPr>
      <w:r>
        <w:rPr>
          <w:rFonts w:hint="eastAsia"/>
          <w:bCs/>
          <w:color w:val="auto"/>
          <w:highlight w:val="none"/>
        </w:rPr>
        <w:t>2、软交换亲情电话软件安装于亲情电话服务器上。</w:t>
      </w:r>
    </w:p>
    <w:p w14:paraId="2BB43A71">
      <w:pPr>
        <w:spacing w:line="360" w:lineRule="auto"/>
        <w:ind w:firstLine="420" w:firstLineChars="200"/>
        <w:rPr>
          <w:bCs/>
          <w:color w:val="auto"/>
          <w:highlight w:val="none"/>
        </w:rPr>
      </w:pPr>
      <w:r>
        <w:rPr>
          <w:rFonts w:hint="eastAsia"/>
          <w:bCs/>
          <w:color w:val="auto"/>
          <w:highlight w:val="none"/>
        </w:rPr>
        <w:t>3、根据本监狱监区实际情况部署软交换内线适配器，软交换内线适配器只需接入本监狱电子狱务专网局域网即可连接软交换平台，罪犯话机及监听话机通过综合布线系统接入本监狱电子狱务专网局域网。</w:t>
      </w:r>
    </w:p>
    <w:p w14:paraId="1D46532A">
      <w:pPr>
        <w:pStyle w:val="11"/>
        <w:spacing w:before="0" w:after="0" w:line="360" w:lineRule="auto"/>
        <w:ind w:firstLine="562" w:firstLineChars="200"/>
        <w:rPr>
          <w:color w:val="auto"/>
          <w:highlight w:val="none"/>
        </w:rPr>
      </w:pPr>
      <w:r>
        <w:rPr>
          <w:rFonts w:hint="eastAsia"/>
          <w:color w:val="auto"/>
          <w:highlight w:val="none"/>
        </w:rPr>
        <w:t>设计方案</w:t>
      </w:r>
    </w:p>
    <w:p w14:paraId="659B1777">
      <w:pPr>
        <w:spacing w:line="360" w:lineRule="auto"/>
        <w:ind w:firstLine="420" w:firstLineChars="200"/>
        <w:rPr>
          <w:bCs/>
          <w:color w:val="auto"/>
          <w:highlight w:val="none"/>
        </w:rPr>
      </w:pPr>
      <w:r>
        <w:rPr>
          <w:rFonts w:hint="eastAsia"/>
          <w:bCs/>
          <w:color w:val="auto"/>
          <w:highlight w:val="none"/>
        </w:rPr>
        <w:t>亲情电话设置在本监狱各监区的亲情电话室，每个亲情电话室设置1部亲情电话和相关监听配套设备；罪犯通话区与警察监听区隔离分开，罪犯与家属通话，警察可以在另外一侧进行通话监听，对通话过程进行全程干预。</w:t>
      </w:r>
    </w:p>
    <w:p w14:paraId="31A06B86">
      <w:pPr>
        <w:spacing w:line="360" w:lineRule="auto"/>
        <w:ind w:firstLine="420" w:firstLineChars="200"/>
        <w:rPr>
          <w:bCs/>
          <w:color w:val="auto"/>
          <w:highlight w:val="none"/>
        </w:rPr>
      </w:pPr>
      <w:r>
        <w:rPr>
          <w:rFonts w:hint="eastAsia"/>
          <w:bCs/>
          <w:color w:val="auto"/>
          <w:highlight w:val="none"/>
        </w:rPr>
        <w:t>监舍楼设置10台罪犯话机、10台监听话机与2台软交换内线适配器，会见教学楼四楼设置1台罪犯话机、1台监听话机与1台软交换内线适配器。</w:t>
      </w:r>
    </w:p>
    <w:p w14:paraId="18EC8051">
      <w:pPr>
        <w:spacing w:line="360" w:lineRule="auto"/>
        <w:ind w:firstLine="420" w:firstLineChars="200"/>
        <w:rPr>
          <w:bCs/>
          <w:color w:val="auto"/>
          <w:highlight w:val="none"/>
        </w:rPr>
      </w:pPr>
      <w:r>
        <w:rPr>
          <w:rFonts w:hint="eastAsia"/>
          <w:bCs/>
          <w:color w:val="auto"/>
          <w:highlight w:val="none"/>
        </w:rPr>
        <w:t>监管区大门三楼数据中心机房设置1台IPPBX、1台软交换外线适配器（在某台软交换内线适配器出现故障时，由此设备接管受影响的亲情电话设备）。</w:t>
      </w:r>
    </w:p>
    <w:p w14:paraId="4AB10A60">
      <w:pPr>
        <w:spacing w:line="360" w:lineRule="auto"/>
        <w:ind w:firstLine="420" w:firstLineChars="200"/>
        <w:rPr>
          <w:bCs/>
          <w:color w:val="auto"/>
          <w:highlight w:val="none"/>
        </w:rPr>
      </w:pPr>
      <w:r>
        <w:rPr>
          <w:rFonts w:hint="eastAsia"/>
          <w:bCs/>
          <w:color w:val="auto"/>
          <w:highlight w:val="none"/>
        </w:rPr>
        <w:t>本系统可实现如下功能：</w:t>
      </w:r>
    </w:p>
    <w:p w14:paraId="62E4D08B">
      <w:pPr>
        <w:numPr>
          <w:ilvl w:val="0"/>
          <w:numId w:val="50"/>
        </w:numPr>
        <w:spacing w:line="360" w:lineRule="auto"/>
        <w:ind w:left="0" w:firstLine="420" w:firstLineChars="200"/>
        <w:rPr>
          <w:bCs/>
          <w:color w:val="auto"/>
          <w:highlight w:val="none"/>
        </w:rPr>
      </w:pPr>
      <w:r>
        <w:rPr>
          <w:rFonts w:hint="eastAsia"/>
          <w:bCs/>
          <w:color w:val="auto"/>
          <w:highlight w:val="none"/>
        </w:rPr>
        <w:t>外拨控制</w:t>
      </w:r>
    </w:p>
    <w:p w14:paraId="54121688">
      <w:pPr>
        <w:spacing w:line="360" w:lineRule="auto"/>
        <w:ind w:firstLine="420" w:firstLineChars="200"/>
        <w:rPr>
          <w:bCs/>
          <w:color w:val="auto"/>
          <w:highlight w:val="none"/>
        </w:rPr>
      </w:pPr>
      <w:r>
        <w:rPr>
          <w:rFonts w:hint="eastAsia"/>
          <w:bCs/>
          <w:color w:val="auto"/>
          <w:highlight w:val="none"/>
        </w:rPr>
        <w:t>能够对监狱罪犯的外拨电话进行控制。罪犯拨打外部电话号码和罪犯做绑定，只能通过自动语音提示拨打指定的电话号码；罪犯拨打外部电话号码需要得到值班警察的授权。</w:t>
      </w:r>
    </w:p>
    <w:p w14:paraId="3D6E55D3">
      <w:pPr>
        <w:numPr>
          <w:ilvl w:val="0"/>
          <w:numId w:val="50"/>
        </w:numPr>
        <w:spacing w:line="360" w:lineRule="auto"/>
        <w:ind w:left="0" w:firstLine="420" w:firstLineChars="200"/>
        <w:rPr>
          <w:bCs/>
          <w:color w:val="auto"/>
          <w:highlight w:val="none"/>
        </w:rPr>
      </w:pPr>
      <w:r>
        <w:rPr>
          <w:rFonts w:hint="eastAsia"/>
          <w:bCs/>
          <w:color w:val="auto"/>
          <w:highlight w:val="none"/>
        </w:rPr>
        <w:t>监听录音</w:t>
      </w:r>
    </w:p>
    <w:p w14:paraId="72CB24A7">
      <w:pPr>
        <w:spacing w:line="360" w:lineRule="auto"/>
        <w:ind w:firstLine="420" w:firstLineChars="200"/>
        <w:rPr>
          <w:bCs/>
          <w:color w:val="auto"/>
          <w:highlight w:val="none"/>
        </w:rPr>
      </w:pPr>
      <w:r>
        <w:rPr>
          <w:rFonts w:hint="eastAsia"/>
          <w:bCs/>
          <w:color w:val="auto"/>
          <w:highlight w:val="none"/>
        </w:rPr>
        <w:t>警察可以实时监听罪犯拨打亲情电话的通话内容，当出现违规时，可以插话或中止通话。系统应能够自动对通话语音进行录音。</w:t>
      </w:r>
    </w:p>
    <w:p w14:paraId="1B78B9E2">
      <w:pPr>
        <w:numPr>
          <w:ilvl w:val="0"/>
          <w:numId w:val="50"/>
        </w:numPr>
        <w:spacing w:line="360" w:lineRule="auto"/>
        <w:ind w:left="0" w:firstLine="420" w:firstLineChars="200"/>
        <w:rPr>
          <w:bCs/>
          <w:color w:val="auto"/>
          <w:highlight w:val="none"/>
        </w:rPr>
      </w:pPr>
      <w:r>
        <w:rPr>
          <w:rFonts w:hint="eastAsia"/>
          <w:bCs/>
          <w:color w:val="auto"/>
          <w:highlight w:val="none"/>
        </w:rPr>
        <w:t>限制通话时长</w:t>
      </w:r>
    </w:p>
    <w:p w14:paraId="5581BA93">
      <w:pPr>
        <w:spacing w:line="360" w:lineRule="auto"/>
        <w:ind w:firstLine="420" w:firstLineChars="200"/>
        <w:rPr>
          <w:bCs/>
          <w:color w:val="auto"/>
          <w:highlight w:val="none"/>
        </w:rPr>
      </w:pPr>
      <w:r>
        <w:rPr>
          <w:rFonts w:hint="eastAsia"/>
          <w:bCs/>
          <w:color w:val="auto"/>
          <w:highlight w:val="none"/>
        </w:rPr>
        <w:t>根据罪犯的等级处遇级别，设置不同的亲情通话时长限制，在达到最大通话时间前，播放催挂音，达到最大时间时，自动切断通话。在达到最大时间前，可以拨打合法电话多个或多次。</w:t>
      </w:r>
    </w:p>
    <w:p w14:paraId="54B6925B">
      <w:pPr>
        <w:numPr>
          <w:ilvl w:val="0"/>
          <w:numId w:val="50"/>
        </w:numPr>
        <w:spacing w:line="360" w:lineRule="auto"/>
        <w:ind w:left="0" w:firstLine="420" w:firstLineChars="200"/>
        <w:rPr>
          <w:bCs/>
          <w:color w:val="auto"/>
          <w:highlight w:val="none"/>
        </w:rPr>
      </w:pPr>
      <w:r>
        <w:rPr>
          <w:rFonts w:hint="eastAsia"/>
          <w:bCs/>
          <w:color w:val="auto"/>
          <w:highlight w:val="none"/>
        </w:rPr>
        <w:t>警察智能卡管理和验证</w:t>
      </w:r>
    </w:p>
    <w:p w14:paraId="042FB446">
      <w:pPr>
        <w:spacing w:line="360" w:lineRule="auto"/>
        <w:ind w:firstLine="420" w:firstLineChars="200"/>
        <w:rPr>
          <w:bCs/>
          <w:color w:val="auto"/>
          <w:highlight w:val="none"/>
        </w:rPr>
      </w:pPr>
      <w:r>
        <w:rPr>
          <w:rFonts w:hint="eastAsia"/>
          <w:bCs/>
          <w:color w:val="auto"/>
          <w:highlight w:val="none"/>
        </w:rPr>
        <w:t>为每名责任警察配备</w:t>
      </w:r>
      <w:r>
        <w:rPr>
          <w:bCs/>
          <w:color w:val="auto"/>
          <w:highlight w:val="none"/>
        </w:rPr>
        <w:t>智能</w:t>
      </w:r>
      <w:r>
        <w:rPr>
          <w:rFonts w:hint="eastAsia"/>
          <w:bCs/>
          <w:color w:val="auto"/>
          <w:highlight w:val="none"/>
        </w:rPr>
        <w:t>卡以明确管理警察的身份和职责，能够完成警察智能卡的发卡管理。</w:t>
      </w:r>
    </w:p>
    <w:p w14:paraId="368C9A84">
      <w:pPr>
        <w:spacing w:line="360" w:lineRule="auto"/>
        <w:ind w:firstLine="420" w:firstLineChars="200"/>
        <w:rPr>
          <w:bCs/>
          <w:color w:val="auto"/>
          <w:highlight w:val="none"/>
        </w:rPr>
      </w:pPr>
      <w:r>
        <w:rPr>
          <w:rFonts w:hint="eastAsia"/>
          <w:bCs/>
          <w:color w:val="auto"/>
          <w:highlight w:val="none"/>
        </w:rPr>
        <w:t>在罪犯使用亲情电话前，警察需要在相应的读卡器上进行刷卡确认操作，明确负责罪犯拨打亲情电话工作责任警察的身份。</w:t>
      </w:r>
    </w:p>
    <w:p w14:paraId="4595805B">
      <w:pPr>
        <w:numPr>
          <w:ilvl w:val="0"/>
          <w:numId w:val="50"/>
        </w:numPr>
        <w:spacing w:line="360" w:lineRule="auto"/>
        <w:ind w:left="0" w:firstLine="420" w:firstLineChars="200"/>
        <w:rPr>
          <w:bCs/>
          <w:color w:val="auto"/>
          <w:highlight w:val="none"/>
        </w:rPr>
      </w:pPr>
      <w:r>
        <w:rPr>
          <w:rFonts w:hint="eastAsia"/>
          <w:bCs/>
          <w:color w:val="auto"/>
          <w:highlight w:val="none"/>
        </w:rPr>
        <w:t>电话充值管理</w:t>
      </w:r>
    </w:p>
    <w:p w14:paraId="65E4AF56">
      <w:pPr>
        <w:spacing w:line="360" w:lineRule="auto"/>
        <w:ind w:firstLine="420" w:firstLineChars="200"/>
        <w:rPr>
          <w:bCs/>
          <w:color w:val="auto"/>
          <w:highlight w:val="none"/>
        </w:rPr>
      </w:pPr>
      <w:r>
        <w:rPr>
          <w:bCs/>
          <w:color w:val="auto"/>
          <w:highlight w:val="none"/>
        </w:rPr>
        <w:t>为每个</w:t>
      </w:r>
      <w:r>
        <w:rPr>
          <w:rFonts w:hint="eastAsia"/>
          <w:bCs/>
          <w:color w:val="auto"/>
          <w:highlight w:val="none"/>
        </w:rPr>
        <w:t>罪犯</w:t>
      </w:r>
      <w:r>
        <w:rPr>
          <w:bCs/>
          <w:color w:val="auto"/>
          <w:highlight w:val="none"/>
        </w:rPr>
        <w:t>设置电话卡号</w:t>
      </w:r>
      <w:r>
        <w:rPr>
          <w:rFonts w:hint="eastAsia"/>
          <w:bCs/>
          <w:color w:val="auto"/>
          <w:highlight w:val="none"/>
        </w:rPr>
        <w:t>，提供充值、余额查询、暂停、开通以及统计分析。</w:t>
      </w:r>
    </w:p>
    <w:p w14:paraId="44C03547">
      <w:pPr>
        <w:numPr>
          <w:ilvl w:val="0"/>
          <w:numId w:val="50"/>
        </w:numPr>
        <w:spacing w:line="360" w:lineRule="auto"/>
        <w:ind w:left="0" w:firstLine="420" w:firstLineChars="200"/>
        <w:rPr>
          <w:bCs/>
          <w:color w:val="auto"/>
          <w:highlight w:val="none"/>
        </w:rPr>
      </w:pPr>
      <w:r>
        <w:rPr>
          <w:rFonts w:hint="eastAsia"/>
          <w:bCs/>
          <w:color w:val="auto"/>
          <w:highlight w:val="none"/>
        </w:rPr>
        <w:t>录音文件管理，</w:t>
      </w:r>
    </w:p>
    <w:p w14:paraId="4895075A">
      <w:pPr>
        <w:spacing w:line="360" w:lineRule="auto"/>
        <w:ind w:firstLine="420" w:firstLineChars="200"/>
        <w:rPr>
          <w:bCs/>
          <w:color w:val="auto"/>
          <w:highlight w:val="none"/>
        </w:rPr>
      </w:pPr>
      <w:r>
        <w:rPr>
          <w:rFonts w:hint="eastAsia"/>
          <w:bCs/>
          <w:color w:val="auto"/>
          <w:highlight w:val="none"/>
        </w:rPr>
        <w:t>可以对亲情电话录音文件资料进行管理，实现监狱亲情电话录音文件本地和远程的查询、播放等功能。</w:t>
      </w:r>
    </w:p>
    <w:p w14:paraId="3660835B">
      <w:pPr>
        <w:numPr>
          <w:ilvl w:val="0"/>
          <w:numId w:val="50"/>
        </w:numPr>
        <w:spacing w:line="360" w:lineRule="auto"/>
        <w:ind w:left="0" w:firstLine="420" w:firstLineChars="200"/>
        <w:rPr>
          <w:bCs/>
          <w:color w:val="auto"/>
          <w:highlight w:val="none"/>
        </w:rPr>
      </w:pPr>
      <w:r>
        <w:rPr>
          <w:rFonts w:hint="eastAsia"/>
          <w:bCs/>
          <w:color w:val="auto"/>
          <w:highlight w:val="none"/>
        </w:rPr>
        <w:t>录音存储</w:t>
      </w:r>
    </w:p>
    <w:p w14:paraId="1C286817">
      <w:pPr>
        <w:spacing w:line="360" w:lineRule="auto"/>
        <w:ind w:firstLine="420" w:firstLineChars="200"/>
        <w:rPr>
          <w:bCs/>
          <w:color w:val="auto"/>
          <w:highlight w:val="none"/>
        </w:rPr>
      </w:pPr>
      <w:r>
        <w:rPr>
          <w:rFonts w:hint="eastAsia"/>
          <w:bCs/>
          <w:color w:val="auto"/>
          <w:highlight w:val="none"/>
        </w:rPr>
        <w:t>罪犯亲情电话录音保存时间为一年，罪犯亲情电话录音查询检索方便、迅速。</w:t>
      </w:r>
    </w:p>
    <w:p w14:paraId="0FD1A9B9">
      <w:pPr>
        <w:numPr>
          <w:ilvl w:val="0"/>
          <w:numId w:val="50"/>
        </w:numPr>
        <w:spacing w:line="360" w:lineRule="auto"/>
        <w:ind w:left="0" w:firstLine="420" w:firstLineChars="200"/>
        <w:rPr>
          <w:bCs/>
          <w:color w:val="auto"/>
          <w:highlight w:val="none"/>
        </w:rPr>
      </w:pPr>
      <w:r>
        <w:rPr>
          <w:rFonts w:hint="eastAsia"/>
          <w:bCs/>
          <w:color w:val="auto"/>
          <w:highlight w:val="none"/>
        </w:rPr>
        <w:t>扩展功能</w:t>
      </w:r>
    </w:p>
    <w:p w14:paraId="6F3CFB06">
      <w:pPr>
        <w:spacing w:line="360" w:lineRule="auto"/>
        <w:ind w:firstLine="420" w:firstLineChars="200"/>
        <w:rPr>
          <w:bCs/>
          <w:color w:val="auto"/>
          <w:highlight w:val="none"/>
        </w:rPr>
      </w:pPr>
      <w:r>
        <w:rPr>
          <w:rFonts w:hint="eastAsia"/>
          <w:bCs/>
          <w:color w:val="auto"/>
          <w:highlight w:val="none"/>
        </w:rPr>
        <w:t>每个监区配1部亲情电话，能够同时支持最少16路亲情电话，可扩展到32路。</w:t>
      </w:r>
    </w:p>
    <w:p w14:paraId="6635C1FD">
      <w:pPr>
        <w:pStyle w:val="11"/>
        <w:spacing w:before="0" w:after="0" w:line="360" w:lineRule="auto"/>
        <w:ind w:firstLine="562" w:firstLineChars="200"/>
        <w:rPr>
          <w:color w:val="auto"/>
          <w:highlight w:val="none"/>
        </w:rPr>
      </w:pPr>
      <w:r>
        <w:rPr>
          <w:rFonts w:hint="eastAsia"/>
          <w:color w:val="auto"/>
          <w:highlight w:val="none"/>
        </w:rPr>
        <w:t>部署方案</w:t>
      </w:r>
    </w:p>
    <w:p w14:paraId="69944ED6">
      <w:pPr>
        <w:spacing w:line="360" w:lineRule="auto"/>
        <w:ind w:firstLine="420" w:firstLineChars="200"/>
        <w:rPr>
          <w:bCs/>
          <w:color w:val="auto"/>
          <w:highlight w:val="none"/>
        </w:rPr>
      </w:pPr>
      <w:r>
        <w:rPr>
          <w:rFonts w:hint="eastAsia"/>
          <w:bCs/>
          <w:color w:val="auto"/>
          <w:highlight w:val="none"/>
        </w:rPr>
        <w:t>亲情电话服务器、IPPBX及软交换外线适配器安装在本监狱监管区大门三层数据监狱内数据中心机房，软交换亲情电话软件部署于亲情电话服务器。</w:t>
      </w:r>
    </w:p>
    <w:p w14:paraId="224F4314">
      <w:pPr>
        <w:spacing w:line="360" w:lineRule="auto"/>
        <w:ind w:firstLine="420" w:firstLineChars="200"/>
        <w:rPr>
          <w:bCs/>
          <w:color w:val="auto"/>
          <w:highlight w:val="none"/>
        </w:rPr>
      </w:pPr>
      <w:r>
        <w:rPr>
          <w:rFonts w:hint="eastAsia"/>
          <w:bCs/>
          <w:color w:val="auto"/>
          <w:highlight w:val="none"/>
        </w:rPr>
        <w:t>监舍楼设置10台罪犯话机、10台监听话机与2台软交换内线适配器，会见教学楼四楼设置1台罪犯话机、1台监听话机与1台软交换内线适配器。</w:t>
      </w:r>
    </w:p>
    <w:p w14:paraId="3A672DF0">
      <w:pPr>
        <w:spacing w:line="360" w:lineRule="auto"/>
        <w:ind w:firstLine="420" w:firstLineChars="200"/>
        <w:rPr>
          <w:bCs/>
          <w:color w:val="auto"/>
          <w:highlight w:val="none"/>
        </w:rPr>
      </w:pPr>
      <w:r>
        <w:rPr>
          <w:rFonts w:hint="eastAsia"/>
          <w:bCs/>
          <w:color w:val="auto"/>
          <w:highlight w:val="none"/>
        </w:rPr>
        <w:t>监管区大门三楼数据中心机房设置1台IPPBX、1台软交换外线适配器（在某台软交换内线适配器出现故障时，由此设备接管受影响的亲情电话设备）。</w:t>
      </w:r>
    </w:p>
    <w:p w14:paraId="53F4DA51">
      <w:pPr>
        <w:spacing w:line="360" w:lineRule="auto"/>
        <w:ind w:firstLine="420" w:firstLineChars="200"/>
        <w:rPr>
          <w:bCs/>
          <w:color w:val="auto"/>
          <w:highlight w:val="none"/>
        </w:rPr>
      </w:pPr>
      <w:r>
        <w:rPr>
          <w:rFonts w:hint="eastAsia"/>
          <w:bCs/>
          <w:color w:val="auto"/>
          <w:highlight w:val="none"/>
        </w:rPr>
        <w:t>具体点位分布如下表所示：</w:t>
      </w:r>
    </w:p>
    <w:tbl>
      <w:tblPr>
        <w:tblStyle w:val="36"/>
        <w:tblW w:w="8500" w:type="dxa"/>
        <w:tblInd w:w="0" w:type="dxa"/>
        <w:tblLayout w:type="fixed"/>
        <w:tblCellMar>
          <w:top w:w="0" w:type="dxa"/>
          <w:left w:w="0" w:type="dxa"/>
          <w:bottom w:w="0" w:type="dxa"/>
          <w:right w:w="0" w:type="dxa"/>
        </w:tblCellMar>
      </w:tblPr>
      <w:tblGrid>
        <w:gridCol w:w="1065"/>
        <w:gridCol w:w="2070"/>
        <w:gridCol w:w="1785"/>
        <w:gridCol w:w="1845"/>
        <w:gridCol w:w="1735"/>
      </w:tblGrid>
      <w:tr w14:paraId="2AAEF2AE">
        <w:trPr>
          <w:trHeight w:val="623" w:hRule="atLeast"/>
        </w:trPr>
        <w:tc>
          <w:tcPr>
            <w:tcW w:w="10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20D9D2">
            <w:pPr>
              <w:spacing w:line="240" w:lineRule="exact"/>
              <w:jc w:val="center"/>
              <w:rPr>
                <w:bCs/>
                <w:color w:val="auto"/>
                <w:szCs w:val="21"/>
                <w:highlight w:val="none"/>
              </w:rPr>
            </w:pPr>
            <w:r>
              <w:rPr>
                <w:rFonts w:hint="eastAsia"/>
                <w:bCs/>
                <w:color w:val="auto"/>
                <w:szCs w:val="21"/>
                <w:highlight w:val="none"/>
              </w:rPr>
              <w:t>序号</w:t>
            </w:r>
          </w:p>
        </w:tc>
        <w:tc>
          <w:tcPr>
            <w:tcW w:w="2070" w:type="dxa"/>
            <w:tcBorders>
              <w:top w:val="single" w:color="auto" w:sz="4" w:space="0"/>
              <w:left w:val="nil"/>
              <w:bottom w:val="nil"/>
              <w:right w:val="single" w:color="000000" w:sz="4" w:space="0"/>
            </w:tcBorders>
            <w:noWrap w:val="0"/>
            <w:tcMar>
              <w:top w:w="15" w:type="dxa"/>
              <w:left w:w="15" w:type="dxa"/>
              <w:right w:w="15" w:type="dxa"/>
            </w:tcMar>
            <w:vAlign w:val="center"/>
          </w:tcPr>
          <w:p w14:paraId="2A3828F0">
            <w:pPr>
              <w:spacing w:line="240" w:lineRule="exact"/>
              <w:jc w:val="center"/>
              <w:rPr>
                <w:bCs/>
                <w:color w:val="auto"/>
                <w:szCs w:val="21"/>
                <w:highlight w:val="none"/>
              </w:rPr>
            </w:pPr>
            <w:r>
              <w:rPr>
                <w:rFonts w:hint="eastAsia"/>
                <w:bCs/>
                <w:color w:val="auto"/>
                <w:szCs w:val="21"/>
                <w:highlight w:val="none"/>
              </w:rPr>
              <w:t>楼宇名称</w:t>
            </w:r>
          </w:p>
        </w:tc>
        <w:tc>
          <w:tcPr>
            <w:tcW w:w="1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A144DA">
            <w:pPr>
              <w:spacing w:line="240" w:lineRule="exact"/>
              <w:jc w:val="center"/>
              <w:rPr>
                <w:bCs/>
                <w:color w:val="auto"/>
                <w:szCs w:val="21"/>
                <w:highlight w:val="none"/>
              </w:rPr>
            </w:pPr>
            <w:r>
              <w:rPr>
                <w:rFonts w:hint="eastAsia"/>
                <w:bCs/>
                <w:color w:val="auto"/>
                <w:szCs w:val="21"/>
                <w:highlight w:val="none"/>
              </w:rPr>
              <w:t>罪犯话机</w:t>
            </w:r>
          </w:p>
        </w:tc>
        <w:tc>
          <w:tcPr>
            <w:tcW w:w="1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1D2D34">
            <w:pPr>
              <w:spacing w:line="240" w:lineRule="exact"/>
              <w:jc w:val="center"/>
              <w:rPr>
                <w:bCs/>
                <w:color w:val="auto"/>
                <w:szCs w:val="21"/>
                <w:highlight w:val="none"/>
              </w:rPr>
            </w:pPr>
            <w:r>
              <w:rPr>
                <w:rFonts w:hint="eastAsia"/>
                <w:bCs/>
                <w:color w:val="auto"/>
                <w:szCs w:val="21"/>
                <w:highlight w:val="none"/>
              </w:rPr>
              <w:t>监听话机</w:t>
            </w:r>
          </w:p>
        </w:tc>
        <w:tc>
          <w:tcPr>
            <w:tcW w:w="17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2A274D">
            <w:pPr>
              <w:spacing w:line="240" w:lineRule="exact"/>
              <w:jc w:val="center"/>
              <w:rPr>
                <w:bCs/>
                <w:color w:val="auto"/>
                <w:szCs w:val="21"/>
                <w:highlight w:val="none"/>
              </w:rPr>
            </w:pPr>
            <w:r>
              <w:rPr>
                <w:rFonts w:hint="eastAsia"/>
                <w:bCs/>
                <w:color w:val="auto"/>
                <w:szCs w:val="21"/>
                <w:highlight w:val="none"/>
              </w:rPr>
              <w:t>软交换内线适配器</w:t>
            </w:r>
          </w:p>
        </w:tc>
      </w:tr>
      <w:tr w14:paraId="3AC1DDF7">
        <w:tblPrEx>
          <w:tblCellMar>
            <w:top w:w="0" w:type="dxa"/>
            <w:left w:w="0" w:type="dxa"/>
            <w:bottom w:w="0" w:type="dxa"/>
            <w:right w:w="0" w:type="dxa"/>
          </w:tblCellMar>
        </w:tblPrEx>
        <w:trPr>
          <w:trHeight w:val="364" w:hRule="atLeast"/>
        </w:trPr>
        <w:tc>
          <w:tcPr>
            <w:tcW w:w="10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C1D303">
            <w:pPr>
              <w:spacing w:line="240" w:lineRule="exact"/>
              <w:jc w:val="center"/>
              <w:rPr>
                <w:bCs/>
                <w:color w:val="auto"/>
                <w:szCs w:val="21"/>
                <w:highlight w:val="none"/>
              </w:rPr>
            </w:pPr>
            <w:r>
              <w:rPr>
                <w:rFonts w:hint="eastAsia"/>
                <w:bCs/>
                <w:color w:val="auto"/>
                <w:szCs w:val="21"/>
                <w:highlight w:val="none"/>
              </w:rPr>
              <w:t>1</w:t>
            </w:r>
          </w:p>
        </w:tc>
        <w:tc>
          <w:tcPr>
            <w:tcW w:w="20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98F4E3">
            <w:pPr>
              <w:spacing w:line="240" w:lineRule="exact"/>
              <w:jc w:val="center"/>
              <w:rPr>
                <w:bCs/>
                <w:color w:val="auto"/>
                <w:szCs w:val="21"/>
                <w:highlight w:val="none"/>
              </w:rPr>
            </w:pPr>
            <w:r>
              <w:rPr>
                <w:rFonts w:hint="eastAsia"/>
                <w:bCs/>
                <w:color w:val="auto"/>
                <w:szCs w:val="21"/>
                <w:highlight w:val="none"/>
              </w:rPr>
              <w:t>1#监舍楼</w:t>
            </w:r>
          </w:p>
        </w:tc>
        <w:tc>
          <w:tcPr>
            <w:tcW w:w="1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E05B6B">
            <w:pPr>
              <w:spacing w:line="240" w:lineRule="exact"/>
              <w:jc w:val="center"/>
              <w:rPr>
                <w:bCs/>
                <w:color w:val="auto"/>
                <w:szCs w:val="21"/>
                <w:highlight w:val="none"/>
              </w:rPr>
            </w:pPr>
            <w:r>
              <w:rPr>
                <w:rFonts w:hint="eastAsia"/>
                <w:bCs/>
                <w:color w:val="auto"/>
                <w:szCs w:val="21"/>
                <w:highlight w:val="none"/>
              </w:rPr>
              <w:t>10</w:t>
            </w:r>
          </w:p>
        </w:tc>
        <w:tc>
          <w:tcPr>
            <w:tcW w:w="1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793B4F">
            <w:pPr>
              <w:spacing w:line="240" w:lineRule="exact"/>
              <w:jc w:val="center"/>
              <w:rPr>
                <w:bCs/>
                <w:color w:val="auto"/>
                <w:szCs w:val="21"/>
                <w:highlight w:val="none"/>
              </w:rPr>
            </w:pPr>
            <w:r>
              <w:rPr>
                <w:rFonts w:hint="eastAsia"/>
                <w:bCs/>
                <w:color w:val="auto"/>
                <w:szCs w:val="21"/>
                <w:highlight w:val="none"/>
              </w:rPr>
              <w:t>10</w:t>
            </w:r>
          </w:p>
        </w:tc>
        <w:tc>
          <w:tcPr>
            <w:tcW w:w="17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40EC0">
            <w:pPr>
              <w:spacing w:line="240" w:lineRule="exact"/>
              <w:jc w:val="center"/>
              <w:rPr>
                <w:bCs/>
                <w:color w:val="auto"/>
                <w:szCs w:val="21"/>
                <w:highlight w:val="none"/>
              </w:rPr>
            </w:pPr>
            <w:r>
              <w:rPr>
                <w:rFonts w:hint="eastAsia"/>
                <w:bCs/>
                <w:color w:val="auto"/>
                <w:szCs w:val="21"/>
                <w:highlight w:val="none"/>
              </w:rPr>
              <w:t>2</w:t>
            </w:r>
          </w:p>
        </w:tc>
      </w:tr>
      <w:tr w14:paraId="5D6573B4">
        <w:tblPrEx>
          <w:tblCellMar>
            <w:top w:w="0" w:type="dxa"/>
            <w:left w:w="0" w:type="dxa"/>
            <w:bottom w:w="0" w:type="dxa"/>
            <w:right w:w="0" w:type="dxa"/>
          </w:tblCellMar>
        </w:tblPrEx>
        <w:trPr>
          <w:trHeight w:val="496" w:hRule="atLeast"/>
        </w:trPr>
        <w:tc>
          <w:tcPr>
            <w:tcW w:w="10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7620FE">
            <w:pPr>
              <w:spacing w:line="240" w:lineRule="exact"/>
              <w:jc w:val="center"/>
              <w:rPr>
                <w:bCs/>
                <w:color w:val="auto"/>
                <w:szCs w:val="21"/>
                <w:highlight w:val="none"/>
              </w:rPr>
            </w:pPr>
            <w:r>
              <w:rPr>
                <w:bCs/>
                <w:color w:val="auto"/>
                <w:szCs w:val="21"/>
                <w:highlight w:val="none"/>
              </w:rPr>
              <w:t>2</w:t>
            </w:r>
          </w:p>
        </w:tc>
        <w:tc>
          <w:tcPr>
            <w:tcW w:w="20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7415A9">
            <w:pPr>
              <w:spacing w:line="240" w:lineRule="exact"/>
              <w:jc w:val="center"/>
              <w:rPr>
                <w:bCs/>
                <w:color w:val="auto"/>
                <w:szCs w:val="21"/>
                <w:highlight w:val="none"/>
              </w:rPr>
            </w:pPr>
            <w:r>
              <w:rPr>
                <w:rFonts w:hint="eastAsia"/>
                <w:bCs/>
                <w:color w:val="auto"/>
                <w:szCs w:val="21"/>
                <w:highlight w:val="none"/>
              </w:rPr>
              <w:t>4#会见教学楼</w:t>
            </w:r>
          </w:p>
        </w:tc>
        <w:tc>
          <w:tcPr>
            <w:tcW w:w="1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5B30C2">
            <w:pPr>
              <w:spacing w:line="240" w:lineRule="exact"/>
              <w:jc w:val="center"/>
              <w:rPr>
                <w:bCs/>
                <w:color w:val="auto"/>
                <w:szCs w:val="21"/>
                <w:highlight w:val="none"/>
              </w:rPr>
            </w:pPr>
            <w:r>
              <w:rPr>
                <w:rFonts w:hint="eastAsia"/>
                <w:bCs/>
                <w:color w:val="auto"/>
                <w:szCs w:val="21"/>
                <w:highlight w:val="none"/>
              </w:rPr>
              <w:t>1</w:t>
            </w:r>
          </w:p>
        </w:tc>
        <w:tc>
          <w:tcPr>
            <w:tcW w:w="1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6A13D2">
            <w:pPr>
              <w:spacing w:line="240" w:lineRule="exact"/>
              <w:jc w:val="center"/>
              <w:rPr>
                <w:bCs/>
                <w:color w:val="auto"/>
                <w:szCs w:val="21"/>
                <w:highlight w:val="none"/>
              </w:rPr>
            </w:pPr>
            <w:r>
              <w:rPr>
                <w:rFonts w:hint="eastAsia"/>
                <w:bCs/>
                <w:color w:val="auto"/>
                <w:szCs w:val="21"/>
                <w:highlight w:val="none"/>
              </w:rPr>
              <w:t>1</w:t>
            </w:r>
          </w:p>
        </w:tc>
        <w:tc>
          <w:tcPr>
            <w:tcW w:w="17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39349A">
            <w:pPr>
              <w:spacing w:line="240" w:lineRule="exact"/>
              <w:jc w:val="center"/>
              <w:rPr>
                <w:bCs/>
                <w:color w:val="auto"/>
                <w:szCs w:val="21"/>
                <w:highlight w:val="none"/>
              </w:rPr>
            </w:pPr>
            <w:r>
              <w:rPr>
                <w:rFonts w:hint="eastAsia"/>
                <w:bCs/>
                <w:color w:val="auto"/>
                <w:szCs w:val="21"/>
                <w:highlight w:val="none"/>
              </w:rPr>
              <w:t>1</w:t>
            </w:r>
          </w:p>
        </w:tc>
      </w:tr>
      <w:tr w14:paraId="6FE1B8BE">
        <w:tblPrEx>
          <w:tblCellMar>
            <w:top w:w="0" w:type="dxa"/>
            <w:left w:w="0" w:type="dxa"/>
            <w:bottom w:w="0" w:type="dxa"/>
            <w:right w:w="0" w:type="dxa"/>
          </w:tblCellMar>
        </w:tblPrEx>
        <w:trPr>
          <w:trHeight w:val="270" w:hRule="atLeast"/>
        </w:trPr>
        <w:tc>
          <w:tcPr>
            <w:tcW w:w="313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D5D0F8">
            <w:pPr>
              <w:spacing w:line="240" w:lineRule="exact"/>
              <w:jc w:val="center"/>
              <w:rPr>
                <w:bCs/>
                <w:color w:val="auto"/>
                <w:szCs w:val="21"/>
                <w:highlight w:val="none"/>
              </w:rPr>
            </w:pPr>
            <w:r>
              <w:rPr>
                <w:rFonts w:hint="eastAsia"/>
                <w:bCs/>
                <w:color w:val="auto"/>
                <w:szCs w:val="21"/>
                <w:highlight w:val="none"/>
              </w:rPr>
              <w:t>合计</w:t>
            </w:r>
          </w:p>
        </w:tc>
        <w:tc>
          <w:tcPr>
            <w:tcW w:w="17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F3D3E3">
            <w:pPr>
              <w:spacing w:line="240" w:lineRule="exact"/>
              <w:jc w:val="center"/>
              <w:rPr>
                <w:bCs/>
                <w:color w:val="auto"/>
                <w:szCs w:val="21"/>
                <w:highlight w:val="none"/>
              </w:rPr>
            </w:pPr>
            <w:r>
              <w:rPr>
                <w:rFonts w:hint="eastAsia"/>
                <w:bCs/>
                <w:color w:val="auto"/>
                <w:szCs w:val="21"/>
                <w:highlight w:val="none"/>
              </w:rPr>
              <w:t>11</w:t>
            </w:r>
          </w:p>
        </w:tc>
        <w:tc>
          <w:tcPr>
            <w:tcW w:w="1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BCFA85">
            <w:pPr>
              <w:spacing w:line="240" w:lineRule="exact"/>
              <w:jc w:val="center"/>
              <w:rPr>
                <w:bCs/>
                <w:color w:val="auto"/>
                <w:szCs w:val="21"/>
                <w:highlight w:val="none"/>
              </w:rPr>
            </w:pPr>
            <w:r>
              <w:rPr>
                <w:rFonts w:hint="eastAsia"/>
                <w:bCs/>
                <w:color w:val="auto"/>
                <w:szCs w:val="21"/>
                <w:highlight w:val="none"/>
              </w:rPr>
              <w:t>11</w:t>
            </w:r>
          </w:p>
        </w:tc>
        <w:tc>
          <w:tcPr>
            <w:tcW w:w="17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C000D5">
            <w:pPr>
              <w:spacing w:line="240" w:lineRule="exact"/>
              <w:jc w:val="center"/>
              <w:rPr>
                <w:bCs/>
                <w:color w:val="auto"/>
                <w:szCs w:val="21"/>
                <w:highlight w:val="none"/>
              </w:rPr>
            </w:pPr>
            <w:r>
              <w:rPr>
                <w:rFonts w:hint="eastAsia"/>
                <w:bCs/>
                <w:color w:val="auto"/>
                <w:szCs w:val="21"/>
                <w:highlight w:val="none"/>
              </w:rPr>
              <w:t>3</w:t>
            </w:r>
          </w:p>
        </w:tc>
      </w:tr>
    </w:tbl>
    <w:p w14:paraId="590F33F5">
      <w:pPr>
        <w:pStyle w:val="59"/>
        <w:spacing w:line="360" w:lineRule="auto"/>
        <w:ind w:firstLine="420" w:firstLineChars="200"/>
        <w:rPr>
          <w:color w:val="auto"/>
          <w:highlight w:val="none"/>
        </w:rPr>
      </w:pPr>
    </w:p>
    <w:p w14:paraId="7AD4C1A8">
      <w:pPr>
        <w:pStyle w:val="9"/>
        <w:tabs>
          <w:tab w:val="left" w:pos="0"/>
        </w:tabs>
        <w:spacing w:before="0" w:after="0" w:line="360" w:lineRule="auto"/>
        <w:ind w:firstLine="643" w:firstLineChars="200"/>
        <w:rPr>
          <w:color w:val="auto"/>
          <w:highlight w:val="none"/>
        </w:rPr>
      </w:pPr>
      <w:r>
        <w:rPr>
          <w:rFonts w:hint="eastAsia"/>
          <w:color w:val="auto"/>
          <w:highlight w:val="none"/>
        </w:rPr>
        <w:t>4.15指挥中心及分控中心（含联勤值班室）</w:t>
      </w:r>
    </w:p>
    <w:p w14:paraId="2017221A">
      <w:pPr>
        <w:spacing w:line="360" w:lineRule="auto"/>
        <w:ind w:firstLine="420" w:firstLineChars="200"/>
        <w:rPr>
          <w:bCs/>
          <w:color w:val="auto"/>
          <w:highlight w:val="none"/>
        </w:rPr>
      </w:pPr>
      <w:r>
        <w:rPr>
          <w:rFonts w:hint="eastAsia"/>
          <w:bCs/>
          <w:color w:val="auto"/>
          <w:highlight w:val="none"/>
        </w:rPr>
        <w:t>本监狱指挥中心建设符合相关规范要求，可上联本省监狱管理局指挥中心，形成指挥中心、联勤值班室和分控中心的分级架构体系。</w:t>
      </w:r>
    </w:p>
    <w:p w14:paraId="1342EC2D">
      <w:pPr>
        <w:pStyle w:val="10"/>
        <w:spacing w:before="0" w:after="0" w:line="360" w:lineRule="auto"/>
        <w:ind w:firstLine="643" w:firstLineChars="200"/>
        <w:rPr>
          <w:color w:val="auto"/>
          <w:highlight w:val="none"/>
        </w:rPr>
      </w:pPr>
      <w:r>
        <w:rPr>
          <w:rFonts w:hint="eastAsia"/>
          <w:color w:val="auto"/>
          <w:highlight w:val="none"/>
        </w:rPr>
        <w:t>4.15.1指挥中心</w:t>
      </w:r>
    </w:p>
    <w:p w14:paraId="4531139E">
      <w:pPr>
        <w:spacing w:line="360" w:lineRule="auto"/>
        <w:ind w:firstLine="420" w:firstLineChars="200"/>
        <w:rPr>
          <w:bCs/>
          <w:color w:val="auto"/>
          <w:highlight w:val="none"/>
        </w:rPr>
      </w:pPr>
      <w:r>
        <w:rPr>
          <w:rFonts w:hint="eastAsia"/>
          <w:bCs/>
          <w:color w:val="auto"/>
          <w:highlight w:val="none"/>
        </w:rPr>
        <w:t>监狱系统指挥中心整体架构分两级，省局指挥中心为一级，监狱指挥中心为二级，具有应急指挥、视频执法巡查、数据分析研判、执勤值守和移动指挥监控等功能，并支持移动指挥监控系统接入，实现对移动车辆、罪犯押解现场进行实时图像传输 监控及远程指挥管理。指挥中心场所除具备指挥、会议、值班所需空间场地和环境外，还应满足应急培训、应急演练以及基础支撑系统设备安装等对空间场地和环境的要求。场所相对独立，包括指挥区、会议区、基础设备保障区、接待区、控制室、值休室、设备间等。根据实际情况部分区域可共用。</w:t>
      </w:r>
    </w:p>
    <w:p w14:paraId="0A099D2B">
      <w:pPr>
        <w:spacing w:line="360" w:lineRule="auto"/>
        <w:ind w:firstLine="420" w:firstLineChars="200"/>
        <w:rPr>
          <w:bCs/>
          <w:color w:val="auto"/>
          <w:highlight w:val="none"/>
        </w:rPr>
      </w:pPr>
      <w:r>
        <w:rPr>
          <w:rFonts w:hint="eastAsia"/>
          <w:bCs/>
          <w:color w:val="auto"/>
          <w:highlight w:val="none"/>
        </w:rPr>
        <w:t>监管区指挥中心是本监狱处理应急突发事件的场所，承担着监狱的应急指挥职能。监管区指挥中心基于“平战结合”的指导思想，与本监狱技术防范管理中心合二为一，主要用于日常值守、技术防范监控；在发生突发事件时，充分发挥应急指挥调度功能，对监狱的突发事件进行及时、有效的应对与处置；同时，监管区指挥中心可及时向省监狱管理局上报突发事件的相关信息并接受省监狱管理局的指挥。</w:t>
      </w:r>
    </w:p>
    <w:p w14:paraId="0D7CE33C">
      <w:pPr>
        <w:spacing w:line="360" w:lineRule="auto"/>
        <w:ind w:firstLine="420" w:firstLineChars="200"/>
        <w:rPr>
          <w:bCs/>
          <w:color w:val="auto"/>
          <w:highlight w:val="none"/>
        </w:rPr>
      </w:pPr>
      <w:r>
        <w:rPr>
          <w:rFonts w:hint="eastAsia"/>
          <w:bCs/>
          <w:color w:val="auto"/>
          <w:highlight w:val="none"/>
        </w:rPr>
        <w:t>指挥中心基于计算机、通信、多媒体等先进的信息化技术，负责在应急事件处理中的信息流转（信息汇聚、查询、更新）、指令传递（下情上报、上情下达），形成集应急资源管理、预案管理、应急指挥联动于一体的智能安防</w:t>
      </w:r>
      <w:r>
        <w:rPr>
          <w:bCs/>
          <w:color w:val="auto"/>
          <w:highlight w:val="none"/>
        </w:rPr>
        <w:t>集成平台</w:t>
      </w:r>
      <w:r>
        <w:rPr>
          <w:rFonts w:hint="eastAsia"/>
          <w:bCs/>
          <w:color w:val="auto"/>
          <w:highlight w:val="none"/>
        </w:rPr>
        <w:t>，实现数据交互和信息共享，从而实现指挥中心与其他安防或业务应用系统的一体化动作，完成对监狱技术防范系统的管理和控制，建立以监管区指挥中心为核心的安全防范和应急指挥体系。</w:t>
      </w:r>
    </w:p>
    <w:p w14:paraId="7B5B96BE">
      <w:pPr>
        <w:spacing w:line="360" w:lineRule="auto"/>
        <w:ind w:firstLine="420" w:firstLineChars="200"/>
        <w:rPr>
          <w:bCs/>
          <w:color w:val="auto"/>
          <w:highlight w:val="none"/>
        </w:rPr>
      </w:pPr>
      <w:r>
        <w:rPr>
          <w:bCs/>
          <w:color w:val="auto"/>
          <w:highlight w:val="none"/>
        </w:rPr>
        <w:t>指挥中心与监舍楼联勤值班室</w:t>
      </w:r>
      <w:r>
        <w:rPr>
          <w:rFonts w:hint="eastAsia"/>
          <w:bCs/>
          <w:color w:val="auto"/>
          <w:highlight w:val="none"/>
        </w:rPr>
        <w:t>、</w:t>
      </w:r>
      <w:r>
        <w:rPr>
          <w:bCs/>
          <w:color w:val="auto"/>
          <w:highlight w:val="none"/>
        </w:rPr>
        <w:t>加严管队的分控中心，用现有摄像头</w:t>
      </w:r>
      <w:r>
        <w:rPr>
          <w:rFonts w:hint="eastAsia"/>
          <w:bCs/>
          <w:color w:val="auto"/>
          <w:highlight w:val="none"/>
        </w:rPr>
        <w:t>、</w:t>
      </w:r>
      <w:r>
        <w:rPr>
          <w:bCs/>
          <w:color w:val="auto"/>
          <w:highlight w:val="none"/>
        </w:rPr>
        <w:t>屏幕</w:t>
      </w:r>
      <w:r>
        <w:rPr>
          <w:rFonts w:hint="eastAsia"/>
          <w:bCs/>
          <w:color w:val="auto"/>
          <w:highlight w:val="none"/>
        </w:rPr>
        <w:t>和监听</w:t>
      </w:r>
      <w:r>
        <w:rPr>
          <w:bCs/>
          <w:color w:val="auto"/>
          <w:highlight w:val="none"/>
        </w:rPr>
        <w:t>对讲分控主机，实现这几个地方的可视会议功能</w:t>
      </w:r>
      <w:r>
        <w:rPr>
          <w:rFonts w:hint="eastAsia"/>
          <w:bCs/>
          <w:color w:val="auto"/>
          <w:highlight w:val="none"/>
        </w:rPr>
        <w:t>。</w:t>
      </w:r>
    </w:p>
    <w:p w14:paraId="3BD78B78">
      <w:pPr>
        <w:pStyle w:val="11"/>
        <w:spacing w:before="0" w:after="0" w:line="360" w:lineRule="auto"/>
        <w:ind w:firstLine="562" w:firstLineChars="200"/>
        <w:rPr>
          <w:color w:val="auto"/>
          <w:highlight w:val="none"/>
        </w:rPr>
      </w:pPr>
      <w:r>
        <w:rPr>
          <w:rFonts w:hint="eastAsia"/>
          <w:color w:val="auto"/>
          <w:highlight w:val="none"/>
        </w:rPr>
        <w:t>设计原则</w:t>
      </w:r>
    </w:p>
    <w:p w14:paraId="34794B65">
      <w:pPr>
        <w:numPr>
          <w:ilvl w:val="0"/>
          <w:numId w:val="51"/>
        </w:numPr>
        <w:spacing w:line="360" w:lineRule="auto"/>
        <w:ind w:left="0" w:firstLine="420" w:firstLineChars="200"/>
        <w:rPr>
          <w:bCs/>
          <w:color w:val="auto"/>
          <w:highlight w:val="none"/>
        </w:rPr>
      </w:pPr>
      <w:r>
        <w:rPr>
          <w:rFonts w:hint="eastAsia"/>
          <w:bCs/>
          <w:color w:val="auto"/>
          <w:highlight w:val="none"/>
        </w:rPr>
        <w:t>实用性：整个系统的操作以方便、简捷、高效为目标，整体设计、统一操作，既充分体现快速反应的特点，又能便于工作人员进行业务处理和综合管理，便于领导层、管理层及时了解各项信息。</w:t>
      </w:r>
    </w:p>
    <w:p w14:paraId="09639C68">
      <w:pPr>
        <w:numPr>
          <w:ilvl w:val="0"/>
          <w:numId w:val="51"/>
        </w:numPr>
        <w:spacing w:line="360" w:lineRule="auto"/>
        <w:ind w:left="0" w:firstLine="420" w:firstLineChars="200"/>
        <w:rPr>
          <w:bCs/>
          <w:color w:val="auto"/>
          <w:highlight w:val="none"/>
        </w:rPr>
      </w:pPr>
      <w:r>
        <w:rPr>
          <w:rFonts w:hint="eastAsia"/>
          <w:bCs/>
          <w:color w:val="auto"/>
          <w:highlight w:val="none"/>
        </w:rPr>
        <w:t>安全性：由于指挥中心的系统通过多种方式和外界发生联系，因此在建设中采用完善的安全防范措施，并充分考虑灾难恢复的方法和手段。</w:t>
      </w:r>
    </w:p>
    <w:p w14:paraId="20DF6709">
      <w:pPr>
        <w:numPr>
          <w:ilvl w:val="0"/>
          <w:numId w:val="51"/>
        </w:numPr>
        <w:spacing w:line="360" w:lineRule="auto"/>
        <w:ind w:left="0" w:firstLine="420" w:firstLineChars="200"/>
        <w:rPr>
          <w:bCs/>
          <w:color w:val="auto"/>
          <w:highlight w:val="none"/>
        </w:rPr>
      </w:pPr>
      <w:r>
        <w:rPr>
          <w:rFonts w:hint="eastAsia"/>
          <w:bCs/>
          <w:color w:val="auto"/>
          <w:highlight w:val="none"/>
        </w:rPr>
        <w:t>先进性：系统采用先进、成熟技术，兼具发展潜力。</w:t>
      </w:r>
    </w:p>
    <w:p w14:paraId="2CD1A8BA">
      <w:pPr>
        <w:numPr>
          <w:ilvl w:val="0"/>
          <w:numId w:val="51"/>
        </w:numPr>
        <w:spacing w:line="360" w:lineRule="auto"/>
        <w:ind w:left="0" w:firstLine="420" w:firstLineChars="200"/>
        <w:rPr>
          <w:bCs/>
          <w:color w:val="auto"/>
          <w:highlight w:val="none"/>
        </w:rPr>
      </w:pPr>
      <w:r>
        <w:rPr>
          <w:rFonts w:hint="eastAsia"/>
          <w:bCs/>
          <w:color w:val="auto"/>
          <w:highlight w:val="none"/>
        </w:rPr>
        <w:t>可靠性：指挥中心必须高可靠地连续运行。在经济条件允许范围内，从系统结构、设计方案、技术保障等方面综合考虑系统设计，使得系统稳定可靠，尽量减少故障率和不利影响。</w:t>
      </w:r>
    </w:p>
    <w:p w14:paraId="4E062F0F">
      <w:pPr>
        <w:numPr>
          <w:ilvl w:val="0"/>
          <w:numId w:val="51"/>
        </w:numPr>
        <w:spacing w:line="360" w:lineRule="auto"/>
        <w:ind w:left="0" w:firstLine="420" w:firstLineChars="200"/>
        <w:rPr>
          <w:bCs/>
          <w:color w:val="auto"/>
          <w:highlight w:val="none"/>
        </w:rPr>
      </w:pPr>
      <w:r>
        <w:rPr>
          <w:rFonts w:hint="eastAsia"/>
          <w:bCs/>
          <w:color w:val="auto"/>
          <w:highlight w:val="none"/>
        </w:rPr>
        <w:t>开放性：指挥中心涉及的关键技术大多属于高速发展的领域，为了保证各项设备和系统协调运行，指挥中心系统必须具有开放性。</w:t>
      </w:r>
    </w:p>
    <w:p w14:paraId="4629EB0C">
      <w:pPr>
        <w:numPr>
          <w:ilvl w:val="0"/>
          <w:numId w:val="51"/>
        </w:numPr>
        <w:spacing w:line="360" w:lineRule="auto"/>
        <w:ind w:left="0" w:firstLine="420" w:firstLineChars="200"/>
        <w:rPr>
          <w:bCs/>
          <w:color w:val="auto"/>
          <w:highlight w:val="none"/>
        </w:rPr>
      </w:pPr>
      <w:r>
        <w:rPr>
          <w:rFonts w:hint="eastAsia"/>
          <w:bCs/>
          <w:color w:val="auto"/>
          <w:highlight w:val="none"/>
        </w:rPr>
        <w:t>可扩充性：考虑到业务在不断发展、变化，因此要求指挥中心在结构、容量、通信和处理能力等方面具有扩充性和升级的能力。</w:t>
      </w:r>
    </w:p>
    <w:p w14:paraId="12B5231C">
      <w:pPr>
        <w:numPr>
          <w:ilvl w:val="0"/>
          <w:numId w:val="51"/>
        </w:numPr>
        <w:spacing w:line="360" w:lineRule="auto"/>
        <w:ind w:left="0" w:firstLine="420" w:firstLineChars="200"/>
        <w:rPr>
          <w:bCs/>
          <w:color w:val="auto"/>
          <w:highlight w:val="none"/>
        </w:rPr>
      </w:pPr>
      <w:r>
        <w:rPr>
          <w:rFonts w:hint="eastAsia"/>
          <w:bCs/>
          <w:color w:val="auto"/>
          <w:highlight w:val="none"/>
        </w:rPr>
        <w:t>经济性：指挥中心的设备尽量可能采用性能价格比高的产品。</w:t>
      </w:r>
    </w:p>
    <w:p w14:paraId="6002CB5E">
      <w:pPr>
        <w:pStyle w:val="11"/>
        <w:spacing w:before="0" w:after="0" w:line="360" w:lineRule="auto"/>
        <w:ind w:firstLine="562" w:firstLineChars="200"/>
        <w:rPr>
          <w:color w:val="auto"/>
          <w:highlight w:val="none"/>
        </w:rPr>
      </w:pPr>
      <w:r>
        <w:rPr>
          <w:rFonts w:hint="eastAsia"/>
          <w:color w:val="auto"/>
          <w:highlight w:val="none"/>
        </w:rPr>
        <w:t>设计方案</w:t>
      </w:r>
    </w:p>
    <w:p w14:paraId="79220966">
      <w:pPr>
        <w:spacing w:line="360" w:lineRule="auto"/>
        <w:ind w:firstLine="420" w:firstLineChars="200"/>
        <w:rPr>
          <w:rFonts w:ascii="宋体" w:hAnsi="宋体"/>
          <w:bCs/>
          <w:color w:val="auto"/>
          <w:highlight w:val="none"/>
        </w:rPr>
      </w:pPr>
      <w:r>
        <w:rPr>
          <w:rFonts w:hint="eastAsia" w:ascii="宋体" w:hAnsi="宋体"/>
          <w:bCs/>
          <w:color w:val="auto"/>
          <w:highlight w:val="none"/>
        </w:rPr>
        <w:t>本监狱指挥中心系统呈三级架构（指挥中心-联勤值班室-分控中心），指挥中心统管狱内各联勤值班室；分控中心由本层联勤值班室管理，不设联勤值班室的建筑物由指挥中心统一管理。同时，枪械弹药库不设联勤值班室，其监控图像和报警信号直接传入本监狱指挥中心。指挥中心可以在后期武警入驻后与其共享监狱周界安防信息（如：周界视频监控图像、周界报警信息），同时应预留好对接接口，满足武警部队看押勤务的相关</w:t>
      </w:r>
      <w:r>
        <w:rPr>
          <w:rFonts w:ascii="宋体" w:hAnsi="宋体"/>
          <w:bCs/>
          <w:color w:val="auto"/>
          <w:highlight w:val="none"/>
        </w:rPr>
        <w:t>配套</w:t>
      </w:r>
      <w:r>
        <w:rPr>
          <w:rFonts w:hint="eastAsia" w:ascii="宋体" w:hAnsi="宋体"/>
          <w:bCs/>
          <w:color w:val="auto"/>
          <w:highlight w:val="none"/>
        </w:rPr>
        <w:t>建设要求。</w:t>
      </w:r>
    </w:p>
    <w:p w14:paraId="0863898D">
      <w:pPr>
        <w:spacing w:line="360" w:lineRule="auto"/>
        <w:ind w:firstLine="420" w:firstLineChars="200"/>
        <w:rPr>
          <w:rFonts w:ascii="宋体" w:hAnsi="宋体"/>
          <w:bCs/>
          <w:color w:val="auto"/>
          <w:highlight w:val="none"/>
        </w:rPr>
      </w:pPr>
      <w:r>
        <w:rPr>
          <w:rFonts w:hint="eastAsia" w:ascii="宋体" w:hAnsi="宋体"/>
          <w:bCs/>
          <w:color w:val="auto"/>
          <w:highlight w:val="none"/>
        </w:rPr>
        <w:t>本监狱监管区指挥中心大厅位于监管区大门楼上三层，房间尺寸为：长17.3m*宽14.8m，系统设计内容包括综合布线系统、视频监控系统、显示系统、控制系统、装修系统、电气系统、空调系统、操作控制台及平面布局设计等。其中，指挥中心大厅综合布线系统及视频监控系统设计分别计入项目</w:t>
      </w:r>
      <w:r>
        <w:rPr>
          <w:rFonts w:ascii="宋体" w:hAnsi="宋体"/>
          <w:bCs/>
          <w:color w:val="auto"/>
          <w:highlight w:val="none"/>
        </w:rPr>
        <w:t>整体的</w:t>
      </w:r>
      <w:r>
        <w:rPr>
          <w:rFonts w:hint="eastAsia" w:ascii="宋体" w:hAnsi="宋体"/>
          <w:bCs/>
          <w:color w:val="auto"/>
          <w:highlight w:val="none"/>
        </w:rPr>
        <w:t xml:space="preserve"> “综合布线系统”和“视频监控系统”。</w:t>
      </w:r>
    </w:p>
    <w:p w14:paraId="694ED55D">
      <w:pPr>
        <w:spacing w:line="360" w:lineRule="auto"/>
        <w:ind w:firstLine="420" w:firstLineChars="200"/>
        <w:jc w:val="center"/>
        <w:rPr>
          <w:rFonts w:ascii="宋体" w:hAnsi="宋体"/>
          <w:bCs/>
          <w:color w:val="auto"/>
          <w:highlight w:val="none"/>
        </w:rPr>
      </w:pPr>
      <w:r>
        <w:rPr>
          <w:bCs/>
          <w:color w:val="auto"/>
          <w:highlight w:val="none"/>
        </w:rPr>
        <w:drawing>
          <wp:inline distT="0" distB="0" distL="114300" distR="114300">
            <wp:extent cx="3718560" cy="3452495"/>
            <wp:effectExtent l="0" t="0" r="15240" b="14605"/>
            <wp:docPr id="3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7"/>
                    <pic:cNvPicPr>
                      <a:picLocks noChangeAspect="1"/>
                    </pic:cNvPicPr>
                  </pic:nvPicPr>
                  <pic:blipFill>
                    <a:blip r:embed="rId52"/>
                    <a:stretch>
                      <a:fillRect/>
                    </a:stretch>
                  </pic:blipFill>
                  <pic:spPr>
                    <a:xfrm>
                      <a:off x="0" y="0"/>
                      <a:ext cx="3718560" cy="3452495"/>
                    </a:xfrm>
                    <a:prstGeom prst="rect">
                      <a:avLst/>
                    </a:prstGeom>
                    <a:noFill/>
                    <a:ln>
                      <a:noFill/>
                    </a:ln>
                  </pic:spPr>
                </pic:pic>
              </a:graphicData>
            </a:graphic>
          </wp:inline>
        </w:drawing>
      </w:r>
    </w:p>
    <w:p w14:paraId="1AC9E058">
      <w:pPr>
        <w:spacing w:line="360" w:lineRule="auto"/>
        <w:ind w:firstLine="420" w:firstLineChars="200"/>
        <w:jc w:val="center"/>
        <w:rPr>
          <w:rFonts w:ascii="宋体" w:hAnsi="宋体"/>
          <w:bCs/>
          <w:color w:val="auto"/>
          <w:highlight w:val="none"/>
        </w:rPr>
      </w:pPr>
      <w:r>
        <w:rPr>
          <w:bCs/>
          <w:color w:val="auto"/>
          <w:highlight w:val="none"/>
        </w:rPr>
        <w:drawing>
          <wp:inline distT="0" distB="0" distL="114300" distR="114300">
            <wp:extent cx="3746500" cy="2883535"/>
            <wp:effectExtent l="0" t="0" r="6350" b="12065"/>
            <wp:docPr id="3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8"/>
                    <pic:cNvPicPr>
                      <a:picLocks noChangeAspect="1"/>
                    </pic:cNvPicPr>
                  </pic:nvPicPr>
                  <pic:blipFill>
                    <a:blip r:embed="rId53"/>
                    <a:stretch>
                      <a:fillRect/>
                    </a:stretch>
                  </pic:blipFill>
                  <pic:spPr>
                    <a:xfrm>
                      <a:off x="0" y="0"/>
                      <a:ext cx="3746500" cy="2883535"/>
                    </a:xfrm>
                    <a:prstGeom prst="rect">
                      <a:avLst/>
                    </a:prstGeom>
                    <a:noFill/>
                    <a:ln>
                      <a:noFill/>
                    </a:ln>
                  </pic:spPr>
                </pic:pic>
              </a:graphicData>
            </a:graphic>
          </wp:inline>
        </w:drawing>
      </w:r>
    </w:p>
    <w:p w14:paraId="0002FCA0">
      <w:pPr>
        <w:spacing w:line="360" w:lineRule="auto"/>
        <w:ind w:firstLine="420" w:firstLineChars="200"/>
        <w:jc w:val="center"/>
        <w:rPr>
          <w:rFonts w:ascii="宋体" w:hAnsi="宋体"/>
          <w:bCs/>
          <w:color w:val="auto"/>
          <w:highlight w:val="none"/>
        </w:rPr>
      </w:pPr>
    </w:p>
    <w:p w14:paraId="26F836E7">
      <w:pPr>
        <w:pStyle w:val="12"/>
        <w:tabs>
          <w:tab w:val="left" w:pos="864"/>
        </w:tabs>
        <w:spacing w:line="360" w:lineRule="auto"/>
        <w:ind w:left="0" w:firstLine="420" w:firstLineChars="200"/>
        <w:rPr>
          <w:color w:val="auto"/>
          <w:highlight w:val="none"/>
        </w:rPr>
      </w:pPr>
      <w:r>
        <w:rPr>
          <w:color w:val="auto"/>
          <w:highlight w:val="none"/>
        </w:rPr>
        <w:t>显示系统</w:t>
      </w:r>
    </w:p>
    <w:p w14:paraId="634F1248">
      <w:pPr>
        <w:spacing w:line="360" w:lineRule="auto"/>
        <w:ind w:firstLine="420" w:firstLineChars="200"/>
        <w:rPr>
          <w:bCs/>
          <w:color w:val="auto"/>
          <w:highlight w:val="none"/>
        </w:rPr>
      </w:pPr>
      <w:r>
        <w:rPr>
          <w:rFonts w:hint="eastAsia"/>
          <w:bCs/>
          <w:color w:val="auto"/>
          <w:highlight w:val="none"/>
        </w:rPr>
        <w:t>显示系统主要显示来自视频会议、视频监控以及桌面终端的各种图像、视频等内容。可以实现视频会议图像、监控图像、计算机屏幕信号及指挥大厅内桌面插座的输入图像都能在大屏幕上同时分别显示，并可以将图像进行跨屏、漫游及开窗显示。</w:t>
      </w:r>
    </w:p>
    <w:p w14:paraId="581DB18D">
      <w:pPr>
        <w:spacing w:line="360" w:lineRule="auto"/>
        <w:ind w:firstLine="420" w:firstLineChars="200"/>
        <w:rPr>
          <w:bCs/>
          <w:color w:val="auto"/>
          <w:highlight w:val="none"/>
        </w:rPr>
      </w:pPr>
      <w:r>
        <w:rPr>
          <w:rFonts w:hint="eastAsia"/>
          <w:bCs/>
          <w:color w:val="auto"/>
          <w:highlight w:val="none"/>
        </w:rPr>
        <w:t>显示系统液晶大屏及电视墙为指挥中心的主要显示设备，主要显示计算机信号和视频信号。本次设计监控指挥中心主显示系统由40块55"DID液晶单元按5行8列拼接而成，安装在指挥中心大厅西侧。另外在拼接大屏的两侧分别安装1块尺寸约为长3.417m*宽1.021m（单块面积约3.5m</w:t>
      </w:r>
      <w:r>
        <w:rPr>
          <w:rFonts w:ascii="Calibri" w:hAnsi="Calibri" w:cs="Calibri"/>
          <w:bCs/>
          <w:color w:val="auto"/>
          <w:highlight w:val="none"/>
        </w:rPr>
        <w:t>²</w:t>
      </w:r>
      <w:r>
        <w:rPr>
          <w:rFonts w:hint="eastAsia"/>
          <w:bCs/>
          <w:color w:val="auto"/>
          <w:highlight w:val="none"/>
        </w:rPr>
        <w:t>）的双基色LED屏，在拼接屏上方安装1块尺寸约为长9.734m*宽0.461m（单块面积约4.5m</w:t>
      </w:r>
      <w:r>
        <w:rPr>
          <w:rFonts w:ascii="Calibri" w:hAnsi="Calibri" w:cs="Calibri"/>
          <w:bCs/>
          <w:color w:val="auto"/>
          <w:highlight w:val="none"/>
        </w:rPr>
        <w:t>²</w:t>
      </w:r>
      <w:r>
        <w:rPr>
          <w:rFonts w:hint="eastAsia"/>
          <w:bCs/>
          <w:color w:val="auto"/>
          <w:highlight w:val="none"/>
        </w:rPr>
        <w:t>）。</w:t>
      </w:r>
    </w:p>
    <w:p w14:paraId="1150E84B">
      <w:pPr>
        <w:spacing w:line="360" w:lineRule="auto"/>
        <w:ind w:firstLine="420" w:firstLineChars="200"/>
        <w:rPr>
          <w:bCs/>
          <w:color w:val="auto"/>
          <w:highlight w:val="none"/>
        </w:rPr>
      </w:pPr>
      <w:r>
        <w:rPr>
          <w:bCs/>
          <w:color w:val="auto"/>
          <w:highlight w:val="none"/>
        </w:rPr>
        <w:t>屏体离地高度根据大厅高度空间设计为</w:t>
      </w:r>
      <w:r>
        <w:rPr>
          <w:rFonts w:hint="eastAsia"/>
          <w:bCs/>
          <w:color w:val="auto"/>
          <w:highlight w:val="none"/>
        </w:rPr>
        <w:t>1m，值班警察与最下排监控屏幕的视角约为15度。</w:t>
      </w:r>
      <w:r>
        <w:rPr>
          <w:bCs/>
          <w:color w:val="auto"/>
          <w:highlight w:val="none"/>
        </w:rPr>
        <w:t>大屏幕屏体四周装修设计的颜色和质感与大厅整体设计风格一致，大屏幕为后维护式，屏体背部为</w:t>
      </w:r>
      <w:r>
        <w:rPr>
          <w:rFonts w:hint="eastAsia"/>
          <w:bCs/>
          <w:color w:val="auto"/>
          <w:highlight w:val="none"/>
        </w:rPr>
        <w:t>检修</w:t>
      </w:r>
      <w:r>
        <w:rPr>
          <w:bCs/>
          <w:color w:val="auto"/>
          <w:highlight w:val="none"/>
        </w:rPr>
        <w:t>通道。</w:t>
      </w:r>
    </w:p>
    <w:p w14:paraId="5727394F">
      <w:pPr>
        <w:spacing w:line="360" w:lineRule="auto"/>
        <w:ind w:firstLine="420" w:firstLineChars="200"/>
        <w:rPr>
          <w:bCs/>
          <w:color w:val="auto"/>
          <w:highlight w:val="none"/>
        </w:rPr>
      </w:pPr>
      <w:r>
        <w:rPr>
          <w:bCs/>
          <w:color w:val="auto"/>
          <w:highlight w:val="none"/>
        </w:rPr>
        <w:t>整个</w:t>
      </w:r>
      <w:r>
        <w:rPr>
          <w:rFonts w:hint="eastAsia"/>
          <w:bCs/>
          <w:color w:val="auto"/>
          <w:highlight w:val="none"/>
        </w:rPr>
        <w:t>液晶</w:t>
      </w:r>
      <w:r>
        <w:rPr>
          <w:bCs/>
          <w:color w:val="auto"/>
          <w:highlight w:val="none"/>
        </w:rPr>
        <w:t>显示屏由4</w:t>
      </w:r>
      <w:r>
        <w:rPr>
          <w:rFonts w:hint="eastAsia"/>
          <w:bCs/>
          <w:color w:val="auto"/>
          <w:highlight w:val="none"/>
        </w:rPr>
        <w:t>0块</w:t>
      </w:r>
      <w:r>
        <w:rPr>
          <w:bCs/>
          <w:color w:val="auto"/>
          <w:highlight w:val="none"/>
        </w:rPr>
        <w:t>55</w:t>
      </w:r>
      <w:r>
        <w:rPr>
          <w:rFonts w:hint="eastAsia"/>
          <w:bCs/>
          <w:color w:val="auto"/>
          <w:highlight w:val="none"/>
        </w:rPr>
        <w:t>”液晶拼接屏与2块3.5m</w:t>
      </w:r>
      <w:r>
        <w:rPr>
          <w:rFonts w:ascii="Calibri" w:hAnsi="Calibri" w:cs="Calibri"/>
          <w:bCs/>
          <w:color w:val="auto"/>
          <w:highlight w:val="none"/>
        </w:rPr>
        <w:t>²</w:t>
      </w:r>
      <w:r>
        <w:rPr>
          <w:rFonts w:hint="eastAsia"/>
          <w:bCs/>
          <w:color w:val="auto"/>
          <w:highlight w:val="none"/>
        </w:rPr>
        <w:t>的双基色LED屏</w:t>
      </w:r>
      <w:r>
        <w:rPr>
          <w:bCs/>
          <w:color w:val="auto"/>
          <w:highlight w:val="none"/>
        </w:rPr>
        <w:t>组成，其中</w:t>
      </w:r>
      <w:r>
        <w:rPr>
          <w:rFonts w:hint="eastAsia"/>
          <w:bCs/>
          <w:color w:val="auto"/>
          <w:highlight w:val="none"/>
        </w:rPr>
        <w:t>拼接屏</w:t>
      </w:r>
      <w:r>
        <w:rPr>
          <w:bCs/>
          <w:color w:val="auto"/>
          <w:highlight w:val="none"/>
        </w:rPr>
        <w:t>单个箱体峰值功率为600W考虑,</w:t>
      </w:r>
      <w:r>
        <w:rPr>
          <w:rFonts w:hint="eastAsia"/>
          <w:bCs/>
          <w:color w:val="auto"/>
          <w:highlight w:val="none"/>
        </w:rPr>
        <w:t>全部拼接</w:t>
      </w:r>
      <w:r>
        <w:rPr>
          <w:bCs/>
          <w:color w:val="auto"/>
          <w:highlight w:val="none"/>
        </w:rPr>
        <w:t>屏峰值功率600W*4</w:t>
      </w:r>
      <w:r>
        <w:rPr>
          <w:rFonts w:hint="eastAsia"/>
          <w:bCs/>
          <w:color w:val="auto"/>
          <w:highlight w:val="none"/>
        </w:rPr>
        <w:t>0</w:t>
      </w:r>
      <w:r>
        <w:rPr>
          <w:bCs/>
          <w:color w:val="auto"/>
          <w:highlight w:val="none"/>
        </w:rPr>
        <w:t>=2</w:t>
      </w:r>
      <w:r>
        <w:rPr>
          <w:rFonts w:hint="eastAsia"/>
          <w:bCs/>
          <w:color w:val="auto"/>
          <w:highlight w:val="none"/>
        </w:rPr>
        <w:t>4</w:t>
      </w:r>
      <w:r>
        <w:rPr>
          <w:bCs/>
          <w:color w:val="auto"/>
          <w:highlight w:val="none"/>
        </w:rPr>
        <w:t>KW</w:t>
      </w:r>
      <w:r>
        <w:rPr>
          <w:rFonts w:hint="eastAsia"/>
          <w:bCs/>
          <w:color w:val="auto"/>
          <w:highlight w:val="none"/>
        </w:rPr>
        <w:t>；双基色LED屏功率按照300W/m</w:t>
      </w:r>
      <w:r>
        <w:rPr>
          <w:rFonts w:ascii="Calibri" w:hAnsi="Calibri" w:cs="Calibri"/>
          <w:bCs/>
          <w:color w:val="auto"/>
          <w:highlight w:val="none"/>
        </w:rPr>
        <w:t>²</w:t>
      </w:r>
      <w:r>
        <w:rPr>
          <w:rFonts w:hint="eastAsia"/>
          <w:bCs/>
          <w:color w:val="auto"/>
          <w:highlight w:val="none"/>
        </w:rPr>
        <w:t>考虑，总功率为300W*11.5=3.45KW，所以显示系统总功耗为27.45KW</w:t>
      </w:r>
      <w:r>
        <w:rPr>
          <w:bCs/>
          <w:color w:val="auto"/>
          <w:highlight w:val="none"/>
        </w:rPr>
        <w:t>。由于</w:t>
      </w:r>
      <w:r>
        <w:rPr>
          <w:rFonts w:hint="eastAsia"/>
          <w:bCs/>
          <w:color w:val="auto"/>
          <w:highlight w:val="none"/>
        </w:rPr>
        <w:t>液晶</w:t>
      </w:r>
      <w:r>
        <w:rPr>
          <w:bCs/>
          <w:color w:val="auto"/>
          <w:highlight w:val="none"/>
        </w:rPr>
        <w:t>显示屏开关电源属于感性器件，为</w:t>
      </w:r>
      <w:r>
        <w:rPr>
          <w:rFonts w:hint="eastAsia"/>
          <w:bCs/>
          <w:color w:val="auto"/>
          <w:highlight w:val="none"/>
        </w:rPr>
        <w:t>其</w:t>
      </w:r>
      <w:r>
        <w:rPr>
          <w:bCs/>
          <w:color w:val="auto"/>
          <w:highlight w:val="none"/>
        </w:rPr>
        <w:t>配电时要考虑瞬间启动电流过大对电网的冲击，因此针对本项目配电柜采用</w:t>
      </w:r>
      <w:r>
        <w:rPr>
          <w:rFonts w:hint="eastAsia"/>
          <w:bCs/>
          <w:color w:val="auto"/>
          <w:highlight w:val="none"/>
        </w:rPr>
        <w:t>30</w:t>
      </w:r>
      <w:r>
        <w:rPr>
          <w:bCs/>
          <w:color w:val="auto"/>
          <w:highlight w:val="none"/>
        </w:rPr>
        <w:t>KW配电柜。30KW配电柜安装在</w:t>
      </w:r>
      <w:r>
        <w:rPr>
          <w:rFonts w:hint="eastAsia"/>
          <w:bCs/>
          <w:color w:val="auto"/>
          <w:highlight w:val="none"/>
        </w:rPr>
        <w:t>液晶</w:t>
      </w:r>
      <w:r>
        <w:rPr>
          <w:bCs/>
          <w:color w:val="auto"/>
          <w:highlight w:val="none"/>
        </w:rPr>
        <w:t>显示屏检修空间内，配电柜内含有PLC远程控制及环境监控系统，可实时获取屏体内部温度，烟雾等环境数据，并能进行远程开关机的操作。</w:t>
      </w:r>
    </w:p>
    <w:p w14:paraId="1E9FCCB4">
      <w:pPr>
        <w:pStyle w:val="12"/>
        <w:tabs>
          <w:tab w:val="left" w:pos="864"/>
        </w:tabs>
        <w:spacing w:line="360" w:lineRule="auto"/>
        <w:ind w:left="0" w:firstLine="420" w:firstLineChars="200"/>
        <w:rPr>
          <w:color w:val="auto"/>
          <w:highlight w:val="none"/>
        </w:rPr>
      </w:pPr>
      <w:r>
        <w:rPr>
          <w:color w:val="auto"/>
          <w:highlight w:val="none"/>
        </w:rPr>
        <w:t>控制系统</w:t>
      </w:r>
    </w:p>
    <w:p w14:paraId="2C294892">
      <w:pPr>
        <w:spacing w:line="360" w:lineRule="auto"/>
        <w:ind w:firstLine="420" w:firstLineChars="200"/>
        <w:jc w:val="center"/>
        <w:rPr>
          <w:bCs/>
          <w:color w:val="auto"/>
          <w:highlight w:val="none"/>
          <w:lang w:val="zh-CN"/>
        </w:rPr>
      </w:pPr>
      <w:r>
        <w:rPr>
          <w:bCs/>
          <w:color w:val="auto"/>
          <w:highlight w:val="none"/>
        </w:rPr>
        <w:drawing>
          <wp:inline distT="0" distB="0" distL="114300" distR="114300">
            <wp:extent cx="5273040" cy="2891790"/>
            <wp:effectExtent l="0" t="0" r="3810" b="3810"/>
            <wp:docPr id="36" name="图片 3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9" descr="3"/>
                    <pic:cNvPicPr>
                      <a:picLocks noChangeAspect="1"/>
                    </pic:cNvPicPr>
                  </pic:nvPicPr>
                  <pic:blipFill>
                    <a:blip r:embed="rId54"/>
                    <a:srcRect b="22266"/>
                    <a:stretch>
                      <a:fillRect/>
                    </a:stretch>
                  </pic:blipFill>
                  <pic:spPr>
                    <a:xfrm>
                      <a:off x="0" y="0"/>
                      <a:ext cx="5273040" cy="2891790"/>
                    </a:xfrm>
                    <a:prstGeom prst="rect">
                      <a:avLst/>
                    </a:prstGeom>
                    <a:noFill/>
                    <a:ln>
                      <a:noFill/>
                    </a:ln>
                  </pic:spPr>
                </pic:pic>
              </a:graphicData>
            </a:graphic>
          </wp:inline>
        </w:drawing>
      </w:r>
    </w:p>
    <w:p w14:paraId="0013DFD3">
      <w:pPr>
        <w:spacing w:line="360" w:lineRule="auto"/>
        <w:ind w:firstLine="420" w:firstLineChars="200"/>
        <w:rPr>
          <w:bCs/>
          <w:snapToGrid w:val="0"/>
          <w:color w:val="auto"/>
          <w:kern w:val="24"/>
          <w:highlight w:val="none"/>
        </w:rPr>
      </w:pPr>
      <w:r>
        <w:rPr>
          <w:rFonts w:hint="eastAsia"/>
          <w:bCs/>
          <w:color w:val="auto"/>
          <w:highlight w:val="none"/>
        </w:rPr>
        <w:t>如</w:t>
      </w:r>
      <w:r>
        <w:rPr>
          <w:bCs/>
          <w:color w:val="auto"/>
          <w:highlight w:val="none"/>
        </w:rPr>
        <w:t>上图所示</w:t>
      </w:r>
      <w:r>
        <w:rPr>
          <w:rFonts w:hint="eastAsia"/>
          <w:bCs/>
          <w:color w:val="auto"/>
          <w:highlight w:val="none"/>
        </w:rPr>
        <w:t>，指挥中心的电视墙控制系统采用集成“解码+拼控”功能为一体的拼接</w:t>
      </w:r>
      <w:r>
        <w:rPr>
          <w:bCs/>
          <w:color w:val="auto"/>
          <w:highlight w:val="none"/>
        </w:rPr>
        <w:t>解码控制器</w:t>
      </w:r>
      <w:r>
        <w:rPr>
          <w:rFonts w:hint="eastAsia"/>
          <w:bCs/>
          <w:color w:val="auto"/>
          <w:highlight w:val="none"/>
        </w:rPr>
        <w:t>，实现对各种视音频</w:t>
      </w:r>
      <w:r>
        <w:rPr>
          <w:rFonts w:hint="eastAsia"/>
          <w:bCs/>
          <w:snapToGrid w:val="0"/>
          <w:color w:val="auto"/>
          <w:kern w:val="24"/>
          <w:highlight w:val="none"/>
        </w:rPr>
        <w:t>信号</w:t>
      </w:r>
      <w:r>
        <w:rPr>
          <w:bCs/>
          <w:snapToGrid w:val="0"/>
          <w:color w:val="auto"/>
          <w:kern w:val="24"/>
          <w:highlight w:val="none"/>
        </w:rPr>
        <w:t>资源的统一管理，通过</w:t>
      </w:r>
      <w:r>
        <w:rPr>
          <w:rFonts w:hint="eastAsia"/>
          <w:bCs/>
          <w:snapToGrid w:val="0"/>
          <w:color w:val="auto"/>
          <w:kern w:val="24"/>
          <w:highlight w:val="none"/>
        </w:rPr>
        <w:t>拼接解码控制器进行</w:t>
      </w:r>
      <w:r>
        <w:rPr>
          <w:bCs/>
          <w:snapToGrid w:val="0"/>
          <w:color w:val="auto"/>
          <w:kern w:val="24"/>
          <w:highlight w:val="none"/>
        </w:rPr>
        <w:t>统一编码、统一控制和统一切换输出</w:t>
      </w:r>
      <w:r>
        <w:rPr>
          <w:rFonts w:hint="eastAsia"/>
          <w:bCs/>
          <w:snapToGrid w:val="0"/>
          <w:color w:val="auto"/>
          <w:kern w:val="24"/>
          <w:highlight w:val="none"/>
        </w:rPr>
        <w:t>，并可</w:t>
      </w:r>
      <w:r>
        <w:rPr>
          <w:rFonts w:hint="eastAsia"/>
          <w:bCs/>
          <w:color w:val="auto"/>
          <w:highlight w:val="none"/>
        </w:rPr>
        <w:t>以通过开窗方式实现任意缩放、拖动、拼接、漫游等功能</w:t>
      </w:r>
      <w:r>
        <w:rPr>
          <w:bCs/>
          <w:snapToGrid w:val="0"/>
          <w:color w:val="auto"/>
          <w:kern w:val="24"/>
          <w:highlight w:val="none"/>
        </w:rPr>
        <w:t>。</w:t>
      </w:r>
    </w:p>
    <w:p w14:paraId="71CF22F7">
      <w:pPr>
        <w:spacing w:line="360" w:lineRule="auto"/>
        <w:ind w:firstLine="420" w:firstLineChars="200"/>
        <w:rPr>
          <w:bCs/>
          <w:color w:val="auto"/>
          <w:highlight w:val="none"/>
        </w:rPr>
      </w:pPr>
      <w:r>
        <w:rPr>
          <w:rFonts w:hint="eastAsia"/>
          <w:bCs/>
          <w:color w:val="auto"/>
          <w:highlight w:val="none"/>
        </w:rPr>
        <w:t>整个系统的信号源包括坐席桌面计算机群、视频会议终端及视频监控前端等，其中各种视音频信号传输到监控指挥中心后按照其各自的接入方式接入拼接解码控制器，拼接解码控制器实现混合接入，将不同的视音频信号接入拼接解码控制器进行统一处理、统一上墙。</w:t>
      </w:r>
    </w:p>
    <w:p w14:paraId="485E3671">
      <w:pPr>
        <w:spacing w:line="360" w:lineRule="auto"/>
        <w:ind w:firstLine="420" w:firstLineChars="200"/>
        <w:rPr>
          <w:bCs/>
          <w:color w:val="auto"/>
          <w:highlight w:val="none"/>
        </w:rPr>
      </w:pPr>
      <w:r>
        <w:rPr>
          <w:rFonts w:hint="eastAsia"/>
          <w:bCs/>
          <w:color w:val="auto"/>
          <w:highlight w:val="none"/>
        </w:rPr>
        <w:t>拼接解码控制器采用插拔式模块化、机架式设计，由主机箱（含交换背板）、主控板、冗余电源、插拔式散热模块、级联扩展板、各类视音频输入输出业务板等组成，用户可以按照功能要求灵活配置，也能满足未来功能扩展升级和系统改造的需要。该</w:t>
      </w:r>
      <w:r>
        <w:rPr>
          <w:bCs/>
          <w:color w:val="auto"/>
          <w:highlight w:val="none"/>
        </w:rPr>
        <w:t>设备的主要功能如下：</w:t>
      </w:r>
    </w:p>
    <w:p w14:paraId="11F683D0">
      <w:pPr>
        <w:numPr>
          <w:ilvl w:val="0"/>
          <w:numId w:val="52"/>
        </w:numPr>
        <w:spacing w:line="360" w:lineRule="auto"/>
        <w:ind w:left="0" w:firstLine="420" w:firstLineChars="200"/>
        <w:rPr>
          <w:rFonts w:ascii="仿宋" w:hAnsi="仿宋"/>
          <w:bCs/>
          <w:color w:val="auto"/>
          <w:highlight w:val="none"/>
        </w:rPr>
      </w:pPr>
      <w:r>
        <w:rPr>
          <w:rFonts w:hint="eastAsia" w:ascii="仿宋" w:hAnsi="仿宋"/>
          <w:bCs/>
          <w:color w:val="auto"/>
          <w:highlight w:val="none"/>
        </w:rPr>
        <w:t>音视频信号接入</w:t>
      </w:r>
    </w:p>
    <w:p w14:paraId="2024F48E">
      <w:pPr>
        <w:spacing w:line="360" w:lineRule="auto"/>
        <w:ind w:firstLine="420" w:firstLineChars="200"/>
        <w:rPr>
          <w:rFonts w:ascii="仿宋" w:hAnsi="仿宋"/>
          <w:bCs/>
          <w:color w:val="auto"/>
          <w:highlight w:val="none"/>
        </w:rPr>
      </w:pPr>
      <w:r>
        <w:rPr>
          <w:rFonts w:hint="eastAsia" w:ascii="仿宋" w:hAnsi="仿宋"/>
          <w:bCs/>
          <w:color w:val="auto"/>
          <w:highlight w:val="none"/>
        </w:rPr>
        <w:t>在视音频接入方面，拼接解码控制器可选用主控板网络接口、光纤输入业务板等实现网络监控视频信号、光纤监控视频信号等视音频信号接入，配合视音频输出板即可完成所有视音频的解码上墙显示，同时支持大屏拼接控制功能。</w:t>
      </w:r>
    </w:p>
    <w:p w14:paraId="1D58731D">
      <w:pPr>
        <w:numPr>
          <w:ilvl w:val="0"/>
          <w:numId w:val="52"/>
        </w:numPr>
        <w:spacing w:line="360" w:lineRule="auto"/>
        <w:ind w:left="0" w:firstLine="420" w:firstLineChars="200"/>
        <w:rPr>
          <w:rFonts w:ascii="仿宋" w:hAnsi="仿宋"/>
          <w:bCs/>
          <w:color w:val="auto"/>
          <w:highlight w:val="none"/>
        </w:rPr>
      </w:pPr>
      <w:r>
        <w:rPr>
          <w:rFonts w:hint="eastAsia" w:ascii="仿宋" w:hAnsi="仿宋"/>
          <w:bCs/>
          <w:color w:val="auto"/>
          <w:highlight w:val="none"/>
        </w:rPr>
        <w:t>计算机信号接入</w:t>
      </w:r>
    </w:p>
    <w:p w14:paraId="7D60DC58">
      <w:pPr>
        <w:spacing w:line="360" w:lineRule="auto"/>
        <w:ind w:firstLine="420" w:firstLineChars="200"/>
        <w:rPr>
          <w:rFonts w:ascii="仿宋" w:hAnsi="仿宋"/>
          <w:bCs/>
          <w:color w:val="auto"/>
          <w:highlight w:val="none"/>
        </w:rPr>
      </w:pPr>
      <w:r>
        <w:rPr>
          <w:rFonts w:hint="eastAsia" w:ascii="仿宋" w:hAnsi="仿宋"/>
          <w:bCs/>
          <w:color w:val="auto"/>
          <w:highlight w:val="none"/>
        </w:rPr>
        <w:t>在计算机信号接入方面，可选用VGA输入板、DVI输入板、HDMI输入板、RGB输入板实现坐席计算机、视频会议终端等信号的接入，配合视音频输出板即可完成所有电脑信号的解码上墙显示，同时支持大屏拼接控制功能。</w:t>
      </w:r>
    </w:p>
    <w:p w14:paraId="3BC6093E">
      <w:pPr>
        <w:spacing w:line="360" w:lineRule="auto"/>
        <w:ind w:firstLine="420" w:firstLineChars="200"/>
        <w:rPr>
          <w:rFonts w:ascii="仿宋" w:hAnsi="仿宋"/>
          <w:bCs/>
          <w:color w:val="auto"/>
          <w:highlight w:val="none"/>
        </w:rPr>
      </w:pPr>
      <w:r>
        <w:rPr>
          <w:rFonts w:hint="eastAsia" w:ascii="仿宋" w:hAnsi="仿宋"/>
          <w:bCs/>
          <w:color w:val="auto"/>
          <w:highlight w:val="none"/>
        </w:rPr>
        <w:t>整个系统的拼接控制功能为“解码+拼控”的模式，主要功能是将一个完整的图像信号划分成M×N块后分配给M×N个视频显示单元进行显示，并可实现开窗、漫游等功能。</w:t>
      </w:r>
    </w:p>
    <w:p w14:paraId="6EC92CDB">
      <w:pPr>
        <w:numPr>
          <w:ilvl w:val="0"/>
          <w:numId w:val="52"/>
        </w:numPr>
        <w:spacing w:line="360" w:lineRule="auto"/>
        <w:ind w:left="0" w:firstLine="420" w:firstLineChars="200"/>
        <w:rPr>
          <w:rFonts w:ascii="仿宋" w:hAnsi="仿宋"/>
          <w:bCs/>
          <w:color w:val="auto"/>
          <w:highlight w:val="none"/>
        </w:rPr>
      </w:pPr>
      <w:r>
        <w:rPr>
          <w:rFonts w:hint="eastAsia" w:ascii="仿宋" w:hAnsi="仿宋"/>
          <w:bCs/>
          <w:color w:val="auto"/>
          <w:highlight w:val="none"/>
        </w:rPr>
        <w:t>解码功能</w:t>
      </w:r>
    </w:p>
    <w:p w14:paraId="3AADEDDB">
      <w:pPr>
        <w:spacing w:line="360" w:lineRule="auto"/>
        <w:ind w:firstLine="420" w:firstLineChars="200"/>
        <w:rPr>
          <w:rFonts w:ascii="仿宋" w:hAnsi="仿宋"/>
          <w:bCs/>
          <w:color w:val="auto"/>
          <w:highlight w:val="none"/>
        </w:rPr>
      </w:pPr>
      <w:r>
        <w:rPr>
          <w:rFonts w:hint="eastAsia" w:ascii="仿宋" w:hAnsi="仿宋"/>
          <w:bCs/>
          <w:color w:val="auto"/>
          <w:highlight w:val="none"/>
        </w:rPr>
        <w:t>可以实现多种数据源同时接入（如：网络编码接入、光纤数字接入、VGA/DVI/HDMI/RGB信号接入等），并在内部数据交换后通过多种输出接口（如：HDMI，DVI或者VGA）进行解码输出。</w:t>
      </w:r>
    </w:p>
    <w:p w14:paraId="0B08EB5D">
      <w:pPr>
        <w:numPr>
          <w:ilvl w:val="0"/>
          <w:numId w:val="52"/>
        </w:numPr>
        <w:spacing w:line="360" w:lineRule="auto"/>
        <w:ind w:left="0" w:firstLine="420" w:firstLineChars="200"/>
        <w:rPr>
          <w:rFonts w:ascii="仿宋" w:hAnsi="仿宋"/>
          <w:bCs/>
          <w:color w:val="auto"/>
          <w:highlight w:val="none"/>
        </w:rPr>
      </w:pPr>
      <w:r>
        <w:rPr>
          <w:rFonts w:hint="eastAsia" w:ascii="仿宋" w:hAnsi="仿宋"/>
          <w:bCs/>
          <w:color w:val="auto"/>
          <w:highlight w:val="none"/>
        </w:rPr>
        <w:t>拼接功能</w:t>
      </w:r>
    </w:p>
    <w:p w14:paraId="2444654F">
      <w:pPr>
        <w:spacing w:line="360" w:lineRule="auto"/>
        <w:ind w:firstLine="420" w:firstLineChars="200"/>
        <w:rPr>
          <w:rFonts w:ascii="仿宋" w:hAnsi="仿宋"/>
          <w:bCs/>
          <w:color w:val="auto"/>
          <w:highlight w:val="none"/>
        </w:rPr>
      </w:pPr>
      <w:r>
        <w:rPr>
          <w:rFonts w:hint="eastAsia" w:ascii="仿宋" w:hAnsi="仿宋"/>
          <w:bCs/>
          <w:color w:val="auto"/>
          <w:highlight w:val="none"/>
        </w:rPr>
        <w:t>可以实现任意图像画面拼接，开窗，漫游等多种组合混合应用。支持多种拼接方式，用户可以根据需求任意切换、任意组合且操作简单，在客户端中通过拖动实现轻松配置。</w:t>
      </w:r>
    </w:p>
    <w:p w14:paraId="0D508894">
      <w:pPr>
        <w:spacing w:line="360" w:lineRule="auto"/>
        <w:ind w:firstLine="420" w:firstLineChars="200"/>
        <w:rPr>
          <w:rFonts w:ascii="仿宋" w:hAnsi="仿宋"/>
          <w:bCs/>
          <w:color w:val="auto"/>
          <w:highlight w:val="none"/>
        </w:rPr>
      </w:pPr>
      <w:r>
        <w:rPr>
          <w:rFonts w:hint="eastAsia" w:ascii="仿宋" w:hAnsi="仿宋"/>
          <w:bCs/>
          <w:color w:val="auto"/>
          <w:highlight w:val="none"/>
        </w:rPr>
        <w:t>单个信号可以在M×N个显示单元上拼接显示，总子屏数不超过</w:t>
      </w:r>
      <w:r>
        <w:rPr>
          <w:rFonts w:ascii="仿宋" w:hAnsi="仿宋"/>
          <w:bCs/>
          <w:color w:val="auto"/>
          <w:highlight w:val="none"/>
        </w:rPr>
        <w:t>112</w:t>
      </w:r>
      <w:r>
        <w:rPr>
          <w:rFonts w:hint="eastAsia" w:ascii="仿宋" w:hAnsi="仿宋"/>
          <w:bCs/>
          <w:color w:val="auto"/>
          <w:highlight w:val="none"/>
        </w:rPr>
        <w:t>；支持1/4/9/16画面分割显示；支持漫游叠加，大屏图层数升级至</w:t>
      </w:r>
      <w:r>
        <w:rPr>
          <w:rFonts w:ascii="仿宋" w:hAnsi="仿宋"/>
          <w:bCs/>
          <w:color w:val="auto"/>
          <w:highlight w:val="none"/>
        </w:rPr>
        <w:t>255</w:t>
      </w:r>
      <w:r>
        <w:rPr>
          <w:rFonts w:hint="eastAsia" w:ascii="仿宋" w:hAnsi="仿宋"/>
          <w:bCs/>
          <w:color w:val="auto"/>
          <w:highlight w:val="none"/>
        </w:rPr>
        <w:t>层；输出分辨率支持</w:t>
      </w:r>
      <w:r>
        <w:rPr>
          <w:rFonts w:ascii="仿宋" w:hAnsi="仿宋"/>
          <w:bCs/>
          <w:color w:val="auto"/>
          <w:highlight w:val="none"/>
        </w:rPr>
        <w:t>1</w:t>
      </w:r>
      <w:r>
        <w:rPr>
          <w:rFonts w:hint="eastAsia" w:ascii="仿宋" w:hAnsi="仿宋"/>
          <w:bCs/>
          <w:color w:val="auto"/>
          <w:highlight w:val="none"/>
        </w:rPr>
        <w:t>600×1200</w:t>
      </w:r>
      <w:r>
        <w:rPr>
          <w:rFonts w:ascii="仿宋" w:hAnsi="仿宋"/>
          <w:bCs/>
          <w:color w:val="auto"/>
          <w:highlight w:val="none"/>
        </w:rPr>
        <w:t>@60H</w:t>
      </w:r>
      <w:r>
        <w:rPr>
          <w:rFonts w:hint="eastAsia" w:ascii="仿宋" w:hAnsi="仿宋"/>
          <w:bCs/>
          <w:color w:val="auto"/>
          <w:highlight w:val="none"/>
        </w:rPr>
        <w:t>z、</w:t>
      </w:r>
      <w:r>
        <w:rPr>
          <w:rFonts w:ascii="仿宋" w:hAnsi="仿宋"/>
          <w:bCs/>
          <w:color w:val="auto"/>
          <w:highlight w:val="none"/>
        </w:rPr>
        <w:t>1920</w:t>
      </w:r>
      <w:r>
        <w:rPr>
          <w:rFonts w:hint="eastAsia" w:ascii="仿宋" w:hAnsi="仿宋"/>
          <w:bCs/>
          <w:color w:val="auto"/>
          <w:highlight w:val="none"/>
        </w:rPr>
        <w:t>×</w:t>
      </w:r>
      <w:r>
        <w:rPr>
          <w:rFonts w:ascii="仿宋" w:hAnsi="仿宋"/>
          <w:bCs/>
          <w:color w:val="auto"/>
          <w:highlight w:val="none"/>
        </w:rPr>
        <w:t>1080@</w:t>
      </w:r>
      <w:r>
        <w:rPr>
          <w:rFonts w:hint="eastAsia" w:ascii="仿宋" w:hAnsi="仿宋"/>
          <w:bCs/>
          <w:color w:val="auto"/>
          <w:highlight w:val="none"/>
        </w:rPr>
        <w:t>6</w:t>
      </w:r>
      <w:r>
        <w:rPr>
          <w:rFonts w:ascii="仿宋" w:hAnsi="仿宋"/>
          <w:bCs/>
          <w:color w:val="auto"/>
          <w:highlight w:val="none"/>
        </w:rPr>
        <w:t>0H</w:t>
      </w:r>
      <w:r>
        <w:rPr>
          <w:rFonts w:hint="eastAsia" w:ascii="仿宋" w:hAnsi="仿宋"/>
          <w:bCs/>
          <w:color w:val="auto"/>
          <w:highlight w:val="none"/>
        </w:rPr>
        <w:t>z、</w:t>
      </w:r>
      <w:r>
        <w:rPr>
          <w:rFonts w:ascii="仿宋" w:hAnsi="仿宋"/>
          <w:bCs/>
          <w:color w:val="auto"/>
          <w:highlight w:val="none"/>
        </w:rPr>
        <w:t>1920</w:t>
      </w:r>
      <w:r>
        <w:rPr>
          <w:rFonts w:hint="eastAsia" w:ascii="仿宋" w:hAnsi="仿宋"/>
          <w:bCs/>
          <w:color w:val="auto"/>
          <w:highlight w:val="none"/>
        </w:rPr>
        <w:t>×</w:t>
      </w:r>
      <w:r>
        <w:rPr>
          <w:rFonts w:ascii="仿宋" w:hAnsi="仿宋"/>
          <w:bCs/>
          <w:color w:val="auto"/>
          <w:highlight w:val="none"/>
        </w:rPr>
        <w:t>1080@</w:t>
      </w:r>
      <w:r>
        <w:rPr>
          <w:rFonts w:hint="eastAsia" w:ascii="仿宋" w:hAnsi="仿宋"/>
          <w:bCs/>
          <w:color w:val="auto"/>
          <w:highlight w:val="none"/>
        </w:rPr>
        <w:t>5</w:t>
      </w:r>
      <w:r>
        <w:rPr>
          <w:rFonts w:ascii="仿宋" w:hAnsi="仿宋"/>
          <w:bCs/>
          <w:color w:val="auto"/>
          <w:highlight w:val="none"/>
        </w:rPr>
        <w:t>0H</w:t>
      </w:r>
      <w:r>
        <w:rPr>
          <w:rFonts w:hint="eastAsia" w:ascii="仿宋" w:hAnsi="仿宋"/>
          <w:bCs/>
          <w:color w:val="auto"/>
          <w:highlight w:val="none"/>
        </w:rPr>
        <w:t>z、</w:t>
      </w:r>
      <w:r>
        <w:rPr>
          <w:rFonts w:ascii="仿宋" w:hAnsi="仿宋"/>
          <w:bCs/>
          <w:color w:val="auto"/>
          <w:highlight w:val="none"/>
        </w:rPr>
        <w:t>1400</w:t>
      </w:r>
      <w:r>
        <w:rPr>
          <w:rFonts w:hint="eastAsia" w:ascii="仿宋" w:hAnsi="仿宋"/>
          <w:bCs/>
          <w:color w:val="auto"/>
          <w:highlight w:val="none"/>
        </w:rPr>
        <w:t>×</w:t>
      </w:r>
      <w:r>
        <w:rPr>
          <w:rFonts w:ascii="仿宋" w:hAnsi="仿宋"/>
          <w:bCs/>
          <w:color w:val="auto"/>
          <w:highlight w:val="none"/>
        </w:rPr>
        <w:t>1050@</w:t>
      </w:r>
      <w:r>
        <w:rPr>
          <w:rFonts w:hint="eastAsia" w:ascii="仿宋" w:hAnsi="仿宋"/>
          <w:bCs/>
          <w:color w:val="auto"/>
          <w:highlight w:val="none"/>
        </w:rPr>
        <w:t>6</w:t>
      </w:r>
      <w:r>
        <w:rPr>
          <w:rFonts w:ascii="仿宋" w:hAnsi="仿宋"/>
          <w:bCs/>
          <w:color w:val="auto"/>
          <w:highlight w:val="none"/>
        </w:rPr>
        <w:t>0H</w:t>
      </w:r>
      <w:r>
        <w:rPr>
          <w:rFonts w:hint="eastAsia" w:ascii="仿宋" w:hAnsi="仿宋"/>
          <w:bCs/>
          <w:color w:val="auto"/>
          <w:highlight w:val="none"/>
        </w:rPr>
        <w:t>z</w:t>
      </w:r>
      <w:r>
        <w:rPr>
          <w:rFonts w:ascii="仿宋" w:hAnsi="仿宋"/>
          <w:bCs/>
          <w:color w:val="auto"/>
          <w:highlight w:val="none"/>
        </w:rPr>
        <w:t>1680</w:t>
      </w:r>
      <w:r>
        <w:rPr>
          <w:rFonts w:hint="eastAsia" w:ascii="仿宋" w:hAnsi="仿宋"/>
          <w:bCs/>
          <w:color w:val="auto"/>
          <w:highlight w:val="none"/>
        </w:rPr>
        <w:t>×</w:t>
      </w:r>
      <w:r>
        <w:rPr>
          <w:rFonts w:ascii="仿宋" w:hAnsi="仿宋"/>
          <w:bCs/>
          <w:color w:val="auto"/>
          <w:highlight w:val="none"/>
        </w:rPr>
        <w:t>1050@</w:t>
      </w:r>
      <w:r>
        <w:rPr>
          <w:rFonts w:hint="eastAsia" w:ascii="仿宋" w:hAnsi="仿宋"/>
          <w:bCs/>
          <w:color w:val="auto"/>
          <w:highlight w:val="none"/>
        </w:rPr>
        <w:t>60</w:t>
      </w:r>
      <w:r>
        <w:rPr>
          <w:rFonts w:ascii="仿宋" w:hAnsi="仿宋"/>
          <w:bCs/>
          <w:color w:val="auto"/>
          <w:highlight w:val="none"/>
        </w:rPr>
        <w:t>H</w:t>
      </w:r>
      <w:r>
        <w:rPr>
          <w:rFonts w:hint="eastAsia" w:ascii="仿宋" w:hAnsi="仿宋"/>
          <w:bCs/>
          <w:color w:val="auto"/>
          <w:highlight w:val="none"/>
        </w:rPr>
        <w:t>z、</w:t>
      </w:r>
      <w:r>
        <w:rPr>
          <w:rFonts w:ascii="仿宋" w:hAnsi="仿宋"/>
          <w:bCs/>
          <w:color w:val="auto"/>
          <w:highlight w:val="none"/>
        </w:rPr>
        <w:t>1280</w:t>
      </w:r>
      <w:r>
        <w:rPr>
          <w:rFonts w:hint="eastAsia" w:ascii="仿宋" w:hAnsi="仿宋"/>
          <w:bCs/>
          <w:color w:val="auto"/>
          <w:highlight w:val="none"/>
        </w:rPr>
        <w:t>×</w:t>
      </w:r>
      <w:r>
        <w:rPr>
          <w:rFonts w:ascii="仿宋" w:hAnsi="仿宋"/>
          <w:bCs/>
          <w:color w:val="auto"/>
          <w:highlight w:val="none"/>
        </w:rPr>
        <w:t>720@60H</w:t>
      </w:r>
      <w:r>
        <w:rPr>
          <w:rFonts w:hint="eastAsia" w:ascii="仿宋" w:hAnsi="仿宋"/>
          <w:bCs/>
          <w:color w:val="auto"/>
          <w:highlight w:val="none"/>
        </w:rPr>
        <w:t>z、</w:t>
      </w:r>
      <w:r>
        <w:rPr>
          <w:rFonts w:ascii="仿宋" w:hAnsi="仿宋"/>
          <w:bCs/>
          <w:color w:val="auto"/>
          <w:highlight w:val="none"/>
        </w:rPr>
        <w:t>1280</w:t>
      </w:r>
      <w:r>
        <w:rPr>
          <w:rFonts w:hint="eastAsia" w:ascii="仿宋" w:hAnsi="仿宋"/>
          <w:bCs/>
          <w:color w:val="auto"/>
          <w:highlight w:val="none"/>
        </w:rPr>
        <w:t>×</w:t>
      </w:r>
      <w:r>
        <w:rPr>
          <w:rFonts w:ascii="仿宋" w:hAnsi="仿宋"/>
          <w:bCs/>
          <w:color w:val="auto"/>
          <w:highlight w:val="none"/>
        </w:rPr>
        <w:t>720@50H</w:t>
      </w:r>
      <w:r>
        <w:rPr>
          <w:rFonts w:hint="eastAsia" w:ascii="仿宋" w:hAnsi="仿宋"/>
          <w:bCs/>
          <w:color w:val="auto"/>
          <w:highlight w:val="none"/>
        </w:rPr>
        <w:t>z、</w:t>
      </w:r>
      <w:r>
        <w:rPr>
          <w:rFonts w:ascii="仿宋" w:hAnsi="仿宋"/>
          <w:bCs/>
          <w:color w:val="auto"/>
          <w:highlight w:val="none"/>
        </w:rPr>
        <w:t>1360</w:t>
      </w:r>
      <w:r>
        <w:rPr>
          <w:rFonts w:hint="eastAsia" w:ascii="仿宋" w:hAnsi="仿宋"/>
          <w:bCs/>
          <w:color w:val="auto"/>
          <w:highlight w:val="none"/>
        </w:rPr>
        <w:t>×</w:t>
      </w:r>
      <w:r>
        <w:rPr>
          <w:rFonts w:ascii="仿宋" w:hAnsi="仿宋"/>
          <w:bCs/>
          <w:color w:val="auto"/>
          <w:highlight w:val="none"/>
        </w:rPr>
        <w:t>768@60H</w:t>
      </w:r>
      <w:r>
        <w:rPr>
          <w:rFonts w:hint="eastAsia" w:ascii="仿宋" w:hAnsi="仿宋"/>
          <w:bCs/>
          <w:color w:val="auto"/>
          <w:highlight w:val="none"/>
        </w:rPr>
        <w:t>z、1280×1024@60Hz、1024×768@60Hz；支持叠加图片LOGO，支持图像开窗，窗口位置及大小任意可调，支持图像漫游。</w:t>
      </w:r>
    </w:p>
    <w:p w14:paraId="25EF5FD7">
      <w:pPr>
        <w:numPr>
          <w:ilvl w:val="0"/>
          <w:numId w:val="52"/>
        </w:numPr>
        <w:spacing w:line="360" w:lineRule="auto"/>
        <w:ind w:left="0" w:firstLine="420" w:firstLineChars="200"/>
        <w:rPr>
          <w:rFonts w:ascii="仿宋" w:hAnsi="仿宋"/>
          <w:bCs/>
          <w:color w:val="auto"/>
          <w:highlight w:val="none"/>
        </w:rPr>
      </w:pPr>
      <w:r>
        <w:rPr>
          <w:rFonts w:hint="eastAsia" w:ascii="仿宋" w:hAnsi="仿宋"/>
          <w:bCs/>
          <w:color w:val="auto"/>
          <w:highlight w:val="none"/>
        </w:rPr>
        <w:t>控制键盘</w:t>
      </w:r>
    </w:p>
    <w:p w14:paraId="18ED1E24">
      <w:pPr>
        <w:spacing w:line="360" w:lineRule="auto"/>
        <w:ind w:firstLine="420" w:firstLineChars="200"/>
        <w:rPr>
          <w:rFonts w:ascii="仿宋" w:hAnsi="仿宋"/>
          <w:bCs/>
          <w:color w:val="auto"/>
          <w:highlight w:val="none"/>
        </w:rPr>
      </w:pPr>
      <w:r>
        <w:rPr>
          <w:rFonts w:hint="eastAsia" w:ascii="仿宋" w:hAnsi="仿宋"/>
          <w:bCs/>
          <w:color w:val="auto"/>
          <w:highlight w:val="none"/>
        </w:rPr>
        <w:t>控制键盘可以通过网络实现对视频综合平台输出的视频进行矩阵切换控制，可以实现对前端通道的云镜控制。可控制的设备包括高清网络摄像机、视频综合平台和多路解码器等。</w:t>
      </w:r>
    </w:p>
    <w:p w14:paraId="4ADAEA9C">
      <w:pPr>
        <w:spacing w:line="360" w:lineRule="auto"/>
        <w:ind w:firstLine="420" w:firstLineChars="200"/>
        <w:rPr>
          <w:bCs/>
          <w:color w:val="auto"/>
          <w:highlight w:val="none"/>
          <w:lang w:val="zh-CN"/>
        </w:rPr>
      </w:pPr>
      <w:r>
        <w:rPr>
          <w:rFonts w:hint="eastAsia"/>
          <w:bCs/>
          <w:color w:val="auto"/>
          <w:highlight w:val="none"/>
          <w:lang w:val="zh-CN"/>
        </w:rPr>
        <w:t>液晶</w:t>
      </w:r>
      <w:r>
        <w:rPr>
          <w:bCs/>
          <w:color w:val="auto"/>
          <w:highlight w:val="none"/>
          <w:lang w:val="zh-CN"/>
        </w:rPr>
        <w:t>显示屏、配电柜PLC、</w:t>
      </w:r>
      <w:r>
        <w:rPr>
          <w:rFonts w:hint="eastAsia"/>
          <w:bCs/>
          <w:color w:val="auto"/>
          <w:highlight w:val="none"/>
          <w:lang w:val="zh-CN"/>
        </w:rPr>
        <w:t>视频综合平台</w:t>
      </w:r>
      <w:r>
        <w:rPr>
          <w:bCs/>
          <w:color w:val="auto"/>
          <w:highlight w:val="none"/>
          <w:lang w:val="zh-CN"/>
        </w:rPr>
        <w:t>等周边设备可以共用一台触控主机进行控制，触控主机通过网络端口与</w:t>
      </w:r>
      <w:r>
        <w:rPr>
          <w:rFonts w:hint="eastAsia"/>
          <w:bCs/>
          <w:color w:val="auto"/>
          <w:highlight w:val="none"/>
          <w:lang w:val="zh-CN"/>
        </w:rPr>
        <w:t>拼接</w:t>
      </w:r>
      <w:r>
        <w:rPr>
          <w:bCs/>
          <w:color w:val="auto"/>
          <w:highlight w:val="none"/>
          <w:lang w:val="zh-CN"/>
        </w:rPr>
        <w:t>处理器、矩阵设备</w:t>
      </w:r>
      <w:r>
        <w:rPr>
          <w:rFonts w:hint="eastAsia"/>
          <w:bCs/>
          <w:color w:val="auto"/>
          <w:highlight w:val="none"/>
          <w:lang w:val="zh-CN"/>
        </w:rPr>
        <w:t>等</w:t>
      </w:r>
      <w:r>
        <w:rPr>
          <w:bCs/>
          <w:color w:val="auto"/>
          <w:highlight w:val="none"/>
          <w:lang w:val="zh-CN"/>
        </w:rPr>
        <w:t>进行连接，通过软件调整屏幕色彩信息以及亮度、色温等参数，以及通过触控终端监控屏体运行的温度、烟雾、以及电流、电压等信息和网络线路的故障情况，并通过软件进行</w:t>
      </w:r>
      <w:r>
        <w:rPr>
          <w:rFonts w:hint="eastAsia"/>
          <w:bCs/>
          <w:color w:val="auto"/>
          <w:highlight w:val="none"/>
          <w:lang w:val="zh-CN"/>
        </w:rPr>
        <w:t>液晶屏</w:t>
      </w:r>
      <w:r>
        <w:rPr>
          <w:bCs/>
          <w:color w:val="auto"/>
          <w:highlight w:val="none"/>
          <w:lang w:val="zh-CN"/>
        </w:rPr>
        <w:t>场景切换</w:t>
      </w:r>
      <w:r>
        <w:rPr>
          <w:rFonts w:hint="eastAsia"/>
          <w:bCs/>
          <w:color w:val="auto"/>
          <w:highlight w:val="none"/>
          <w:lang w:val="zh-CN"/>
        </w:rPr>
        <w:t>及</w:t>
      </w:r>
      <w:r>
        <w:rPr>
          <w:bCs/>
          <w:color w:val="auto"/>
          <w:highlight w:val="none"/>
          <w:lang w:val="zh-CN"/>
        </w:rPr>
        <w:t>轮巡设计。</w:t>
      </w:r>
    </w:p>
    <w:p w14:paraId="61D90FFE">
      <w:pPr>
        <w:pStyle w:val="12"/>
        <w:tabs>
          <w:tab w:val="left" w:pos="864"/>
        </w:tabs>
        <w:spacing w:line="360" w:lineRule="auto"/>
        <w:ind w:left="0" w:firstLine="420" w:firstLineChars="200"/>
        <w:rPr>
          <w:color w:val="auto"/>
          <w:highlight w:val="none"/>
        </w:rPr>
      </w:pPr>
      <w:r>
        <w:rPr>
          <w:rFonts w:hint="eastAsia"/>
          <w:color w:val="auto"/>
          <w:highlight w:val="none"/>
        </w:rPr>
        <w:t>装修系统设计</w:t>
      </w:r>
    </w:p>
    <w:p w14:paraId="6B223878">
      <w:pPr>
        <w:spacing w:line="360" w:lineRule="auto"/>
        <w:ind w:firstLine="420" w:firstLineChars="200"/>
        <w:rPr>
          <w:bCs/>
          <w:color w:val="auto"/>
          <w:highlight w:val="none"/>
          <w:lang w:val="zh-CN"/>
        </w:rPr>
      </w:pPr>
      <w:r>
        <w:rPr>
          <w:rFonts w:hint="eastAsia"/>
          <w:bCs/>
          <w:color w:val="auto"/>
          <w:highlight w:val="none"/>
          <w:lang w:val="zh-CN"/>
        </w:rPr>
        <w:t>装修定位在以人为本的基础上，充分考虑人与环境、人与机、机与环境的亲和性、协调性，根据区域房间的功能特性按照不同的原则进行设计。</w:t>
      </w:r>
    </w:p>
    <w:p w14:paraId="1B1DD166">
      <w:pPr>
        <w:spacing w:line="360" w:lineRule="auto"/>
        <w:ind w:firstLine="420" w:firstLineChars="200"/>
        <w:rPr>
          <w:bCs/>
          <w:color w:val="auto"/>
          <w:highlight w:val="none"/>
          <w:lang w:val="zh-CN"/>
        </w:rPr>
      </w:pPr>
      <w:r>
        <w:rPr>
          <w:rFonts w:hint="eastAsia"/>
          <w:bCs/>
          <w:color w:val="auto"/>
          <w:highlight w:val="none"/>
          <w:lang w:val="zh-CN"/>
        </w:rPr>
        <w:t>本指挥大厅的相关装修，应将功能用房的布局结合实际需要因地制宜，并且综合考虑中长期的发展计划。建设中应遵循科技感、现代感，并且注意指挥大厅的独特性，应强调指挥大厅设计的合理性，直接影响视频会议图像和声音的质量，从而影响到使用时的效果，宜讲究绿色环保节能，注意色彩的搭配和组合。室内色调应淡雅柔和，有效地调节人的情绪，起到健康和装饰的双重功效。指挥中心装修用材应选用吸音效果好、易清洁、变形小，具有防火、防潮性能；宜选用亚光材料，避免产生各种干扰光线（反射光、弦光等）。建设中还应注意机房的防鼠害、防水、防结露等问题，采取相应措施。</w:t>
      </w:r>
    </w:p>
    <w:p w14:paraId="22BFFCAA">
      <w:pPr>
        <w:spacing w:line="360" w:lineRule="auto"/>
        <w:ind w:firstLine="420" w:firstLineChars="200"/>
        <w:rPr>
          <w:bCs/>
          <w:color w:val="auto"/>
          <w:highlight w:val="none"/>
          <w:lang w:val="zh-CN"/>
        </w:rPr>
      </w:pPr>
      <w:r>
        <w:rPr>
          <w:rFonts w:hint="eastAsia"/>
          <w:bCs/>
          <w:color w:val="auto"/>
          <w:highlight w:val="none"/>
          <w:lang w:val="zh-CN"/>
        </w:rPr>
        <w:t>指挥中心装饰工程包括地板工程，吊顶工程，墙面及隔断墙工程，门窗工程，指挥大厅防尘、消音及防静电措施。</w:t>
      </w:r>
    </w:p>
    <w:p w14:paraId="1CEF6C0C">
      <w:pPr>
        <w:spacing w:line="360" w:lineRule="auto"/>
        <w:ind w:firstLine="420" w:firstLineChars="200"/>
        <w:rPr>
          <w:bCs/>
          <w:color w:val="auto"/>
          <w:highlight w:val="none"/>
          <w:lang w:val="zh-CN"/>
        </w:rPr>
      </w:pPr>
      <w:r>
        <w:rPr>
          <w:rFonts w:hint="eastAsia"/>
          <w:bCs/>
          <w:color w:val="auto"/>
          <w:highlight w:val="none"/>
        </w:rPr>
        <w:t>1、</w:t>
      </w:r>
      <w:r>
        <w:rPr>
          <w:rFonts w:hint="eastAsia"/>
          <w:bCs/>
          <w:color w:val="auto"/>
          <w:highlight w:val="none"/>
          <w:lang w:val="zh-CN"/>
        </w:rPr>
        <w:t>地板工程</w:t>
      </w:r>
    </w:p>
    <w:p w14:paraId="4606B95B">
      <w:pPr>
        <w:spacing w:line="360" w:lineRule="auto"/>
        <w:ind w:firstLine="420" w:firstLineChars="200"/>
        <w:rPr>
          <w:bCs/>
          <w:color w:val="auto"/>
          <w:highlight w:val="none"/>
          <w:lang w:val="zh-CN"/>
        </w:rPr>
      </w:pPr>
      <w:r>
        <w:rPr>
          <w:rFonts w:hint="eastAsia"/>
          <w:bCs/>
          <w:color w:val="auto"/>
          <w:highlight w:val="none"/>
          <w:lang w:val="zh-CN"/>
        </w:rPr>
        <w:t>采用</w:t>
      </w:r>
      <w:r>
        <w:rPr>
          <w:bCs/>
          <w:color w:val="auto"/>
          <w:highlight w:val="none"/>
          <w:lang w:val="zh-CN"/>
        </w:rPr>
        <w:t>8</w:t>
      </w:r>
      <w:r>
        <w:rPr>
          <w:rFonts w:hint="eastAsia"/>
          <w:bCs/>
          <w:color w:val="auto"/>
          <w:highlight w:val="none"/>
          <w:lang w:val="zh-CN"/>
        </w:rPr>
        <w:t>00×</w:t>
      </w:r>
      <w:r>
        <w:rPr>
          <w:bCs/>
          <w:color w:val="auto"/>
          <w:highlight w:val="none"/>
          <w:lang w:val="zh-CN"/>
        </w:rPr>
        <w:t>8</w:t>
      </w:r>
      <w:r>
        <w:rPr>
          <w:rFonts w:hint="eastAsia"/>
          <w:bCs/>
          <w:color w:val="auto"/>
          <w:highlight w:val="none"/>
          <w:lang w:val="zh-CN"/>
        </w:rPr>
        <w:t>00mm硫酸钙无边框抗静电地板，地板架空高度为200mm（相对地梁）,以满足强电管线走线。为保证硫酸钙无边框抗静电地板的防尘效果，地面找平后涂刷地板防尘漆。地板下四周墙壁也刷防尘漆。在展示中心主通道门下或存在高差并须搬运设备的位置根据不同情况做缓坡、阶梯处理，以方便设备运输。</w:t>
      </w:r>
    </w:p>
    <w:p w14:paraId="423EE2F1">
      <w:pPr>
        <w:spacing w:line="360" w:lineRule="auto"/>
        <w:ind w:firstLine="420" w:firstLineChars="200"/>
        <w:rPr>
          <w:bCs/>
          <w:color w:val="auto"/>
          <w:highlight w:val="none"/>
          <w:lang w:val="zh-CN"/>
        </w:rPr>
      </w:pPr>
      <w:r>
        <w:rPr>
          <w:rFonts w:hint="eastAsia"/>
          <w:bCs/>
          <w:color w:val="auto"/>
          <w:highlight w:val="none"/>
        </w:rPr>
        <w:t>2、</w:t>
      </w:r>
      <w:r>
        <w:rPr>
          <w:rFonts w:hint="eastAsia"/>
          <w:bCs/>
          <w:color w:val="auto"/>
          <w:highlight w:val="none"/>
          <w:lang w:val="zh-CN"/>
        </w:rPr>
        <w:t>吊顶工程</w:t>
      </w:r>
    </w:p>
    <w:p w14:paraId="68AD03A3">
      <w:pPr>
        <w:spacing w:line="360" w:lineRule="auto"/>
        <w:ind w:firstLine="420" w:firstLineChars="200"/>
        <w:rPr>
          <w:bCs/>
          <w:color w:val="auto"/>
          <w:highlight w:val="none"/>
          <w:lang w:val="zh-CN"/>
        </w:rPr>
      </w:pPr>
      <w:r>
        <w:rPr>
          <w:rFonts w:hint="eastAsia"/>
          <w:bCs/>
          <w:color w:val="auto"/>
          <w:highlight w:val="none"/>
          <w:lang w:val="zh-CN"/>
        </w:rPr>
        <w:t>采用铝合金微孔方板结合石膏板的吊顶，满足最大化空高的要求下，形式简单又不失现代感，造型规整而不杂乱，视觉效果协调美观，方便上走线下吊杆及顶内维修。</w:t>
      </w:r>
    </w:p>
    <w:p w14:paraId="4ED239AE">
      <w:pPr>
        <w:spacing w:line="360" w:lineRule="auto"/>
        <w:ind w:firstLine="420" w:firstLineChars="200"/>
        <w:rPr>
          <w:bCs/>
          <w:color w:val="auto"/>
          <w:highlight w:val="none"/>
          <w:lang w:val="zh-CN"/>
        </w:rPr>
      </w:pPr>
      <w:r>
        <w:rPr>
          <w:rFonts w:hint="eastAsia"/>
          <w:bCs/>
          <w:color w:val="auto"/>
          <w:highlight w:val="none"/>
          <w:lang w:val="zh-CN"/>
        </w:rPr>
        <w:t>在顶部做防尘处理，所用吊顶杆及预埋件均做防锈处理。</w:t>
      </w:r>
    </w:p>
    <w:p w14:paraId="336BB716">
      <w:pPr>
        <w:spacing w:line="360" w:lineRule="auto"/>
        <w:ind w:firstLine="420" w:firstLineChars="200"/>
        <w:rPr>
          <w:bCs/>
          <w:color w:val="auto"/>
          <w:highlight w:val="none"/>
          <w:lang w:val="zh-CN"/>
        </w:rPr>
      </w:pPr>
      <w:r>
        <w:rPr>
          <w:rFonts w:hint="eastAsia"/>
          <w:bCs/>
          <w:color w:val="auto"/>
          <w:highlight w:val="none"/>
          <w:lang w:val="zh-CN"/>
        </w:rPr>
        <w:t>采用抗变形设计，吊顶板的吊杆单独与楼顶板固定，吊顶内其他管道之间独立固定。</w:t>
      </w:r>
    </w:p>
    <w:p w14:paraId="3D1420E4">
      <w:pPr>
        <w:spacing w:line="360" w:lineRule="auto"/>
        <w:ind w:firstLine="420" w:firstLineChars="200"/>
        <w:rPr>
          <w:bCs/>
          <w:color w:val="auto"/>
          <w:highlight w:val="none"/>
          <w:lang w:val="zh-CN"/>
        </w:rPr>
      </w:pPr>
      <w:r>
        <w:rPr>
          <w:rFonts w:hint="eastAsia"/>
          <w:bCs/>
          <w:color w:val="auto"/>
          <w:highlight w:val="none"/>
          <w:lang w:val="zh-CN"/>
        </w:rPr>
        <w:t>在吊顶设计中，灯具要嵌入龙骨架安装，充分考虑照明、消防、安防及监控等项目的预留位置，以及强弱电线路等等的隐蔽问题，要达到良好的装饰效果。</w:t>
      </w:r>
    </w:p>
    <w:p w14:paraId="515E66AB">
      <w:pPr>
        <w:spacing w:line="360" w:lineRule="auto"/>
        <w:ind w:firstLine="420" w:firstLineChars="200"/>
        <w:rPr>
          <w:bCs/>
          <w:color w:val="auto"/>
          <w:highlight w:val="none"/>
          <w:lang w:val="zh-CN"/>
        </w:rPr>
      </w:pPr>
      <w:r>
        <w:rPr>
          <w:rFonts w:hint="eastAsia"/>
          <w:bCs/>
          <w:color w:val="auto"/>
          <w:highlight w:val="none"/>
        </w:rPr>
        <w:t>3、</w:t>
      </w:r>
      <w:r>
        <w:rPr>
          <w:rFonts w:hint="eastAsia"/>
          <w:bCs/>
          <w:color w:val="auto"/>
          <w:highlight w:val="none"/>
          <w:lang w:val="zh-CN"/>
        </w:rPr>
        <w:t>墙面及隔断墙工程</w:t>
      </w:r>
    </w:p>
    <w:p w14:paraId="1FCBC9C9">
      <w:pPr>
        <w:spacing w:line="360" w:lineRule="auto"/>
        <w:ind w:firstLine="420" w:firstLineChars="200"/>
        <w:rPr>
          <w:bCs/>
          <w:color w:val="auto"/>
          <w:highlight w:val="none"/>
          <w:lang w:val="zh-CN"/>
        </w:rPr>
      </w:pPr>
      <w:r>
        <w:rPr>
          <w:rFonts w:hint="eastAsia"/>
          <w:bCs/>
          <w:color w:val="auto"/>
          <w:highlight w:val="none"/>
          <w:lang w:val="zh-CN"/>
        </w:rPr>
        <w:t>展示中心所有内墙面、柱面，要进行消音处理，采用一级防火生态木吸音板面层，具有吸音效果好，易于清洗，并且防火、防潮、防静电、保温作用。</w:t>
      </w:r>
    </w:p>
    <w:p w14:paraId="2CF45AC0">
      <w:pPr>
        <w:spacing w:line="360" w:lineRule="auto"/>
        <w:ind w:firstLine="420" w:firstLineChars="200"/>
        <w:rPr>
          <w:bCs/>
          <w:color w:val="auto"/>
          <w:highlight w:val="none"/>
          <w:lang w:val="zh-CN"/>
        </w:rPr>
      </w:pPr>
      <w:r>
        <w:rPr>
          <w:rFonts w:hint="eastAsia"/>
          <w:bCs/>
          <w:color w:val="auto"/>
          <w:highlight w:val="none"/>
        </w:rPr>
        <w:t>4、</w:t>
      </w:r>
      <w:r>
        <w:rPr>
          <w:rFonts w:hint="eastAsia"/>
          <w:bCs/>
          <w:color w:val="auto"/>
          <w:highlight w:val="none"/>
          <w:lang w:val="zh-CN"/>
        </w:rPr>
        <w:t>消音、防尘及防鼠措施</w:t>
      </w:r>
    </w:p>
    <w:p w14:paraId="0DE6BCFC">
      <w:pPr>
        <w:spacing w:line="360" w:lineRule="auto"/>
        <w:ind w:firstLine="420" w:firstLineChars="200"/>
        <w:rPr>
          <w:bCs/>
          <w:color w:val="auto"/>
          <w:highlight w:val="none"/>
          <w:lang w:val="zh-CN"/>
        </w:rPr>
      </w:pPr>
      <w:r>
        <w:rPr>
          <w:rFonts w:hint="eastAsia"/>
          <w:bCs/>
          <w:color w:val="auto"/>
          <w:highlight w:val="none"/>
          <w:lang w:val="zh-CN"/>
        </w:rPr>
        <w:t>（1）消音</w:t>
      </w:r>
    </w:p>
    <w:p w14:paraId="0AE6D371">
      <w:pPr>
        <w:spacing w:line="360" w:lineRule="auto"/>
        <w:ind w:firstLine="420" w:firstLineChars="200"/>
        <w:rPr>
          <w:bCs/>
          <w:color w:val="auto"/>
          <w:highlight w:val="none"/>
          <w:lang w:val="zh-CN"/>
        </w:rPr>
      </w:pPr>
      <w:r>
        <w:rPr>
          <w:rFonts w:hint="eastAsia"/>
          <w:bCs/>
          <w:color w:val="auto"/>
          <w:highlight w:val="none"/>
          <w:lang w:val="zh-CN"/>
        </w:rPr>
        <w:t>为保证展示中心内声音质量，墙面、地面及顶面均采用吸音效果良好的材质，生态木吸音板、硫酸钙无边框抗静电地板、微孔吸音板吊顶从而可以给室内工作人员及与会人员提供舒适的工作、开会环境外，还可以逼真地反映现场的人物、景象和发言者的声音，使与会者有一种临场感，以实现良好的视觉与听觉效果。</w:t>
      </w:r>
    </w:p>
    <w:p w14:paraId="2917BC71">
      <w:pPr>
        <w:spacing w:line="360" w:lineRule="auto"/>
        <w:ind w:firstLine="420" w:firstLineChars="200"/>
        <w:rPr>
          <w:bCs/>
          <w:color w:val="auto"/>
          <w:highlight w:val="none"/>
          <w:lang w:val="zh-CN"/>
        </w:rPr>
      </w:pPr>
      <w:r>
        <w:rPr>
          <w:rFonts w:hint="eastAsia"/>
          <w:bCs/>
          <w:color w:val="auto"/>
          <w:highlight w:val="none"/>
          <w:lang w:val="zh-CN"/>
        </w:rPr>
        <w:t>（2）防尘</w:t>
      </w:r>
    </w:p>
    <w:p w14:paraId="71C181D8">
      <w:pPr>
        <w:spacing w:line="360" w:lineRule="auto"/>
        <w:ind w:firstLine="420" w:firstLineChars="200"/>
        <w:rPr>
          <w:bCs/>
          <w:color w:val="auto"/>
          <w:highlight w:val="none"/>
          <w:lang w:val="zh-CN"/>
        </w:rPr>
      </w:pPr>
      <w:r>
        <w:rPr>
          <w:rFonts w:hint="eastAsia"/>
          <w:bCs/>
          <w:color w:val="auto"/>
          <w:highlight w:val="none"/>
          <w:lang w:val="zh-CN"/>
        </w:rPr>
        <w:t>为保证防尘，地板下及吊顶内均采用专用防尘漆进行防尘处理，在吊顶以上的墙面、柱面、顶面和地板下的墙面、柱面、地面均要刷涂防尘漆两遍以上，达到不起尘的效果，从而保证空调送风系统的空气洁净。</w:t>
      </w:r>
    </w:p>
    <w:p w14:paraId="67875611">
      <w:pPr>
        <w:spacing w:line="360" w:lineRule="auto"/>
        <w:ind w:firstLine="420" w:firstLineChars="200"/>
        <w:rPr>
          <w:bCs/>
          <w:color w:val="auto"/>
          <w:highlight w:val="none"/>
          <w:lang w:val="zh-CN"/>
        </w:rPr>
      </w:pPr>
      <w:r>
        <w:rPr>
          <w:rFonts w:hint="eastAsia"/>
          <w:bCs/>
          <w:color w:val="auto"/>
          <w:highlight w:val="none"/>
          <w:lang w:val="zh-CN"/>
        </w:rPr>
        <w:t>（3）防鼠措施</w:t>
      </w:r>
    </w:p>
    <w:p w14:paraId="645A96C4">
      <w:pPr>
        <w:spacing w:line="360" w:lineRule="auto"/>
        <w:ind w:firstLine="420" w:firstLineChars="200"/>
        <w:rPr>
          <w:bCs/>
          <w:color w:val="auto"/>
          <w:highlight w:val="none"/>
          <w:lang w:val="zh-CN"/>
        </w:rPr>
      </w:pPr>
      <w:r>
        <w:rPr>
          <w:rFonts w:hint="eastAsia"/>
          <w:bCs/>
          <w:color w:val="auto"/>
          <w:highlight w:val="none"/>
          <w:lang w:val="zh-CN"/>
        </w:rPr>
        <w:t>与建设区域相关的所有线缆孔洞封堵处理，线缆通道采用防火泥填充密实。将门与地面、门与门、窗与窗台缝隙进行修理。采用防火涂料进行墙体缝隙修复。</w:t>
      </w:r>
    </w:p>
    <w:p w14:paraId="755183CF">
      <w:pPr>
        <w:pStyle w:val="12"/>
        <w:tabs>
          <w:tab w:val="left" w:pos="864"/>
        </w:tabs>
        <w:spacing w:line="360" w:lineRule="auto"/>
        <w:ind w:left="0" w:firstLine="420" w:firstLineChars="200"/>
        <w:rPr>
          <w:color w:val="auto"/>
          <w:highlight w:val="none"/>
        </w:rPr>
      </w:pPr>
      <w:r>
        <w:rPr>
          <w:rFonts w:hint="eastAsia"/>
          <w:color w:val="auto"/>
          <w:highlight w:val="none"/>
        </w:rPr>
        <w:t>电气系统设计</w:t>
      </w:r>
    </w:p>
    <w:p w14:paraId="6AEBEACA">
      <w:pPr>
        <w:pStyle w:val="13"/>
        <w:ind w:firstLine="440" w:firstLineChars="200"/>
        <w:rPr>
          <w:b w:val="0"/>
          <w:color w:val="auto"/>
          <w:highlight w:val="none"/>
        </w:rPr>
      </w:pPr>
      <w:r>
        <w:rPr>
          <w:rFonts w:hint="eastAsia"/>
          <w:b w:val="0"/>
          <w:color w:val="auto"/>
          <w:highlight w:val="none"/>
        </w:rPr>
        <w:t>负荷分类及容量</w:t>
      </w:r>
    </w:p>
    <w:p w14:paraId="0E00820D">
      <w:pPr>
        <w:spacing w:line="360" w:lineRule="auto"/>
        <w:ind w:firstLine="420" w:firstLineChars="200"/>
        <w:rPr>
          <w:bCs/>
          <w:color w:val="auto"/>
          <w:highlight w:val="none"/>
        </w:rPr>
      </w:pPr>
      <w:r>
        <w:rPr>
          <w:rFonts w:hint="eastAsia"/>
          <w:bCs/>
          <w:color w:val="auto"/>
          <w:highlight w:val="none"/>
        </w:rPr>
        <w:t>用电负荷主要为指挥中心大屏、指挥中心坐席、监控及网络交换设备、照明及插座、空调系统及其他公用配套设备用电，其中指挥中心坐席、门禁、监控及网络交换设备为二级负荷，其他均为三级负荷。</w:t>
      </w:r>
    </w:p>
    <w:tbl>
      <w:tblPr>
        <w:tblStyle w:val="3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946"/>
        <w:gridCol w:w="1401"/>
        <w:gridCol w:w="1822"/>
        <w:gridCol w:w="1542"/>
      </w:tblGrid>
      <w:tr w14:paraId="0F1D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3ED3CD26">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序号</w:t>
            </w:r>
          </w:p>
        </w:tc>
        <w:tc>
          <w:tcPr>
            <w:tcW w:w="2946" w:type="dxa"/>
            <w:noWrap w:val="0"/>
            <w:vAlign w:val="center"/>
          </w:tcPr>
          <w:p w14:paraId="2DCBDFCE">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名称</w:t>
            </w:r>
          </w:p>
        </w:tc>
        <w:tc>
          <w:tcPr>
            <w:tcW w:w="1401" w:type="dxa"/>
            <w:noWrap w:val="0"/>
            <w:vAlign w:val="center"/>
          </w:tcPr>
          <w:p w14:paraId="0CDA21E5">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功率</w:t>
            </w:r>
          </w:p>
        </w:tc>
        <w:tc>
          <w:tcPr>
            <w:tcW w:w="1822" w:type="dxa"/>
            <w:noWrap w:val="0"/>
            <w:vAlign w:val="center"/>
          </w:tcPr>
          <w:p w14:paraId="506E7FAB">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数量</w:t>
            </w:r>
          </w:p>
        </w:tc>
        <w:tc>
          <w:tcPr>
            <w:tcW w:w="1542" w:type="dxa"/>
            <w:noWrap w:val="0"/>
            <w:vAlign w:val="center"/>
          </w:tcPr>
          <w:p w14:paraId="235644FC">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备注</w:t>
            </w:r>
          </w:p>
        </w:tc>
      </w:tr>
      <w:tr w14:paraId="5B15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15CB2A19">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1</w:t>
            </w:r>
          </w:p>
        </w:tc>
        <w:tc>
          <w:tcPr>
            <w:tcW w:w="2946" w:type="dxa"/>
            <w:noWrap w:val="0"/>
            <w:vAlign w:val="center"/>
          </w:tcPr>
          <w:p w14:paraId="52E9E077">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液晶拼接大屏</w:t>
            </w:r>
          </w:p>
        </w:tc>
        <w:tc>
          <w:tcPr>
            <w:tcW w:w="1401" w:type="dxa"/>
            <w:noWrap w:val="0"/>
            <w:vAlign w:val="center"/>
          </w:tcPr>
          <w:p w14:paraId="630DDF75">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602E4159">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30</w:t>
            </w:r>
          </w:p>
        </w:tc>
        <w:tc>
          <w:tcPr>
            <w:tcW w:w="1542" w:type="dxa"/>
            <w:noWrap w:val="0"/>
            <w:vAlign w:val="center"/>
          </w:tcPr>
          <w:p w14:paraId="796C1EAE">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三级负荷</w:t>
            </w:r>
          </w:p>
        </w:tc>
      </w:tr>
      <w:tr w14:paraId="33D9D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4B0AE268">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2</w:t>
            </w:r>
          </w:p>
        </w:tc>
        <w:tc>
          <w:tcPr>
            <w:tcW w:w="2946" w:type="dxa"/>
            <w:noWrap w:val="0"/>
            <w:vAlign w:val="center"/>
          </w:tcPr>
          <w:p w14:paraId="2BD5D63C">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指挥中心坐席</w:t>
            </w:r>
          </w:p>
        </w:tc>
        <w:tc>
          <w:tcPr>
            <w:tcW w:w="1401" w:type="dxa"/>
            <w:noWrap w:val="0"/>
            <w:vAlign w:val="center"/>
          </w:tcPr>
          <w:p w14:paraId="1FD0A02F">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0FBD1DEC">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10</w:t>
            </w:r>
          </w:p>
        </w:tc>
        <w:tc>
          <w:tcPr>
            <w:tcW w:w="1542" w:type="dxa"/>
            <w:noWrap w:val="0"/>
            <w:vAlign w:val="center"/>
          </w:tcPr>
          <w:p w14:paraId="15B0099A">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二级负荷</w:t>
            </w:r>
          </w:p>
        </w:tc>
      </w:tr>
      <w:tr w14:paraId="0E02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2A1D7EF5">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3</w:t>
            </w:r>
          </w:p>
        </w:tc>
        <w:tc>
          <w:tcPr>
            <w:tcW w:w="2946" w:type="dxa"/>
            <w:noWrap w:val="0"/>
            <w:vAlign w:val="center"/>
          </w:tcPr>
          <w:p w14:paraId="74AF3435">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门禁、监控及网络交换设备</w:t>
            </w:r>
          </w:p>
        </w:tc>
        <w:tc>
          <w:tcPr>
            <w:tcW w:w="1401" w:type="dxa"/>
            <w:noWrap w:val="0"/>
            <w:vAlign w:val="center"/>
          </w:tcPr>
          <w:p w14:paraId="7FF19C43">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4804614F">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3</w:t>
            </w:r>
          </w:p>
        </w:tc>
        <w:tc>
          <w:tcPr>
            <w:tcW w:w="1542" w:type="dxa"/>
            <w:noWrap w:val="0"/>
            <w:vAlign w:val="center"/>
          </w:tcPr>
          <w:p w14:paraId="7D6D1D17">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二级负荷</w:t>
            </w:r>
          </w:p>
        </w:tc>
      </w:tr>
      <w:tr w14:paraId="70E9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30E8F169">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4</w:t>
            </w:r>
          </w:p>
        </w:tc>
        <w:tc>
          <w:tcPr>
            <w:tcW w:w="2946" w:type="dxa"/>
            <w:noWrap w:val="0"/>
            <w:vAlign w:val="center"/>
          </w:tcPr>
          <w:p w14:paraId="49ACDDE2">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照明及插座</w:t>
            </w:r>
          </w:p>
        </w:tc>
        <w:tc>
          <w:tcPr>
            <w:tcW w:w="1401" w:type="dxa"/>
            <w:noWrap w:val="0"/>
            <w:vAlign w:val="center"/>
          </w:tcPr>
          <w:p w14:paraId="0CD90223">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5490AB5D">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2</w:t>
            </w:r>
          </w:p>
        </w:tc>
        <w:tc>
          <w:tcPr>
            <w:tcW w:w="1542" w:type="dxa"/>
            <w:noWrap w:val="0"/>
            <w:vAlign w:val="center"/>
          </w:tcPr>
          <w:p w14:paraId="4F4C620A">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三级负荷</w:t>
            </w:r>
          </w:p>
        </w:tc>
      </w:tr>
      <w:tr w14:paraId="604A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075ED2D9">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5</w:t>
            </w:r>
          </w:p>
        </w:tc>
        <w:tc>
          <w:tcPr>
            <w:tcW w:w="2946" w:type="dxa"/>
            <w:noWrap w:val="0"/>
            <w:vAlign w:val="center"/>
          </w:tcPr>
          <w:p w14:paraId="51580BD0">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空调系统</w:t>
            </w:r>
          </w:p>
        </w:tc>
        <w:tc>
          <w:tcPr>
            <w:tcW w:w="1401" w:type="dxa"/>
            <w:noWrap w:val="0"/>
            <w:vAlign w:val="center"/>
          </w:tcPr>
          <w:p w14:paraId="657457EC">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1035B96A">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120</w:t>
            </w:r>
          </w:p>
        </w:tc>
        <w:tc>
          <w:tcPr>
            <w:tcW w:w="1542" w:type="dxa"/>
            <w:noWrap w:val="0"/>
            <w:vAlign w:val="center"/>
          </w:tcPr>
          <w:p w14:paraId="20FD70DD">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三级负荷</w:t>
            </w:r>
          </w:p>
        </w:tc>
      </w:tr>
      <w:tr w14:paraId="1EF2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046D11F3">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6</w:t>
            </w:r>
          </w:p>
        </w:tc>
        <w:tc>
          <w:tcPr>
            <w:tcW w:w="2946" w:type="dxa"/>
            <w:noWrap w:val="0"/>
            <w:vAlign w:val="center"/>
          </w:tcPr>
          <w:p w14:paraId="2BD317CF">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其他公用配套设备</w:t>
            </w:r>
          </w:p>
        </w:tc>
        <w:tc>
          <w:tcPr>
            <w:tcW w:w="1401" w:type="dxa"/>
            <w:noWrap w:val="0"/>
            <w:vAlign w:val="center"/>
          </w:tcPr>
          <w:p w14:paraId="707A8EB2">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1C1F9D66">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20</w:t>
            </w:r>
          </w:p>
        </w:tc>
        <w:tc>
          <w:tcPr>
            <w:tcW w:w="1542" w:type="dxa"/>
            <w:noWrap w:val="0"/>
            <w:vAlign w:val="center"/>
          </w:tcPr>
          <w:p w14:paraId="0EC4DA48">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三级负荷</w:t>
            </w:r>
          </w:p>
        </w:tc>
      </w:tr>
      <w:tr w14:paraId="35B7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8" w:type="dxa"/>
            <w:noWrap w:val="0"/>
            <w:vAlign w:val="center"/>
          </w:tcPr>
          <w:p w14:paraId="0C5967C0">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7</w:t>
            </w:r>
          </w:p>
        </w:tc>
        <w:tc>
          <w:tcPr>
            <w:tcW w:w="2946" w:type="dxa"/>
            <w:noWrap w:val="0"/>
            <w:vAlign w:val="center"/>
          </w:tcPr>
          <w:p w14:paraId="1C92BAE5">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合计</w:t>
            </w:r>
          </w:p>
        </w:tc>
        <w:tc>
          <w:tcPr>
            <w:tcW w:w="1401" w:type="dxa"/>
            <w:noWrap w:val="0"/>
            <w:vAlign w:val="center"/>
          </w:tcPr>
          <w:p w14:paraId="43B7B6E3">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KW</w:t>
            </w:r>
          </w:p>
        </w:tc>
        <w:tc>
          <w:tcPr>
            <w:tcW w:w="1822" w:type="dxa"/>
            <w:noWrap w:val="0"/>
            <w:vAlign w:val="center"/>
          </w:tcPr>
          <w:p w14:paraId="4C335451">
            <w:pPr>
              <w:spacing w:line="240" w:lineRule="exact"/>
              <w:jc w:val="center"/>
              <w:rPr>
                <w:rFonts w:ascii="仿宋" w:hAnsi="仿宋" w:cs="仿宋"/>
                <w:bCs/>
                <w:color w:val="auto"/>
                <w:kern w:val="0"/>
                <w:szCs w:val="21"/>
                <w:highlight w:val="none"/>
              </w:rPr>
            </w:pPr>
            <w:r>
              <w:rPr>
                <w:rFonts w:hint="eastAsia" w:ascii="仿宋" w:hAnsi="仿宋" w:cs="仿宋"/>
                <w:bCs/>
                <w:color w:val="auto"/>
                <w:kern w:val="0"/>
                <w:szCs w:val="21"/>
                <w:highlight w:val="none"/>
              </w:rPr>
              <w:t>185</w:t>
            </w:r>
          </w:p>
        </w:tc>
        <w:tc>
          <w:tcPr>
            <w:tcW w:w="1542" w:type="dxa"/>
            <w:noWrap w:val="0"/>
            <w:vAlign w:val="center"/>
          </w:tcPr>
          <w:p w14:paraId="30E22FA8">
            <w:pPr>
              <w:spacing w:line="240" w:lineRule="exact"/>
              <w:jc w:val="center"/>
              <w:rPr>
                <w:rFonts w:ascii="仿宋" w:hAnsi="仿宋" w:cs="仿宋"/>
                <w:bCs/>
                <w:color w:val="auto"/>
                <w:kern w:val="0"/>
                <w:szCs w:val="21"/>
                <w:highlight w:val="none"/>
              </w:rPr>
            </w:pPr>
          </w:p>
        </w:tc>
      </w:tr>
    </w:tbl>
    <w:p w14:paraId="77FC39BF">
      <w:pPr>
        <w:pStyle w:val="13"/>
        <w:ind w:firstLine="440" w:firstLineChars="200"/>
        <w:rPr>
          <w:b w:val="0"/>
          <w:color w:val="auto"/>
          <w:highlight w:val="none"/>
        </w:rPr>
      </w:pPr>
      <w:r>
        <w:rPr>
          <w:rFonts w:hint="eastAsia"/>
          <w:b w:val="0"/>
          <w:color w:val="auto"/>
          <w:highlight w:val="none"/>
        </w:rPr>
        <w:t>供电</w:t>
      </w:r>
      <w:r>
        <w:rPr>
          <w:b w:val="0"/>
          <w:color w:val="auto"/>
          <w:highlight w:val="none"/>
        </w:rPr>
        <w:t>电源</w:t>
      </w:r>
    </w:p>
    <w:p w14:paraId="2A1815E7">
      <w:pPr>
        <w:spacing w:line="360" w:lineRule="auto"/>
        <w:ind w:firstLine="420" w:firstLineChars="200"/>
        <w:rPr>
          <w:bCs/>
          <w:color w:val="auto"/>
          <w:highlight w:val="none"/>
        </w:rPr>
      </w:pPr>
      <w:r>
        <w:rPr>
          <w:rFonts w:hint="eastAsia"/>
          <w:bCs/>
          <w:color w:val="auto"/>
          <w:highlight w:val="none"/>
        </w:rPr>
        <w:t>指挥中心</w:t>
      </w:r>
      <w:r>
        <w:rPr>
          <w:bCs/>
          <w:color w:val="auto"/>
          <w:highlight w:val="none"/>
        </w:rPr>
        <w:t>用电为</w:t>
      </w:r>
      <w:r>
        <w:rPr>
          <w:rFonts w:hint="eastAsia"/>
          <w:bCs/>
          <w:color w:val="auto"/>
          <w:highlight w:val="none"/>
        </w:rPr>
        <w:t>配电室</w:t>
      </w:r>
      <w:r>
        <w:rPr>
          <w:bCs/>
          <w:color w:val="auto"/>
          <w:highlight w:val="none"/>
        </w:rPr>
        <w:t>直</w:t>
      </w:r>
      <w:r>
        <w:rPr>
          <w:rFonts w:hint="eastAsia"/>
          <w:bCs/>
          <w:color w:val="auto"/>
          <w:highlight w:val="none"/>
        </w:rPr>
        <w:t>属配电</w:t>
      </w:r>
      <w:r>
        <w:rPr>
          <w:bCs/>
          <w:color w:val="auto"/>
          <w:highlight w:val="none"/>
        </w:rPr>
        <w:t>，具体供电由原建筑设计单位统一规划</w:t>
      </w:r>
      <w:r>
        <w:rPr>
          <w:rFonts w:hint="eastAsia"/>
          <w:bCs/>
          <w:color w:val="auto"/>
          <w:highlight w:val="none"/>
        </w:rPr>
        <w:t>。</w:t>
      </w:r>
    </w:p>
    <w:p w14:paraId="77603387">
      <w:pPr>
        <w:pStyle w:val="13"/>
        <w:ind w:firstLine="440" w:firstLineChars="200"/>
        <w:rPr>
          <w:b w:val="0"/>
          <w:color w:val="auto"/>
          <w:highlight w:val="none"/>
        </w:rPr>
      </w:pPr>
      <w:r>
        <w:rPr>
          <w:rFonts w:hint="eastAsia"/>
          <w:b w:val="0"/>
          <w:color w:val="auto"/>
          <w:highlight w:val="none"/>
        </w:rPr>
        <w:t>照明</w:t>
      </w:r>
      <w:r>
        <w:rPr>
          <w:b w:val="0"/>
          <w:color w:val="auto"/>
          <w:highlight w:val="none"/>
        </w:rPr>
        <w:t>系统</w:t>
      </w:r>
    </w:p>
    <w:p w14:paraId="33EFC8D2">
      <w:pPr>
        <w:spacing w:line="360" w:lineRule="auto"/>
        <w:ind w:firstLine="420" w:firstLineChars="200"/>
        <w:rPr>
          <w:bCs/>
          <w:color w:val="auto"/>
          <w:highlight w:val="none"/>
          <w:lang w:val="zh-CN"/>
        </w:rPr>
      </w:pPr>
      <w:r>
        <w:rPr>
          <w:rFonts w:hint="eastAsia"/>
          <w:bCs/>
          <w:color w:val="auto"/>
          <w:highlight w:val="none"/>
        </w:rPr>
        <w:t>指挥中心</w:t>
      </w:r>
      <w:r>
        <w:rPr>
          <w:bCs/>
          <w:color w:val="auto"/>
          <w:highlight w:val="none"/>
        </w:rPr>
        <w:t>的配套照明灯具选择应与装修紧急结合，电气专业预留配套灯具供电回路，确保灯具用电，灯具类型由装修专业确定</w:t>
      </w:r>
      <w:r>
        <w:rPr>
          <w:rFonts w:hint="eastAsia"/>
          <w:bCs/>
          <w:color w:val="auto"/>
          <w:highlight w:val="none"/>
        </w:rPr>
        <w:t>。</w:t>
      </w:r>
    </w:p>
    <w:p w14:paraId="637A2062">
      <w:pPr>
        <w:pStyle w:val="12"/>
        <w:tabs>
          <w:tab w:val="left" w:pos="864"/>
        </w:tabs>
        <w:spacing w:line="360" w:lineRule="auto"/>
        <w:ind w:left="0" w:firstLine="420" w:firstLineChars="200"/>
        <w:rPr>
          <w:color w:val="auto"/>
          <w:highlight w:val="none"/>
        </w:rPr>
      </w:pPr>
      <w:r>
        <w:rPr>
          <w:rFonts w:hint="eastAsia"/>
          <w:color w:val="auto"/>
          <w:highlight w:val="none"/>
        </w:rPr>
        <w:t>空调系统设计</w:t>
      </w:r>
    </w:p>
    <w:p w14:paraId="3C985122">
      <w:pPr>
        <w:spacing w:line="360" w:lineRule="auto"/>
        <w:ind w:firstLine="420" w:firstLineChars="200"/>
        <w:rPr>
          <w:bCs/>
          <w:color w:val="auto"/>
          <w:highlight w:val="none"/>
          <w:lang w:val="zh-CN"/>
        </w:rPr>
      </w:pPr>
      <w:r>
        <w:rPr>
          <w:rFonts w:hint="eastAsia" w:ascii="宋体" w:hAnsi="宋体"/>
          <w:bCs/>
          <w:color w:val="auto"/>
          <w:highlight w:val="none"/>
        </w:rPr>
        <w:t>指挥</w:t>
      </w:r>
      <w:r>
        <w:rPr>
          <w:rFonts w:ascii="宋体" w:hAnsi="宋体"/>
          <w:bCs/>
          <w:color w:val="auto"/>
          <w:highlight w:val="none"/>
        </w:rPr>
        <w:t>中心</w:t>
      </w:r>
      <w:r>
        <w:rPr>
          <w:rFonts w:hint="eastAsia" w:ascii="宋体" w:hAnsi="宋体"/>
          <w:bCs/>
          <w:color w:val="auto"/>
          <w:highlight w:val="none"/>
        </w:rPr>
        <w:t>采用V</w:t>
      </w:r>
      <w:r>
        <w:rPr>
          <w:rFonts w:ascii="宋体" w:hAnsi="宋体"/>
          <w:bCs/>
          <w:color w:val="auto"/>
          <w:highlight w:val="none"/>
        </w:rPr>
        <w:t>RV</w:t>
      </w:r>
      <w:r>
        <w:rPr>
          <w:rFonts w:hint="eastAsia" w:ascii="宋体" w:hAnsi="宋体"/>
          <w:bCs/>
          <w:color w:val="auto"/>
          <w:highlight w:val="none"/>
        </w:rPr>
        <w:t>多联机系统</w:t>
      </w:r>
      <w:r>
        <w:rPr>
          <w:rFonts w:ascii="宋体" w:hAnsi="宋体"/>
          <w:bCs/>
          <w:color w:val="auto"/>
          <w:highlight w:val="none"/>
        </w:rPr>
        <w:t>实现供暖及制冷</w:t>
      </w:r>
      <w:r>
        <w:rPr>
          <w:rFonts w:hint="eastAsia" w:ascii="宋体" w:hAnsi="宋体"/>
          <w:bCs/>
          <w:color w:val="auto"/>
          <w:highlight w:val="none"/>
        </w:rPr>
        <w:t>，运转设备应采用高性能、低噪声的节能产品。空气处理机组、通风机等则需采用减震基础或减震吊架安装。直接与运转设备连接的管道采用减震吊架安装。通风管道与空气处理机组或风机的连接应采用柔性短管。空调送、回风系统不应采用土建风道；通风采用的土建风道做绝热和严格防止漏风的措施。空调送回风管，空调冷媒管管道均应设置保温。风机均选用高效率低噪声风机。机械通风风机单位风量耗功率:≤0.27W/（m³·h）。</w:t>
      </w:r>
    </w:p>
    <w:p w14:paraId="2DC0832C">
      <w:pPr>
        <w:pStyle w:val="12"/>
        <w:tabs>
          <w:tab w:val="left" w:pos="864"/>
        </w:tabs>
        <w:spacing w:line="360" w:lineRule="auto"/>
        <w:ind w:left="0" w:firstLine="420" w:firstLineChars="200"/>
        <w:rPr>
          <w:color w:val="auto"/>
          <w:highlight w:val="none"/>
        </w:rPr>
      </w:pPr>
      <w:r>
        <w:rPr>
          <w:color w:val="auto"/>
          <w:highlight w:val="none"/>
        </w:rPr>
        <w:t>操作控制台</w:t>
      </w:r>
      <w:r>
        <w:rPr>
          <w:rFonts w:hint="eastAsia"/>
          <w:color w:val="auto"/>
          <w:highlight w:val="none"/>
        </w:rPr>
        <w:t>设计</w:t>
      </w:r>
    </w:p>
    <w:p w14:paraId="06863E0B">
      <w:pPr>
        <w:spacing w:line="360" w:lineRule="auto"/>
        <w:ind w:firstLine="420" w:firstLineChars="200"/>
        <w:rPr>
          <w:bCs/>
          <w:color w:val="auto"/>
          <w:highlight w:val="none"/>
        </w:rPr>
      </w:pPr>
      <w:r>
        <w:rPr>
          <w:bCs/>
          <w:color w:val="auto"/>
          <w:highlight w:val="none"/>
        </w:rPr>
        <w:t>控制台设计采用钢木拼装式结构，各部分有机结合有利于操作人员的操作，并根据人体工程学的要求，从美学角度对各种设备、控制器件的排列与安装进行合理布置。使操作人员的工作环境轻松、舒适．控制台上各功能控制键，按控制类别分块安装，并对每个控制单元中的各个控制按键间保持一定距离，减小操作员误操作可能性，主要的操作键安装有防止误碰及误操作装置．控制台表面涂有两种相近颜色的电脑白色亚光漆，其颜色布局从整体的角度进行了调整。控制台的台面采用木质材料。控制台前面和背面设有活动开启门．控制台的各种连接缆、线均通过控制室的防静电地板下部引入，电源电缆与信号电缆分开铺设，电缆加有屏蔽保护措施，便于工作人员进行维护。</w:t>
      </w:r>
    </w:p>
    <w:p w14:paraId="1DF7C1E5">
      <w:pPr>
        <w:spacing w:line="360" w:lineRule="auto"/>
        <w:ind w:firstLine="420" w:firstLineChars="200"/>
        <w:rPr>
          <w:bCs/>
          <w:color w:val="auto"/>
          <w:highlight w:val="none"/>
        </w:rPr>
      </w:pPr>
      <w:r>
        <w:rPr>
          <w:bCs/>
          <w:color w:val="auto"/>
          <w:highlight w:val="none"/>
        </w:rPr>
        <w:t>综合控制台距拼接屏4m，控制台上可以安全，美观恰当地放置监控系统的设备。</w:t>
      </w:r>
    </w:p>
    <w:p w14:paraId="56F10EAD">
      <w:pPr>
        <w:spacing w:line="360" w:lineRule="auto"/>
        <w:ind w:firstLine="420" w:firstLineChars="200"/>
        <w:rPr>
          <w:bCs/>
          <w:color w:val="auto"/>
          <w:highlight w:val="none"/>
        </w:rPr>
      </w:pPr>
      <w:r>
        <w:rPr>
          <w:bCs/>
          <w:color w:val="auto"/>
          <w:highlight w:val="none"/>
        </w:rPr>
        <w:t>控制台高度</w:t>
      </w:r>
      <w:r>
        <w:rPr>
          <w:rFonts w:hint="eastAsia"/>
          <w:bCs/>
          <w:color w:val="auto"/>
          <w:highlight w:val="none"/>
        </w:rPr>
        <w:t>0.</w:t>
      </w:r>
      <w:r>
        <w:rPr>
          <w:bCs/>
          <w:color w:val="auto"/>
          <w:highlight w:val="none"/>
        </w:rPr>
        <w:t>7m</w:t>
      </w:r>
      <w:r>
        <w:rPr>
          <w:rFonts w:hint="eastAsia"/>
          <w:bCs/>
          <w:color w:val="auto"/>
          <w:highlight w:val="none"/>
        </w:rPr>
        <w:t>，</w:t>
      </w:r>
      <w:r>
        <w:rPr>
          <w:bCs/>
          <w:color w:val="auto"/>
          <w:highlight w:val="none"/>
        </w:rPr>
        <w:t>便于操作人员操作不至于疲劳</w:t>
      </w:r>
      <w:r>
        <w:rPr>
          <w:rFonts w:hint="eastAsia"/>
          <w:bCs/>
          <w:color w:val="auto"/>
          <w:highlight w:val="none"/>
        </w:rPr>
        <w:t>；</w:t>
      </w:r>
    </w:p>
    <w:p w14:paraId="5844C576">
      <w:pPr>
        <w:spacing w:line="360" w:lineRule="auto"/>
        <w:ind w:firstLine="420" w:firstLineChars="200"/>
        <w:rPr>
          <w:bCs/>
          <w:color w:val="auto"/>
          <w:highlight w:val="none"/>
        </w:rPr>
      </w:pPr>
      <w:r>
        <w:rPr>
          <w:bCs/>
          <w:color w:val="auto"/>
          <w:highlight w:val="none"/>
        </w:rPr>
        <w:t>控制台安放计算机显示器后高度为1</w:t>
      </w:r>
      <w:r>
        <w:rPr>
          <w:rFonts w:hint="eastAsia"/>
          <w:bCs/>
          <w:color w:val="auto"/>
          <w:highlight w:val="none"/>
        </w:rPr>
        <w:t>.</w:t>
      </w:r>
      <w:r>
        <w:rPr>
          <w:bCs/>
          <w:color w:val="auto"/>
          <w:highlight w:val="none"/>
        </w:rPr>
        <w:t>15m，保证操作人员坐在控制台前观察显示器保持平视。</w:t>
      </w:r>
    </w:p>
    <w:p w14:paraId="429974ED">
      <w:pPr>
        <w:pStyle w:val="11"/>
        <w:spacing w:before="0" w:after="0" w:line="360" w:lineRule="auto"/>
        <w:ind w:firstLine="562" w:firstLineChars="200"/>
        <w:rPr>
          <w:color w:val="auto"/>
          <w:highlight w:val="none"/>
        </w:rPr>
      </w:pPr>
      <w:r>
        <w:rPr>
          <w:rFonts w:hint="eastAsia"/>
          <w:color w:val="auto"/>
          <w:highlight w:val="none"/>
        </w:rPr>
        <w:t>部署方案</w:t>
      </w:r>
    </w:p>
    <w:p w14:paraId="195BD421">
      <w:pPr>
        <w:spacing w:line="360" w:lineRule="auto"/>
        <w:ind w:firstLine="420" w:firstLineChars="200"/>
        <w:rPr>
          <w:bCs/>
          <w:color w:val="auto"/>
          <w:highlight w:val="none"/>
        </w:rPr>
      </w:pPr>
      <w:r>
        <w:rPr>
          <w:rFonts w:hint="eastAsia"/>
          <w:bCs/>
          <w:color w:val="auto"/>
          <w:highlight w:val="none"/>
        </w:rPr>
        <w:t>本监狱监管区大门三层</w:t>
      </w:r>
      <w:r>
        <w:rPr>
          <w:bCs/>
          <w:color w:val="auto"/>
          <w:highlight w:val="none"/>
        </w:rPr>
        <w:t>指挥大厅</w:t>
      </w:r>
      <w:r>
        <w:rPr>
          <w:rFonts w:hint="eastAsia"/>
          <w:bCs/>
          <w:color w:val="auto"/>
          <w:highlight w:val="none"/>
        </w:rPr>
        <w:t>西</w:t>
      </w:r>
      <w:r>
        <w:rPr>
          <w:bCs/>
          <w:color w:val="auto"/>
          <w:highlight w:val="none"/>
        </w:rPr>
        <w:t>侧</w:t>
      </w:r>
      <w:r>
        <w:rPr>
          <w:rFonts w:hint="eastAsia"/>
          <w:bCs/>
          <w:color w:val="auto"/>
          <w:highlight w:val="none"/>
        </w:rPr>
        <w:t>墙</w:t>
      </w:r>
      <w:r>
        <w:rPr>
          <w:bCs/>
          <w:color w:val="auto"/>
          <w:highlight w:val="none"/>
        </w:rPr>
        <w:t>部署液晶拼接屏</w:t>
      </w:r>
      <w:r>
        <w:rPr>
          <w:rFonts w:hint="eastAsia"/>
          <w:bCs/>
          <w:color w:val="auto"/>
          <w:highlight w:val="none"/>
        </w:rPr>
        <w:t>+</w:t>
      </w:r>
      <w:r>
        <w:rPr>
          <w:bCs/>
          <w:color w:val="auto"/>
          <w:highlight w:val="none"/>
        </w:rPr>
        <w:t>LED条屏用于监控图像显示及信息发布等</w:t>
      </w:r>
      <w:r>
        <w:rPr>
          <w:rFonts w:hint="eastAsia"/>
          <w:bCs/>
          <w:color w:val="auto"/>
          <w:highlight w:val="none"/>
        </w:rPr>
        <w:t>，大屏后方</w:t>
      </w:r>
      <w:r>
        <w:rPr>
          <w:bCs/>
          <w:color w:val="auto"/>
          <w:highlight w:val="none"/>
        </w:rPr>
        <w:t>预留</w:t>
      </w:r>
      <w:r>
        <w:rPr>
          <w:rFonts w:hint="eastAsia"/>
          <w:bCs/>
          <w:color w:val="auto"/>
          <w:highlight w:val="none"/>
        </w:rPr>
        <w:t>1.4m的维修通道；指挥中心设置监控工作台</w:t>
      </w:r>
      <w:r>
        <w:rPr>
          <w:bCs/>
          <w:color w:val="auto"/>
          <w:highlight w:val="none"/>
        </w:rPr>
        <w:t>1</w:t>
      </w:r>
      <w:r>
        <w:rPr>
          <w:rFonts w:hint="eastAsia"/>
          <w:bCs/>
          <w:color w:val="auto"/>
          <w:highlight w:val="none"/>
        </w:rPr>
        <w:t>排（7个控制席位），设置会议桌1台（12个席位）</w:t>
      </w:r>
      <w:r>
        <w:rPr>
          <w:bCs/>
          <w:color w:val="auto"/>
          <w:highlight w:val="none"/>
        </w:rPr>
        <w:t>。</w:t>
      </w:r>
    </w:p>
    <w:p w14:paraId="4C298F59">
      <w:pPr>
        <w:spacing w:line="360" w:lineRule="auto"/>
        <w:ind w:firstLine="420" w:firstLineChars="200"/>
        <w:rPr>
          <w:bCs/>
          <w:color w:val="auto"/>
          <w:highlight w:val="none"/>
        </w:rPr>
      </w:pPr>
      <w:r>
        <w:rPr>
          <w:rFonts w:hint="eastAsia"/>
          <w:bCs/>
          <w:color w:val="auto"/>
          <w:highlight w:val="none"/>
        </w:rPr>
        <w:t>具体布置详见下图：</w:t>
      </w:r>
    </w:p>
    <w:p w14:paraId="5ABE4E73">
      <w:pPr>
        <w:spacing w:line="360" w:lineRule="auto"/>
        <w:ind w:firstLine="420" w:firstLineChars="200"/>
        <w:jc w:val="center"/>
        <w:rPr>
          <w:bCs/>
          <w:color w:val="auto"/>
          <w:highlight w:val="none"/>
        </w:rPr>
      </w:pPr>
      <w:r>
        <w:rPr>
          <w:bCs/>
          <w:color w:val="auto"/>
          <w:highlight w:val="none"/>
        </w:rPr>
        <w:drawing>
          <wp:inline distT="0" distB="0" distL="114300" distR="114300">
            <wp:extent cx="5273040" cy="4632960"/>
            <wp:effectExtent l="0" t="0" r="3810" b="15240"/>
            <wp:docPr id="37"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0"/>
                    <pic:cNvPicPr>
                      <a:picLocks noChangeAspect="1"/>
                    </pic:cNvPicPr>
                  </pic:nvPicPr>
                  <pic:blipFill>
                    <a:blip r:embed="rId55"/>
                    <a:stretch>
                      <a:fillRect/>
                    </a:stretch>
                  </pic:blipFill>
                  <pic:spPr>
                    <a:xfrm>
                      <a:off x="0" y="0"/>
                      <a:ext cx="5273040" cy="4632960"/>
                    </a:xfrm>
                    <a:prstGeom prst="rect">
                      <a:avLst/>
                    </a:prstGeom>
                    <a:noFill/>
                    <a:ln>
                      <a:noFill/>
                    </a:ln>
                  </pic:spPr>
                </pic:pic>
              </a:graphicData>
            </a:graphic>
          </wp:inline>
        </w:drawing>
      </w:r>
    </w:p>
    <w:p w14:paraId="30211958">
      <w:pPr>
        <w:pStyle w:val="10"/>
        <w:spacing w:before="0" w:after="0" w:line="360" w:lineRule="auto"/>
        <w:ind w:firstLine="643" w:firstLineChars="200"/>
        <w:rPr>
          <w:color w:val="auto"/>
          <w:highlight w:val="none"/>
        </w:rPr>
      </w:pPr>
      <w:r>
        <w:rPr>
          <w:rFonts w:hint="eastAsia"/>
          <w:color w:val="auto"/>
          <w:highlight w:val="none"/>
        </w:rPr>
        <w:t>4.15.2</w:t>
      </w:r>
      <w:r>
        <w:rPr>
          <w:color w:val="auto"/>
          <w:highlight w:val="none"/>
        </w:rPr>
        <w:t>联勤值班室</w:t>
      </w:r>
    </w:p>
    <w:p w14:paraId="42046305">
      <w:pPr>
        <w:spacing w:line="360" w:lineRule="auto"/>
        <w:ind w:firstLine="420" w:firstLineChars="200"/>
        <w:rPr>
          <w:bCs/>
          <w:color w:val="auto"/>
          <w:highlight w:val="none"/>
        </w:rPr>
      </w:pPr>
      <w:r>
        <w:rPr>
          <w:rFonts w:hint="eastAsia"/>
          <w:bCs/>
          <w:color w:val="auto"/>
          <w:highlight w:val="none"/>
        </w:rPr>
        <w:t>狱内联勤值班室是本监狱安全防范体系的前端重要管理部门，是监区联合值班的重要场所，承担着分管防区的现场管理和预警处置职责。作为本分控区域各种基础安防信息的直接汇集、处理单元，联勤值班室负责本分控区域视频图像、门禁信息、对讲信息、巡查信息、广播信息、报警信息等的采集和处理。</w:t>
      </w:r>
    </w:p>
    <w:p w14:paraId="42DDA377">
      <w:pPr>
        <w:spacing w:line="360" w:lineRule="auto"/>
        <w:ind w:firstLine="420" w:firstLineChars="200"/>
        <w:rPr>
          <w:bCs/>
          <w:color w:val="auto"/>
          <w:highlight w:val="none"/>
        </w:rPr>
      </w:pPr>
    </w:p>
    <w:p w14:paraId="73BCD5E7">
      <w:pPr>
        <w:pStyle w:val="11"/>
        <w:spacing w:before="0" w:after="0" w:line="360" w:lineRule="auto"/>
        <w:ind w:firstLine="562" w:firstLineChars="200"/>
        <w:rPr>
          <w:color w:val="auto"/>
          <w:highlight w:val="none"/>
        </w:rPr>
      </w:pPr>
      <w:r>
        <w:rPr>
          <w:rFonts w:hint="eastAsia"/>
          <w:color w:val="auto"/>
          <w:highlight w:val="none"/>
        </w:rPr>
        <w:t>设计原则</w:t>
      </w:r>
    </w:p>
    <w:p w14:paraId="17098EEC">
      <w:pPr>
        <w:spacing w:line="360" w:lineRule="auto"/>
        <w:ind w:firstLine="420" w:firstLineChars="200"/>
        <w:rPr>
          <w:bCs/>
          <w:color w:val="auto"/>
          <w:highlight w:val="none"/>
        </w:rPr>
      </w:pPr>
      <w:r>
        <w:rPr>
          <w:rFonts w:hint="eastAsia"/>
          <w:bCs/>
          <w:color w:val="auto"/>
          <w:highlight w:val="none"/>
        </w:rPr>
        <w:t>监狱联勤值班室按照如下原则进行设计：</w:t>
      </w:r>
    </w:p>
    <w:p w14:paraId="2A851D09">
      <w:pPr>
        <w:numPr>
          <w:ilvl w:val="0"/>
          <w:numId w:val="27"/>
        </w:numPr>
        <w:spacing w:line="360" w:lineRule="auto"/>
        <w:ind w:left="0" w:firstLine="420" w:firstLineChars="200"/>
        <w:rPr>
          <w:bCs/>
          <w:color w:val="auto"/>
          <w:highlight w:val="none"/>
        </w:rPr>
      </w:pPr>
      <w:r>
        <w:rPr>
          <w:rFonts w:hint="eastAsia"/>
          <w:bCs/>
          <w:color w:val="auto"/>
          <w:highlight w:val="none"/>
        </w:rPr>
        <w:t>实现音视频流在本地的显示、压缩、管理、处理；</w:t>
      </w:r>
    </w:p>
    <w:p w14:paraId="405ECB89">
      <w:pPr>
        <w:numPr>
          <w:ilvl w:val="0"/>
          <w:numId w:val="27"/>
        </w:numPr>
        <w:spacing w:line="360" w:lineRule="auto"/>
        <w:ind w:left="0" w:firstLine="420" w:firstLineChars="200"/>
        <w:rPr>
          <w:bCs/>
          <w:color w:val="auto"/>
          <w:highlight w:val="none"/>
        </w:rPr>
      </w:pPr>
      <w:r>
        <w:rPr>
          <w:rFonts w:hint="eastAsia"/>
          <w:bCs/>
          <w:color w:val="auto"/>
          <w:highlight w:val="none"/>
        </w:rPr>
        <w:t>实现对前端设备管理、控制或对控制流的转发；</w:t>
      </w:r>
    </w:p>
    <w:p w14:paraId="373156E5">
      <w:pPr>
        <w:numPr>
          <w:ilvl w:val="0"/>
          <w:numId w:val="27"/>
        </w:numPr>
        <w:spacing w:line="360" w:lineRule="auto"/>
        <w:ind w:left="0" w:firstLine="420" w:firstLineChars="200"/>
        <w:rPr>
          <w:bCs/>
          <w:color w:val="auto"/>
          <w:highlight w:val="none"/>
        </w:rPr>
      </w:pPr>
      <w:r>
        <w:rPr>
          <w:rFonts w:hint="eastAsia"/>
          <w:bCs/>
          <w:color w:val="auto"/>
          <w:highlight w:val="none"/>
        </w:rPr>
        <w:t>实现报警信息解码、报警信息流的上传、本地报警联动、报警信息的分级处理；</w:t>
      </w:r>
    </w:p>
    <w:p w14:paraId="176BC3AE">
      <w:pPr>
        <w:numPr>
          <w:ilvl w:val="0"/>
          <w:numId w:val="27"/>
        </w:numPr>
        <w:spacing w:line="360" w:lineRule="auto"/>
        <w:ind w:left="0" w:firstLine="420" w:firstLineChars="200"/>
        <w:rPr>
          <w:bCs/>
          <w:color w:val="auto"/>
          <w:highlight w:val="none"/>
        </w:rPr>
      </w:pPr>
      <w:r>
        <w:rPr>
          <w:rFonts w:hint="eastAsia"/>
          <w:bCs/>
          <w:color w:val="auto"/>
          <w:highlight w:val="none"/>
        </w:rPr>
        <w:t>向指挥系统提供音视频信息流，报警信息流，执行指挥系统下达的控制命令流；</w:t>
      </w:r>
    </w:p>
    <w:p w14:paraId="4BF54499">
      <w:pPr>
        <w:numPr>
          <w:ilvl w:val="0"/>
          <w:numId w:val="27"/>
        </w:numPr>
        <w:spacing w:line="360" w:lineRule="auto"/>
        <w:ind w:left="0" w:firstLine="420" w:firstLineChars="200"/>
        <w:rPr>
          <w:bCs/>
          <w:color w:val="auto"/>
          <w:highlight w:val="none"/>
        </w:rPr>
      </w:pPr>
      <w:r>
        <w:rPr>
          <w:rFonts w:hint="eastAsia"/>
          <w:bCs/>
          <w:color w:val="auto"/>
          <w:highlight w:val="none"/>
        </w:rPr>
        <w:t>向监狱业务系统上传管理信息、日志信息、统计信息、基础属性等；</w:t>
      </w:r>
    </w:p>
    <w:p w14:paraId="4DD51DFB">
      <w:pPr>
        <w:numPr>
          <w:ilvl w:val="0"/>
          <w:numId w:val="27"/>
        </w:numPr>
        <w:spacing w:line="360" w:lineRule="auto"/>
        <w:ind w:left="0" w:firstLine="420" w:firstLineChars="200"/>
        <w:rPr>
          <w:bCs/>
          <w:color w:val="auto"/>
          <w:highlight w:val="none"/>
        </w:rPr>
      </w:pPr>
      <w:r>
        <w:rPr>
          <w:rFonts w:hint="eastAsia"/>
          <w:bCs/>
          <w:color w:val="auto"/>
          <w:highlight w:val="none"/>
        </w:rPr>
        <w:t>实现本地监听对讲功能；</w:t>
      </w:r>
    </w:p>
    <w:p w14:paraId="0EA06490">
      <w:pPr>
        <w:numPr>
          <w:ilvl w:val="0"/>
          <w:numId w:val="27"/>
        </w:numPr>
        <w:spacing w:line="360" w:lineRule="auto"/>
        <w:ind w:left="0" w:firstLine="420" w:firstLineChars="200"/>
        <w:rPr>
          <w:bCs/>
          <w:color w:val="auto"/>
          <w:highlight w:val="none"/>
        </w:rPr>
      </w:pPr>
      <w:r>
        <w:rPr>
          <w:rFonts w:hint="eastAsia"/>
          <w:bCs/>
          <w:color w:val="auto"/>
          <w:highlight w:val="none"/>
        </w:rPr>
        <w:t>实现联勤值班室与监狱指挥中心、省监狱管理局指挥中心多级对讲。</w:t>
      </w:r>
    </w:p>
    <w:p w14:paraId="127A5273">
      <w:pPr>
        <w:pStyle w:val="11"/>
        <w:spacing w:before="0" w:after="0" w:line="360" w:lineRule="auto"/>
        <w:ind w:firstLine="562" w:firstLineChars="200"/>
        <w:rPr>
          <w:color w:val="auto"/>
          <w:highlight w:val="none"/>
        </w:rPr>
      </w:pPr>
      <w:r>
        <w:rPr>
          <w:rFonts w:hint="eastAsia"/>
          <w:color w:val="auto"/>
          <w:highlight w:val="none"/>
        </w:rPr>
        <w:t>系统设计</w:t>
      </w:r>
    </w:p>
    <w:p w14:paraId="75702F31">
      <w:pPr>
        <w:spacing w:line="360" w:lineRule="auto"/>
        <w:ind w:firstLine="420" w:firstLineChars="200"/>
        <w:rPr>
          <w:bCs/>
          <w:color w:val="auto"/>
          <w:highlight w:val="none"/>
        </w:rPr>
      </w:pPr>
      <w:r>
        <w:rPr>
          <w:rFonts w:hint="eastAsia"/>
          <w:bCs/>
          <w:color w:val="auto"/>
          <w:highlight w:val="none"/>
        </w:rPr>
        <w:t>联勤值班室的设计是以数据库管理系统为基础的数据平台，通过本监狱电子狱务专网局域网对视频监控、监听对讲、门禁、巡查等子系统设备进行控制和管理。实现以计算机网络为传输介质，以</w:t>
      </w:r>
      <w:r>
        <w:rPr>
          <w:bCs/>
          <w:color w:val="auto"/>
          <w:highlight w:val="none"/>
        </w:rPr>
        <w:t>TCP/IP</w:t>
      </w:r>
      <w:r>
        <w:rPr>
          <w:rFonts w:hint="eastAsia"/>
          <w:bCs/>
          <w:color w:val="auto"/>
          <w:highlight w:val="none"/>
        </w:rPr>
        <w:t>协议为通讯控制协议，以监控管理控制终端，以电子地图为统一操作界面的智能化指挥控制系统。</w:t>
      </w:r>
    </w:p>
    <w:p w14:paraId="3A28167C">
      <w:pPr>
        <w:pStyle w:val="12"/>
        <w:tabs>
          <w:tab w:val="left" w:pos="864"/>
        </w:tabs>
        <w:spacing w:line="360" w:lineRule="auto"/>
        <w:ind w:left="0" w:firstLine="420" w:firstLineChars="200"/>
        <w:rPr>
          <w:color w:val="auto"/>
          <w:highlight w:val="none"/>
        </w:rPr>
      </w:pPr>
      <w:r>
        <w:rPr>
          <w:rFonts w:hint="eastAsia"/>
          <w:color w:val="auto"/>
          <w:highlight w:val="none"/>
        </w:rPr>
        <w:t>监舍楼联勤值班室设计</w:t>
      </w:r>
    </w:p>
    <w:p w14:paraId="1EF4C33B">
      <w:pPr>
        <w:spacing w:line="360" w:lineRule="auto"/>
        <w:ind w:firstLine="420" w:firstLineChars="200"/>
        <w:rPr>
          <w:bCs/>
          <w:color w:val="auto"/>
          <w:highlight w:val="none"/>
        </w:rPr>
      </w:pPr>
      <w:r>
        <w:rPr>
          <w:rFonts w:hint="eastAsia"/>
          <w:bCs/>
          <w:color w:val="auto"/>
          <w:highlight w:val="none"/>
        </w:rPr>
        <w:t>本项目共设联勤值班室5个，分别位于监舍楼的1-5层。</w:t>
      </w:r>
    </w:p>
    <w:p w14:paraId="2029B353">
      <w:pPr>
        <w:spacing w:line="360" w:lineRule="auto"/>
        <w:ind w:firstLine="420" w:firstLineChars="200"/>
        <w:rPr>
          <w:rFonts w:ascii="宋体" w:hAnsi="宋体"/>
          <w:bCs/>
          <w:color w:val="auto"/>
          <w:szCs w:val="28"/>
          <w:highlight w:val="none"/>
        </w:rPr>
      </w:pPr>
      <w:r>
        <w:rPr>
          <w:rFonts w:hint="eastAsia"/>
          <w:bCs/>
          <w:color w:val="auto"/>
          <w:highlight w:val="none"/>
        </w:rPr>
        <w:t>联勤值班室实现了对应区域的监控、报警、门禁、对讲等子系统前端设备的接入。同时，在夜间值班过程中，每层楼的联勤值班室起到本层的两个监区联勤值班的功能。</w:t>
      </w:r>
    </w:p>
    <w:p w14:paraId="06EA3360">
      <w:pPr>
        <w:pStyle w:val="12"/>
        <w:tabs>
          <w:tab w:val="left" w:pos="864"/>
        </w:tabs>
        <w:spacing w:line="360" w:lineRule="auto"/>
        <w:ind w:left="0" w:firstLine="420" w:firstLineChars="200"/>
        <w:rPr>
          <w:color w:val="auto"/>
          <w:highlight w:val="none"/>
        </w:rPr>
      </w:pPr>
      <w:r>
        <w:rPr>
          <w:rFonts w:hint="eastAsia"/>
          <w:color w:val="auto"/>
          <w:highlight w:val="none"/>
        </w:rPr>
        <w:t>枪械弹药库分控管理</w:t>
      </w:r>
    </w:p>
    <w:p w14:paraId="17B66A62">
      <w:pPr>
        <w:spacing w:line="360" w:lineRule="auto"/>
        <w:ind w:firstLine="420" w:firstLineChars="200"/>
        <w:rPr>
          <w:bCs/>
          <w:color w:val="auto"/>
          <w:highlight w:val="none"/>
        </w:rPr>
      </w:pPr>
      <w:r>
        <w:rPr>
          <w:rFonts w:hint="eastAsia"/>
          <w:bCs/>
          <w:color w:val="auto"/>
          <w:highlight w:val="none"/>
        </w:rPr>
        <w:t>本监狱监管区大门上三层枪械弹药库不再单独设置联勤值班室，其监控图像和报警信号直接接入监管区指挥中心统一管理。</w:t>
      </w:r>
    </w:p>
    <w:p w14:paraId="75CCFB07">
      <w:pPr>
        <w:pStyle w:val="12"/>
        <w:tabs>
          <w:tab w:val="left" w:pos="864"/>
        </w:tabs>
        <w:spacing w:line="360" w:lineRule="auto"/>
        <w:ind w:left="0" w:firstLine="420" w:firstLineChars="200"/>
        <w:rPr>
          <w:color w:val="auto"/>
          <w:highlight w:val="none"/>
        </w:rPr>
      </w:pPr>
      <w:r>
        <w:rPr>
          <w:rFonts w:hint="eastAsia"/>
          <w:color w:val="auto"/>
          <w:highlight w:val="none"/>
        </w:rPr>
        <w:t>周界分控管理</w:t>
      </w:r>
    </w:p>
    <w:p w14:paraId="1D246FC4">
      <w:pPr>
        <w:spacing w:line="360" w:lineRule="auto"/>
        <w:ind w:firstLine="420" w:firstLineChars="200"/>
        <w:rPr>
          <w:bCs/>
          <w:color w:val="auto"/>
          <w:highlight w:val="none"/>
        </w:rPr>
      </w:pPr>
      <w:r>
        <w:rPr>
          <w:rFonts w:hint="eastAsia"/>
          <w:bCs/>
          <w:color w:val="auto"/>
          <w:highlight w:val="none"/>
        </w:rPr>
        <w:t>周界管理不再单独设置联勤值班室，在本监狱监管区大门上三层指挥中心设置专门坐席对周界进行监控管理。</w:t>
      </w:r>
    </w:p>
    <w:p w14:paraId="22F187AC">
      <w:pPr>
        <w:pStyle w:val="11"/>
        <w:spacing w:before="0" w:after="0" w:line="360" w:lineRule="auto"/>
        <w:ind w:firstLine="562" w:firstLineChars="200"/>
        <w:rPr>
          <w:color w:val="auto"/>
          <w:highlight w:val="none"/>
        </w:rPr>
      </w:pPr>
      <w:r>
        <w:rPr>
          <w:rFonts w:hint="eastAsia"/>
          <w:color w:val="auto"/>
          <w:highlight w:val="none"/>
        </w:rPr>
        <w:t>部署方案</w:t>
      </w:r>
    </w:p>
    <w:p w14:paraId="2FA60DC6">
      <w:pPr>
        <w:spacing w:line="360" w:lineRule="auto"/>
        <w:ind w:firstLine="420" w:firstLineChars="200"/>
        <w:rPr>
          <w:bCs/>
          <w:color w:val="auto"/>
          <w:highlight w:val="none"/>
        </w:rPr>
      </w:pPr>
      <w:r>
        <w:rPr>
          <w:rFonts w:hint="eastAsia"/>
          <w:bCs/>
          <w:color w:val="auto"/>
          <w:highlight w:val="none"/>
        </w:rPr>
        <w:t>在联勤值班室部署2*2的55``液晶拼接屏，用于视频监控；</w:t>
      </w:r>
      <w:r>
        <w:rPr>
          <w:rFonts w:hint="eastAsia" w:ascii="宋体" w:hAnsi="宋体"/>
          <w:bCs/>
          <w:color w:val="auto"/>
          <w:szCs w:val="28"/>
          <w:highlight w:val="none"/>
        </w:rPr>
        <w:t>部署相关</w:t>
      </w:r>
      <w:r>
        <w:rPr>
          <w:rFonts w:ascii="宋体" w:hAnsi="宋体"/>
          <w:bCs/>
          <w:color w:val="auto"/>
          <w:szCs w:val="28"/>
          <w:highlight w:val="none"/>
        </w:rPr>
        <w:t>安防</w:t>
      </w:r>
      <w:r>
        <w:rPr>
          <w:rFonts w:hint="eastAsia" w:ascii="宋体" w:hAnsi="宋体"/>
          <w:bCs/>
          <w:color w:val="auto"/>
          <w:szCs w:val="28"/>
          <w:highlight w:val="none"/>
        </w:rPr>
        <w:t>系统</w:t>
      </w:r>
      <w:r>
        <w:rPr>
          <w:rFonts w:ascii="宋体" w:hAnsi="宋体"/>
          <w:bCs/>
          <w:color w:val="auto"/>
          <w:szCs w:val="28"/>
          <w:highlight w:val="none"/>
        </w:rPr>
        <w:t>的管理主机，如</w:t>
      </w:r>
      <w:r>
        <w:rPr>
          <w:rFonts w:hint="eastAsia" w:ascii="宋体" w:hAnsi="宋体"/>
          <w:bCs/>
          <w:color w:val="auto"/>
          <w:szCs w:val="28"/>
          <w:highlight w:val="none"/>
        </w:rPr>
        <w:t>监听对讲主机、门禁控制主机、报警主机及电话等，</w:t>
      </w:r>
      <w:r>
        <w:rPr>
          <w:rFonts w:ascii="宋体" w:hAnsi="宋体"/>
          <w:bCs/>
          <w:color w:val="auto"/>
          <w:szCs w:val="28"/>
          <w:highlight w:val="none"/>
        </w:rPr>
        <w:t>用于</w:t>
      </w:r>
      <w:r>
        <w:rPr>
          <w:rFonts w:hint="eastAsia" w:ascii="宋体" w:hAnsi="宋体"/>
          <w:bCs/>
          <w:color w:val="auto"/>
          <w:szCs w:val="28"/>
          <w:highlight w:val="none"/>
        </w:rPr>
        <w:t>实现联勤值班室对</w:t>
      </w:r>
      <w:r>
        <w:rPr>
          <w:rFonts w:ascii="宋体" w:hAnsi="宋体"/>
          <w:bCs/>
          <w:color w:val="auto"/>
          <w:szCs w:val="28"/>
          <w:highlight w:val="none"/>
        </w:rPr>
        <w:t>各个安防系统</w:t>
      </w:r>
      <w:r>
        <w:rPr>
          <w:rFonts w:hint="eastAsia" w:ascii="宋体" w:hAnsi="宋体"/>
          <w:bCs/>
          <w:color w:val="auto"/>
          <w:szCs w:val="28"/>
          <w:highlight w:val="none"/>
        </w:rPr>
        <w:t>的综合化管理。</w:t>
      </w:r>
    </w:p>
    <w:p w14:paraId="273BF69B">
      <w:pPr>
        <w:pStyle w:val="10"/>
        <w:spacing w:before="0" w:after="0" w:line="360" w:lineRule="auto"/>
        <w:ind w:firstLine="643" w:firstLineChars="200"/>
        <w:rPr>
          <w:color w:val="auto"/>
          <w:highlight w:val="none"/>
        </w:rPr>
      </w:pPr>
      <w:r>
        <w:rPr>
          <w:rFonts w:hint="eastAsia"/>
          <w:color w:val="auto"/>
          <w:highlight w:val="none"/>
        </w:rPr>
        <w:t>4.15.3分控中心</w:t>
      </w:r>
    </w:p>
    <w:p w14:paraId="67FBEEC2">
      <w:pPr>
        <w:spacing w:line="360" w:lineRule="auto"/>
        <w:ind w:firstLine="420" w:firstLineChars="200"/>
        <w:rPr>
          <w:bCs/>
          <w:color w:val="auto"/>
          <w:highlight w:val="none"/>
        </w:rPr>
      </w:pPr>
      <w:r>
        <w:rPr>
          <w:rFonts w:hint="eastAsia"/>
          <w:bCs/>
          <w:color w:val="auto"/>
          <w:highlight w:val="none"/>
        </w:rPr>
        <w:t>狱内分控中心是本监狱安全防范体系的最前端一级的重要管理部门，承担着管控防区的现场管理和预警处置职责。作为各种基础安防信息的直接汇集、处理单元，分控中心负责本管控区域视频图像、门禁信息、巡查信息、广播信息、报警信息等的采集和处理。</w:t>
      </w:r>
    </w:p>
    <w:p w14:paraId="27CFA99B">
      <w:pPr>
        <w:spacing w:line="360" w:lineRule="auto"/>
        <w:ind w:firstLine="420" w:firstLineChars="200"/>
        <w:rPr>
          <w:bCs/>
          <w:color w:val="auto"/>
          <w:highlight w:val="none"/>
        </w:rPr>
      </w:pPr>
      <w:r>
        <w:rPr>
          <w:rFonts w:hint="eastAsia"/>
          <w:bCs/>
          <w:color w:val="auto"/>
          <w:highlight w:val="none"/>
        </w:rPr>
        <w:t>同时，狱内分控中心为本监狱业务管理应用系统、安防智能集成平台提供可共享的基础数据、安防以及报警触发信息，保证与本监狱监管区指挥中心的实时数据通信。</w:t>
      </w:r>
    </w:p>
    <w:p w14:paraId="41EEDC01">
      <w:pPr>
        <w:pStyle w:val="11"/>
        <w:spacing w:before="0" w:after="0" w:line="360" w:lineRule="auto"/>
        <w:ind w:firstLine="562" w:firstLineChars="200"/>
        <w:rPr>
          <w:color w:val="auto"/>
          <w:highlight w:val="none"/>
        </w:rPr>
      </w:pPr>
      <w:r>
        <w:rPr>
          <w:rFonts w:hint="eastAsia"/>
          <w:color w:val="auto"/>
          <w:highlight w:val="none"/>
        </w:rPr>
        <w:t>设计原则</w:t>
      </w:r>
    </w:p>
    <w:p w14:paraId="770F714C">
      <w:pPr>
        <w:spacing w:line="360" w:lineRule="auto"/>
        <w:ind w:firstLine="420" w:firstLineChars="200"/>
        <w:rPr>
          <w:bCs/>
          <w:color w:val="auto"/>
          <w:highlight w:val="none"/>
        </w:rPr>
      </w:pPr>
      <w:r>
        <w:rPr>
          <w:rFonts w:hint="eastAsia"/>
          <w:bCs/>
          <w:color w:val="auto"/>
          <w:highlight w:val="none"/>
        </w:rPr>
        <w:t>本监狱分控中心按照如下原则进行设计：</w:t>
      </w:r>
    </w:p>
    <w:p w14:paraId="69C4CB25">
      <w:pPr>
        <w:numPr>
          <w:ilvl w:val="0"/>
          <w:numId w:val="27"/>
        </w:numPr>
        <w:spacing w:line="360" w:lineRule="auto"/>
        <w:ind w:left="0" w:firstLine="420" w:firstLineChars="200"/>
        <w:rPr>
          <w:bCs/>
          <w:color w:val="auto"/>
          <w:highlight w:val="none"/>
        </w:rPr>
      </w:pPr>
      <w:r>
        <w:rPr>
          <w:rFonts w:hint="eastAsia"/>
          <w:bCs/>
          <w:color w:val="auto"/>
          <w:highlight w:val="none"/>
        </w:rPr>
        <w:t>实现音视频流在本地的显示、压缩、管理、处理；</w:t>
      </w:r>
    </w:p>
    <w:p w14:paraId="62B04368">
      <w:pPr>
        <w:numPr>
          <w:ilvl w:val="0"/>
          <w:numId w:val="27"/>
        </w:numPr>
        <w:spacing w:line="360" w:lineRule="auto"/>
        <w:ind w:left="0" w:firstLine="420" w:firstLineChars="200"/>
        <w:rPr>
          <w:bCs/>
          <w:color w:val="auto"/>
          <w:highlight w:val="none"/>
        </w:rPr>
      </w:pPr>
      <w:r>
        <w:rPr>
          <w:rFonts w:hint="eastAsia"/>
          <w:bCs/>
          <w:color w:val="auto"/>
          <w:highlight w:val="none"/>
        </w:rPr>
        <w:t>实现对前端设备管理、控制或对控制流的转发；</w:t>
      </w:r>
    </w:p>
    <w:p w14:paraId="61AC02DD">
      <w:pPr>
        <w:numPr>
          <w:ilvl w:val="0"/>
          <w:numId w:val="27"/>
        </w:numPr>
        <w:spacing w:line="360" w:lineRule="auto"/>
        <w:ind w:left="0" w:firstLine="420" w:firstLineChars="200"/>
        <w:rPr>
          <w:bCs/>
          <w:color w:val="auto"/>
          <w:highlight w:val="none"/>
        </w:rPr>
      </w:pPr>
      <w:r>
        <w:rPr>
          <w:rFonts w:hint="eastAsia"/>
          <w:bCs/>
          <w:color w:val="auto"/>
          <w:highlight w:val="none"/>
        </w:rPr>
        <w:t>实现报警信息解码、报警信息流的上传、本地报警联动、报警信息的分级处理；</w:t>
      </w:r>
    </w:p>
    <w:p w14:paraId="3A1360D5">
      <w:pPr>
        <w:numPr>
          <w:ilvl w:val="0"/>
          <w:numId w:val="27"/>
        </w:numPr>
        <w:spacing w:line="360" w:lineRule="auto"/>
        <w:ind w:left="0" w:firstLine="420" w:firstLineChars="200"/>
        <w:rPr>
          <w:bCs/>
          <w:color w:val="auto"/>
          <w:highlight w:val="none"/>
        </w:rPr>
      </w:pPr>
      <w:r>
        <w:rPr>
          <w:rFonts w:hint="eastAsia"/>
          <w:bCs/>
          <w:color w:val="auto"/>
          <w:highlight w:val="none"/>
        </w:rPr>
        <w:t>向指挥系统提供音视频信息流，报警信息流，执行指挥系统下达的控制命令流；</w:t>
      </w:r>
    </w:p>
    <w:p w14:paraId="5FCC7731">
      <w:pPr>
        <w:numPr>
          <w:ilvl w:val="0"/>
          <w:numId w:val="27"/>
        </w:numPr>
        <w:spacing w:line="360" w:lineRule="auto"/>
        <w:ind w:left="0" w:firstLine="420" w:firstLineChars="200"/>
        <w:rPr>
          <w:bCs/>
          <w:color w:val="auto"/>
          <w:highlight w:val="none"/>
        </w:rPr>
      </w:pPr>
      <w:r>
        <w:rPr>
          <w:rFonts w:hint="eastAsia"/>
          <w:bCs/>
          <w:color w:val="auto"/>
          <w:highlight w:val="none"/>
        </w:rPr>
        <w:t>向监狱业务系统上传管理信息、日志信息、统计信息、基础属性等；</w:t>
      </w:r>
    </w:p>
    <w:p w14:paraId="1327A54F">
      <w:pPr>
        <w:numPr>
          <w:ilvl w:val="0"/>
          <w:numId w:val="27"/>
        </w:numPr>
        <w:spacing w:line="360" w:lineRule="auto"/>
        <w:ind w:left="0" w:firstLine="420" w:firstLineChars="200"/>
        <w:rPr>
          <w:bCs/>
          <w:color w:val="auto"/>
          <w:highlight w:val="none"/>
        </w:rPr>
      </w:pPr>
      <w:r>
        <w:rPr>
          <w:rFonts w:hint="eastAsia"/>
          <w:bCs/>
          <w:color w:val="auto"/>
          <w:highlight w:val="none"/>
        </w:rPr>
        <w:t>实现分控中心与联勤值班室（仅包括监舍楼区域）、监狱指挥中心、省监狱管理局指挥中心多级对讲。</w:t>
      </w:r>
    </w:p>
    <w:p w14:paraId="2F7539A3">
      <w:pPr>
        <w:pStyle w:val="11"/>
        <w:spacing w:before="0" w:after="0" w:line="360" w:lineRule="auto"/>
        <w:ind w:firstLine="562" w:firstLineChars="200"/>
        <w:rPr>
          <w:color w:val="auto"/>
          <w:highlight w:val="none"/>
        </w:rPr>
      </w:pPr>
      <w:r>
        <w:rPr>
          <w:rFonts w:hint="eastAsia"/>
          <w:color w:val="auto"/>
          <w:highlight w:val="none"/>
        </w:rPr>
        <w:t>系统设计</w:t>
      </w:r>
    </w:p>
    <w:p w14:paraId="382A1A71">
      <w:pPr>
        <w:spacing w:line="360" w:lineRule="auto"/>
        <w:ind w:firstLine="420" w:firstLineChars="200"/>
        <w:rPr>
          <w:bCs/>
          <w:color w:val="auto"/>
          <w:highlight w:val="none"/>
        </w:rPr>
      </w:pPr>
      <w:r>
        <w:rPr>
          <w:rFonts w:hint="eastAsia"/>
          <w:bCs/>
          <w:color w:val="auto"/>
          <w:highlight w:val="none"/>
        </w:rPr>
        <w:t>分控中心的设计是以数据库管理系统为基础的数据平台，通过本监狱电子狱务专网局域网对视频监控、门禁、巡查、广播、报警等子系统设备进行控制和管理。实现以计算机网络为传输介质，以</w:t>
      </w:r>
      <w:r>
        <w:rPr>
          <w:bCs/>
          <w:color w:val="auto"/>
          <w:highlight w:val="none"/>
        </w:rPr>
        <w:t>TCP/IP</w:t>
      </w:r>
      <w:r>
        <w:rPr>
          <w:rFonts w:hint="eastAsia"/>
          <w:bCs/>
          <w:color w:val="auto"/>
          <w:highlight w:val="none"/>
        </w:rPr>
        <w:t>协议为通讯控制协议，以监控管理控制终端，以电子地图为统一操作界面的智能化指挥控制系统。</w:t>
      </w:r>
    </w:p>
    <w:p w14:paraId="3512A3A0">
      <w:pPr>
        <w:spacing w:line="360" w:lineRule="auto"/>
        <w:ind w:firstLine="420" w:firstLineChars="200"/>
        <w:rPr>
          <w:bCs/>
          <w:color w:val="auto"/>
          <w:highlight w:val="none"/>
        </w:rPr>
      </w:pPr>
      <w:r>
        <w:rPr>
          <w:rFonts w:hint="eastAsia"/>
          <w:bCs/>
          <w:color w:val="auto"/>
          <w:highlight w:val="none"/>
        </w:rPr>
        <w:t>本项目共设分控中心2</w:t>
      </w:r>
      <w:r>
        <w:rPr>
          <w:bCs/>
          <w:color w:val="auto"/>
          <w:highlight w:val="none"/>
        </w:rPr>
        <w:t>5</w:t>
      </w:r>
      <w:r>
        <w:rPr>
          <w:rFonts w:hint="eastAsia"/>
          <w:bCs/>
          <w:color w:val="auto"/>
          <w:highlight w:val="none"/>
        </w:rPr>
        <w:t>个，其中监舍楼10个（共5层，每层2个）、会见教学楼1层、</w:t>
      </w:r>
      <w:r>
        <w:rPr>
          <w:bCs/>
          <w:color w:val="auto"/>
          <w:highlight w:val="none"/>
        </w:rPr>
        <w:t>2层</w:t>
      </w:r>
      <w:r>
        <w:rPr>
          <w:rFonts w:hint="eastAsia"/>
          <w:bCs/>
          <w:color w:val="auto"/>
          <w:highlight w:val="none"/>
        </w:rPr>
        <w:t>、</w:t>
      </w:r>
      <w:r>
        <w:rPr>
          <w:bCs/>
          <w:color w:val="auto"/>
          <w:highlight w:val="none"/>
        </w:rPr>
        <w:t>4层楼各</w:t>
      </w:r>
      <w:r>
        <w:rPr>
          <w:rFonts w:hint="eastAsia"/>
          <w:bCs/>
          <w:color w:val="auto"/>
          <w:highlight w:val="none"/>
        </w:rPr>
        <w:t>1个、2个习艺楼共8个（每层1个）、物流中心1个、伙房1个，监管区大门</w:t>
      </w:r>
      <w:r>
        <w:rPr>
          <w:bCs/>
          <w:color w:val="auto"/>
          <w:highlight w:val="none"/>
        </w:rPr>
        <w:t>2</w:t>
      </w:r>
      <w:r>
        <w:rPr>
          <w:rFonts w:hint="eastAsia"/>
          <w:bCs/>
          <w:color w:val="auto"/>
          <w:highlight w:val="none"/>
        </w:rPr>
        <w:t>个。</w:t>
      </w:r>
    </w:p>
    <w:p w14:paraId="215CD00B">
      <w:pPr>
        <w:spacing w:line="360" w:lineRule="auto"/>
        <w:ind w:firstLine="420" w:firstLineChars="200"/>
        <w:rPr>
          <w:bCs/>
          <w:color w:val="auto"/>
          <w:highlight w:val="none"/>
        </w:rPr>
      </w:pPr>
      <w:r>
        <w:rPr>
          <w:rFonts w:hint="eastAsia"/>
          <w:bCs/>
          <w:color w:val="auto"/>
          <w:highlight w:val="none"/>
        </w:rPr>
        <w:t>以上建筑的分控中心实现了对应区域的监控、门禁、巡查、广播、报警等子系统前端设备的接入；同时，每个分控中心内还需设置一个执法记录仪上传设备信息采集点（一期只在监舍楼联勤值班室和严管队分控中心建设</w:t>
      </w:r>
      <w:r>
        <w:rPr>
          <w:bCs/>
          <w:color w:val="auto"/>
          <w:highlight w:val="none"/>
        </w:rPr>
        <w:t>6</w:t>
      </w:r>
      <w:r>
        <w:rPr>
          <w:rFonts w:hint="eastAsia"/>
          <w:bCs/>
          <w:color w:val="auto"/>
          <w:highlight w:val="none"/>
        </w:rPr>
        <w:t>台，指挥中心</w:t>
      </w:r>
      <w:r>
        <w:rPr>
          <w:bCs/>
          <w:color w:val="auto"/>
          <w:highlight w:val="none"/>
        </w:rPr>
        <w:t>1</w:t>
      </w:r>
      <w:r>
        <w:rPr>
          <w:rFonts w:hint="eastAsia"/>
          <w:bCs/>
          <w:color w:val="auto"/>
          <w:highlight w:val="none"/>
        </w:rPr>
        <w:t>台，</w:t>
      </w:r>
      <w:r>
        <w:rPr>
          <w:bCs/>
          <w:color w:val="auto"/>
          <w:highlight w:val="none"/>
        </w:rPr>
        <w:t>共</w:t>
      </w:r>
      <w:r>
        <w:rPr>
          <w:rFonts w:hint="eastAsia"/>
          <w:bCs/>
          <w:color w:val="auto"/>
          <w:highlight w:val="none"/>
        </w:rPr>
        <w:t>7台）。</w:t>
      </w:r>
    </w:p>
    <w:p w14:paraId="43C2215D">
      <w:pPr>
        <w:pStyle w:val="10"/>
        <w:spacing w:before="0" w:after="0" w:line="360" w:lineRule="auto"/>
        <w:ind w:firstLine="643" w:firstLineChars="200"/>
        <w:rPr>
          <w:color w:val="auto"/>
          <w:highlight w:val="none"/>
        </w:rPr>
      </w:pPr>
      <w:r>
        <w:rPr>
          <w:rFonts w:hint="eastAsia"/>
          <w:color w:val="auto"/>
          <w:highlight w:val="none"/>
        </w:rPr>
        <w:t>弱电间UPS设计</w:t>
      </w:r>
    </w:p>
    <w:p w14:paraId="3E64315F">
      <w:pPr>
        <w:spacing w:line="360" w:lineRule="auto"/>
        <w:ind w:firstLine="420" w:firstLineChars="200"/>
        <w:rPr>
          <w:bCs/>
          <w:color w:val="auto"/>
          <w:highlight w:val="none"/>
        </w:rPr>
      </w:pPr>
      <w:r>
        <w:rPr>
          <w:rFonts w:hint="eastAsia"/>
          <w:bCs/>
          <w:color w:val="auto"/>
          <w:highlight w:val="none"/>
        </w:rPr>
        <w:t>根据UPS的</w:t>
      </w:r>
      <w:r>
        <w:rPr>
          <w:bCs/>
          <w:color w:val="auto"/>
          <w:highlight w:val="none"/>
        </w:rPr>
        <w:t>选型原则</w:t>
      </w:r>
      <w:r>
        <w:rPr>
          <w:rFonts w:hint="eastAsia"/>
          <w:bCs/>
          <w:color w:val="auto"/>
          <w:highlight w:val="none"/>
        </w:rPr>
        <w:t>和</w:t>
      </w:r>
      <w:r>
        <w:rPr>
          <w:bCs/>
          <w:color w:val="auto"/>
          <w:highlight w:val="none"/>
        </w:rPr>
        <w:t>考虑必要的冗余</w:t>
      </w:r>
      <w:r>
        <w:rPr>
          <w:rFonts w:hint="eastAsia"/>
          <w:bCs/>
          <w:color w:val="auto"/>
          <w:highlight w:val="none"/>
        </w:rPr>
        <w:t>量</w:t>
      </w:r>
      <w:r>
        <w:rPr>
          <w:bCs/>
          <w:color w:val="auto"/>
          <w:highlight w:val="none"/>
        </w:rPr>
        <w:t>，按照</w:t>
      </w:r>
      <w:r>
        <w:rPr>
          <w:rFonts w:hint="eastAsia"/>
          <w:bCs/>
          <w:color w:val="auto"/>
          <w:highlight w:val="none"/>
        </w:rPr>
        <w:t>“</w:t>
      </w:r>
      <w:r>
        <w:rPr>
          <w:bCs/>
          <w:color w:val="auto"/>
          <w:highlight w:val="none"/>
        </w:rPr>
        <w:t>实际配置</w:t>
      </w:r>
      <w:r>
        <w:rPr>
          <w:rFonts w:hint="eastAsia"/>
          <w:bCs/>
          <w:color w:val="auto"/>
          <w:highlight w:val="none"/>
        </w:rPr>
        <w:t>UPS容量</w:t>
      </w:r>
      <w:r>
        <w:rPr>
          <w:bCs/>
          <w:color w:val="auto"/>
          <w:highlight w:val="none"/>
        </w:rPr>
        <w:t>=实际负荷</w:t>
      </w:r>
      <w:r>
        <w:rPr>
          <w:rFonts w:hint="eastAsia"/>
          <w:bCs/>
          <w:color w:val="auto"/>
          <w:highlight w:val="none"/>
        </w:rPr>
        <w:t>/0.8(冗余</w:t>
      </w:r>
      <w:r>
        <w:rPr>
          <w:bCs/>
          <w:color w:val="auto"/>
          <w:highlight w:val="none"/>
        </w:rPr>
        <w:t>量系数</w:t>
      </w:r>
      <w:r>
        <w:rPr>
          <w:rFonts w:hint="eastAsia"/>
          <w:bCs/>
          <w:color w:val="auto"/>
          <w:highlight w:val="none"/>
        </w:rPr>
        <w:t>)</w:t>
      </w:r>
      <w:r>
        <w:rPr>
          <w:bCs/>
          <w:color w:val="auto"/>
          <w:highlight w:val="none"/>
        </w:rPr>
        <w:t>/0.8</w:t>
      </w:r>
      <w:r>
        <w:rPr>
          <w:rFonts w:hint="eastAsia"/>
          <w:bCs/>
          <w:color w:val="auto"/>
          <w:highlight w:val="none"/>
        </w:rPr>
        <w:t>（UPS负载</w:t>
      </w:r>
      <w:r>
        <w:rPr>
          <w:bCs/>
          <w:color w:val="auto"/>
          <w:highlight w:val="none"/>
        </w:rPr>
        <w:t>系数</w:t>
      </w:r>
      <w:r>
        <w:rPr>
          <w:rFonts w:hint="eastAsia"/>
          <w:bCs/>
          <w:color w:val="auto"/>
          <w:highlight w:val="none"/>
        </w:rPr>
        <w:t>）”进行</w:t>
      </w:r>
      <w:r>
        <w:rPr>
          <w:bCs/>
          <w:color w:val="auto"/>
          <w:highlight w:val="none"/>
        </w:rPr>
        <w:t>必要计算，</w:t>
      </w:r>
      <w:r>
        <w:rPr>
          <w:rFonts w:hint="eastAsia"/>
          <w:bCs/>
          <w:color w:val="auto"/>
          <w:highlight w:val="none"/>
        </w:rPr>
        <w:t>尽量</w:t>
      </w:r>
      <w:r>
        <w:rPr>
          <w:bCs/>
          <w:color w:val="auto"/>
          <w:highlight w:val="none"/>
        </w:rPr>
        <w:t>选择较少的容量规格，各个建筑物</w:t>
      </w:r>
      <w:r>
        <w:rPr>
          <w:rFonts w:hint="eastAsia"/>
          <w:bCs/>
          <w:color w:val="auto"/>
          <w:highlight w:val="none"/>
        </w:rPr>
        <w:t>汇聚间</w:t>
      </w:r>
      <w:r>
        <w:rPr>
          <w:bCs/>
          <w:color w:val="auto"/>
          <w:highlight w:val="none"/>
        </w:rPr>
        <w:t>配置</w:t>
      </w:r>
      <w:r>
        <w:rPr>
          <w:rFonts w:hint="eastAsia"/>
          <w:bCs/>
          <w:color w:val="auto"/>
          <w:highlight w:val="none"/>
        </w:rPr>
        <w:t>UPS的</w:t>
      </w:r>
      <w:r>
        <w:rPr>
          <w:bCs/>
          <w:color w:val="auto"/>
          <w:highlight w:val="none"/>
        </w:rPr>
        <w:t>容量如下：1</w:t>
      </w:r>
      <w:r>
        <w:rPr>
          <w:rFonts w:hint="eastAsia"/>
          <w:bCs/>
          <w:color w:val="auto"/>
          <w:highlight w:val="none"/>
        </w:rPr>
        <w:t>#监舍楼配置2台</w:t>
      </w:r>
      <w:r>
        <w:rPr>
          <w:bCs/>
          <w:color w:val="auto"/>
          <w:highlight w:val="none"/>
        </w:rPr>
        <w:t>20KVA</w:t>
      </w:r>
      <w:r>
        <w:rPr>
          <w:rFonts w:hint="eastAsia"/>
          <w:bCs/>
          <w:color w:val="auto"/>
          <w:highlight w:val="none"/>
        </w:rPr>
        <w:t xml:space="preserve"> UPS，2#、3#习艺楼各</w:t>
      </w:r>
      <w:r>
        <w:rPr>
          <w:bCs/>
          <w:color w:val="auto"/>
          <w:highlight w:val="none"/>
        </w:rPr>
        <w:t>配置</w:t>
      </w:r>
      <w:r>
        <w:rPr>
          <w:rFonts w:hint="eastAsia"/>
          <w:bCs/>
          <w:color w:val="auto"/>
          <w:highlight w:val="none"/>
        </w:rPr>
        <w:t>1台</w:t>
      </w:r>
      <w:r>
        <w:rPr>
          <w:bCs/>
          <w:color w:val="auto"/>
          <w:highlight w:val="none"/>
        </w:rPr>
        <w:t>10</w:t>
      </w:r>
      <w:r>
        <w:rPr>
          <w:rFonts w:hint="eastAsia"/>
          <w:bCs/>
          <w:color w:val="auto"/>
          <w:highlight w:val="none"/>
        </w:rPr>
        <w:t>KVA UPS，4#会见教学</w:t>
      </w:r>
      <w:r>
        <w:rPr>
          <w:bCs/>
          <w:color w:val="auto"/>
          <w:highlight w:val="none"/>
        </w:rPr>
        <w:t>楼</w:t>
      </w:r>
      <w:r>
        <w:rPr>
          <w:rFonts w:hint="eastAsia"/>
          <w:bCs/>
          <w:color w:val="auto"/>
          <w:highlight w:val="none"/>
        </w:rPr>
        <w:t>配置1台15</w:t>
      </w:r>
      <w:r>
        <w:rPr>
          <w:bCs/>
          <w:color w:val="auto"/>
          <w:highlight w:val="none"/>
        </w:rPr>
        <w:t>KVA</w:t>
      </w:r>
      <w:r>
        <w:rPr>
          <w:rFonts w:hint="eastAsia"/>
          <w:bCs/>
          <w:color w:val="auto"/>
          <w:highlight w:val="none"/>
        </w:rPr>
        <w:t xml:space="preserve"> UPS，5#监狱大门用电</w:t>
      </w:r>
      <w:r>
        <w:rPr>
          <w:bCs/>
          <w:color w:val="auto"/>
          <w:highlight w:val="none"/>
        </w:rPr>
        <w:t>直接利用指挥中心配备的</w:t>
      </w:r>
      <w:r>
        <w:rPr>
          <w:rFonts w:hint="eastAsia"/>
          <w:bCs/>
          <w:color w:val="auto"/>
          <w:highlight w:val="none"/>
        </w:rPr>
        <w:t>UPS，伙房配置1台</w:t>
      </w:r>
      <w:r>
        <w:rPr>
          <w:bCs/>
          <w:color w:val="auto"/>
          <w:highlight w:val="none"/>
        </w:rPr>
        <w:t>5KVA</w:t>
      </w:r>
      <w:r>
        <w:rPr>
          <w:rFonts w:hint="eastAsia"/>
          <w:bCs/>
          <w:color w:val="auto"/>
          <w:highlight w:val="none"/>
        </w:rPr>
        <w:t xml:space="preserve"> UPS，物流中心配置1台</w:t>
      </w:r>
      <w:r>
        <w:rPr>
          <w:bCs/>
          <w:color w:val="auto"/>
          <w:highlight w:val="none"/>
        </w:rPr>
        <w:t>5KVA</w:t>
      </w:r>
      <w:r>
        <w:rPr>
          <w:rFonts w:hint="eastAsia"/>
          <w:bCs/>
          <w:color w:val="auto"/>
          <w:highlight w:val="none"/>
        </w:rPr>
        <w:t xml:space="preserve"> UPS，后备</w:t>
      </w:r>
      <w:r>
        <w:rPr>
          <w:bCs/>
          <w:color w:val="auto"/>
          <w:highlight w:val="none"/>
        </w:rPr>
        <w:t>电源保障</w:t>
      </w:r>
      <w:r>
        <w:rPr>
          <w:rFonts w:hint="eastAsia"/>
          <w:bCs/>
          <w:color w:val="auto"/>
          <w:highlight w:val="none"/>
        </w:rPr>
        <w:t>行政</w:t>
      </w:r>
      <w:r>
        <w:rPr>
          <w:bCs/>
          <w:color w:val="auto"/>
          <w:highlight w:val="none"/>
        </w:rPr>
        <w:t>区的</w:t>
      </w:r>
      <w:r>
        <w:rPr>
          <w:rFonts w:hint="eastAsia"/>
          <w:bCs/>
          <w:color w:val="auto"/>
          <w:highlight w:val="none"/>
        </w:rPr>
        <w:t>安防</w:t>
      </w:r>
      <w:r>
        <w:rPr>
          <w:bCs/>
          <w:color w:val="auto"/>
          <w:highlight w:val="none"/>
        </w:rPr>
        <w:t>设施供电</w:t>
      </w:r>
      <w:r>
        <w:rPr>
          <w:rFonts w:hint="eastAsia"/>
          <w:bCs/>
          <w:color w:val="auto"/>
          <w:highlight w:val="none"/>
        </w:rPr>
        <w:t>；后备电池</w:t>
      </w:r>
      <w:r>
        <w:rPr>
          <w:bCs/>
          <w:color w:val="auto"/>
          <w:highlight w:val="none"/>
        </w:rPr>
        <w:t>的容量配备计算方法应按照</w:t>
      </w:r>
      <w:r>
        <w:rPr>
          <w:rFonts w:hint="eastAsia"/>
          <w:bCs/>
          <w:color w:val="auto"/>
          <w:highlight w:val="none"/>
        </w:rPr>
        <w:t>恒功率</w:t>
      </w:r>
      <w:r>
        <w:rPr>
          <w:bCs/>
          <w:color w:val="auto"/>
          <w:highlight w:val="none"/>
        </w:rPr>
        <w:t>的计算方法配置电池数量</w:t>
      </w:r>
      <w:r>
        <w:rPr>
          <w:rFonts w:hint="eastAsia"/>
          <w:bCs/>
          <w:color w:val="auto"/>
          <w:highlight w:val="none"/>
        </w:rPr>
        <w:t>，电池后备时间</w:t>
      </w:r>
      <w:r>
        <w:rPr>
          <w:bCs/>
          <w:color w:val="auto"/>
          <w:highlight w:val="none"/>
        </w:rPr>
        <w:t>按照</w:t>
      </w:r>
      <w:r>
        <w:rPr>
          <w:rFonts w:hint="eastAsia"/>
          <w:bCs/>
          <w:color w:val="auto"/>
          <w:highlight w:val="none"/>
        </w:rPr>
        <w:t>1小时考虑</w:t>
      </w:r>
      <w:r>
        <w:rPr>
          <w:bCs/>
          <w:color w:val="auto"/>
          <w:highlight w:val="none"/>
        </w:rPr>
        <w:t>安装，</w:t>
      </w:r>
      <w:r>
        <w:rPr>
          <w:rFonts w:hint="eastAsia"/>
          <w:bCs/>
          <w:color w:val="auto"/>
          <w:highlight w:val="none"/>
        </w:rPr>
        <w:t>后期</w:t>
      </w:r>
      <w:r>
        <w:rPr>
          <w:bCs/>
          <w:color w:val="auto"/>
          <w:highlight w:val="none"/>
        </w:rPr>
        <w:t>可扩展至</w:t>
      </w:r>
      <w:r>
        <w:rPr>
          <w:rFonts w:hint="eastAsia"/>
          <w:bCs/>
          <w:color w:val="auto"/>
          <w:highlight w:val="none"/>
        </w:rPr>
        <w:t>2</w:t>
      </w:r>
      <w:r>
        <w:rPr>
          <w:bCs/>
          <w:color w:val="auto"/>
          <w:highlight w:val="none"/>
        </w:rPr>
        <w:t>小时</w:t>
      </w:r>
      <w:r>
        <w:rPr>
          <w:rFonts w:hint="eastAsia"/>
          <w:bCs/>
          <w:color w:val="auto"/>
          <w:highlight w:val="none"/>
        </w:rPr>
        <w:t>）。</w:t>
      </w:r>
    </w:p>
    <w:p w14:paraId="0469FABA">
      <w:pPr>
        <w:pStyle w:val="9"/>
        <w:tabs>
          <w:tab w:val="left" w:pos="0"/>
        </w:tabs>
        <w:spacing w:before="0" w:after="0" w:line="360" w:lineRule="auto"/>
        <w:ind w:firstLine="643" w:firstLineChars="200"/>
        <w:rPr>
          <w:color w:val="auto"/>
          <w:highlight w:val="none"/>
        </w:rPr>
      </w:pPr>
      <w:r>
        <w:rPr>
          <w:rFonts w:hint="eastAsia"/>
          <w:color w:val="auto"/>
          <w:highlight w:val="none"/>
        </w:rPr>
        <w:t>4.16统一管理平台</w:t>
      </w:r>
    </w:p>
    <w:p w14:paraId="0F5333DB">
      <w:pPr>
        <w:spacing w:line="360" w:lineRule="auto"/>
        <w:ind w:firstLine="420" w:firstLineChars="200"/>
        <w:rPr>
          <w:rFonts w:hint="eastAsia"/>
          <w:bCs/>
          <w:color w:val="auto"/>
          <w:highlight w:val="none"/>
        </w:rPr>
      </w:pPr>
      <w:r>
        <w:rPr>
          <w:rFonts w:hint="eastAsia"/>
          <w:bCs/>
          <w:color w:val="auto"/>
          <w:highlight w:val="none"/>
        </w:rPr>
        <w:t>在省监狱管理局的统筹规划</w:t>
      </w:r>
      <w:r>
        <w:rPr>
          <w:bCs/>
          <w:color w:val="auto"/>
          <w:highlight w:val="none"/>
        </w:rPr>
        <w:t>下</w:t>
      </w:r>
      <w:r>
        <w:rPr>
          <w:rFonts w:hint="eastAsia"/>
          <w:bCs/>
          <w:color w:val="auto"/>
          <w:highlight w:val="none"/>
        </w:rPr>
        <w:t>，统一管理平台以信息化手段整合技术、管理等资源，并作为整合资源中管理决策的执行环节、许可落实的监管环节、动静问题的防控环节、违规事件的执法环节的处理环节，有效地实现本监狱管理的信息化。统一管理平台包括执法管理系统和综合业务系统两个部分，针对监狱信息化工作普遍存在的问题，从层级维度（警察-监狱-监狱管理局）、专业维度（管教、巡视监控、后勤保障等）破除信息壁垒，实现信息的自由流动，最终达到业务及管理的“融会贯通”。按照省局统一规划部署，落实本级建设内容，推动相关系统落地实施。本期建设内容主要为智能安防集成平台及本监狱</w:t>
      </w:r>
      <w:r>
        <w:rPr>
          <w:bCs/>
          <w:color w:val="auto"/>
          <w:highlight w:val="none"/>
        </w:rPr>
        <w:t>自身的</w:t>
      </w:r>
      <w:r>
        <w:rPr>
          <w:rFonts w:hint="eastAsia"/>
          <w:bCs/>
          <w:color w:val="auto"/>
          <w:highlight w:val="none"/>
        </w:rPr>
        <w:t>信息资源库建设。</w:t>
      </w:r>
    </w:p>
    <w:p w14:paraId="7F1D62F1">
      <w:pPr>
        <w:spacing w:line="360" w:lineRule="auto"/>
        <w:ind w:firstLine="420" w:firstLineChars="200"/>
        <w:rPr>
          <w:rFonts w:eastAsia="仿宋"/>
          <w:bCs/>
          <w:color w:val="auto"/>
          <w:highlight w:val="none"/>
        </w:rPr>
      </w:pPr>
    </w:p>
    <w:p w14:paraId="687865B9">
      <w:pPr>
        <w:pStyle w:val="10"/>
        <w:spacing w:before="0" w:after="0" w:line="360" w:lineRule="auto"/>
        <w:ind w:firstLine="643" w:firstLineChars="200"/>
        <w:rPr>
          <w:color w:val="auto"/>
          <w:highlight w:val="none"/>
        </w:rPr>
      </w:pPr>
      <w:r>
        <w:rPr>
          <w:rFonts w:hint="eastAsia"/>
          <w:color w:val="auto"/>
          <w:highlight w:val="none"/>
        </w:rPr>
        <w:t>4.16.1智能安防集成平台</w:t>
      </w:r>
    </w:p>
    <w:p w14:paraId="0F0739E2">
      <w:pPr>
        <w:spacing w:line="360" w:lineRule="auto"/>
        <w:ind w:firstLine="420" w:firstLineChars="200"/>
        <w:rPr>
          <w:bCs/>
          <w:color w:val="auto"/>
          <w:highlight w:val="none"/>
        </w:rPr>
      </w:pPr>
      <w:r>
        <w:rPr>
          <w:bCs/>
          <w:color w:val="auto"/>
          <w:highlight w:val="none"/>
        </w:rPr>
        <w:t>该平台和各子系统应具备开放式SDK和API，便于第三方系统集成和调用。可集成视频监控、广播、监听对讲、报警、出入口控制、安检、电子巡查、目标跟踪、智能押解等子系统。可通过统一的通信平台和管理软件将指挥中心设备与各子系统设备联网，实现由指挥中心对各子系统的自动化管理与监控。该平台的故障不影响各子系统的运行；某一子系统的故障不影响其他子系统的运行。</w:t>
      </w:r>
    </w:p>
    <w:p w14:paraId="11965F8A">
      <w:pPr>
        <w:spacing w:line="360" w:lineRule="auto"/>
        <w:ind w:firstLine="420" w:firstLineChars="200"/>
        <w:rPr>
          <w:bCs/>
          <w:color w:val="auto"/>
          <w:highlight w:val="none"/>
        </w:rPr>
      </w:pPr>
      <w:r>
        <w:rPr>
          <w:bCs/>
          <w:color w:val="auto"/>
          <w:highlight w:val="none"/>
        </w:rPr>
        <w:t>具体功能如下：</w:t>
      </w:r>
    </w:p>
    <w:p w14:paraId="5FEA6697">
      <w:pPr>
        <w:spacing w:line="360" w:lineRule="auto"/>
        <w:ind w:firstLine="420" w:firstLineChars="200"/>
        <w:rPr>
          <w:bCs/>
          <w:color w:val="auto"/>
          <w:highlight w:val="none"/>
        </w:rPr>
      </w:pPr>
      <w:r>
        <w:rPr>
          <w:rFonts w:hint="eastAsia"/>
          <w:bCs/>
          <w:color w:val="auto"/>
          <w:highlight w:val="none"/>
        </w:rPr>
        <w:t>1、</w:t>
      </w:r>
      <w:r>
        <w:rPr>
          <w:bCs/>
          <w:color w:val="auto"/>
          <w:highlight w:val="none"/>
        </w:rPr>
        <w:t>具有配置和管理安防平台的功能，对使用权限和优先级别进行配置管理；可通过统一的通信平台和管理软件将监控指挥中心设备与各子系统设备联网，实现对各子系统的自动化管理与监控。</w:t>
      </w:r>
    </w:p>
    <w:p w14:paraId="7FDB365A">
      <w:pPr>
        <w:spacing w:line="360" w:lineRule="auto"/>
        <w:ind w:firstLine="420" w:firstLineChars="200"/>
        <w:rPr>
          <w:bCs/>
          <w:color w:val="auto"/>
          <w:highlight w:val="none"/>
        </w:rPr>
      </w:pPr>
      <w:r>
        <w:rPr>
          <w:rFonts w:hint="eastAsia"/>
          <w:bCs/>
          <w:color w:val="auto"/>
          <w:highlight w:val="none"/>
        </w:rPr>
        <w:t>2、</w:t>
      </w:r>
      <w:r>
        <w:rPr>
          <w:bCs/>
          <w:color w:val="auto"/>
          <w:highlight w:val="none"/>
        </w:rPr>
        <w:t>具有对各子系统的运行状态进行监测和控制功能，可对报警信息等数据进行集中处理、存储和显示；可联动紧急报警装置，能向接处警中心联网通信。</w:t>
      </w:r>
    </w:p>
    <w:p w14:paraId="14BAD638">
      <w:pPr>
        <w:spacing w:line="360" w:lineRule="auto"/>
        <w:ind w:firstLine="420" w:firstLineChars="200"/>
        <w:rPr>
          <w:bCs/>
          <w:color w:val="auto"/>
          <w:highlight w:val="none"/>
        </w:rPr>
      </w:pPr>
      <w:r>
        <w:rPr>
          <w:rFonts w:hint="eastAsia"/>
          <w:bCs/>
          <w:color w:val="auto"/>
          <w:highlight w:val="none"/>
        </w:rPr>
        <w:t>3、</w:t>
      </w:r>
      <w:r>
        <w:rPr>
          <w:bCs/>
          <w:color w:val="auto"/>
          <w:highlight w:val="none"/>
        </w:rPr>
        <w:t>具有对视频图像进行调度和控制管理功能,可检索、回放录像，可对视频或警讯进行转发，对防护目标进行设防与撤防等。</w:t>
      </w:r>
    </w:p>
    <w:p w14:paraId="63ACBA35">
      <w:pPr>
        <w:spacing w:line="360" w:lineRule="auto"/>
        <w:ind w:firstLine="420" w:firstLineChars="200"/>
        <w:rPr>
          <w:bCs/>
          <w:color w:val="auto"/>
          <w:highlight w:val="none"/>
        </w:rPr>
      </w:pPr>
      <w:r>
        <w:rPr>
          <w:bCs/>
          <w:color w:val="auto"/>
          <w:highlight w:val="none"/>
        </w:rPr>
        <w:fldChar w:fldCharType="begin"/>
      </w:r>
      <w:r>
        <w:rPr>
          <w:bCs/>
          <w:color w:val="auto"/>
          <w:highlight w:val="none"/>
        </w:rPr>
        <w:instrText xml:space="preserve">= 4 \* GB4</w:instrText>
      </w:r>
      <w:r>
        <w:rPr>
          <w:bCs/>
          <w:color w:val="auto"/>
          <w:highlight w:val="none"/>
        </w:rPr>
        <w:fldChar w:fldCharType="separate"/>
      </w:r>
      <w:r>
        <w:rPr>
          <w:bCs/>
          <w:color w:val="auto"/>
          <w:highlight w:val="none"/>
        </w:rPr>
        <w:t>㈣</w:t>
      </w:r>
      <w:r>
        <w:rPr>
          <w:bCs/>
          <w:color w:val="auto"/>
          <w:highlight w:val="none"/>
        </w:rPr>
        <w:fldChar w:fldCharType="end"/>
      </w:r>
      <w:r>
        <w:rPr>
          <w:bCs/>
          <w:color w:val="auto"/>
          <w:highlight w:val="none"/>
        </w:rPr>
        <w:t>具有处警预案功能，使报警联网管理，联动各相关子系统设防，调用预案进行处置；警情解除后能自动撤防。</w:t>
      </w:r>
    </w:p>
    <w:p w14:paraId="242F0BA9">
      <w:pPr>
        <w:numPr>
          <w:ilvl w:val="0"/>
          <w:numId w:val="49"/>
        </w:numPr>
        <w:spacing w:line="360" w:lineRule="auto"/>
        <w:ind w:firstLine="420" w:firstLineChars="200"/>
        <w:rPr>
          <w:bCs/>
          <w:color w:val="auto"/>
          <w:highlight w:val="none"/>
        </w:rPr>
      </w:pPr>
      <w:r>
        <w:rPr>
          <w:bCs/>
          <w:color w:val="auto"/>
          <w:highlight w:val="none"/>
        </w:rPr>
        <w:t>具有联网功能，可上连</w:t>
      </w:r>
      <w:r>
        <w:rPr>
          <w:rFonts w:hint="eastAsia"/>
          <w:bCs/>
          <w:color w:val="auto"/>
          <w:highlight w:val="none"/>
        </w:rPr>
        <w:t>省监狱管理局</w:t>
      </w:r>
      <w:r>
        <w:rPr>
          <w:bCs/>
          <w:color w:val="auto"/>
          <w:highlight w:val="none"/>
        </w:rPr>
        <w:t>监控指挥中心，以实现河南监狱系统整体规模的系统集成。</w:t>
      </w:r>
    </w:p>
    <w:p w14:paraId="5480598D">
      <w:pPr>
        <w:spacing w:line="360" w:lineRule="auto"/>
        <w:ind w:firstLine="420" w:firstLineChars="200"/>
        <w:rPr>
          <w:bCs/>
          <w:color w:val="auto"/>
          <w:highlight w:val="none"/>
        </w:rPr>
      </w:pPr>
      <w:r>
        <w:rPr>
          <w:rFonts w:hint="eastAsia"/>
          <w:bCs/>
          <w:color w:val="auto"/>
          <w:highlight w:val="none"/>
        </w:rPr>
        <w:t>本平台具体建设功能如下所述。</w:t>
      </w:r>
    </w:p>
    <w:p w14:paraId="55A81859">
      <w:pPr>
        <w:pStyle w:val="11"/>
        <w:spacing w:before="0" w:after="0" w:line="360" w:lineRule="auto"/>
        <w:ind w:firstLine="562" w:firstLineChars="200"/>
        <w:rPr>
          <w:rFonts w:eastAsia="宋体"/>
          <w:color w:val="auto"/>
          <w:sz w:val="21"/>
          <w:szCs w:val="20"/>
          <w:highlight w:val="none"/>
        </w:rPr>
      </w:pPr>
      <w:r>
        <w:rPr>
          <w:rFonts w:hint="eastAsia"/>
          <w:color w:val="auto"/>
          <w:highlight w:val="none"/>
        </w:rPr>
        <w:t>GIS调度</w:t>
      </w:r>
    </w:p>
    <w:p w14:paraId="5116E876">
      <w:pPr>
        <w:spacing w:line="360" w:lineRule="auto"/>
        <w:ind w:firstLine="420" w:firstLineChars="200"/>
        <w:rPr>
          <w:bCs/>
          <w:color w:val="auto"/>
          <w:highlight w:val="none"/>
        </w:rPr>
      </w:pPr>
      <w:r>
        <w:rPr>
          <w:bCs/>
          <w:color w:val="auto"/>
          <w:highlight w:val="none"/>
        </w:rPr>
        <w:t>三维地理信息管理是通过建立空间数据模型、获取地图数据和建模生成监狱全景三维地图，进行全方位360度的浏览，并对高度、角度、俯仰可任意调度控制，生动、真实、直观再现监所的围墙、岗楼、警戒区、监舍、习艺楼等监狱场景，并将警力、设施、信息等资源与场景融合进行综合调度管理，提升现场处置和管理智能化水平。</w:t>
      </w:r>
    </w:p>
    <w:p w14:paraId="47CE4223">
      <w:pPr>
        <w:spacing w:line="360" w:lineRule="auto"/>
        <w:ind w:firstLine="420" w:firstLineChars="200"/>
        <w:rPr>
          <w:bCs/>
          <w:color w:val="auto"/>
          <w:highlight w:val="none"/>
        </w:rPr>
      </w:pPr>
      <w:r>
        <w:rPr>
          <w:rFonts w:hint="eastAsia"/>
          <w:bCs/>
          <w:color w:val="auto"/>
          <w:highlight w:val="none"/>
        </w:rPr>
        <w:t>1、</w:t>
      </w:r>
      <w:r>
        <w:rPr>
          <w:bCs/>
          <w:color w:val="auto"/>
          <w:highlight w:val="none"/>
        </w:rPr>
        <w:t>资源管理：支持所有的安防设备（摄像机</w:t>
      </w:r>
      <w:r>
        <w:rPr>
          <w:rFonts w:hint="eastAsia"/>
          <w:bCs/>
          <w:color w:val="auto"/>
          <w:highlight w:val="none"/>
        </w:rPr>
        <w:t>、</w:t>
      </w:r>
      <w:r>
        <w:rPr>
          <w:bCs/>
          <w:color w:val="auto"/>
          <w:highlight w:val="none"/>
        </w:rPr>
        <w:t>门禁</w:t>
      </w:r>
      <w:r>
        <w:rPr>
          <w:rFonts w:hint="eastAsia"/>
          <w:bCs/>
          <w:color w:val="auto"/>
          <w:highlight w:val="none"/>
        </w:rPr>
        <w:t>、</w:t>
      </w:r>
      <w:r>
        <w:rPr>
          <w:bCs/>
          <w:color w:val="auto"/>
          <w:highlight w:val="none"/>
        </w:rPr>
        <w:t>对讲</w:t>
      </w:r>
      <w:r>
        <w:rPr>
          <w:rFonts w:hint="eastAsia"/>
          <w:bCs/>
          <w:color w:val="auto"/>
          <w:highlight w:val="none"/>
        </w:rPr>
        <w:t>、</w:t>
      </w:r>
      <w:r>
        <w:rPr>
          <w:bCs/>
          <w:color w:val="auto"/>
          <w:highlight w:val="none"/>
        </w:rPr>
        <w:t>电网</w:t>
      </w:r>
      <w:r>
        <w:rPr>
          <w:rFonts w:hint="eastAsia"/>
          <w:bCs/>
          <w:color w:val="auto"/>
          <w:highlight w:val="none"/>
        </w:rPr>
        <w:t>、</w:t>
      </w:r>
      <w:r>
        <w:rPr>
          <w:bCs/>
          <w:color w:val="auto"/>
          <w:highlight w:val="none"/>
        </w:rPr>
        <w:t>震动报警</w:t>
      </w:r>
      <w:r>
        <w:rPr>
          <w:rFonts w:hint="eastAsia"/>
          <w:bCs/>
          <w:color w:val="auto"/>
          <w:highlight w:val="none"/>
        </w:rPr>
        <w:t>、微波对射</w:t>
      </w:r>
      <w:r>
        <w:rPr>
          <w:bCs/>
          <w:color w:val="auto"/>
          <w:highlight w:val="none"/>
        </w:rPr>
        <w:t>、人员定位等）部署到三维地理信息场景中，并在线查阅设备运行和布防状态（摄像机的图像</w:t>
      </w:r>
      <w:r>
        <w:rPr>
          <w:rFonts w:hint="eastAsia"/>
          <w:bCs/>
          <w:color w:val="auto"/>
          <w:highlight w:val="none"/>
        </w:rPr>
        <w:t>、</w:t>
      </w:r>
      <w:r>
        <w:rPr>
          <w:bCs/>
          <w:color w:val="auto"/>
          <w:highlight w:val="none"/>
        </w:rPr>
        <w:t>门禁的开关门状态</w:t>
      </w:r>
      <w:r>
        <w:rPr>
          <w:rFonts w:hint="eastAsia"/>
          <w:bCs/>
          <w:color w:val="auto"/>
          <w:highlight w:val="none"/>
        </w:rPr>
        <w:t>、</w:t>
      </w:r>
      <w:r>
        <w:rPr>
          <w:bCs/>
          <w:color w:val="auto"/>
          <w:highlight w:val="none"/>
        </w:rPr>
        <w:t>电网的电压和电流以及所有的报警信息），实时调度处置管理。</w:t>
      </w:r>
    </w:p>
    <w:p w14:paraId="2F536917">
      <w:pPr>
        <w:spacing w:line="360" w:lineRule="auto"/>
        <w:ind w:firstLine="420" w:firstLineChars="200"/>
        <w:rPr>
          <w:bCs/>
          <w:color w:val="auto"/>
          <w:highlight w:val="none"/>
        </w:rPr>
      </w:pPr>
      <w:r>
        <w:rPr>
          <w:rFonts w:hint="eastAsia"/>
          <w:bCs/>
          <w:color w:val="auto"/>
          <w:highlight w:val="none"/>
        </w:rPr>
        <w:t>2、</w:t>
      </w:r>
      <w:r>
        <w:rPr>
          <w:bCs/>
          <w:color w:val="auto"/>
          <w:highlight w:val="none"/>
        </w:rPr>
        <w:t>预案管理：支持报警加载启动相应事件预案，在三维地理信息场景中部署调度预案中的警力、保障资源和发展态势箭头等功能，方便领导现场决策指挥。</w:t>
      </w:r>
    </w:p>
    <w:p w14:paraId="58B51F63">
      <w:pPr>
        <w:spacing w:line="360" w:lineRule="auto"/>
        <w:ind w:firstLine="420" w:firstLineChars="200"/>
        <w:rPr>
          <w:bCs/>
          <w:color w:val="auto"/>
          <w:highlight w:val="none"/>
        </w:rPr>
      </w:pPr>
      <w:r>
        <w:rPr>
          <w:rFonts w:hint="eastAsia"/>
          <w:bCs/>
          <w:color w:val="auto"/>
          <w:highlight w:val="none"/>
        </w:rPr>
        <w:t>3、</w:t>
      </w:r>
      <w:r>
        <w:rPr>
          <w:bCs/>
          <w:color w:val="auto"/>
          <w:highlight w:val="none"/>
        </w:rPr>
        <w:t>联动管理：支持警情报警信息自动叠加进行示警和处理，自动定位报警点，联动现场监控图像及语音文字提示自动跟踪屏幕输出，关联相关区域内的监控调度和警力支援调度管理。</w:t>
      </w:r>
    </w:p>
    <w:p w14:paraId="6AE223BA">
      <w:pPr>
        <w:spacing w:line="360" w:lineRule="auto"/>
        <w:ind w:firstLine="420" w:firstLineChars="200"/>
        <w:rPr>
          <w:bCs/>
          <w:color w:val="auto"/>
          <w:highlight w:val="none"/>
        </w:rPr>
      </w:pPr>
      <w:r>
        <w:rPr>
          <w:rFonts w:hint="eastAsia"/>
          <w:bCs/>
          <w:color w:val="auto"/>
          <w:highlight w:val="none"/>
        </w:rPr>
        <w:t>4、</w:t>
      </w:r>
      <w:r>
        <w:rPr>
          <w:bCs/>
          <w:color w:val="auto"/>
          <w:highlight w:val="none"/>
        </w:rPr>
        <w:t>导航巡查：支持根据三维地理信息场景，以动画方式按路径导航展示相关安防资源的部设和实时显示现场情景的监控和警力资源。</w:t>
      </w:r>
    </w:p>
    <w:p w14:paraId="7E563F92">
      <w:pPr>
        <w:pStyle w:val="12"/>
        <w:tabs>
          <w:tab w:val="left" w:pos="864"/>
        </w:tabs>
        <w:spacing w:line="360" w:lineRule="auto"/>
        <w:ind w:left="0" w:firstLine="420" w:firstLineChars="200"/>
        <w:rPr>
          <w:color w:val="auto"/>
          <w:highlight w:val="none"/>
        </w:rPr>
      </w:pPr>
      <w:r>
        <w:rPr>
          <w:rFonts w:hint="eastAsia"/>
          <w:color w:val="auto"/>
          <w:highlight w:val="none"/>
        </w:rPr>
        <w:t>场景切换</w:t>
      </w:r>
    </w:p>
    <w:p w14:paraId="2CFB2574">
      <w:pPr>
        <w:spacing w:line="360" w:lineRule="auto"/>
        <w:ind w:firstLine="420" w:firstLineChars="200"/>
        <w:rPr>
          <w:bCs/>
          <w:color w:val="auto"/>
          <w:highlight w:val="none"/>
        </w:rPr>
      </w:pPr>
      <w:r>
        <w:rPr>
          <w:rFonts w:hint="eastAsia"/>
          <w:bCs/>
          <w:color w:val="auto"/>
          <w:highlight w:val="none"/>
        </w:rPr>
        <w:t>支持场景加载，二维与三维结合，默认进入监狱三维场景，可切换成二维场景（地图）显示监狱周边10公里范围情况和监狱点位；</w:t>
      </w:r>
    </w:p>
    <w:p w14:paraId="70FF1FED">
      <w:pPr>
        <w:pStyle w:val="12"/>
        <w:tabs>
          <w:tab w:val="left" w:pos="864"/>
        </w:tabs>
        <w:spacing w:line="360" w:lineRule="auto"/>
        <w:ind w:left="0" w:firstLine="420" w:firstLineChars="200"/>
        <w:rPr>
          <w:color w:val="auto"/>
          <w:highlight w:val="none"/>
        </w:rPr>
      </w:pPr>
      <w:r>
        <w:rPr>
          <w:rFonts w:hint="eastAsia"/>
          <w:color w:val="auto"/>
          <w:highlight w:val="none"/>
        </w:rPr>
        <w:t>视角切换</w:t>
      </w:r>
    </w:p>
    <w:p w14:paraId="50DDF99A">
      <w:pPr>
        <w:spacing w:line="360" w:lineRule="auto"/>
        <w:ind w:firstLine="420" w:firstLineChars="200"/>
        <w:rPr>
          <w:bCs/>
          <w:color w:val="auto"/>
          <w:highlight w:val="none"/>
        </w:rPr>
      </w:pPr>
      <w:r>
        <w:rPr>
          <w:rFonts w:hint="eastAsia"/>
          <w:bCs/>
          <w:color w:val="auto"/>
          <w:highlight w:val="none"/>
        </w:rPr>
        <w:t>三维场景视角支持飞行模式和行走模式</w:t>
      </w:r>
    </w:p>
    <w:p w14:paraId="4BDCBDA6">
      <w:pPr>
        <w:pStyle w:val="12"/>
        <w:tabs>
          <w:tab w:val="left" w:pos="864"/>
        </w:tabs>
        <w:spacing w:line="360" w:lineRule="auto"/>
        <w:ind w:left="0" w:firstLine="420" w:firstLineChars="200"/>
        <w:rPr>
          <w:color w:val="auto"/>
          <w:highlight w:val="none"/>
        </w:rPr>
      </w:pPr>
      <w:r>
        <w:rPr>
          <w:rFonts w:hint="eastAsia"/>
          <w:color w:val="auto"/>
          <w:highlight w:val="none"/>
        </w:rPr>
        <w:t>场景控制</w:t>
      </w:r>
    </w:p>
    <w:p w14:paraId="687A76A4">
      <w:pPr>
        <w:spacing w:line="360" w:lineRule="auto"/>
        <w:ind w:firstLine="420" w:firstLineChars="200"/>
        <w:rPr>
          <w:bCs/>
          <w:color w:val="auto"/>
          <w:highlight w:val="none"/>
        </w:rPr>
      </w:pPr>
      <w:r>
        <w:rPr>
          <w:rFonts w:hint="eastAsia"/>
          <w:bCs/>
          <w:color w:val="auto"/>
          <w:highlight w:val="none"/>
        </w:rPr>
        <w:t>三维场景支持放大，缩小，原地旋转，以选中物体旋转，上下左右平移；</w:t>
      </w:r>
    </w:p>
    <w:p w14:paraId="31C8629E">
      <w:pPr>
        <w:pStyle w:val="12"/>
        <w:tabs>
          <w:tab w:val="left" w:pos="864"/>
        </w:tabs>
        <w:spacing w:line="360" w:lineRule="auto"/>
        <w:ind w:left="0" w:firstLine="420" w:firstLineChars="200"/>
        <w:rPr>
          <w:color w:val="auto"/>
          <w:highlight w:val="none"/>
        </w:rPr>
      </w:pPr>
      <w:r>
        <w:rPr>
          <w:rFonts w:hint="eastAsia"/>
          <w:color w:val="auto"/>
          <w:highlight w:val="none"/>
        </w:rPr>
        <w:t>场景导航</w:t>
      </w:r>
    </w:p>
    <w:p w14:paraId="02CBF450">
      <w:pPr>
        <w:spacing w:line="360" w:lineRule="auto"/>
        <w:ind w:firstLine="420" w:firstLineChars="200"/>
        <w:rPr>
          <w:bCs/>
          <w:color w:val="auto"/>
          <w:highlight w:val="none"/>
        </w:rPr>
      </w:pPr>
      <w:r>
        <w:rPr>
          <w:rFonts w:hint="eastAsia"/>
          <w:bCs/>
          <w:color w:val="auto"/>
          <w:highlight w:val="none"/>
        </w:rPr>
        <w:t>1、区域导航</w:t>
      </w:r>
    </w:p>
    <w:p w14:paraId="749B204E">
      <w:pPr>
        <w:spacing w:line="360" w:lineRule="auto"/>
        <w:ind w:firstLine="420" w:firstLineChars="200"/>
        <w:rPr>
          <w:bCs/>
          <w:color w:val="auto"/>
          <w:highlight w:val="none"/>
        </w:rPr>
      </w:pPr>
      <w:r>
        <w:rPr>
          <w:rFonts w:hint="eastAsia"/>
          <w:bCs/>
          <w:color w:val="auto"/>
          <w:highlight w:val="none"/>
        </w:rPr>
        <w:t>支持设置多个区域和初始默认区域，包括监狱全景，AB门，周界，会见，紧闭、监舍楼、习艺楼等。</w:t>
      </w:r>
    </w:p>
    <w:p w14:paraId="7FA3723D">
      <w:pPr>
        <w:spacing w:line="360" w:lineRule="auto"/>
        <w:ind w:firstLine="420" w:firstLineChars="200"/>
        <w:rPr>
          <w:bCs/>
          <w:color w:val="auto"/>
          <w:szCs w:val="21"/>
          <w:highlight w:val="none"/>
        </w:rPr>
      </w:pPr>
      <w:r>
        <w:rPr>
          <w:rFonts w:hint="eastAsia"/>
          <w:bCs/>
          <w:color w:val="auto"/>
          <w:highlight w:val="none"/>
        </w:rPr>
        <w:t>支持一键导航到选中区域，镜头直接飞行到选中区域，可选中区域内楼栋的某一层查看内部结构</w:t>
      </w:r>
      <w:r>
        <w:rPr>
          <w:rFonts w:hint="eastAsia"/>
          <w:bCs/>
          <w:color w:val="auto"/>
          <w:szCs w:val="21"/>
          <w:highlight w:val="none"/>
        </w:rPr>
        <w:t>。</w:t>
      </w:r>
    </w:p>
    <w:p w14:paraId="6985D430">
      <w:pPr>
        <w:spacing w:line="360" w:lineRule="auto"/>
        <w:ind w:firstLine="420" w:firstLineChars="200"/>
        <w:rPr>
          <w:bCs/>
          <w:color w:val="auto"/>
          <w:highlight w:val="none"/>
        </w:rPr>
      </w:pPr>
      <w:r>
        <w:rPr>
          <w:rFonts w:hint="eastAsia"/>
          <w:bCs/>
          <w:color w:val="auto"/>
          <w:highlight w:val="none"/>
        </w:rPr>
        <w:t>2、设备导航</w:t>
      </w:r>
    </w:p>
    <w:p w14:paraId="2F40B3D8">
      <w:pPr>
        <w:spacing w:line="360" w:lineRule="auto"/>
        <w:ind w:firstLine="420" w:firstLineChars="200"/>
        <w:rPr>
          <w:bCs/>
          <w:color w:val="auto"/>
          <w:szCs w:val="21"/>
          <w:highlight w:val="none"/>
        </w:rPr>
      </w:pPr>
      <w:r>
        <w:rPr>
          <w:rFonts w:hint="eastAsia"/>
          <w:bCs/>
          <w:color w:val="auto"/>
          <w:szCs w:val="21"/>
          <w:highlight w:val="none"/>
        </w:rPr>
        <w:t>支持设置设备和区域的绑定，选中设备，</w:t>
      </w:r>
      <w:r>
        <w:rPr>
          <w:rFonts w:hint="eastAsia"/>
          <w:bCs/>
          <w:color w:val="auto"/>
          <w:highlight w:val="none"/>
        </w:rPr>
        <w:t>镜头直接飞行到选中区域，可选中区域内楼栋的某一层查看内部结构</w:t>
      </w:r>
      <w:r>
        <w:rPr>
          <w:rFonts w:hint="eastAsia"/>
          <w:bCs/>
          <w:color w:val="auto"/>
          <w:szCs w:val="21"/>
          <w:highlight w:val="none"/>
        </w:rPr>
        <w:t>。</w:t>
      </w:r>
    </w:p>
    <w:p w14:paraId="7BFAB4B0">
      <w:pPr>
        <w:pStyle w:val="12"/>
        <w:tabs>
          <w:tab w:val="left" w:pos="864"/>
        </w:tabs>
        <w:spacing w:line="360" w:lineRule="auto"/>
        <w:ind w:left="0" w:firstLine="420" w:firstLineChars="200"/>
        <w:rPr>
          <w:color w:val="auto"/>
          <w:highlight w:val="none"/>
        </w:rPr>
      </w:pPr>
      <w:r>
        <w:rPr>
          <w:rFonts w:hint="eastAsia"/>
          <w:color w:val="auto"/>
          <w:highlight w:val="none"/>
        </w:rPr>
        <w:t>资源调度</w:t>
      </w:r>
    </w:p>
    <w:p w14:paraId="2BF51216">
      <w:pPr>
        <w:spacing w:line="360" w:lineRule="auto"/>
        <w:ind w:firstLine="420" w:firstLineChars="200"/>
        <w:rPr>
          <w:bCs/>
          <w:color w:val="auto"/>
          <w:highlight w:val="none"/>
        </w:rPr>
      </w:pPr>
      <w:r>
        <w:rPr>
          <w:rFonts w:hint="eastAsia"/>
          <w:bCs/>
          <w:color w:val="auto"/>
          <w:highlight w:val="none"/>
        </w:rPr>
        <w:t>1、资源展示</w:t>
      </w:r>
    </w:p>
    <w:p w14:paraId="2C6DC427">
      <w:pPr>
        <w:spacing w:line="360" w:lineRule="auto"/>
        <w:ind w:firstLine="420" w:firstLineChars="200"/>
        <w:rPr>
          <w:bCs/>
          <w:color w:val="auto"/>
          <w:highlight w:val="none"/>
        </w:rPr>
      </w:pPr>
      <w:r>
        <w:rPr>
          <w:rFonts w:hint="eastAsia"/>
          <w:bCs/>
          <w:color w:val="auto"/>
          <w:highlight w:val="none"/>
        </w:rPr>
        <w:t>支持在三维GIS地图上标注设备，可通过设备类型过滤标注设备；</w:t>
      </w:r>
    </w:p>
    <w:p w14:paraId="4C59C50C">
      <w:pPr>
        <w:spacing w:line="360" w:lineRule="auto"/>
        <w:ind w:firstLine="420" w:firstLineChars="200"/>
        <w:rPr>
          <w:bCs/>
          <w:color w:val="auto"/>
          <w:highlight w:val="none"/>
        </w:rPr>
      </w:pPr>
      <w:r>
        <w:rPr>
          <w:rFonts w:hint="eastAsia"/>
          <w:bCs/>
          <w:color w:val="auto"/>
          <w:highlight w:val="none"/>
        </w:rPr>
        <w:t>支持在三维GIS地图上显示值班警察信息；当在地图上导航到某个区域时，在地图上显示当前区域的值班警察的照片，姓名和警号；</w:t>
      </w:r>
    </w:p>
    <w:p w14:paraId="492DADC6">
      <w:pPr>
        <w:spacing w:line="360" w:lineRule="auto"/>
        <w:ind w:firstLine="420" w:firstLineChars="200"/>
        <w:rPr>
          <w:bCs/>
          <w:color w:val="auto"/>
          <w:highlight w:val="none"/>
        </w:rPr>
      </w:pPr>
      <w:r>
        <w:rPr>
          <w:rFonts w:hint="eastAsia"/>
          <w:bCs/>
          <w:color w:val="auto"/>
          <w:highlight w:val="none"/>
        </w:rPr>
        <w:t>支持在三维GIS地图上显示罪犯信息；地图导航到监舍内部时，在监舍床铺上显示罪犯的照片，姓名并可点击查看详细；</w:t>
      </w:r>
    </w:p>
    <w:p w14:paraId="5A148C8D">
      <w:pPr>
        <w:spacing w:line="360" w:lineRule="auto"/>
        <w:ind w:firstLine="420" w:firstLineChars="200"/>
        <w:rPr>
          <w:bCs/>
          <w:color w:val="auto"/>
          <w:szCs w:val="21"/>
          <w:highlight w:val="none"/>
        </w:rPr>
      </w:pPr>
      <w:r>
        <w:rPr>
          <w:rFonts w:hint="eastAsia"/>
          <w:bCs/>
          <w:color w:val="auto"/>
          <w:highlight w:val="none"/>
        </w:rPr>
        <w:t>支持在三维GIS地图上显示安防设备，包括摄像机，门禁，对讲，广播，高压脉冲电网，微振动报警，紧急报警等</w:t>
      </w:r>
      <w:r>
        <w:rPr>
          <w:rFonts w:hint="eastAsia"/>
          <w:bCs/>
          <w:color w:val="auto"/>
          <w:szCs w:val="21"/>
          <w:highlight w:val="none"/>
        </w:rPr>
        <w:t>，可直接在地图上过滤显示某种单独的设备，可在地图上标注显示设备并能选择标注图片框查看设备信息。</w:t>
      </w:r>
    </w:p>
    <w:p w14:paraId="6F6220C4">
      <w:pPr>
        <w:spacing w:line="360" w:lineRule="auto"/>
        <w:ind w:firstLine="420" w:firstLineChars="200"/>
        <w:rPr>
          <w:bCs/>
          <w:color w:val="auto"/>
          <w:highlight w:val="none"/>
        </w:rPr>
      </w:pPr>
      <w:r>
        <w:rPr>
          <w:rFonts w:hint="eastAsia"/>
          <w:bCs/>
          <w:color w:val="auto"/>
          <w:highlight w:val="none"/>
        </w:rPr>
        <w:t>2、资源控制</w:t>
      </w:r>
    </w:p>
    <w:p w14:paraId="19697F04">
      <w:pPr>
        <w:spacing w:line="360" w:lineRule="auto"/>
        <w:ind w:firstLine="420" w:firstLineChars="200"/>
        <w:rPr>
          <w:bCs/>
          <w:color w:val="auto"/>
          <w:highlight w:val="none"/>
        </w:rPr>
      </w:pPr>
      <w:r>
        <w:rPr>
          <w:rFonts w:hint="eastAsia"/>
          <w:bCs/>
          <w:color w:val="auto"/>
          <w:highlight w:val="none"/>
        </w:rPr>
        <w:t>支持在三维GIS地图上对摄像机进行控制；可点播图像，录像回放，一键上屏，云台控制，标注镜头监控区域；</w:t>
      </w:r>
    </w:p>
    <w:p w14:paraId="08DBA8A1">
      <w:pPr>
        <w:spacing w:line="360" w:lineRule="auto"/>
        <w:ind w:firstLine="420" w:firstLineChars="200"/>
        <w:rPr>
          <w:bCs/>
          <w:color w:val="auto"/>
          <w:highlight w:val="none"/>
        </w:rPr>
      </w:pPr>
      <w:r>
        <w:rPr>
          <w:rFonts w:hint="eastAsia"/>
          <w:bCs/>
          <w:color w:val="auto"/>
          <w:highlight w:val="none"/>
        </w:rPr>
        <w:t>支持在三维GIS地图上对门禁进行控制；可开门，戒严，常开和恢复，其中门禁可看到开关门的变化；</w:t>
      </w:r>
    </w:p>
    <w:p w14:paraId="778C1C0D">
      <w:pPr>
        <w:spacing w:line="360" w:lineRule="auto"/>
        <w:ind w:firstLine="420" w:firstLineChars="200"/>
        <w:rPr>
          <w:bCs/>
          <w:color w:val="auto"/>
          <w:highlight w:val="none"/>
        </w:rPr>
      </w:pPr>
      <w:r>
        <w:rPr>
          <w:rFonts w:hint="eastAsia"/>
          <w:bCs/>
          <w:color w:val="auto"/>
          <w:highlight w:val="none"/>
        </w:rPr>
        <w:t>支持在三维GIS地图上对对讲进行控制；可进行呼叫，挂断，呼叫后显示关联图像；</w:t>
      </w:r>
    </w:p>
    <w:p w14:paraId="3E8F1FD3">
      <w:pPr>
        <w:spacing w:line="360" w:lineRule="auto"/>
        <w:ind w:firstLine="420" w:firstLineChars="200"/>
        <w:rPr>
          <w:bCs/>
          <w:color w:val="auto"/>
          <w:highlight w:val="none"/>
        </w:rPr>
      </w:pPr>
      <w:r>
        <w:rPr>
          <w:rFonts w:hint="eastAsia"/>
          <w:bCs/>
          <w:color w:val="auto"/>
          <w:highlight w:val="none"/>
        </w:rPr>
        <w:t>支持在三维GIS地图上查看高压电网防区状态，包括电压和电流；</w:t>
      </w:r>
    </w:p>
    <w:p w14:paraId="60DE4BF3">
      <w:pPr>
        <w:spacing w:line="360" w:lineRule="auto"/>
        <w:ind w:firstLine="420" w:firstLineChars="200"/>
        <w:rPr>
          <w:bCs/>
          <w:color w:val="auto"/>
          <w:highlight w:val="none"/>
        </w:rPr>
      </w:pPr>
      <w:r>
        <w:rPr>
          <w:rFonts w:hint="eastAsia"/>
          <w:bCs/>
          <w:color w:val="auto"/>
          <w:highlight w:val="none"/>
        </w:rPr>
        <w:t>支持在三维GIS地图上对报警主机防区进行控制，可进行布防和撤防；</w:t>
      </w:r>
    </w:p>
    <w:p w14:paraId="2022996E">
      <w:pPr>
        <w:spacing w:line="360" w:lineRule="auto"/>
        <w:ind w:firstLine="420" w:firstLineChars="200"/>
        <w:rPr>
          <w:bCs/>
          <w:color w:val="auto"/>
          <w:szCs w:val="21"/>
          <w:highlight w:val="none"/>
        </w:rPr>
      </w:pPr>
      <w:r>
        <w:rPr>
          <w:rFonts w:hint="eastAsia"/>
          <w:bCs/>
          <w:color w:val="auto"/>
          <w:highlight w:val="none"/>
        </w:rPr>
        <w:t>支持在三维GIS地图上对广播进行控制，可进行应急喊话</w:t>
      </w:r>
      <w:r>
        <w:rPr>
          <w:rFonts w:hint="eastAsia"/>
          <w:bCs/>
          <w:color w:val="auto"/>
          <w:szCs w:val="21"/>
          <w:highlight w:val="none"/>
        </w:rPr>
        <w:t>。</w:t>
      </w:r>
    </w:p>
    <w:p w14:paraId="76FF6F59">
      <w:pPr>
        <w:pStyle w:val="12"/>
        <w:tabs>
          <w:tab w:val="left" w:pos="864"/>
        </w:tabs>
        <w:spacing w:line="360" w:lineRule="auto"/>
        <w:ind w:left="0" w:firstLine="420" w:firstLineChars="200"/>
        <w:rPr>
          <w:color w:val="auto"/>
          <w:highlight w:val="none"/>
        </w:rPr>
      </w:pPr>
      <w:r>
        <w:rPr>
          <w:rFonts w:hint="eastAsia"/>
          <w:color w:val="auto"/>
          <w:highlight w:val="none"/>
        </w:rPr>
        <w:t>地图巡查</w:t>
      </w:r>
    </w:p>
    <w:p w14:paraId="517E63D2">
      <w:pPr>
        <w:spacing w:line="360" w:lineRule="auto"/>
        <w:ind w:firstLine="420" w:firstLineChars="200"/>
        <w:rPr>
          <w:bCs/>
          <w:color w:val="auto"/>
          <w:highlight w:val="none"/>
        </w:rPr>
      </w:pPr>
      <w:r>
        <w:rPr>
          <w:rFonts w:hint="eastAsia"/>
          <w:bCs/>
          <w:color w:val="auto"/>
          <w:highlight w:val="none"/>
        </w:rPr>
        <w:t>在三维GIS 地图上定义巡查点，平台自动对各巡查点进行路线规划。巡查过程中平台自动弹出巡查路线附近的监控图像，巡查人员通过监控图像确认各个巡查节点的现场情况，发现异常时巡查人员可手动暂停自动巡查并进行图片抓拍并填写巡查记录后继续进行自动巡查。</w:t>
      </w:r>
    </w:p>
    <w:p w14:paraId="2E9251D1">
      <w:pPr>
        <w:pStyle w:val="12"/>
        <w:tabs>
          <w:tab w:val="left" w:pos="864"/>
        </w:tabs>
        <w:spacing w:line="360" w:lineRule="auto"/>
        <w:ind w:left="0" w:firstLine="420" w:firstLineChars="200"/>
        <w:rPr>
          <w:color w:val="auto"/>
          <w:highlight w:val="none"/>
        </w:rPr>
      </w:pPr>
      <w:r>
        <w:rPr>
          <w:rFonts w:hint="eastAsia"/>
          <w:color w:val="auto"/>
          <w:highlight w:val="none"/>
        </w:rPr>
        <w:t>警情调度</w:t>
      </w:r>
    </w:p>
    <w:p w14:paraId="14EAA037">
      <w:pPr>
        <w:spacing w:line="360" w:lineRule="auto"/>
        <w:ind w:firstLine="420" w:firstLineChars="200"/>
        <w:rPr>
          <w:bCs/>
          <w:color w:val="auto"/>
          <w:szCs w:val="21"/>
          <w:highlight w:val="none"/>
        </w:rPr>
      </w:pPr>
      <w:r>
        <w:rPr>
          <w:rFonts w:hint="eastAsia"/>
          <w:bCs/>
          <w:color w:val="auto"/>
          <w:highlight w:val="none"/>
        </w:rPr>
        <w:t>支持在地图上实时展示报警信息和报警点位置，报警点在地图上闪烁提醒。当发生报警时，地图联动展示报警点区域的报警详细信息，值班警察信息，重点罪犯信息，视频图像，接警处置预案，提供应急处置快速入口，包括报警处置入口与应急预案启动入口</w:t>
      </w:r>
      <w:r>
        <w:rPr>
          <w:rFonts w:hint="eastAsia"/>
          <w:bCs/>
          <w:color w:val="auto"/>
          <w:szCs w:val="21"/>
          <w:highlight w:val="none"/>
        </w:rPr>
        <w:t>。</w:t>
      </w:r>
    </w:p>
    <w:p w14:paraId="095B11EC">
      <w:pPr>
        <w:pStyle w:val="12"/>
        <w:tabs>
          <w:tab w:val="left" w:pos="864"/>
        </w:tabs>
        <w:spacing w:line="360" w:lineRule="auto"/>
        <w:ind w:left="0" w:firstLine="420" w:firstLineChars="200"/>
        <w:rPr>
          <w:color w:val="auto"/>
          <w:highlight w:val="none"/>
        </w:rPr>
      </w:pPr>
      <w:r>
        <w:rPr>
          <w:rFonts w:hint="eastAsia"/>
          <w:color w:val="auto"/>
          <w:highlight w:val="none"/>
        </w:rPr>
        <w:t>资源定位</w:t>
      </w:r>
    </w:p>
    <w:p w14:paraId="3174D090">
      <w:pPr>
        <w:spacing w:line="360" w:lineRule="auto"/>
        <w:ind w:firstLine="420" w:firstLineChars="200"/>
        <w:rPr>
          <w:bCs/>
          <w:color w:val="auto"/>
          <w:highlight w:val="none"/>
        </w:rPr>
      </w:pPr>
      <w:r>
        <w:rPr>
          <w:rFonts w:hint="eastAsia"/>
          <w:bCs/>
          <w:color w:val="auto"/>
          <w:highlight w:val="none"/>
        </w:rPr>
        <w:t>支持在地图上展示警察，罪犯，外来人员，外来车辆的各个区域分布数量；</w:t>
      </w:r>
    </w:p>
    <w:p w14:paraId="2DCCFA36">
      <w:pPr>
        <w:spacing w:line="360" w:lineRule="auto"/>
        <w:ind w:firstLine="420" w:firstLineChars="200"/>
        <w:rPr>
          <w:bCs/>
          <w:color w:val="auto"/>
          <w:highlight w:val="none"/>
        </w:rPr>
      </w:pPr>
      <w:r>
        <w:rPr>
          <w:rFonts w:hint="eastAsia"/>
          <w:bCs/>
          <w:color w:val="auto"/>
          <w:highlight w:val="none"/>
        </w:rPr>
        <w:t>支持单个人员（包括警察，罪犯，外来人员）或者车辆的查询定位。</w:t>
      </w:r>
    </w:p>
    <w:p w14:paraId="2519261F">
      <w:pPr>
        <w:pStyle w:val="11"/>
        <w:spacing w:before="0" w:after="0" w:line="360" w:lineRule="auto"/>
        <w:ind w:firstLine="562" w:firstLineChars="200"/>
        <w:rPr>
          <w:color w:val="auto"/>
          <w:highlight w:val="none"/>
        </w:rPr>
      </w:pPr>
      <w:r>
        <w:rPr>
          <w:rFonts w:hint="eastAsia"/>
          <w:color w:val="auto"/>
          <w:highlight w:val="none"/>
        </w:rPr>
        <w:t>安防集成</w:t>
      </w:r>
    </w:p>
    <w:p w14:paraId="09D01850">
      <w:pPr>
        <w:spacing w:line="360" w:lineRule="auto"/>
        <w:ind w:firstLine="420" w:firstLineChars="200"/>
        <w:rPr>
          <w:bCs/>
          <w:color w:val="auto"/>
          <w:highlight w:val="none"/>
        </w:rPr>
      </w:pPr>
      <w:r>
        <w:rPr>
          <w:bCs/>
          <w:color w:val="auto"/>
          <w:highlight w:val="none"/>
        </w:rPr>
        <w:t>该平台能对各子系统的设施设备和运行状态进行智能监测和控制，能对系统运行状况和报警信息数据等进行记录和显示。可通过物联网技术对覆盖范围内人、车、物实现定位、轨迹跟踪等智能管控的目标。该平台可对各子系统的信息进行整合，实现数据融合，建立起智能联动体系。各子系统联动信息应根据管理职能实现分级分层推送。该平台具备日志查询、统计和图表分析等功能</w:t>
      </w:r>
      <w:r>
        <w:rPr>
          <w:rFonts w:hint="eastAsia"/>
          <w:bCs/>
          <w:color w:val="auto"/>
          <w:highlight w:val="none"/>
        </w:rPr>
        <w:t>。</w:t>
      </w:r>
    </w:p>
    <w:p w14:paraId="548456C8">
      <w:pPr>
        <w:pStyle w:val="12"/>
        <w:tabs>
          <w:tab w:val="left" w:pos="864"/>
        </w:tabs>
        <w:spacing w:line="360" w:lineRule="auto"/>
        <w:ind w:left="0" w:firstLine="420" w:firstLineChars="200"/>
        <w:rPr>
          <w:color w:val="auto"/>
          <w:highlight w:val="none"/>
        </w:rPr>
      </w:pPr>
      <w:r>
        <w:rPr>
          <w:rFonts w:hint="eastAsia"/>
          <w:color w:val="auto"/>
          <w:highlight w:val="none"/>
        </w:rPr>
        <w:t>视频监控</w:t>
      </w:r>
    </w:p>
    <w:p w14:paraId="40E150E5">
      <w:pPr>
        <w:spacing w:line="360" w:lineRule="auto"/>
        <w:ind w:firstLine="420" w:firstLineChars="200"/>
        <w:rPr>
          <w:bCs/>
          <w:color w:val="auto"/>
          <w:highlight w:val="none"/>
        </w:rPr>
      </w:pPr>
      <w:r>
        <w:rPr>
          <w:rFonts w:hint="eastAsia"/>
          <w:bCs/>
          <w:color w:val="auto"/>
          <w:highlight w:val="none"/>
        </w:rPr>
        <w:t>1、图像点播</w:t>
      </w:r>
    </w:p>
    <w:p w14:paraId="75027A55">
      <w:pPr>
        <w:spacing w:line="360" w:lineRule="auto"/>
        <w:ind w:firstLine="420" w:firstLineChars="200"/>
        <w:rPr>
          <w:bCs/>
          <w:color w:val="auto"/>
          <w:highlight w:val="none"/>
        </w:rPr>
      </w:pPr>
      <w:r>
        <w:rPr>
          <w:rFonts w:hint="eastAsia"/>
          <w:bCs/>
          <w:color w:val="auto"/>
          <w:highlight w:val="none"/>
        </w:rPr>
        <w:t>支持在资源设备树中的摄像机进行点播和停止点播；</w:t>
      </w:r>
    </w:p>
    <w:p w14:paraId="19AA618A">
      <w:pPr>
        <w:spacing w:line="360" w:lineRule="auto"/>
        <w:ind w:firstLine="420" w:firstLineChars="200"/>
        <w:rPr>
          <w:bCs/>
          <w:color w:val="auto"/>
          <w:szCs w:val="21"/>
          <w:highlight w:val="none"/>
        </w:rPr>
      </w:pPr>
      <w:r>
        <w:rPr>
          <w:rFonts w:hint="eastAsia"/>
          <w:bCs/>
          <w:color w:val="auto"/>
          <w:highlight w:val="none"/>
        </w:rPr>
        <w:t>支持在地图中选中摄像机进行点播和停止点播</w:t>
      </w:r>
      <w:r>
        <w:rPr>
          <w:rFonts w:hint="eastAsia"/>
          <w:bCs/>
          <w:color w:val="auto"/>
          <w:szCs w:val="21"/>
          <w:highlight w:val="none"/>
        </w:rPr>
        <w:t>。</w:t>
      </w:r>
    </w:p>
    <w:p w14:paraId="6922B709">
      <w:pPr>
        <w:spacing w:line="360" w:lineRule="auto"/>
        <w:ind w:firstLine="420" w:firstLineChars="200"/>
        <w:rPr>
          <w:bCs/>
          <w:color w:val="auto"/>
          <w:highlight w:val="none"/>
        </w:rPr>
      </w:pPr>
      <w:r>
        <w:rPr>
          <w:rFonts w:hint="eastAsia"/>
          <w:bCs/>
          <w:color w:val="auto"/>
          <w:highlight w:val="none"/>
        </w:rPr>
        <w:t>2、分屏显示</w:t>
      </w:r>
    </w:p>
    <w:p w14:paraId="6776C9D1">
      <w:pPr>
        <w:spacing w:line="360" w:lineRule="auto"/>
        <w:ind w:firstLine="420" w:firstLineChars="200"/>
        <w:rPr>
          <w:bCs/>
          <w:color w:val="auto"/>
          <w:szCs w:val="21"/>
          <w:highlight w:val="none"/>
        </w:rPr>
      </w:pPr>
      <w:r>
        <w:rPr>
          <w:rFonts w:hint="eastAsia"/>
          <w:bCs/>
          <w:color w:val="auto"/>
          <w:highlight w:val="none"/>
        </w:rPr>
        <w:t>支持对图像显示模块进行分屏控制，包括1，4，9，16分屏</w:t>
      </w:r>
      <w:r>
        <w:rPr>
          <w:rFonts w:hint="eastAsia"/>
          <w:bCs/>
          <w:color w:val="auto"/>
          <w:szCs w:val="21"/>
          <w:highlight w:val="none"/>
        </w:rPr>
        <w:t>。</w:t>
      </w:r>
    </w:p>
    <w:p w14:paraId="4F47380C">
      <w:pPr>
        <w:spacing w:line="360" w:lineRule="auto"/>
        <w:ind w:firstLine="420" w:firstLineChars="200"/>
        <w:rPr>
          <w:bCs/>
          <w:color w:val="auto"/>
          <w:highlight w:val="none"/>
        </w:rPr>
      </w:pPr>
      <w:r>
        <w:rPr>
          <w:rFonts w:hint="eastAsia"/>
          <w:bCs/>
          <w:color w:val="auto"/>
          <w:highlight w:val="none"/>
        </w:rPr>
        <w:t>3、云台控制</w:t>
      </w:r>
    </w:p>
    <w:p w14:paraId="621B5FFA">
      <w:pPr>
        <w:spacing w:line="360" w:lineRule="auto"/>
        <w:ind w:firstLine="420" w:firstLineChars="200"/>
        <w:rPr>
          <w:bCs/>
          <w:color w:val="auto"/>
          <w:highlight w:val="none"/>
        </w:rPr>
      </w:pPr>
      <w:r>
        <w:rPr>
          <w:rFonts w:hint="eastAsia"/>
          <w:bCs/>
          <w:color w:val="auto"/>
          <w:highlight w:val="none"/>
        </w:rPr>
        <w:t>支持在图像显示模块中选中图像进行云台控制；</w:t>
      </w:r>
    </w:p>
    <w:p w14:paraId="4E79F6A4">
      <w:pPr>
        <w:spacing w:line="360" w:lineRule="auto"/>
        <w:ind w:firstLine="420" w:firstLineChars="200"/>
        <w:rPr>
          <w:bCs/>
          <w:color w:val="auto"/>
          <w:szCs w:val="21"/>
          <w:highlight w:val="none"/>
        </w:rPr>
      </w:pPr>
      <w:r>
        <w:rPr>
          <w:rFonts w:hint="eastAsia"/>
          <w:bCs/>
          <w:color w:val="auto"/>
          <w:highlight w:val="none"/>
        </w:rPr>
        <w:t>支持在地图中选中摄像机进行运维控制</w:t>
      </w:r>
      <w:r>
        <w:rPr>
          <w:rFonts w:hint="eastAsia"/>
          <w:bCs/>
          <w:color w:val="auto"/>
          <w:szCs w:val="21"/>
          <w:highlight w:val="none"/>
        </w:rPr>
        <w:t>。</w:t>
      </w:r>
    </w:p>
    <w:p w14:paraId="1DC7802D">
      <w:pPr>
        <w:spacing w:line="360" w:lineRule="auto"/>
        <w:ind w:firstLine="420" w:firstLineChars="200"/>
        <w:rPr>
          <w:bCs/>
          <w:color w:val="auto"/>
          <w:highlight w:val="none"/>
        </w:rPr>
      </w:pPr>
      <w:r>
        <w:rPr>
          <w:rFonts w:hint="eastAsia"/>
          <w:bCs/>
          <w:color w:val="auto"/>
          <w:highlight w:val="none"/>
        </w:rPr>
        <w:t>4、视频方案</w:t>
      </w:r>
    </w:p>
    <w:p w14:paraId="44B82B63">
      <w:pPr>
        <w:spacing w:line="360" w:lineRule="auto"/>
        <w:ind w:firstLine="420" w:firstLineChars="200"/>
        <w:rPr>
          <w:bCs/>
          <w:color w:val="auto"/>
          <w:highlight w:val="none"/>
        </w:rPr>
      </w:pPr>
      <w:r>
        <w:rPr>
          <w:rFonts w:hint="eastAsia"/>
          <w:bCs/>
          <w:color w:val="auto"/>
          <w:highlight w:val="none"/>
        </w:rPr>
        <w:t>支持设置视频方案，包括单轮播和组轮播方案；</w:t>
      </w:r>
    </w:p>
    <w:p w14:paraId="2377CE1C">
      <w:pPr>
        <w:spacing w:line="360" w:lineRule="auto"/>
        <w:ind w:firstLine="420" w:firstLineChars="200"/>
        <w:rPr>
          <w:bCs/>
          <w:color w:val="auto"/>
          <w:highlight w:val="none"/>
        </w:rPr>
      </w:pPr>
      <w:r>
        <w:rPr>
          <w:rFonts w:hint="eastAsia"/>
          <w:bCs/>
          <w:color w:val="auto"/>
          <w:highlight w:val="none"/>
        </w:rPr>
        <w:t>支持在图像显示模块中执行视频方案；</w:t>
      </w:r>
    </w:p>
    <w:p w14:paraId="345ABE6A">
      <w:pPr>
        <w:spacing w:line="360" w:lineRule="auto"/>
        <w:ind w:firstLine="420" w:firstLineChars="200"/>
        <w:rPr>
          <w:bCs/>
          <w:color w:val="auto"/>
          <w:szCs w:val="21"/>
          <w:highlight w:val="none"/>
        </w:rPr>
      </w:pPr>
      <w:r>
        <w:rPr>
          <w:rFonts w:hint="eastAsia"/>
          <w:bCs/>
          <w:color w:val="auto"/>
          <w:highlight w:val="none"/>
        </w:rPr>
        <w:t>支持在地图中执行视频方案，执行方案后，场景镜头会自动飞行到摄像机并自动点播显示图像</w:t>
      </w:r>
      <w:r>
        <w:rPr>
          <w:rFonts w:hint="eastAsia"/>
          <w:bCs/>
          <w:color w:val="auto"/>
          <w:szCs w:val="21"/>
          <w:highlight w:val="none"/>
        </w:rPr>
        <w:t>。</w:t>
      </w:r>
    </w:p>
    <w:p w14:paraId="049775F4">
      <w:pPr>
        <w:spacing w:line="360" w:lineRule="auto"/>
        <w:ind w:firstLine="420" w:firstLineChars="200"/>
        <w:rPr>
          <w:bCs/>
          <w:color w:val="auto"/>
          <w:highlight w:val="none"/>
        </w:rPr>
      </w:pPr>
      <w:r>
        <w:rPr>
          <w:rFonts w:hint="eastAsia"/>
          <w:bCs/>
          <w:color w:val="auto"/>
          <w:highlight w:val="none"/>
        </w:rPr>
        <w:t>5、视频巡查</w:t>
      </w:r>
    </w:p>
    <w:p w14:paraId="0A10C6E5">
      <w:pPr>
        <w:spacing w:line="360" w:lineRule="auto"/>
        <w:ind w:firstLine="420" w:firstLineChars="200"/>
        <w:rPr>
          <w:bCs/>
          <w:color w:val="auto"/>
          <w:highlight w:val="none"/>
        </w:rPr>
      </w:pPr>
      <w:r>
        <w:rPr>
          <w:rFonts w:hint="eastAsia"/>
          <w:bCs/>
          <w:color w:val="auto"/>
          <w:highlight w:val="none"/>
        </w:rPr>
        <w:t>支持对图像显示模块中的图像进行抓拍并录入巡查记录信息；</w:t>
      </w:r>
    </w:p>
    <w:p w14:paraId="5161DEF5">
      <w:pPr>
        <w:spacing w:line="360" w:lineRule="auto"/>
        <w:ind w:firstLine="420" w:firstLineChars="200"/>
        <w:rPr>
          <w:bCs/>
          <w:color w:val="auto"/>
          <w:highlight w:val="none"/>
        </w:rPr>
      </w:pPr>
      <w:r>
        <w:rPr>
          <w:rFonts w:hint="eastAsia"/>
          <w:bCs/>
          <w:color w:val="auto"/>
          <w:highlight w:val="none"/>
        </w:rPr>
        <w:t>支持对大屏上的图像进行抓拍并录入巡查记录信息；</w:t>
      </w:r>
    </w:p>
    <w:p w14:paraId="65DB20F6">
      <w:pPr>
        <w:spacing w:line="360" w:lineRule="auto"/>
        <w:ind w:firstLine="420" w:firstLineChars="200"/>
        <w:rPr>
          <w:bCs/>
          <w:color w:val="auto"/>
          <w:szCs w:val="21"/>
          <w:highlight w:val="none"/>
        </w:rPr>
      </w:pPr>
      <w:r>
        <w:rPr>
          <w:rFonts w:hint="eastAsia"/>
          <w:bCs/>
          <w:color w:val="auto"/>
          <w:highlight w:val="none"/>
        </w:rPr>
        <w:t>支持对视频巡查记录的查询并能导出文档</w:t>
      </w:r>
      <w:r>
        <w:rPr>
          <w:rFonts w:hint="eastAsia"/>
          <w:bCs/>
          <w:color w:val="auto"/>
          <w:szCs w:val="21"/>
          <w:highlight w:val="none"/>
        </w:rPr>
        <w:t>。</w:t>
      </w:r>
    </w:p>
    <w:p w14:paraId="5DEDA65C">
      <w:pPr>
        <w:pStyle w:val="12"/>
        <w:tabs>
          <w:tab w:val="left" w:pos="864"/>
        </w:tabs>
        <w:spacing w:line="360" w:lineRule="auto"/>
        <w:ind w:left="0" w:firstLine="420" w:firstLineChars="200"/>
        <w:rPr>
          <w:color w:val="auto"/>
          <w:highlight w:val="none"/>
        </w:rPr>
      </w:pPr>
      <w:r>
        <w:rPr>
          <w:rFonts w:hint="eastAsia"/>
          <w:color w:val="auto"/>
          <w:highlight w:val="none"/>
        </w:rPr>
        <w:t>录像回放</w:t>
      </w:r>
    </w:p>
    <w:p w14:paraId="0B40E6E8">
      <w:pPr>
        <w:spacing w:line="360" w:lineRule="auto"/>
        <w:ind w:firstLine="420" w:firstLineChars="200"/>
        <w:rPr>
          <w:bCs/>
          <w:color w:val="auto"/>
          <w:highlight w:val="none"/>
        </w:rPr>
      </w:pPr>
      <w:r>
        <w:rPr>
          <w:rFonts w:hint="eastAsia"/>
          <w:bCs/>
          <w:color w:val="auto"/>
          <w:highlight w:val="none"/>
        </w:rPr>
        <w:t>1、录像查询</w:t>
      </w:r>
    </w:p>
    <w:p w14:paraId="2145150D">
      <w:pPr>
        <w:spacing w:line="360" w:lineRule="auto"/>
        <w:ind w:firstLine="420" w:firstLineChars="200"/>
        <w:rPr>
          <w:bCs/>
          <w:color w:val="auto"/>
          <w:highlight w:val="none"/>
        </w:rPr>
      </w:pPr>
      <w:r>
        <w:rPr>
          <w:rFonts w:hint="eastAsia"/>
          <w:bCs/>
          <w:color w:val="auto"/>
          <w:highlight w:val="none"/>
        </w:rPr>
        <w:t>支持通过设备通道和时间进行计划录像查询；</w:t>
      </w:r>
    </w:p>
    <w:p w14:paraId="12407835">
      <w:pPr>
        <w:spacing w:line="360" w:lineRule="auto"/>
        <w:ind w:firstLine="420" w:firstLineChars="200"/>
        <w:rPr>
          <w:bCs/>
          <w:color w:val="auto"/>
          <w:szCs w:val="21"/>
          <w:highlight w:val="none"/>
        </w:rPr>
      </w:pPr>
      <w:r>
        <w:rPr>
          <w:rFonts w:hint="eastAsia"/>
          <w:bCs/>
          <w:color w:val="auto"/>
          <w:highlight w:val="none"/>
        </w:rPr>
        <w:t>支持通过设备通道，时间，事件进行联动录像查询</w:t>
      </w:r>
      <w:r>
        <w:rPr>
          <w:rFonts w:hint="eastAsia"/>
          <w:bCs/>
          <w:color w:val="auto"/>
          <w:szCs w:val="21"/>
          <w:highlight w:val="none"/>
        </w:rPr>
        <w:t>。</w:t>
      </w:r>
    </w:p>
    <w:p w14:paraId="4E492C2F">
      <w:pPr>
        <w:spacing w:line="360" w:lineRule="auto"/>
        <w:ind w:firstLine="420" w:firstLineChars="200"/>
        <w:rPr>
          <w:bCs/>
          <w:color w:val="auto"/>
          <w:highlight w:val="none"/>
        </w:rPr>
      </w:pPr>
      <w:r>
        <w:rPr>
          <w:rFonts w:hint="eastAsia"/>
          <w:bCs/>
          <w:color w:val="auto"/>
          <w:highlight w:val="none"/>
        </w:rPr>
        <w:t>2、录像回放</w:t>
      </w:r>
    </w:p>
    <w:p w14:paraId="48927BE0">
      <w:pPr>
        <w:spacing w:line="360" w:lineRule="auto"/>
        <w:ind w:firstLine="420" w:firstLineChars="200"/>
        <w:rPr>
          <w:bCs/>
          <w:color w:val="auto"/>
          <w:highlight w:val="none"/>
        </w:rPr>
      </w:pPr>
      <w:r>
        <w:rPr>
          <w:rFonts w:hint="eastAsia"/>
          <w:bCs/>
          <w:color w:val="auto"/>
          <w:highlight w:val="none"/>
        </w:rPr>
        <w:t>支持选择录像文件进行回放；</w:t>
      </w:r>
    </w:p>
    <w:p w14:paraId="52EACF02">
      <w:pPr>
        <w:spacing w:line="360" w:lineRule="auto"/>
        <w:ind w:firstLine="420" w:firstLineChars="200"/>
        <w:rPr>
          <w:bCs/>
          <w:color w:val="auto"/>
          <w:highlight w:val="none"/>
        </w:rPr>
      </w:pPr>
      <w:r>
        <w:rPr>
          <w:rFonts w:hint="eastAsia"/>
          <w:bCs/>
          <w:color w:val="auto"/>
          <w:highlight w:val="none"/>
        </w:rPr>
        <w:t>支持同时最多4个录像进行回放，其中包括同一个摄像机的多录像文件同时回放，不同摄像机的多个录像统计回放；当进行多路回放时，可统一进行快进，慢放。</w:t>
      </w:r>
    </w:p>
    <w:p w14:paraId="421D522F">
      <w:pPr>
        <w:spacing w:line="360" w:lineRule="auto"/>
        <w:ind w:firstLine="420" w:firstLineChars="200"/>
        <w:rPr>
          <w:bCs/>
          <w:color w:val="auto"/>
          <w:szCs w:val="21"/>
          <w:highlight w:val="none"/>
        </w:rPr>
      </w:pPr>
      <w:r>
        <w:rPr>
          <w:rFonts w:hint="eastAsia"/>
          <w:bCs/>
          <w:color w:val="auto"/>
          <w:highlight w:val="none"/>
        </w:rPr>
        <w:t>支持在地图上选中摄像机进行录像回放</w:t>
      </w:r>
      <w:r>
        <w:rPr>
          <w:rFonts w:hint="eastAsia"/>
          <w:bCs/>
          <w:color w:val="auto"/>
          <w:szCs w:val="21"/>
          <w:highlight w:val="none"/>
        </w:rPr>
        <w:t>。</w:t>
      </w:r>
    </w:p>
    <w:p w14:paraId="12F45454">
      <w:pPr>
        <w:spacing w:line="360" w:lineRule="auto"/>
        <w:ind w:firstLine="420" w:firstLineChars="200"/>
        <w:rPr>
          <w:bCs/>
          <w:color w:val="auto"/>
          <w:highlight w:val="none"/>
        </w:rPr>
      </w:pPr>
      <w:r>
        <w:rPr>
          <w:rFonts w:hint="eastAsia"/>
          <w:bCs/>
          <w:color w:val="auto"/>
          <w:highlight w:val="none"/>
        </w:rPr>
        <w:t>3、录像下载</w:t>
      </w:r>
    </w:p>
    <w:p w14:paraId="11DF4B6C">
      <w:pPr>
        <w:spacing w:line="360" w:lineRule="auto"/>
        <w:ind w:firstLine="420" w:firstLineChars="200"/>
        <w:rPr>
          <w:bCs/>
          <w:color w:val="auto"/>
          <w:highlight w:val="none"/>
        </w:rPr>
      </w:pPr>
      <w:r>
        <w:rPr>
          <w:rFonts w:hint="eastAsia"/>
          <w:bCs/>
          <w:color w:val="auto"/>
          <w:highlight w:val="none"/>
        </w:rPr>
        <w:t>支持将录像下载到本地；</w:t>
      </w:r>
    </w:p>
    <w:p w14:paraId="449880DF">
      <w:pPr>
        <w:spacing w:line="360" w:lineRule="auto"/>
        <w:ind w:firstLine="420" w:firstLineChars="200"/>
        <w:rPr>
          <w:bCs/>
          <w:color w:val="auto"/>
          <w:highlight w:val="none"/>
        </w:rPr>
      </w:pPr>
      <w:r>
        <w:rPr>
          <w:rFonts w:hint="eastAsia"/>
          <w:bCs/>
          <w:color w:val="auto"/>
          <w:highlight w:val="none"/>
        </w:rPr>
        <w:t>支持录像的排队下载。</w:t>
      </w:r>
    </w:p>
    <w:p w14:paraId="6A3D1739">
      <w:pPr>
        <w:spacing w:line="360" w:lineRule="auto"/>
        <w:ind w:firstLine="420" w:firstLineChars="200"/>
        <w:rPr>
          <w:bCs/>
          <w:color w:val="auto"/>
          <w:highlight w:val="none"/>
        </w:rPr>
      </w:pPr>
      <w:r>
        <w:rPr>
          <w:rFonts w:hint="eastAsia"/>
          <w:bCs/>
          <w:color w:val="auto"/>
          <w:highlight w:val="none"/>
        </w:rPr>
        <w:t>4、录像联动</w:t>
      </w:r>
    </w:p>
    <w:p w14:paraId="447B3639">
      <w:pPr>
        <w:spacing w:line="360" w:lineRule="auto"/>
        <w:ind w:firstLine="420" w:firstLineChars="200"/>
        <w:rPr>
          <w:bCs/>
          <w:color w:val="auto"/>
          <w:highlight w:val="none"/>
        </w:rPr>
      </w:pPr>
      <w:r>
        <w:rPr>
          <w:rFonts w:hint="eastAsia"/>
          <w:bCs/>
          <w:color w:val="auto"/>
          <w:highlight w:val="none"/>
        </w:rPr>
        <w:t>支持对录像的联动，可由多种事件触发录像联动，包括报警，视频巡查抓拍，门禁刷卡等；</w:t>
      </w:r>
    </w:p>
    <w:p w14:paraId="0FBC2884">
      <w:pPr>
        <w:spacing w:line="360" w:lineRule="auto"/>
        <w:ind w:firstLine="420" w:firstLineChars="200"/>
        <w:rPr>
          <w:bCs/>
          <w:color w:val="auto"/>
          <w:szCs w:val="21"/>
          <w:highlight w:val="none"/>
        </w:rPr>
      </w:pPr>
      <w:r>
        <w:rPr>
          <w:rFonts w:hint="eastAsia"/>
          <w:bCs/>
          <w:color w:val="auto"/>
          <w:highlight w:val="none"/>
        </w:rPr>
        <w:t>支持对联动录像的时间设置，可根据报警时间的前后设置时间</w:t>
      </w:r>
      <w:r>
        <w:rPr>
          <w:rFonts w:hint="eastAsia"/>
          <w:bCs/>
          <w:color w:val="auto"/>
          <w:szCs w:val="21"/>
          <w:highlight w:val="none"/>
        </w:rPr>
        <w:t>。</w:t>
      </w:r>
    </w:p>
    <w:p w14:paraId="0CFDBDDB">
      <w:pPr>
        <w:spacing w:line="360" w:lineRule="auto"/>
        <w:ind w:firstLine="420" w:firstLineChars="200"/>
        <w:rPr>
          <w:bCs/>
          <w:color w:val="auto"/>
          <w:highlight w:val="none"/>
        </w:rPr>
      </w:pPr>
      <w:r>
        <w:rPr>
          <w:rFonts w:hint="eastAsia"/>
          <w:bCs/>
          <w:color w:val="auto"/>
          <w:highlight w:val="none"/>
        </w:rPr>
        <w:t>5、录像标注</w:t>
      </w:r>
    </w:p>
    <w:p w14:paraId="73C27176">
      <w:pPr>
        <w:spacing w:line="360" w:lineRule="auto"/>
        <w:ind w:firstLine="420" w:firstLineChars="200"/>
        <w:rPr>
          <w:bCs/>
          <w:color w:val="auto"/>
          <w:szCs w:val="21"/>
          <w:highlight w:val="none"/>
        </w:rPr>
      </w:pPr>
      <w:r>
        <w:rPr>
          <w:rFonts w:hint="eastAsia"/>
          <w:bCs/>
          <w:color w:val="auto"/>
          <w:highlight w:val="none"/>
        </w:rPr>
        <w:t>支持对事件录像进行标注，标注内容包括事件类型和描述。可通过标注的事件类型查询录像</w:t>
      </w:r>
      <w:r>
        <w:rPr>
          <w:rFonts w:hint="eastAsia"/>
          <w:bCs/>
          <w:color w:val="auto"/>
          <w:szCs w:val="21"/>
          <w:highlight w:val="none"/>
        </w:rPr>
        <w:t>。</w:t>
      </w:r>
    </w:p>
    <w:p w14:paraId="2B8E9071">
      <w:pPr>
        <w:pStyle w:val="12"/>
        <w:tabs>
          <w:tab w:val="left" w:pos="864"/>
        </w:tabs>
        <w:spacing w:line="360" w:lineRule="auto"/>
        <w:ind w:left="0" w:firstLine="420" w:firstLineChars="200"/>
        <w:rPr>
          <w:color w:val="auto"/>
          <w:highlight w:val="none"/>
        </w:rPr>
      </w:pPr>
      <w:r>
        <w:rPr>
          <w:rFonts w:hint="eastAsia"/>
          <w:color w:val="auto"/>
          <w:highlight w:val="none"/>
        </w:rPr>
        <w:t>大屏控制</w:t>
      </w:r>
    </w:p>
    <w:p w14:paraId="2637FB68">
      <w:pPr>
        <w:spacing w:line="360" w:lineRule="auto"/>
        <w:ind w:firstLine="420" w:firstLineChars="200"/>
        <w:rPr>
          <w:bCs/>
          <w:color w:val="auto"/>
          <w:highlight w:val="none"/>
        </w:rPr>
      </w:pPr>
      <w:r>
        <w:rPr>
          <w:rFonts w:hint="eastAsia"/>
          <w:bCs/>
          <w:color w:val="auto"/>
          <w:highlight w:val="none"/>
        </w:rPr>
        <w:t>1、大屏设置</w:t>
      </w:r>
    </w:p>
    <w:p w14:paraId="4D1E9F8C">
      <w:pPr>
        <w:spacing w:line="360" w:lineRule="auto"/>
        <w:ind w:firstLine="420" w:firstLineChars="200"/>
        <w:rPr>
          <w:bCs/>
          <w:color w:val="auto"/>
          <w:highlight w:val="none"/>
        </w:rPr>
      </w:pPr>
      <w:r>
        <w:rPr>
          <w:rFonts w:hint="eastAsia"/>
          <w:bCs/>
          <w:color w:val="auto"/>
          <w:highlight w:val="none"/>
        </w:rPr>
        <w:t>设置电视墙屏幕布局，配置解码器数量以及每个解码器分屏数。</w:t>
      </w:r>
    </w:p>
    <w:p w14:paraId="29D61531">
      <w:pPr>
        <w:spacing w:line="360" w:lineRule="auto"/>
        <w:ind w:firstLine="420" w:firstLineChars="200"/>
        <w:rPr>
          <w:bCs/>
          <w:color w:val="auto"/>
          <w:highlight w:val="none"/>
        </w:rPr>
      </w:pPr>
      <w:r>
        <w:rPr>
          <w:rFonts w:hint="eastAsia"/>
          <w:bCs/>
          <w:color w:val="auto"/>
          <w:highlight w:val="none"/>
        </w:rPr>
        <w:t>2、大屏方案</w:t>
      </w:r>
    </w:p>
    <w:p w14:paraId="6D77BD89">
      <w:pPr>
        <w:spacing w:line="360" w:lineRule="auto"/>
        <w:ind w:firstLine="420" w:firstLineChars="200"/>
        <w:rPr>
          <w:bCs/>
          <w:color w:val="auto"/>
          <w:highlight w:val="none"/>
        </w:rPr>
      </w:pPr>
      <w:r>
        <w:rPr>
          <w:rFonts w:hint="eastAsia"/>
          <w:bCs/>
          <w:color w:val="auto"/>
          <w:highlight w:val="none"/>
        </w:rPr>
        <w:t>支持针对整个大屏设置大屏方案，对于每个屏幕可单点播图像，单轮播图像以及组轮播图像；</w:t>
      </w:r>
    </w:p>
    <w:p w14:paraId="2C59510B">
      <w:pPr>
        <w:spacing w:line="360" w:lineRule="auto"/>
        <w:ind w:firstLine="420" w:firstLineChars="200"/>
        <w:rPr>
          <w:bCs/>
          <w:color w:val="auto"/>
          <w:szCs w:val="21"/>
          <w:highlight w:val="none"/>
        </w:rPr>
      </w:pPr>
      <w:r>
        <w:rPr>
          <w:rFonts w:hint="eastAsia"/>
          <w:bCs/>
          <w:color w:val="auto"/>
          <w:highlight w:val="none"/>
        </w:rPr>
        <w:t>支持大屏方案的定时自动切换，可设置大屏切换计划</w:t>
      </w:r>
      <w:r>
        <w:rPr>
          <w:rFonts w:hint="eastAsia"/>
          <w:bCs/>
          <w:color w:val="auto"/>
          <w:szCs w:val="21"/>
          <w:highlight w:val="none"/>
        </w:rPr>
        <w:t>；</w:t>
      </w:r>
    </w:p>
    <w:p w14:paraId="2A0933ED">
      <w:pPr>
        <w:spacing w:line="360" w:lineRule="auto"/>
        <w:ind w:firstLine="420" w:firstLineChars="200"/>
        <w:rPr>
          <w:bCs/>
          <w:color w:val="auto"/>
          <w:highlight w:val="none"/>
        </w:rPr>
      </w:pPr>
      <w:r>
        <w:rPr>
          <w:rFonts w:hint="eastAsia"/>
          <w:bCs/>
          <w:color w:val="auto"/>
          <w:highlight w:val="none"/>
        </w:rPr>
        <w:t>大屏方案可进行分组并能调整显示顺序。</w:t>
      </w:r>
    </w:p>
    <w:p w14:paraId="55F590AF">
      <w:pPr>
        <w:spacing w:line="360" w:lineRule="auto"/>
        <w:ind w:firstLine="420" w:firstLineChars="200"/>
        <w:rPr>
          <w:bCs/>
          <w:color w:val="auto"/>
          <w:highlight w:val="none"/>
        </w:rPr>
      </w:pPr>
      <w:r>
        <w:rPr>
          <w:rFonts w:hint="eastAsia"/>
          <w:bCs/>
          <w:color w:val="auto"/>
          <w:highlight w:val="none"/>
        </w:rPr>
        <w:t>3、拼接方案</w:t>
      </w:r>
    </w:p>
    <w:p w14:paraId="6B3D30E0">
      <w:pPr>
        <w:spacing w:line="360" w:lineRule="auto"/>
        <w:ind w:firstLine="420" w:firstLineChars="200"/>
        <w:rPr>
          <w:bCs/>
          <w:color w:val="auto"/>
          <w:highlight w:val="none"/>
        </w:rPr>
      </w:pPr>
      <w:r>
        <w:rPr>
          <w:rFonts w:hint="eastAsia"/>
          <w:bCs/>
          <w:color w:val="auto"/>
          <w:highlight w:val="none"/>
        </w:rPr>
        <w:t>支持执行拼接方案却换大屏布局，切换后平台大屏显示布局保持和电视墙布局一致。</w:t>
      </w:r>
    </w:p>
    <w:p w14:paraId="02488677">
      <w:pPr>
        <w:spacing w:line="360" w:lineRule="auto"/>
        <w:ind w:firstLine="420" w:firstLineChars="200"/>
        <w:rPr>
          <w:bCs/>
          <w:color w:val="auto"/>
          <w:highlight w:val="none"/>
        </w:rPr>
      </w:pPr>
      <w:r>
        <w:rPr>
          <w:rFonts w:hint="eastAsia"/>
          <w:bCs/>
          <w:color w:val="auto"/>
          <w:highlight w:val="none"/>
        </w:rPr>
        <w:t>4、轮播方案</w:t>
      </w:r>
    </w:p>
    <w:p w14:paraId="0B9805D8">
      <w:pPr>
        <w:spacing w:line="360" w:lineRule="auto"/>
        <w:ind w:firstLine="420" w:firstLineChars="200"/>
        <w:rPr>
          <w:bCs/>
          <w:color w:val="auto"/>
          <w:highlight w:val="none"/>
        </w:rPr>
      </w:pPr>
      <w:r>
        <w:rPr>
          <w:rFonts w:hint="eastAsia"/>
          <w:bCs/>
          <w:color w:val="auto"/>
          <w:highlight w:val="none"/>
        </w:rPr>
        <w:t>支持设置轮播方案，包括单轮播方案和组轮播方案；</w:t>
      </w:r>
    </w:p>
    <w:p w14:paraId="534BA573">
      <w:pPr>
        <w:spacing w:line="360" w:lineRule="auto"/>
        <w:ind w:firstLine="420" w:firstLineChars="200"/>
        <w:rPr>
          <w:bCs/>
          <w:color w:val="auto"/>
          <w:highlight w:val="none"/>
        </w:rPr>
      </w:pPr>
      <w:r>
        <w:rPr>
          <w:rFonts w:hint="eastAsia"/>
          <w:bCs/>
          <w:color w:val="auto"/>
          <w:highlight w:val="none"/>
        </w:rPr>
        <w:t>支持一键执行轮播方案到大屏；</w:t>
      </w:r>
    </w:p>
    <w:p w14:paraId="4B86F7D0">
      <w:pPr>
        <w:spacing w:line="360" w:lineRule="auto"/>
        <w:ind w:firstLine="420" w:firstLineChars="200"/>
        <w:rPr>
          <w:bCs/>
          <w:color w:val="auto"/>
          <w:highlight w:val="none"/>
        </w:rPr>
      </w:pPr>
      <w:r>
        <w:rPr>
          <w:rFonts w:hint="eastAsia"/>
          <w:bCs/>
          <w:color w:val="auto"/>
          <w:highlight w:val="none"/>
        </w:rPr>
        <w:t>轮播方案可进行分组并能调整显示顺序。</w:t>
      </w:r>
    </w:p>
    <w:p w14:paraId="5C4B1754">
      <w:pPr>
        <w:pStyle w:val="12"/>
        <w:tabs>
          <w:tab w:val="left" w:pos="864"/>
        </w:tabs>
        <w:spacing w:line="360" w:lineRule="auto"/>
        <w:ind w:left="0" w:firstLine="420" w:firstLineChars="200"/>
        <w:rPr>
          <w:color w:val="auto"/>
          <w:highlight w:val="none"/>
        </w:rPr>
      </w:pPr>
      <w:r>
        <w:rPr>
          <w:rFonts w:hint="eastAsia"/>
          <w:color w:val="auto"/>
          <w:highlight w:val="none"/>
        </w:rPr>
        <w:t>广播控制</w:t>
      </w:r>
    </w:p>
    <w:p w14:paraId="08AC128D">
      <w:pPr>
        <w:spacing w:line="360" w:lineRule="auto"/>
        <w:ind w:firstLine="420" w:firstLineChars="200"/>
        <w:rPr>
          <w:bCs/>
          <w:color w:val="auto"/>
          <w:highlight w:val="none"/>
        </w:rPr>
      </w:pPr>
      <w:r>
        <w:rPr>
          <w:rFonts w:hint="eastAsia"/>
          <w:bCs/>
          <w:color w:val="auto"/>
          <w:highlight w:val="none"/>
        </w:rPr>
        <w:t>支持在地图上展示周界广播的所有分区设备；</w:t>
      </w:r>
    </w:p>
    <w:p w14:paraId="66754E2E">
      <w:pPr>
        <w:spacing w:line="360" w:lineRule="auto"/>
        <w:ind w:firstLine="420" w:firstLineChars="200"/>
        <w:rPr>
          <w:bCs/>
          <w:color w:val="auto"/>
          <w:highlight w:val="none"/>
        </w:rPr>
      </w:pPr>
      <w:r>
        <w:rPr>
          <w:rFonts w:hint="eastAsia"/>
          <w:bCs/>
          <w:color w:val="auto"/>
          <w:highlight w:val="none"/>
        </w:rPr>
        <w:t>实现在地图上设置进行全区广播，分区广播，分区寻呼，定时广播，消防广播，喊话广播和紧急强插；</w:t>
      </w:r>
    </w:p>
    <w:p w14:paraId="068AFB19">
      <w:pPr>
        <w:spacing w:line="360" w:lineRule="auto"/>
        <w:ind w:firstLine="420" w:firstLineChars="200"/>
        <w:rPr>
          <w:bCs/>
          <w:color w:val="auto"/>
          <w:szCs w:val="21"/>
          <w:highlight w:val="none"/>
        </w:rPr>
      </w:pPr>
      <w:r>
        <w:rPr>
          <w:rFonts w:hint="eastAsia"/>
          <w:bCs/>
          <w:color w:val="auto"/>
          <w:highlight w:val="none"/>
        </w:rPr>
        <w:t>支持当发生报警时对广播分区的联动声音</w:t>
      </w:r>
      <w:r>
        <w:rPr>
          <w:rFonts w:hint="eastAsia"/>
          <w:bCs/>
          <w:color w:val="auto"/>
          <w:szCs w:val="21"/>
          <w:highlight w:val="none"/>
        </w:rPr>
        <w:t>。</w:t>
      </w:r>
    </w:p>
    <w:p w14:paraId="2BB775B4">
      <w:pPr>
        <w:pStyle w:val="12"/>
        <w:tabs>
          <w:tab w:val="left" w:pos="864"/>
        </w:tabs>
        <w:spacing w:line="360" w:lineRule="auto"/>
        <w:ind w:left="0" w:firstLine="420" w:firstLineChars="200"/>
        <w:rPr>
          <w:color w:val="auto"/>
          <w:highlight w:val="none"/>
        </w:rPr>
      </w:pPr>
      <w:r>
        <w:rPr>
          <w:rFonts w:hint="eastAsia"/>
          <w:color w:val="auto"/>
          <w:highlight w:val="none"/>
        </w:rPr>
        <w:t>监听对讲</w:t>
      </w:r>
    </w:p>
    <w:p w14:paraId="060906B7">
      <w:pPr>
        <w:spacing w:line="360" w:lineRule="auto"/>
        <w:ind w:firstLine="420" w:firstLineChars="200"/>
        <w:rPr>
          <w:bCs/>
          <w:color w:val="auto"/>
          <w:highlight w:val="none"/>
        </w:rPr>
      </w:pPr>
      <w:r>
        <w:rPr>
          <w:rFonts w:hint="eastAsia"/>
          <w:bCs/>
          <w:color w:val="auto"/>
          <w:highlight w:val="none"/>
        </w:rPr>
        <w:t>1、分级管理</w:t>
      </w:r>
    </w:p>
    <w:p w14:paraId="551DBC9A">
      <w:pPr>
        <w:spacing w:line="360" w:lineRule="auto"/>
        <w:ind w:firstLine="420" w:firstLineChars="200"/>
        <w:rPr>
          <w:bCs/>
          <w:color w:val="auto"/>
          <w:highlight w:val="none"/>
        </w:rPr>
      </w:pPr>
      <w:r>
        <w:rPr>
          <w:rFonts w:hint="eastAsia"/>
          <w:bCs/>
          <w:color w:val="auto"/>
          <w:highlight w:val="none"/>
        </w:rPr>
        <w:t>根据区域智能展示可管理的对讲设备。</w:t>
      </w:r>
    </w:p>
    <w:p w14:paraId="5129A948">
      <w:pPr>
        <w:spacing w:line="360" w:lineRule="auto"/>
        <w:ind w:firstLine="420" w:firstLineChars="200"/>
        <w:rPr>
          <w:bCs/>
          <w:color w:val="auto"/>
          <w:highlight w:val="none"/>
        </w:rPr>
      </w:pPr>
      <w:r>
        <w:rPr>
          <w:rFonts w:hint="eastAsia"/>
          <w:bCs/>
          <w:color w:val="auto"/>
          <w:highlight w:val="none"/>
        </w:rPr>
        <w:t>2、对讲控制</w:t>
      </w:r>
    </w:p>
    <w:p w14:paraId="3FD380E3">
      <w:pPr>
        <w:spacing w:line="360" w:lineRule="auto"/>
        <w:ind w:firstLine="420" w:firstLineChars="200"/>
        <w:rPr>
          <w:bCs/>
          <w:color w:val="auto"/>
          <w:highlight w:val="none"/>
        </w:rPr>
      </w:pPr>
      <w:r>
        <w:rPr>
          <w:rFonts w:hint="eastAsia"/>
          <w:bCs/>
          <w:color w:val="auto"/>
          <w:highlight w:val="none"/>
        </w:rPr>
        <w:t>支持呼叫和挂断控制功能。</w:t>
      </w:r>
    </w:p>
    <w:p w14:paraId="31E2A67F">
      <w:pPr>
        <w:spacing w:line="360" w:lineRule="auto"/>
        <w:ind w:firstLine="420" w:firstLineChars="200"/>
        <w:rPr>
          <w:bCs/>
          <w:color w:val="auto"/>
          <w:highlight w:val="none"/>
        </w:rPr>
      </w:pPr>
      <w:r>
        <w:rPr>
          <w:rFonts w:hint="eastAsia"/>
          <w:bCs/>
          <w:color w:val="auto"/>
          <w:highlight w:val="none"/>
        </w:rPr>
        <w:t>3、对讲联动</w:t>
      </w:r>
    </w:p>
    <w:p w14:paraId="76128BAE">
      <w:pPr>
        <w:spacing w:line="360" w:lineRule="auto"/>
        <w:ind w:firstLine="420" w:firstLineChars="200"/>
        <w:rPr>
          <w:bCs/>
          <w:color w:val="auto"/>
          <w:highlight w:val="none"/>
        </w:rPr>
      </w:pPr>
      <w:r>
        <w:rPr>
          <w:rFonts w:hint="eastAsia"/>
          <w:bCs/>
          <w:color w:val="auto"/>
          <w:highlight w:val="none"/>
        </w:rPr>
        <w:t>呼叫方联动被呼叫方的视频图像和值班警察信息，被呼叫方联动呼叫方的视频图像和值班警察信息。</w:t>
      </w:r>
    </w:p>
    <w:p w14:paraId="62435715">
      <w:pPr>
        <w:spacing w:line="360" w:lineRule="auto"/>
        <w:ind w:firstLine="420" w:firstLineChars="200"/>
        <w:rPr>
          <w:bCs/>
          <w:color w:val="auto"/>
          <w:highlight w:val="none"/>
        </w:rPr>
      </w:pPr>
      <w:r>
        <w:rPr>
          <w:rFonts w:hint="eastAsia"/>
          <w:bCs/>
          <w:color w:val="auto"/>
          <w:highlight w:val="none"/>
        </w:rPr>
        <w:t>4、对讲记录查询</w:t>
      </w:r>
    </w:p>
    <w:p w14:paraId="40E6D11D">
      <w:pPr>
        <w:spacing w:line="360" w:lineRule="auto"/>
        <w:ind w:firstLine="420" w:firstLineChars="200"/>
        <w:rPr>
          <w:bCs/>
          <w:color w:val="auto"/>
          <w:highlight w:val="none"/>
        </w:rPr>
      </w:pPr>
      <w:r>
        <w:rPr>
          <w:rFonts w:hint="eastAsia"/>
          <w:bCs/>
          <w:color w:val="auto"/>
          <w:highlight w:val="none"/>
        </w:rPr>
        <w:t>可在平台上查询所有对讲控制操作记录，保护呼叫方，被呼叫方，控制类型，控制时间。</w:t>
      </w:r>
    </w:p>
    <w:p w14:paraId="7AF2C10B">
      <w:pPr>
        <w:pStyle w:val="12"/>
        <w:tabs>
          <w:tab w:val="left" w:pos="864"/>
        </w:tabs>
        <w:spacing w:line="360" w:lineRule="auto"/>
        <w:ind w:left="0" w:firstLine="420" w:firstLineChars="200"/>
        <w:rPr>
          <w:color w:val="auto"/>
          <w:highlight w:val="none"/>
        </w:rPr>
      </w:pPr>
      <w:r>
        <w:rPr>
          <w:rFonts w:hint="eastAsia"/>
          <w:color w:val="auto"/>
          <w:highlight w:val="none"/>
        </w:rPr>
        <w:t>出入口控制</w:t>
      </w:r>
    </w:p>
    <w:p w14:paraId="4C30ABFC">
      <w:pPr>
        <w:spacing w:line="360" w:lineRule="auto"/>
        <w:ind w:firstLine="420" w:firstLineChars="200"/>
        <w:rPr>
          <w:bCs/>
          <w:color w:val="auto"/>
          <w:highlight w:val="none"/>
        </w:rPr>
      </w:pPr>
      <w:r>
        <w:rPr>
          <w:rFonts w:hint="eastAsia"/>
          <w:bCs/>
          <w:color w:val="auto"/>
          <w:highlight w:val="none"/>
        </w:rPr>
        <w:t>1、分级管理</w:t>
      </w:r>
    </w:p>
    <w:p w14:paraId="5CC0BB58">
      <w:pPr>
        <w:spacing w:line="360" w:lineRule="auto"/>
        <w:ind w:firstLine="420" w:firstLineChars="200"/>
        <w:rPr>
          <w:bCs/>
          <w:color w:val="auto"/>
          <w:highlight w:val="none"/>
        </w:rPr>
      </w:pPr>
      <w:r>
        <w:rPr>
          <w:rFonts w:hint="eastAsia"/>
          <w:bCs/>
          <w:color w:val="auto"/>
          <w:highlight w:val="none"/>
        </w:rPr>
        <w:t>根据区域智能展示可管理的门禁设备，指挥中心的控制权限为最高级，如指挥中心一键戒严后，联勤值班室无法一键恢复。</w:t>
      </w:r>
    </w:p>
    <w:p w14:paraId="54FB534B">
      <w:pPr>
        <w:spacing w:line="360" w:lineRule="auto"/>
        <w:ind w:firstLine="420" w:firstLineChars="200"/>
        <w:rPr>
          <w:bCs/>
          <w:color w:val="auto"/>
          <w:highlight w:val="none"/>
        </w:rPr>
      </w:pPr>
      <w:r>
        <w:rPr>
          <w:rFonts w:hint="eastAsia"/>
          <w:bCs/>
          <w:color w:val="auto"/>
          <w:highlight w:val="none"/>
        </w:rPr>
        <w:t>2、门禁控制</w:t>
      </w:r>
    </w:p>
    <w:p w14:paraId="15DCEFBF">
      <w:pPr>
        <w:spacing w:line="360" w:lineRule="auto"/>
        <w:ind w:firstLine="420" w:firstLineChars="200"/>
        <w:rPr>
          <w:bCs/>
          <w:color w:val="auto"/>
          <w:highlight w:val="none"/>
        </w:rPr>
      </w:pPr>
      <w:r>
        <w:rPr>
          <w:rFonts w:hint="eastAsia"/>
          <w:bCs/>
          <w:color w:val="auto"/>
          <w:highlight w:val="none"/>
        </w:rPr>
        <w:t>支持对门禁进行开门，戒严，常开，恢复，一键戒严，一键恢复操作。</w:t>
      </w:r>
    </w:p>
    <w:p w14:paraId="5FF0EAE8">
      <w:pPr>
        <w:spacing w:line="360" w:lineRule="auto"/>
        <w:ind w:firstLine="420" w:firstLineChars="200"/>
        <w:rPr>
          <w:bCs/>
          <w:color w:val="auto"/>
          <w:highlight w:val="none"/>
        </w:rPr>
      </w:pPr>
      <w:r>
        <w:rPr>
          <w:rFonts w:hint="eastAsia"/>
          <w:bCs/>
          <w:color w:val="auto"/>
          <w:highlight w:val="none"/>
        </w:rPr>
        <w:t>3、实时状态</w:t>
      </w:r>
    </w:p>
    <w:p w14:paraId="547F134D">
      <w:pPr>
        <w:spacing w:line="360" w:lineRule="auto"/>
        <w:ind w:firstLine="420" w:firstLineChars="200"/>
        <w:rPr>
          <w:bCs/>
          <w:color w:val="auto"/>
          <w:highlight w:val="none"/>
        </w:rPr>
      </w:pPr>
      <w:r>
        <w:rPr>
          <w:rFonts w:hint="eastAsia"/>
          <w:bCs/>
          <w:color w:val="auto"/>
          <w:highlight w:val="none"/>
        </w:rPr>
        <w:t>实时显示门禁的开关门状态。</w:t>
      </w:r>
    </w:p>
    <w:p w14:paraId="710B5C8D">
      <w:pPr>
        <w:spacing w:line="360" w:lineRule="auto"/>
        <w:ind w:firstLine="420" w:firstLineChars="200"/>
        <w:rPr>
          <w:bCs/>
          <w:color w:val="auto"/>
          <w:highlight w:val="none"/>
        </w:rPr>
      </w:pPr>
      <w:r>
        <w:rPr>
          <w:rFonts w:hint="eastAsia"/>
          <w:bCs/>
          <w:color w:val="auto"/>
          <w:highlight w:val="none"/>
        </w:rPr>
        <w:t>4、门禁联动</w:t>
      </w:r>
    </w:p>
    <w:p w14:paraId="430FB575">
      <w:pPr>
        <w:spacing w:line="360" w:lineRule="auto"/>
        <w:ind w:firstLine="420" w:firstLineChars="200"/>
        <w:rPr>
          <w:bCs/>
          <w:color w:val="auto"/>
          <w:highlight w:val="none"/>
        </w:rPr>
      </w:pPr>
      <w:r>
        <w:rPr>
          <w:rFonts w:hint="eastAsia"/>
          <w:bCs/>
          <w:color w:val="auto"/>
          <w:highlight w:val="none"/>
        </w:rPr>
        <w:t>当门禁开门时，联动视频图像和图片抓拍，以及展示刷卡开门人员信息。</w:t>
      </w:r>
    </w:p>
    <w:p w14:paraId="736A4906">
      <w:pPr>
        <w:spacing w:line="360" w:lineRule="auto"/>
        <w:ind w:firstLine="420" w:firstLineChars="200"/>
        <w:rPr>
          <w:bCs/>
          <w:color w:val="auto"/>
          <w:highlight w:val="none"/>
        </w:rPr>
      </w:pPr>
      <w:r>
        <w:rPr>
          <w:rFonts w:hint="eastAsia"/>
          <w:bCs/>
          <w:color w:val="auto"/>
          <w:highlight w:val="none"/>
        </w:rPr>
        <w:t>5、进出记录</w:t>
      </w:r>
    </w:p>
    <w:p w14:paraId="47E498F8">
      <w:pPr>
        <w:spacing w:line="360" w:lineRule="auto"/>
        <w:ind w:firstLine="420" w:firstLineChars="200"/>
        <w:rPr>
          <w:bCs/>
          <w:color w:val="auto"/>
          <w:highlight w:val="none"/>
        </w:rPr>
      </w:pPr>
      <w:r>
        <w:rPr>
          <w:rFonts w:hint="eastAsia"/>
          <w:bCs/>
          <w:color w:val="auto"/>
          <w:highlight w:val="none"/>
        </w:rPr>
        <w:t>可查看门禁设备的记录进出刷卡记录，如有联动抓拍照片需显示抓拍照片。</w:t>
      </w:r>
    </w:p>
    <w:p w14:paraId="5A9FC98B">
      <w:pPr>
        <w:spacing w:line="360" w:lineRule="auto"/>
        <w:ind w:firstLine="420" w:firstLineChars="200"/>
        <w:rPr>
          <w:bCs/>
          <w:color w:val="auto"/>
          <w:highlight w:val="none"/>
        </w:rPr>
      </w:pPr>
      <w:r>
        <w:rPr>
          <w:rFonts w:hint="eastAsia"/>
          <w:bCs/>
          <w:color w:val="auto"/>
          <w:highlight w:val="none"/>
        </w:rPr>
        <w:t>6、进出统计</w:t>
      </w:r>
    </w:p>
    <w:p w14:paraId="0BE1CC3B">
      <w:pPr>
        <w:spacing w:line="360" w:lineRule="auto"/>
        <w:ind w:firstLine="420" w:firstLineChars="200"/>
        <w:rPr>
          <w:bCs/>
          <w:color w:val="auto"/>
          <w:highlight w:val="none"/>
        </w:rPr>
      </w:pPr>
      <w:r>
        <w:rPr>
          <w:rFonts w:hint="eastAsia"/>
          <w:bCs/>
          <w:color w:val="auto"/>
          <w:highlight w:val="none"/>
        </w:rPr>
        <w:t>统计本区域内的实时人员数量。包括警察，外来人员和外来车辆。</w:t>
      </w:r>
    </w:p>
    <w:p w14:paraId="1F3CF9BC">
      <w:pPr>
        <w:spacing w:line="360" w:lineRule="auto"/>
        <w:ind w:firstLine="420" w:firstLineChars="200"/>
        <w:rPr>
          <w:bCs/>
          <w:color w:val="auto"/>
          <w:highlight w:val="none"/>
        </w:rPr>
      </w:pPr>
      <w:r>
        <w:rPr>
          <w:rFonts w:hint="eastAsia"/>
          <w:bCs/>
          <w:color w:val="auto"/>
          <w:highlight w:val="none"/>
        </w:rPr>
        <w:t>7、虚拟换证</w:t>
      </w:r>
    </w:p>
    <w:p w14:paraId="17249E5A">
      <w:pPr>
        <w:spacing w:line="360" w:lineRule="auto"/>
        <w:ind w:firstLine="420" w:firstLineChars="200"/>
        <w:rPr>
          <w:bCs/>
          <w:color w:val="auto"/>
          <w:highlight w:val="none"/>
        </w:rPr>
      </w:pPr>
      <w:r>
        <w:rPr>
          <w:rFonts w:hint="eastAsia"/>
          <w:bCs/>
          <w:color w:val="auto"/>
          <w:highlight w:val="none"/>
        </w:rPr>
        <w:t>警察进入或外出前必须进行虚拟换卡操作，系统支持手动和自动换卡，警察刷卡换卡时，系统可结合电子地图在对应区域显示换卡警察信息（包含姓名、部门、照片等），并伴有声音提示。</w:t>
      </w:r>
    </w:p>
    <w:p w14:paraId="269B7AAD">
      <w:pPr>
        <w:spacing w:line="360" w:lineRule="auto"/>
        <w:ind w:firstLine="420" w:firstLineChars="200"/>
        <w:rPr>
          <w:bCs/>
          <w:color w:val="auto"/>
          <w:highlight w:val="none"/>
        </w:rPr>
      </w:pPr>
      <w:r>
        <w:rPr>
          <w:rFonts w:hint="eastAsia"/>
          <w:bCs/>
          <w:color w:val="auto"/>
          <w:highlight w:val="none"/>
        </w:rPr>
        <w:t>8、外来人员车辆登记</w:t>
      </w:r>
    </w:p>
    <w:p w14:paraId="0F6C8927">
      <w:pPr>
        <w:spacing w:line="360" w:lineRule="auto"/>
        <w:ind w:firstLine="420" w:firstLineChars="200"/>
        <w:rPr>
          <w:bCs/>
          <w:color w:val="auto"/>
          <w:highlight w:val="none"/>
        </w:rPr>
      </w:pPr>
      <w:r>
        <w:rPr>
          <w:rFonts w:hint="eastAsia"/>
          <w:bCs/>
          <w:color w:val="auto"/>
          <w:highlight w:val="none"/>
        </w:rPr>
        <w:t>外来人员进入监狱前需要通过平台进行信息登记，登记信息包含人员基本信息、负责部门、人员身份证信息、人脸抓拍照片、带入警察、目标单位、事由。</w:t>
      </w:r>
    </w:p>
    <w:p w14:paraId="0BB36563">
      <w:pPr>
        <w:spacing w:line="360" w:lineRule="auto"/>
        <w:ind w:firstLine="420" w:firstLineChars="200"/>
        <w:rPr>
          <w:bCs/>
          <w:color w:val="auto"/>
          <w:highlight w:val="none"/>
        </w:rPr>
      </w:pPr>
      <w:r>
        <w:rPr>
          <w:rFonts w:hint="eastAsia"/>
          <w:bCs/>
          <w:color w:val="auto"/>
          <w:highlight w:val="none"/>
        </w:rPr>
        <w:t>实现对接公安车辆管理系统和人口信息系统，获取车辆和驾驶人的准确信息。</w:t>
      </w:r>
    </w:p>
    <w:p w14:paraId="01CD747C">
      <w:pPr>
        <w:spacing w:line="360" w:lineRule="auto"/>
        <w:ind w:firstLine="420" w:firstLineChars="200"/>
        <w:rPr>
          <w:bCs/>
          <w:color w:val="auto"/>
          <w:highlight w:val="none"/>
        </w:rPr>
      </w:pPr>
      <w:r>
        <w:rPr>
          <w:rFonts w:hint="eastAsia"/>
          <w:bCs/>
          <w:color w:val="auto"/>
          <w:highlight w:val="none"/>
        </w:rPr>
        <w:t>9、外来人员车辆图像对比</w:t>
      </w:r>
    </w:p>
    <w:p w14:paraId="08077ACE">
      <w:pPr>
        <w:spacing w:line="360" w:lineRule="auto"/>
        <w:ind w:firstLine="420" w:firstLineChars="200"/>
        <w:rPr>
          <w:bCs/>
          <w:color w:val="auto"/>
          <w:highlight w:val="none"/>
        </w:rPr>
      </w:pPr>
      <w:r>
        <w:rPr>
          <w:rFonts w:hint="eastAsia"/>
          <w:bCs/>
          <w:color w:val="auto"/>
          <w:highlight w:val="none"/>
        </w:rPr>
        <w:t>在大门通道通过视频智能分析针对外来人员进行人脸识别自动抓拍进行外来人员的图像对比。针对外来车辆可通过车底扫描照片进行图像对比。</w:t>
      </w:r>
    </w:p>
    <w:p w14:paraId="286049D4">
      <w:pPr>
        <w:pStyle w:val="12"/>
        <w:tabs>
          <w:tab w:val="left" w:pos="864"/>
        </w:tabs>
        <w:spacing w:line="360" w:lineRule="auto"/>
        <w:ind w:left="0" w:firstLine="420" w:firstLineChars="200"/>
        <w:rPr>
          <w:color w:val="auto"/>
          <w:highlight w:val="none"/>
        </w:rPr>
      </w:pPr>
      <w:r>
        <w:rPr>
          <w:rFonts w:hint="eastAsia"/>
          <w:color w:val="auto"/>
          <w:highlight w:val="none"/>
        </w:rPr>
        <w:t>安检管理</w:t>
      </w:r>
    </w:p>
    <w:p w14:paraId="62B4736E">
      <w:pPr>
        <w:spacing w:line="360" w:lineRule="auto"/>
        <w:ind w:firstLine="420" w:firstLineChars="200"/>
        <w:rPr>
          <w:bCs/>
          <w:color w:val="auto"/>
          <w:highlight w:val="none"/>
        </w:rPr>
      </w:pPr>
      <w:r>
        <w:rPr>
          <w:rFonts w:hint="eastAsia"/>
          <w:bCs/>
          <w:color w:val="auto"/>
          <w:highlight w:val="none"/>
        </w:rPr>
        <w:t>支持采集生命探测设备，车底成像设备的报警信息；可联动控制声光报警装置；系统可查询车底成像设备的生成的车底照片。</w:t>
      </w:r>
    </w:p>
    <w:p w14:paraId="3CCB02DE">
      <w:pPr>
        <w:pStyle w:val="12"/>
        <w:tabs>
          <w:tab w:val="left" w:pos="864"/>
        </w:tabs>
        <w:spacing w:line="360" w:lineRule="auto"/>
        <w:ind w:left="0" w:firstLine="420" w:firstLineChars="200"/>
        <w:rPr>
          <w:color w:val="auto"/>
          <w:highlight w:val="none"/>
        </w:rPr>
      </w:pPr>
      <w:r>
        <w:rPr>
          <w:rFonts w:hint="eastAsia"/>
          <w:color w:val="auto"/>
          <w:highlight w:val="none"/>
        </w:rPr>
        <w:t>报警管理</w:t>
      </w:r>
    </w:p>
    <w:p w14:paraId="718512E9">
      <w:pPr>
        <w:spacing w:line="360" w:lineRule="auto"/>
        <w:ind w:firstLine="420" w:firstLineChars="200"/>
        <w:rPr>
          <w:bCs/>
          <w:color w:val="auto"/>
          <w:highlight w:val="none"/>
        </w:rPr>
      </w:pPr>
      <w:r>
        <w:rPr>
          <w:rFonts w:hint="eastAsia"/>
          <w:bCs/>
          <w:color w:val="auto"/>
          <w:highlight w:val="none"/>
        </w:rPr>
        <w:t>1、报警采集</w:t>
      </w:r>
    </w:p>
    <w:p w14:paraId="5A0E64F6">
      <w:pPr>
        <w:spacing w:line="360" w:lineRule="auto"/>
        <w:ind w:firstLine="420" w:firstLineChars="200"/>
        <w:rPr>
          <w:bCs/>
          <w:color w:val="auto"/>
          <w:highlight w:val="none"/>
        </w:rPr>
      </w:pPr>
      <w:r>
        <w:rPr>
          <w:rFonts w:hint="eastAsia"/>
          <w:bCs/>
          <w:color w:val="auto"/>
          <w:highlight w:val="none"/>
        </w:rPr>
        <w:t>平台通过系统集成可实时接收和处理平台管理集成范围内发生的各类报警信号，包括高压电网报警、微振动报警，紧急报警，视频智能分析报警。</w:t>
      </w:r>
    </w:p>
    <w:p w14:paraId="48F4883A">
      <w:pPr>
        <w:spacing w:line="360" w:lineRule="auto"/>
        <w:ind w:firstLine="420" w:firstLineChars="200"/>
        <w:rPr>
          <w:bCs/>
          <w:color w:val="auto"/>
          <w:highlight w:val="none"/>
        </w:rPr>
      </w:pPr>
      <w:r>
        <w:rPr>
          <w:rFonts w:hint="eastAsia"/>
          <w:bCs/>
          <w:color w:val="auto"/>
          <w:highlight w:val="none"/>
        </w:rPr>
        <w:t>2、智能布控</w:t>
      </w:r>
    </w:p>
    <w:p w14:paraId="18D38776">
      <w:pPr>
        <w:spacing w:line="360" w:lineRule="auto"/>
        <w:ind w:firstLine="420" w:firstLineChars="200"/>
        <w:rPr>
          <w:bCs/>
          <w:color w:val="auto"/>
          <w:highlight w:val="none"/>
        </w:rPr>
      </w:pPr>
      <w:r>
        <w:rPr>
          <w:rFonts w:hint="eastAsia"/>
          <w:bCs/>
          <w:color w:val="auto"/>
          <w:highlight w:val="none"/>
        </w:rPr>
        <w:t>平台通过系统集成可实时对微波对射、微振动传感器等进行布撤防，支持通过时间段进行自动布撤防。</w:t>
      </w:r>
    </w:p>
    <w:p w14:paraId="5E0823F4">
      <w:pPr>
        <w:spacing w:line="360" w:lineRule="auto"/>
        <w:ind w:firstLine="420" w:firstLineChars="200"/>
        <w:rPr>
          <w:bCs/>
          <w:color w:val="auto"/>
          <w:highlight w:val="none"/>
        </w:rPr>
      </w:pPr>
      <w:r>
        <w:rPr>
          <w:rFonts w:hint="eastAsia"/>
          <w:bCs/>
          <w:color w:val="auto"/>
          <w:highlight w:val="none"/>
        </w:rPr>
        <w:t>3、报警级别</w:t>
      </w:r>
    </w:p>
    <w:p w14:paraId="044E79CC">
      <w:pPr>
        <w:spacing w:line="360" w:lineRule="auto"/>
        <w:ind w:firstLine="420" w:firstLineChars="200"/>
        <w:rPr>
          <w:bCs/>
          <w:color w:val="auto"/>
          <w:highlight w:val="none"/>
        </w:rPr>
      </w:pPr>
      <w:r>
        <w:rPr>
          <w:rFonts w:hint="eastAsia"/>
          <w:bCs/>
          <w:color w:val="auto"/>
          <w:highlight w:val="none"/>
        </w:rPr>
        <w:t>支持报警级别定义和设置，根据区域和报警类型确定报警级别，报警级别定义如下：</w:t>
      </w:r>
    </w:p>
    <w:tbl>
      <w:tblPr>
        <w:tblStyle w:val="36"/>
        <w:tblW w:w="7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1612"/>
        <w:gridCol w:w="1774"/>
        <w:gridCol w:w="1842"/>
        <w:gridCol w:w="1276"/>
      </w:tblGrid>
      <w:tr w14:paraId="7A32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909" w:type="dxa"/>
            <w:noWrap w:val="0"/>
            <w:vAlign w:val="center"/>
          </w:tcPr>
          <w:p w14:paraId="50AAD29E">
            <w:pPr>
              <w:pStyle w:val="58"/>
              <w:spacing w:line="240" w:lineRule="exact"/>
              <w:rPr>
                <w:bCs/>
                <w:color w:val="auto"/>
                <w:highlight w:val="none"/>
              </w:rPr>
            </w:pPr>
            <w:r>
              <w:rPr>
                <w:rFonts w:hint="eastAsia"/>
                <w:bCs/>
                <w:color w:val="auto"/>
                <w:highlight w:val="none"/>
              </w:rPr>
              <w:t>序号</w:t>
            </w:r>
          </w:p>
        </w:tc>
        <w:tc>
          <w:tcPr>
            <w:tcW w:w="1612" w:type="dxa"/>
            <w:noWrap w:val="0"/>
            <w:vAlign w:val="center"/>
          </w:tcPr>
          <w:p w14:paraId="5A379420">
            <w:pPr>
              <w:pStyle w:val="58"/>
              <w:spacing w:line="240" w:lineRule="exact"/>
              <w:rPr>
                <w:bCs/>
                <w:color w:val="auto"/>
                <w:highlight w:val="none"/>
              </w:rPr>
            </w:pPr>
            <w:r>
              <w:rPr>
                <w:rFonts w:hint="eastAsia"/>
                <w:bCs/>
                <w:color w:val="auto"/>
                <w:highlight w:val="none"/>
              </w:rPr>
              <w:t>报警源类型</w:t>
            </w:r>
          </w:p>
        </w:tc>
        <w:tc>
          <w:tcPr>
            <w:tcW w:w="1774" w:type="dxa"/>
            <w:noWrap w:val="0"/>
            <w:vAlign w:val="center"/>
          </w:tcPr>
          <w:p w14:paraId="561E7E89">
            <w:pPr>
              <w:pStyle w:val="58"/>
              <w:spacing w:line="240" w:lineRule="exact"/>
              <w:rPr>
                <w:bCs/>
                <w:color w:val="auto"/>
                <w:highlight w:val="none"/>
              </w:rPr>
            </w:pPr>
            <w:r>
              <w:rPr>
                <w:rFonts w:hint="eastAsia"/>
                <w:bCs/>
                <w:color w:val="auto"/>
                <w:highlight w:val="none"/>
              </w:rPr>
              <w:t>报警源区域</w:t>
            </w:r>
          </w:p>
        </w:tc>
        <w:tc>
          <w:tcPr>
            <w:tcW w:w="1842" w:type="dxa"/>
            <w:noWrap w:val="0"/>
            <w:vAlign w:val="center"/>
          </w:tcPr>
          <w:p w14:paraId="71012602">
            <w:pPr>
              <w:pStyle w:val="58"/>
              <w:spacing w:line="240" w:lineRule="exact"/>
              <w:rPr>
                <w:bCs/>
                <w:color w:val="auto"/>
                <w:highlight w:val="none"/>
              </w:rPr>
            </w:pPr>
            <w:r>
              <w:rPr>
                <w:rFonts w:hint="eastAsia"/>
                <w:bCs/>
                <w:color w:val="auto"/>
                <w:highlight w:val="none"/>
              </w:rPr>
              <w:t>报警类型</w:t>
            </w:r>
          </w:p>
        </w:tc>
        <w:tc>
          <w:tcPr>
            <w:tcW w:w="1276" w:type="dxa"/>
            <w:noWrap w:val="0"/>
            <w:vAlign w:val="center"/>
          </w:tcPr>
          <w:p w14:paraId="29793960">
            <w:pPr>
              <w:pStyle w:val="58"/>
              <w:spacing w:line="240" w:lineRule="exact"/>
              <w:rPr>
                <w:bCs/>
                <w:color w:val="auto"/>
                <w:highlight w:val="none"/>
              </w:rPr>
            </w:pPr>
            <w:r>
              <w:rPr>
                <w:rFonts w:hint="eastAsia"/>
                <w:bCs/>
                <w:color w:val="auto"/>
                <w:highlight w:val="none"/>
              </w:rPr>
              <w:t>报警级别</w:t>
            </w:r>
          </w:p>
        </w:tc>
      </w:tr>
      <w:tr w14:paraId="29CF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41771A53">
            <w:pPr>
              <w:pStyle w:val="58"/>
              <w:spacing w:line="240" w:lineRule="exact"/>
              <w:rPr>
                <w:bCs/>
                <w:color w:val="auto"/>
                <w:highlight w:val="none"/>
              </w:rPr>
            </w:pPr>
            <w:r>
              <w:rPr>
                <w:rFonts w:hint="eastAsia"/>
                <w:bCs/>
                <w:color w:val="auto"/>
                <w:highlight w:val="none"/>
              </w:rPr>
              <w:t>1</w:t>
            </w:r>
          </w:p>
        </w:tc>
        <w:tc>
          <w:tcPr>
            <w:tcW w:w="1612" w:type="dxa"/>
            <w:noWrap w:val="0"/>
            <w:vAlign w:val="top"/>
          </w:tcPr>
          <w:p w14:paraId="136D538F">
            <w:pPr>
              <w:pStyle w:val="58"/>
              <w:spacing w:line="240" w:lineRule="exact"/>
              <w:rPr>
                <w:bCs/>
                <w:color w:val="auto"/>
                <w:highlight w:val="none"/>
              </w:rPr>
            </w:pPr>
            <w:r>
              <w:rPr>
                <w:rFonts w:hint="eastAsia"/>
                <w:bCs/>
                <w:color w:val="auto"/>
                <w:highlight w:val="none"/>
              </w:rPr>
              <w:t>摄像机</w:t>
            </w:r>
          </w:p>
        </w:tc>
        <w:tc>
          <w:tcPr>
            <w:tcW w:w="1774" w:type="dxa"/>
            <w:noWrap w:val="0"/>
            <w:vAlign w:val="top"/>
          </w:tcPr>
          <w:p w14:paraId="6C499F2C">
            <w:pPr>
              <w:pStyle w:val="58"/>
              <w:spacing w:line="240" w:lineRule="exact"/>
              <w:rPr>
                <w:bCs/>
                <w:color w:val="auto"/>
                <w:highlight w:val="none"/>
              </w:rPr>
            </w:pPr>
            <w:r>
              <w:rPr>
                <w:rFonts w:hint="eastAsia"/>
                <w:bCs/>
                <w:color w:val="auto"/>
                <w:highlight w:val="none"/>
              </w:rPr>
              <w:t>周界</w:t>
            </w:r>
          </w:p>
        </w:tc>
        <w:tc>
          <w:tcPr>
            <w:tcW w:w="1842" w:type="dxa"/>
            <w:noWrap w:val="0"/>
            <w:vAlign w:val="top"/>
          </w:tcPr>
          <w:p w14:paraId="25BFD88B">
            <w:pPr>
              <w:pStyle w:val="58"/>
              <w:spacing w:line="240" w:lineRule="exact"/>
              <w:rPr>
                <w:bCs/>
                <w:color w:val="auto"/>
                <w:highlight w:val="none"/>
              </w:rPr>
            </w:pPr>
            <w:r>
              <w:rPr>
                <w:rFonts w:hint="eastAsia"/>
                <w:bCs/>
                <w:color w:val="auto"/>
                <w:highlight w:val="none"/>
              </w:rPr>
              <w:t>移动侦测</w:t>
            </w:r>
          </w:p>
        </w:tc>
        <w:tc>
          <w:tcPr>
            <w:tcW w:w="1276" w:type="dxa"/>
            <w:noWrap w:val="0"/>
            <w:vAlign w:val="top"/>
          </w:tcPr>
          <w:p w14:paraId="0542AF95">
            <w:pPr>
              <w:pStyle w:val="58"/>
              <w:spacing w:line="240" w:lineRule="exact"/>
              <w:rPr>
                <w:bCs/>
                <w:color w:val="auto"/>
                <w:highlight w:val="none"/>
              </w:rPr>
            </w:pPr>
            <w:r>
              <w:rPr>
                <w:rFonts w:hint="eastAsia"/>
                <w:bCs/>
                <w:color w:val="auto"/>
                <w:highlight w:val="none"/>
              </w:rPr>
              <w:t>高</w:t>
            </w:r>
          </w:p>
        </w:tc>
      </w:tr>
      <w:tr w14:paraId="1E96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3C5343EC">
            <w:pPr>
              <w:pStyle w:val="58"/>
              <w:spacing w:line="240" w:lineRule="exact"/>
              <w:rPr>
                <w:bCs/>
                <w:color w:val="auto"/>
                <w:highlight w:val="none"/>
              </w:rPr>
            </w:pPr>
            <w:r>
              <w:rPr>
                <w:rFonts w:hint="eastAsia"/>
                <w:bCs/>
                <w:color w:val="auto"/>
                <w:highlight w:val="none"/>
              </w:rPr>
              <w:t>2</w:t>
            </w:r>
          </w:p>
        </w:tc>
        <w:tc>
          <w:tcPr>
            <w:tcW w:w="1612" w:type="dxa"/>
            <w:noWrap w:val="0"/>
            <w:vAlign w:val="top"/>
          </w:tcPr>
          <w:p w14:paraId="31C14227">
            <w:pPr>
              <w:pStyle w:val="58"/>
              <w:spacing w:line="240" w:lineRule="exact"/>
              <w:rPr>
                <w:bCs/>
                <w:color w:val="auto"/>
                <w:highlight w:val="none"/>
              </w:rPr>
            </w:pPr>
            <w:r>
              <w:rPr>
                <w:rFonts w:hint="eastAsia"/>
                <w:bCs/>
                <w:color w:val="auto"/>
                <w:highlight w:val="none"/>
              </w:rPr>
              <w:t>摄像机</w:t>
            </w:r>
          </w:p>
        </w:tc>
        <w:tc>
          <w:tcPr>
            <w:tcW w:w="1774" w:type="dxa"/>
            <w:noWrap w:val="0"/>
            <w:vAlign w:val="top"/>
          </w:tcPr>
          <w:p w14:paraId="691128CE">
            <w:pPr>
              <w:pStyle w:val="58"/>
              <w:spacing w:line="240" w:lineRule="exact"/>
              <w:rPr>
                <w:bCs/>
                <w:color w:val="auto"/>
                <w:highlight w:val="none"/>
              </w:rPr>
            </w:pPr>
            <w:r>
              <w:rPr>
                <w:rFonts w:hint="eastAsia"/>
                <w:bCs/>
                <w:color w:val="auto"/>
                <w:highlight w:val="none"/>
              </w:rPr>
              <w:t>公共警戒区域</w:t>
            </w:r>
          </w:p>
        </w:tc>
        <w:tc>
          <w:tcPr>
            <w:tcW w:w="1842" w:type="dxa"/>
            <w:noWrap w:val="0"/>
            <w:vAlign w:val="top"/>
          </w:tcPr>
          <w:p w14:paraId="1DC05E2A">
            <w:pPr>
              <w:pStyle w:val="58"/>
              <w:spacing w:line="240" w:lineRule="exact"/>
              <w:rPr>
                <w:bCs/>
                <w:color w:val="auto"/>
                <w:highlight w:val="none"/>
              </w:rPr>
            </w:pPr>
            <w:r>
              <w:rPr>
                <w:rFonts w:hint="eastAsia"/>
                <w:bCs/>
                <w:color w:val="auto"/>
                <w:highlight w:val="none"/>
              </w:rPr>
              <w:t>移动侦测</w:t>
            </w:r>
          </w:p>
        </w:tc>
        <w:tc>
          <w:tcPr>
            <w:tcW w:w="1276" w:type="dxa"/>
            <w:noWrap w:val="0"/>
            <w:vAlign w:val="top"/>
          </w:tcPr>
          <w:p w14:paraId="476D8D9B">
            <w:pPr>
              <w:pStyle w:val="58"/>
              <w:spacing w:line="240" w:lineRule="exact"/>
              <w:rPr>
                <w:bCs/>
                <w:color w:val="auto"/>
                <w:highlight w:val="none"/>
              </w:rPr>
            </w:pPr>
            <w:r>
              <w:rPr>
                <w:rFonts w:hint="eastAsia"/>
                <w:bCs/>
                <w:color w:val="auto"/>
                <w:highlight w:val="none"/>
              </w:rPr>
              <w:t>高</w:t>
            </w:r>
          </w:p>
        </w:tc>
      </w:tr>
      <w:tr w14:paraId="2B6E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38FB08DA">
            <w:pPr>
              <w:pStyle w:val="58"/>
              <w:spacing w:line="240" w:lineRule="exact"/>
              <w:rPr>
                <w:bCs/>
                <w:color w:val="auto"/>
                <w:highlight w:val="none"/>
              </w:rPr>
            </w:pPr>
            <w:r>
              <w:rPr>
                <w:rFonts w:hint="eastAsia"/>
                <w:bCs/>
                <w:color w:val="auto"/>
                <w:highlight w:val="none"/>
              </w:rPr>
              <w:t>3</w:t>
            </w:r>
          </w:p>
        </w:tc>
        <w:tc>
          <w:tcPr>
            <w:tcW w:w="1612" w:type="dxa"/>
            <w:noWrap w:val="0"/>
            <w:vAlign w:val="top"/>
          </w:tcPr>
          <w:p w14:paraId="392A26BA">
            <w:pPr>
              <w:pStyle w:val="58"/>
              <w:spacing w:line="240" w:lineRule="exact"/>
              <w:rPr>
                <w:bCs/>
                <w:color w:val="auto"/>
                <w:highlight w:val="none"/>
              </w:rPr>
            </w:pPr>
            <w:r>
              <w:rPr>
                <w:rFonts w:hint="eastAsia"/>
                <w:bCs/>
                <w:color w:val="auto"/>
                <w:highlight w:val="none"/>
              </w:rPr>
              <w:t>摄像机</w:t>
            </w:r>
          </w:p>
        </w:tc>
        <w:tc>
          <w:tcPr>
            <w:tcW w:w="1774" w:type="dxa"/>
            <w:noWrap w:val="0"/>
            <w:vAlign w:val="top"/>
          </w:tcPr>
          <w:p w14:paraId="7202E678">
            <w:pPr>
              <w:pStyle w:val="58"/>
              <w:spacing w:line="240" w:lineRule="exact"/>
              <w:rPr>
                <w:bCs/>
                <w:color w:val="auto"/>
                <w:highlight w:val="none"/>
              </w:rPr>
            </w:pPr>
            <w:r>
              <w:rPr>
                <w:rFonts w:hint="eastAsia"/>
                <w:bCs/>
                <w:color w:val="auto"/>
                <w:highlight w:val="none"/>
              </w:rPr>
              <w:t>其他位置</w:t>
            </w:r>
          </w:p>
        </w:tc>
        <w:tc>
          <w:tcPr>
            <w:tcW w:w="1842" w:type="dxa"/>
            <w:noWrap w:val="0"/>
            <w:vAlign w:val="top"/>
          </w:tcPr>
          <w:p w14:paraId="0E615AC4">
            <w:pPr>
              <w:pStyle w:val="58"/>
              <w:spacing w:line="240" w:lineRule="exact"/>
              <w:rPr>
                <w:bCs/>
                <w:color w:val="auto"/>
                <w:highlight w:val="none"/>
              </w:rPr>
            </w:pPr>
            <w:r>
              <w:rPr>
                <w:rFonts w:hint="eastAsia"/>
                <w:bCs/>
                <w:color w:val="auto"/>
                <w:highlight w:val="none"/>
              </w:rPr>
              <w:t>移动侦测</w:t>
            </w:r>
          </w:p>
        </w:tc>
        <w:tc>
          <w:tcPr>
            <w:tcW w:w="1276" w:type="dxa"/>
            <w:noWrap w:val="0"/>
            <w:vAlign w:val="top"/>
          </w:tcPr>
          <w:p w14:paraId="4093AC09">
            <w:pPr>
              <w:pStyle w:val="58"/>
              <w:spacing w:line="240" w:lineRule="exact"/>
              <w:rPr>
                <w:bCs/>
                <w:color w:val="auto"/>
                <w:highlight w:val="none"/>
              </w:rPr>
            </w:pPr>
            <w:r>
              <w:rPr>
                <w:rFonts w:hint="eastAsia"/>
                <w:bCs/>
                <w:color w:val="auto"/>
                <w:highlight w:val="none"/>
              </w:rPr>
              <w:t>低</w:t>
            </w:r>
          </w:p>
        </w:tc>
      </w:tr>
      <w:tr w14:paraId="1AE2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49A8E9F9">
            <w:pPr>
              <w:pStyle w:val="58"/>
              <w:spacing w:line="240" w:lineRule="exact"/>
              <w:rPr>
                <w:bCs/>
                <w:color w:val="auto"/>
                <w:highlight w:val="none"/>
              </w:rPr>
            </w:pPr>
            <w:r>
              <w:rPr>
                <w:rFonts w:hint="eastAsia"/>
                <w:bCs/>
                <w:color w:val="auto"/>
                <w:highlight w:val="none"/>
              </w:rPr>
              <w:t>4</w:t>
            </w:r>
          </w:p>
        </w:tc>
        <w:tc>
          <w:tcPr>
            <w:tcW w:w="1612" w:type="dxa"/>
            <w:noWrap w:val="0"/>
            <w:vAlign w:val="top"/>
          </w:tcPr>
          <w:p w14:paraId="210D1CDB">
            <w:pPr>
              <w:pStyle w:val="58"/>
              <w:spacing w:line="240" w:lineRule="exact"/>
              <w:rPr>
                <w:bCs/>
                <w:color w:val="auto"/>
                <w:highlight w:val="none"/>
              </w:rPr>
            </w:pPr>
            <w:r>
              <w:rPr>
                <w:rFonts w:hint="eastAsia"/>
                <w:bCs/>
                <w:color w:val="auto"/>
                <w:highlight w:val="none"/>
              </w:rPr>
              <w:t>摄像机</w:t>
            </w:r>
          </w:p>
        </w:tc>
        <w:tc>
          <w:tcPr>
            <w:tcW w:w="1774" w:type="dxa"/>
            <w:noWrap w:val="0"/>
            <w:vAlign w:val="top"/>
          </w:tcPr>
          <w:p w14:paraId="52FCFFCF">
            <w:pPr>
              <w:pStyle w:val="58"/>
              <w:spacing w:line="240" w:lineRule="exact"/>
              <w:rPr>
                <w:bCs/>
                <w:color w:val="auto"/>
                <w:highlight w:val="none"/>
              </w:rPr>
            </w:pPr>
            <w:r>
              <w:rPr>
                <w:rFonts w:hint="eastAsia"/>
                <w:bCs/>
                <w:color w:val="auto"/>
                <w:highlight w:val="none"/>
              </w:rPr>
              <w:t>所有</w:t>
            </w:r>
          </w:p>
        </w:tc>
        <w:tc>
          <w:tcPr>
            <w:tcW w:w="1842" w:type="dxa"/>
            <w:noWrap w:val="0"/>
            <w:vAlign w:val="top"/>
          </w:tcPr>
          <w:p w14:paraId="73751D40">
            <w:pPr>
              <w:pStyle w:val="58"/>
              <w:spacing w:line="240" w:lineRule="exact"/>
              <w:rPr>
                <w:bCs/>
                <w:color w:val="auto"/>
                <w:highlight w:val="none"/>
              </w:rPr>
            </w:pPr>
            <w:r>
              <w:rPr>
                <w:rFonts w:hint="eastAsia"/>
                <w:bCs/>
                <w:color w:val="auto"/>
                <w:highlight w:val="none"/>
              </w:rPr>
              <w:t>智能分析</w:t>
            </w:r>
          </w:p>
        </w:tc>
        <w:tc>
          <w:tcPr>
            <w:tcW w:w="1276" w:type="dxa"/>
            <w:noWrap w:val="0"/>
            <w:vAlign w:val="top"/>
          </w:tcPr>
          <w:p w14:paraId="01A586F7">
            <w:pPr>
              <w:pStyle w:val="58"/>
              <w:spacing w:line="240" w:lineRule="exact"/>
              <w:rPr>
                <w:bCs/>
                <w:color w:val="auto"/>
                <w:highlight w:val="none"/>
              </w:rPr>
            </w:pPr>
            <w:r>
              <w:rPr>
                <w:rFonts w:hint="eastAsia"/>
                <w:bCs/>
                <w:color w:val="auto"/>
                <w:highlight w:val="none"/>
              </w:rPr>
              <w:t>高</w:t>
            </w:r>
          </w:p>
        </w:tc>
      </w:tr>
      <w:tr w14:paraId="125C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431966E0">
            <w:pPr>
              <w:pStyle w:val="58"/>
              <w:spacing w:line="240" w:lineRule="exact"/>
              <w:rPr>
                <w:bCs/>
                <w:color w:val="auto"/>
                <w:highlight w:val="none"/>
              </w:rPr>
            </w:pPr>
            <w:r>
              <w:rPr>
                <w:rFonts w:hint="eastAsia"/>
                <w:bCs/>
                <w:color w:val="auto"/>
                <w:highlight w:val="none"/>
              </w:rPr>
              <w:t>5</w:t>
            </w:r>
          </w:p>
        </w:tc>
        <w:tc>
          <w:tcPr>
            <w:tcW w:w="1612" w:type="dxa"/>
            <w:noWrap w:val="0"/>
            <w:vAlign w:val="top"/>
          </w:tcPr>
          <w:p w14:paraId="5BF17CC0">
            <w:pPr>
              <w:pStyle w:val="58"/>
              <w:spacing w:line="240" w:lineRule="exact"/>
              <w:rPr>
                <w:bCs/>
                <w:color w:val="auto"/>
                <w:highlight w:val="none"/>
              </w:rPr>
            </w:pPr>
            <w:r>
              <w:rPr>
                <w:rFonts w:hint="eastAsia"/>
                <w:bCs/>
                <w:color w:val="auto"/>
                <w:highlight w:val="none"/>
              </w:rPr>
              <w:t>摄像机</w:t>
            </w:r>
          </w:p>
        </w:tc>
        <w:tc>
          <w:tcPr>
            <w:tcW w:w="1774" w:type="dxa"/>
            <w:noWrap w:val="0"/>
            <w:vAlign w:val="top"/>
          </w:tcPr>
          <w:p w14:paraId="57C784A0">
            <w:pPr>
              <w:pStyle w:val="58"/>
              <w:spacing w:line="240" w:lineRule="exact"/>
              <w:rPr>
                <w:bCs/>
                <w:color w:val="auto"/>
                <w:highlight w:val="none"/>
              </w:rPr>
            </w:pPr>
            <w:r>
              <w:rPr>
                <w:rFonts w:hint="eastAsia"/>
                <w:bCs/>
                <w:color w:val="auto"/>
                <w:highlight w:val="none"/>
              </w:rPr>
              <w:t>所有</w:t>
            </w:r>
          </w:p>
        </w:tc>
        <w:tc>
          <w:tcPr>
            <w:tcW w:w="1842" w:type="dxa"/>
            <w:noWrap w:val="0"/>
            <w:vAlign w:val="top"/>
          </w:tcPr>
          <w:p w14:paraId="132B7810">
            <w:pPr>
              <w:pStyle w:val="58"/>
              <w:spacing w:line="240" w:lineRule="exact"/>
              <w:rPr>
                <w:bCs/>
                <w:color w:val="auto"/>
                <w:highlight w:val="none"/>
              </w:rPr>
            </w:pPr>
            <w:r>
              <w:rPr>
                <w:rFonts w:hint="eastAsia"/>
                <w:bCs/>
                <w:color w:val="auto"/>
                <w:highlight w:val="none"/>
              </w:rPr>
              <w:t>人脸黑名单</w:t>
            </w:r>
          </w:p>
        </w:tc>
        <w:tc>
          <w:tcPr>
            <w:tcW w:w="1276" w:type="dxa"/>
            <w:noWrap w:val="0"/>
            <w:vAlign w:val="top"/>
          </w:tcPr>
          <w:p w14:paraId="2FAF60FE">
            <w:pPr>
              <w:pStyle w:val="58"/>
              <w:spacing w:line="240" w:lineRule="exact"/>
              <w:rPr>
                <w:bCs/>
                <w:color w:val="auto"/>
                <w:highlight w:val="none"/>
              </w:rPr>
            </w:pPr>
            <w:r>
              <w:rPr>
                <w:rFonts w:hint="eastAsia"/>
                <w:bCs/>
                <w:color w:val="auto"/>
                <w:highlight w:val="none"/>
              </w:rPr>
              <w:t>高</w:t>
            </w:r>
          </w:p>
        </w:tc>
      </w:tr>
      <w:tr w14:paraId="4303D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6C680CFF">
            <w:pPr>
              <w:pStyle w:val="58"/>
              <w:spacing w:line="240" w:lineRule="exact"/>
              <w:rPr>
                <w:bCs/>
                <w:color w:val="auto"/>
                <w:highlight w:val="none"/>
              </w:rPr>
            </w:pPr>
            <w:r>
              <w:rPr>
                <w:rFonts w:hint="eastAsia"/>
                <w:bCs/>
                <w:color w:val="auto"/>
                <w:highlight w:val="none"/>
              </w:rPr>
              <w:t>6</w:t>
            </w:r>
          </w:p>
        </w:tc>
        <w:tc>
          <w:tcPr>
            <w:tcW w:w="1612" w:type="dxa"/>
            <w:noWrap w:val="0"/>
            <w:vAlign w:val="top"/>
          </w:tcPr>
          <w:p w14:paraId="3FA976AA">
            <w:pPr>
              <w:pStyle w:val="58"/>
              <w:spacing w:line="240" w:lineRule="exact"/>
              <w:rPr>
                <w:bCs/>
                <w:color w:val="auto"/>
                <w:highlight w:val="none"/>
              </w:rPr>
            </w:pPr>
            <w:r>
              <w:rPr>
                <w:rFonts w:hint="eastAsia"/>
                <w:bCs/>
                <w:color w:val="auto"/>
                <w:highlight w:val="none"/>
              </w:rPr>
              <w:t>门禁</w:t>
            </w:r>
          </w:p>
        </w:tc>
        <w:tc>
          <w:tcPr>
            <w:tcW w:w="1774" w:type="dxa"/>
            <w:noWrap w:val="0"/>
            <w:vAlign w:val="top"/>
          </w:tcPr>
          <w:p w14:paraId="4702DC85">
            <w:pPr>
              <w:pStyle w:val="58"/>
              <w:spacing w:line="240" w:lineRule="exact"/>
              <w:rPr>
                <w:bCs/>
                <w:color w:val="auto"/>
                <w:highlight w:val="none"/>
              </w:rPr>
            </w:pPr>
            <w:r>
              <w:rPr>
                <w:rFonts w:hint="eastAsia"/>
                <w:bCs/>
                <w:color w:val="auto"/>
                <w:highlight w:val="none"/>
              </w:rPr>
              <w:t>A</w:t>
            </w:r>
            <w:r>
              <w:rPr>
                <w:bCs/>
                <w:color w:val="auto"/>
                <w:highlight w:val="none"/>
              </w:rPr>
              <w:t>B</w:t>
            </w:r>
            <w:r>
              <w:rPr>
                <w:rFonts w:hint="eastAsia"/>
                <w:bCs/>
                <w:color w:val="auto"/>
                <w:highlight w:val="none"/>
              </w:rPr>
              <w:t>门，会见通道</w:t>
            </w:r>
          </w:p>
        </w:tc>
        <w:tc>
          <w:tcPr>
            <w:tcW w:w="1842" w:type="dxa"/>
            <w:noWrap w:val="0"/>
            <w:vAlign w:val="top"/>
          </w:tcPr>
          <w:p w14:paraId="67942190">
            <w:pPr>
              <w:pStyle w:val="58"/>
              <w:spacing w:line="240" w:lineRule="exact"/>
              <w:rPr>
                <w:bCs/>
                <w:color w:val="auto"/>
                <w:highlight w:val="none"/>
              </w:rPr>
            </w:pPr>
            <w:r>
              <w:rPr>
                <w:rFonts w:hint="eastAsia"/>
                <w:bCs/>
                <w:color w:val="auto"/>
                <w:highlight w:val="none"/>
              </w:rPr>
              <w:t>超时未关</w:t>
            </w:r>
          </w:p>
        </w:tc>
        <w:tc>
          <w:tcPr>
            <w:tcW w:w="1276" w:type="dxa"/>
            <w:noWrap w:val="0"/>
            <w:vAlign w:val="top"/>
          </w:tcPr>
          <w:p w14:paraId="765851B4">
            <w:pPr>
              <w:pStyle w:val="58"/>
              <w:spacing w:line="240" w:lineRule="exact"/>
              <w:rPr>
                <w:bCs/>
                <w:color w:val="auto"/>
                <w:highlight w:val="none"/>
              </w:rPr>
            </w:pPr>
            <w:r>
              <w:rPr>
                <w:rFonts w:hint="eastAsia"/>
                <w:bCs/>
                <w:color w:val="auto"/>
                <w:highlight w:val="none"/>
              </w:rPr>
              <w:t>中</w:t>
            </w:r>
          </w:p>
        </w:tc>
      </w:tr>
      <w:tr w14:paraId="715F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7DB1E06F">
            <w:pPr>
              <w:pStyle w:val="58"/>
              <w:spacing w:line="240" w:lineRule="exact"/>
              <w:rPr>
                <w:bCs/>
                <w:color w:val="auto"/>
                <w:highlight w:val="none"/>
              </w:rPr>
            </w:pPr>
            <w:r>
              <w:rPr>
                <w:rFonts w:hint="eastAsia"/>
                <w:bCs/>
                <w:color w:val="auto"/>
                <w:highlight w:val="none"/>
              </w:rPr>
              <w:t>7</w:t>
            </w:r>
          </w:p>
        </w:tc>
        <w:tc>
          <w:tcPr>
            <w:tcW w:w="1612" w:type="dxa"/>
            <w:noWrap w:val="0"/>
            <w:vAlign w:val="top"/>
          </w:tcPr>
          <w:p w14:paraId="7C024E03">
            <w:pPr>
              <w:pStyle w:val="58"/>
              <w:spacing w:line="240" w:lineRule="exact"/>
              <w:rPr>
                <w:bCs/>
                <w:color w:val="auto"/>
                <w:highlight w:val="none"/>
              </w:rPr>
            </w:pPr>
            <w:r>
              <w:rPr>
                <w:rFonts w:hint="eastAsia"/>
                <w:bCs/>
                <w:color w:val="auto"/>
                <w:highlight w:val="none"/>
              </w:rPr>
              <w:t>门禁</w:t>
            </w:r>
          </w:p>
        </w:tc>
        <w:tc>
          <w:tcPr>
            <w:tcW w:w="1774" w:type="dxa"/>
            <w:noWrap w:val="0"/>
            <w:vAlign w:val="top"/>
          </w:tcPr>
          <w:p w14:paraId="24A5428A">
            <w:pPr>
              <w:pStyle w:val="58"/>
              <w:spacing w:line="240" w:lineRule="exact"/>
              <w:rPr>
                <w:bCs/>
                <w:color w:val="auto"/>
                <w:highlight w:val="none"/>
              </w:rPr>
            </w:pPr>
            <w:r>
              <w:rPr>
                <w:rFonts w:hint="eastAsia"/>
                <w:bCs/>
                <w:color w:val="auto"/>
                <w:highlight w:val="none"/>
              </w:rPr>
              <w:t>其他位置</w:t>
            </w:r>
          </w:p>
        </w:tc>
        <w:tc>
          <w:tcPr>
            <w:tcW w:w="1842" w:type="dxa"/>
            <w:noWrap w:val="0"/>
            <w:vAlign w:val="top"/>
          </w:tcPr>
          <w:p w14:paraId="530DFFD8">
            <w:pPr>
              <w:pStyle w:val="58"/>
              <w:spacing w:line="240" w:lineRule="exact"/>
              <w:rPr>
                <w:bCs/>
                <w:color w:val="auto"/>
                <w:highlight w:val="none"/>
              </w:rPr>
            </w:pPr>
            <w:r>
              <w:rPr>
                <w:rFonts w:hint="eastAsia"/>
                <w:bCs/>
                <w:color w:val="auto"/>
                <w:highlight w:val="none"/>
              </w:rPr>
              <w:t>超时未关</w:t>
            </w:r>
          </w:p>
        </w:tc>
        <w:tc>
          <w:tcPr>
            <w:tcW w:w="1276" w:type="dxa"/>
            <w:noWrap w:val="0"/>
            <w:vAlign w:val="top"/>
          </w:tcPr>
          <w:p w14:paraId="6EA63646">
            <w:pPr>
              <w:pStyle w:val="58"/>
              <w:spacing w:line="240" w:lineRule="exact"/>
              <w:rPr>
                <w:bCs/>
                <w:color w:val="auto"/>
                <w:highlight w:val="none"/>
              </w:rPr>
            </w:pPr>
            <w:r>
              <w:rPr>
                <w:rFonts w:hint="eastAsia"/>
                <w:bCs/>
                <w:color w:val="auto"/>
                <w:highlight w:val="none"/>
              </w:rPr>
              <w:t>低</w:t>
            </w:r>
          </w:p>
        </w:tc>
      </w:tr>
      <w:tr w14:paraId="2CBC7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17435FE0">
            <w:pPr>
              <w:pStyle w:val="58"/>
              <w:spacing w:line="240" w:lineRule="exact"/>
              <w:rPr>
                <w:bCs/>
                <w:color w:val="auto"/>
                <w:highlight w:val="none"/>
              </w:rPr>
            </w:pPr>
            <w:r>
              <w:rPr>
                <w:rFonts w:hint="eastAsia"/>
                <w:bCs/>
                <w:color w:val="auto"/>
                <w:highlight w:val="none"/>
              </w:rPr>
              <w:t>8</w:t>
            </w:r>
          </w:p>
        </w:tc>
        <w:tc>
          <w:tcPr>
            <w:tcW w:w="1612" w:type="dxa"/>
            <w:noWrap w:val="0"/>
            <w:vAlign w:val="top"/>
          </w:tcPr>
          <w:p w14:paraId="0F048717">
            <w:pPr>
              <w:pStyle w:val="58"/>
              <w:spacing w:line="240" w:lineRule="exact"/>
              <w:rPr>
                <w:bCs/>
                <w:color w:val="auto"/>
                <w:highlight w:val="none"/>
              </w:rPr>
            </w:pPr>
            <w:r>
              <w:rPr>
                <w:rFonts w:hint="eastAsia"/>
                <w:bCs/>
                <w:color w:val="auto"/>
                <w:highlight w:val="none"/>
              </w:rPr>
              <w:t>门禁</w:t>
            </w:r>
          </w:p>
        </w:tc>
        <w:tc>
          <w:tcPr>
            <w:tcW w:w="1774" w:type="dxa"/>
            <w:noWrap w:val="0"/>
            <w:vAlign w:val="top"/>
          </w:tcPr>
          <w:p w14:paraId="1EBC7E87">
            <w:pPr>
              <w:pStyle w:val="58"/>
              <w:spacing w:line="240" w:lineRule="exact"/>
              <w:rPr>
                <w:bCs/>
                <w:color w:val="auto"/>
                <w:highlight w:val="none"/>
              </w:rPr>
            </w:pPr>
            <w:r>
              <w:rPr>
                <w:rFonts w:hint="eastAsia"/>
                <w:bCs/>
                <w:color w:val="auto"/>
                <w:highlight w:val="none"/>
              </w:rPr>
              <w:t>所有</w:t>
            </w:r>
          </w:p>
        </w:tc>
        <w:tc>
          <w:tcPr>
            <w:tcW w:w="1842" w:type="dxa"/>
            <w:noWrap w:val="0"/>
            <w:vAlign w:val="top"/>
          </w:tcPr>
          <w:p w14:paraId="73893FAF">
            <w:pPr>
              <w:pStyle w:val="58"/>
              <w:spacing w:line="240" w:lineRule="exact"/>
              <w:rPr>
                <w:bCs/>
                <w:color w:val="auto"/>
                <w:highlight w:val="none"/>
              </w:rPr>
            </w:pPr>
            <w:r>
              <w:rPr>
                <w:rFonts w:hint="eastAsia"/>
                <w:bCs/>
                <w:color w:val="auto"/>
                <w:highlight w:val="none"/>
              </w:rPr>
              <w:t>非法开门</w:t>
            </w:r>
          </w:p>
        </w:tc>
        <w:tc>
          <w:tcPr>
            <w:tcW w:w="1276" w:type="dxa"/>
            <w:noWrap w:val="0"/>
            <w:vAlign w:val="top"/>
          </w:tcPr>
          <w:p w14:paraId="7C6DFDC7">
            <w:pPr>
              <w:pStyle w:val="58"/>
              <w:spacing w:line="240" w:lineRule="exact"/>
              <w:rPr>
                <w:bCs/>
                <w:color w:val="auto"/>
                <w:highlight w:val="none"/>
              </w:rPr>
            </w:pPr>
            <w:r>
              <w:rPr>
                <w:rFonts w:hint="eastAsia"/>
                <w:bCs/>
                <w:color w:val="auto"/>
                <w:highlight w:val="none"/>
              </w:rPr>
              <w:t>高</w:t>
            </w:r>
          </w:p>
        </w:tc>
      </w:tr>
      <w:tr w14:paraId="3A21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343F97B2">
            <w:pPr>
              <w:pStyle w:val="58"/>
              <w:spacing w:line="240" w:lineRule="exact"/>
              <w:rPr>
                <w:bCs/>
                <w:color w:val="auto"/>
                <w:highlight w:val="none"/>
              </w:rPr>
            </w:pPr>
            <w:r>
              <w:rPr>
                <w:rFonts w:hint="eastAsia"/>
                <w:bCs/>
                <w:color w:val="auto"/>
                <w:highlight w:val="none"/>
              </w:rPr>
              <w:t>9</w:t>
            </w:r>
          </w:p>
        </w:tc>
        <w:tc>
          <w:tcPr>
            <w:tcW w:w="1612" w:type="dxa"/>
            <w:noWrap w:val="0"/>
            <w:vAlign w:val="top"/>
          </w:tcPr>
          <w:p w14:paraId="79B940C9">
            <w:pPr>
              <w:pStyle w:val="58"/>
              <w:spacing w:line="240" w:lineRule="exact"/>
              <w:rPr>
                <w:bCs/>
                <w:color w:val="auto"/>
                <w:highlight w:val="none"/>
              </w:rPr>
            </w:pPr>
            <w:r>
              <w:rPr>
                <w:rFonts w:hint="eastAsia"/>
                <w:bCs/>
                <w:color w:val="auto"/>
                <w:highlight w:val="none"/>
              </w:rPr>
              <w:t>门禁</w:t>
            </w:r>
          </w:p>
        </w:tc>
        <w:tc>
          <w:tcPr>
            <w:tcW w:w="1774" w:type="dxa"/>
            <w:noWrap w:val="0"/>
            <w:vAlign w:val="top"/>
          </w:tcPr>
          <w:p w14:paraId="73AEA043">
            <w:pPr>
              <w:pStyle w:val="58"/>
              <w:spacing w:line="240" w:lineRule="exact"/>
              <w:rPr>
                <w:bCs/>
                <w:color w:val="auto"/>
                <w:highlight w:val="none"/>
              </w:rPr>
            </w:pPr>
            <w:r>
              <w:rPr>
                <w:rFonts w:hint="eastAsia"/>
                <w:bCs/>
                <w:color w:val="auto"/>
                <w:highlight w:val="none"/>
              </w:rPr>
              <w:t>所有</w:t>
            </w:r>
          </w:p>
        </w:tc>
        <w:tc>
          <w:tcPr>
            <w:tcW w:w="1842" w:type="dxa"/>
            <w:noWrap w:val="0"/>
            <w:vAlign w:val="top"/>
          </w:tcPr>
          <w:p w14:paraId="496E0702">
            <w:pPr>
              <w:pStyle w:val="58"/>
              <w:spacing w:line="240" w:lineRule="exact"/>
              <w:rPr>
                <w:bCs/>
                <w:color w:val="auto"/>
                <w:highlight w:val="none"/>
              </w:rPr>
            </w:pPr>
            <w:r>
              <w:rPr>
                <w:rFonts w:hint="eastAsia"/>
                <w:bCs/>
                <w:color w:val="auto"/>
                <w:highlight w:val="none"/>
              </w:rPr>
              <w:t>密码报警</w:t>
            </w:r>
          </w:p>
        </w:tc>
        <w:tc>
          <w:tcPr>
            <w:tcW w:w="1276" w:type="dxa"/>
            <w:noWrap w:val="0"/>
            <w:vAlign w:val="top"/>
          </w:tcPr>
          <w:p w14:paraId="34EFD02B">
            <w:pPr>
              <w:pStyle w:val="58"/>
              <w:spacing w:line="240" w:lineRule="exact"/>
              <w:rPr>
                <w:bCs/>
                <w:color w:val="auto"/>
                <w:highlight w:val="none"/>
              </w:rPr>
            </w:pPr>
            <w:r>
              <w:rPr>
                <w:rFonts w:hint="eastAsia"/>
                <w:bCs/>
                <w:color w:val="auto"/>
                <w:highlight w:val="none"/>
              </w:rPr>
              <w:t>高</w:t>
            </w:r>
          </w:p>
        </w:tc>
      </w:tr>
      <w:tr w14:paraId="424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6FF5EDC0">
            <w:pPr>
              <w:pStyle w:val="58"/>
              <w:spacing w:line="240" w:lineRule="exact"/>
              <w:rPr>
                <w:bCs/>
                <w:color w:val="auto"/>
                <w:highlight w:val="none"/>
              </w:rPr>
            </w:pPr>
            <w:r>
              <w:rPr>
                <w:rFonts w:hint="eastAsia"/>
                <w:bCs/>
                <w:color w:val="auto"/>
                <w:highlight w:val="none"/>
              </w:rPr>
              <w:t>10</w:t>
            </w:r>
          </w:p>
        </w:tc>
        <w:tc>
          <w:tcPr>
            <w:tcW w:w="1612" w:type="dxa"/>
            <w:noWrap w:val="0"/>
            <w:vAlign w:val="top"/>
          </w:tcPr>
          <w:p w14:paraId="132FD2BB">
            <w:pPr>
              <w:pStyle w:val="58"/>
              <w:spacing w:line="240" w:lineRule="exact"/>
              <w:rPr>
                <w:bCs/>
                <w:color w:val="auto"/>
                <w:highlight w:val="none"/>
              </w:rPr>
            </w:pPr>
            <w:r>
              <w:rPr>
                <w:rFonts w:hint="eastAsia"/>
                <w:bCs/>
                <w:color w:val="auto"/>
                <w:highlight w:val="none"/>
              </w:rPr>
              <w:t>高压电网</w:t>
            </w:r>
          </w:p>
        </w:tc>
        <w:tc>
          <w:tcPr>
            <w:tcW w:w="1774" w:type="dxa"/>
            <w:noWrap w:val="0"/>
            <w:vAlign w:val="top"/>
          </w:tcPr>
          <w:p w14:paraId="3DEB950D">
            <w:pPr>
              <w:pStyle w:val="58"/>
              <w:spacing w:line="240" w:lineRule="exact"/>
              <w:rPr>
                <w:bCs/>
                <w:color w:val="auto"/>
                <w:highlight w:val="none"/>
              </w:rPr>
            </w:pPr>
            <w:r>
              <w:rPr>
                <w:rFonts w:hint="eastAsia"/>
                <w:bCs/>
                <w:color w:val="auto"/>
                <w:highlight w:val="none"/>
              </w:rPr>
              <w:t>周界</w:t>
            </w:r>
          </w:p>
        </w:tc>
        <w:tc>
          <w:tcPr>
            <w:tcW w:w="1842" w:type="dxa"/>
            <w:noWrap w:val="0"/>
            <w:vAlign w:val="top"/>
          </w:tcPr>
          <w:p w14:paraId="2AB00F4A">
            <w:pPr>
              <w:pStyle w:val="58"/>
              <w:spacing w:line="240" w:lineRule="exact"/>
              <w:rPr>
                <w:bCs/>
                <w:color w:val="auto"/>
                <w:highlight w:val="none"/>
              </w:rPr>
            </w:pPr>
            <w:r>
              <w:rPr>
                <w:rFonts w:hint="eastAsia"/>
                <w:bCs/>
                <w:color w:val="auto"/>
                <w:highlight w:val="none"/>
              </w:rPr>
              <w:t>电网报警</w:t>
            </w:r>
          </w:p>
        </w:tc>
        <w:tc>
          <w:tcPr>
            <w:tcW w:w="1276" w:type="dxa"/>
            <w:noWrap w:val="0"/>
            <w:vAlign w:val="top"/>
          </w:tcPr>
          <w:p w14:paraId="512BC344">
            <w:pPr>
              <w:pStyle w:val="58"/>
              <w:spacing w:line="240" w:lineRule="exact"/>
              <w:rPr>
                <w:bCs/>
                <w:color w:val="auto"/>
                <w:highlight w:val="none"/>
              </w:rPr>
            </w:pPr>
            <w:r>
              <w:rPr>
                <w:rFonts w:hint="eastAsia"/>
                <w:bCs/>
                <w:color w:val="auto"/>
                <w:highlight w:val="none"/>
              </w:rPr>
              <w:t>高</w:t>
            </w:r>
          </w:p>
        </w:tc>
      </w:tr>
      <w:tr w14:paraId="2A57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55DCBB72">
            <w:pPr>
              <w:pStyle w:val="58"/>
              <w:spacing w:line="240" w:lineRule="exact"/>
              <w:rPr>
                <w:bCs/>
                <w:color w:val="auto"/>
                <w:highlight w:val="none"/>
              </w:rPr>
            </w:pPr>
            <w:r>
              <w:rPr>
                <w:rFonts w:hint="eastAsia"/>
                <w:bCs/>
                <w:color w:val="auto"/>
                <w:highlight w:val="none"/>
              </w:rPr>
              <w:t>11</w:t>
            </w:r>
          </w:p>
        </w:tc>
        <w:tc>
          <w:tcPr>
            <w:tcW w:w="1612" w:type="dxa"/>
            <w:noWrap w:val="0"/>
            <w:vAlign w:val="top"/>
          </w:tcPr>
          <w:p w14:paraId="7010175C">
            <w:pPr>
              <w:pStyle w:val="58"/>
              <w:spacing w:line="240" w:lineRule="exact"/>
              <w:rPr>
                <w:bCs/>
                <w:color w:val="auto"/>
                <w:highlight w:val="none"/>
              </w:rPr>
            </w:pPr>
            <w:r>
              <w:rPr>
                <w:rFonts w:hint="eastAsia"/>
                <w:bCs/>
                <w:color w:val="auto"/>
                <w:highlight w:val="none"/>
              </w:rPr>
              <w:t>微振动</w:t>
            </w:r>
          </w:p>
        </w:tc>
        <w:tc>
          <w:tcPr>
            <w:tcW w:w="1774" w:type="dxa"/>
            <w:noWrap w:val="0"/>
            <w:vAlign w:val="top"/>
          </w:tcPr>
          <w:p w14:paraId="21B2F561">
            <w:pPr>
              <w:pStyle w:val="58"/>
              <w:spacing w:line="240" w:lineRule="exact"/>
              <w:rPr>
                <w:bCs/>
                <w:color w:val="auto"/>
                <w:highlight w:val="none"/>
              </w:rPr>
            </w:pPr>
            <w:r>
              <w:rPr>
                <w:rFonts w:hint="eastAsia"/>
                <w:bCs/>
                <w:color w:val="auto"/>
                <w:highlight w:val="none"/>
              </w:rPr>
              <w:t>周界</w:t>
            </w:r>
          </w:p>
        </w:tc>
        <w:tc>
          <w:tcPr>
            <w:tcW w:w="1842" w:type="dxa"/>
            <w:noWrap w:val="0"/>
            <w:vAlign w:val="top"/>
          </w:tcPr>
          <w:p w14:paraId="1A795E40">
            <w:pPr>
              <w:pStyle w:val="58"/>
              <w:spacing w:line="240" w:lineRule="exact"/>
              <w:rPr>
                <w:bCs/>
                <w:color w:val="auto"/>
                <w:highlight w:val="none"/>
              </w:rPr>
            </w:pPr>
            <w:r>
              <w:rPr>
                <w:rFonts w:hint="eastAsia"/>
                <w:bCs/>
                <w:color w:val="auto"/>
                <w:highlight w:val="none"/>
              </w:rPr>
              <w:t>微振动报警</w:t>
            </w:r>
          </w:p>
        </w:tc>
        <w:tc>
          <w:tcPr>
            <w:tcW w:w="1276" w:type="dxa"/>
            <w:noWrap w:val="0"/>
            <w:vAlign w:val="top"/>
          </w:tcPr>
          <w:p w14:paraId="2C7FE600">
            <w:pPr>
              <w:pStyle w:val="58"/>
              <w:spacing w:line="240" w:lineRule="exact"/>
              <w:rPr>
                <w:bCs/>
                <w:color w:val="auto"/>
                <w:highlight w:val="none"/>
              </w:rPr>
            </w:pPr>
            <w:r>
              <w:rPr>
                <w:rFonts w:hint="eastAsia"/>
                <w:bCs/>
                <w:color w:val="auto"/>
                <w:highlight w:val="none"/>
              </w:rPr>
              <w:t>中</w:t>
            </w:r>
          </w:p>
        </w:tc>
      </w:tr>
      <w:tr w14:paraId="2566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09" w:type="dxa"/>
            <w:noWrap w:val="0"/>
            <w:vAlign w:val="top"/>
          </w:tcPr>
          <w:p w14:paraId="66A8682A">
            <w:pPr>
              <w:pStyle w:val="58"/>
              <w:spacing w:line="240" w:lineRule="exact"/>
              <w:rPr>
                <w:bCs/>
                <w:color w:val="auto"/>
                <w:highlight w:val="none"/>
              </w:rPr>
            </w:pPr>
            <w:r>
              <w:rPr>
                <w:rFonts w:hint="eastAsia"/>
                <w:bCs/>
                <w:color w:val="auto"/>
                <w:highlight w:val="none"/>
              </w:rPr>
              <w:t>12</w:t>
            </w:r>
          </w:p>
        </w:tc>
        <w:tc>
          <w:tcPr>
            <w:tcW w:w="1612" w:type="dxa"/>
            <w:noWrap w:val="0"/>
            <w:vAlign w:val="top"/>
          </w:tcPr>
          <w:p w14:paraId="424165E1">
            <w:pPr>
              <w:pStyle w:val="58"/>
              <w:spacing w:line="240" w:lineRule="exact"/>
              <w:rPr>
                <w:bCs/>
                <w:color w:val="auto"/>
                <w:highlight w:val="none"/>
              </w:rPr>
            </w:pPr>
            <w:r>
              <w:rPr>
                <w:rFonts w:hint="eastAsia"/>
                <w:bCs/>
                <w:color w:val="auto"/>
                <w:highlight w:val="none"/>
              </w:rPr>
              <w:t>微波对射</w:t>
            </w:r>
          </w:p>
        </w:tc>
        <w:tc>
          <w:tcPr>
            <w:tcW w:w="1774" w:type="dxa"/>
            <w:noWrap w:val="0"/>
            <w:vAlign w:val="top"/>
          </w:tcPr>
          <w:p w14:paraId="1B7F4F2A">
            <w:pPr>
              <w:pStyle w:val="58"/>
              <w:spacing w:line="240" w:lineRule="exact"/>
              <w:rPr>
                <w:bCs/>
                <w:color w:val="auto"/>
                <w:highlight w:val="none"/>
              </w:rPr>
            </w:pPr>
            <w:r>
              <w:rPr>
                <w:rFonts w:hint="eastAsia"/>
                <w:bCs/>
                <w:color w:val="auto"/>
                <w:highlight w:val="none"/>
              </w:rPr>
              <w:t>周界</w:t>
            </w:r>
          </w:p>
        </w:tc>
        <w:tc>
          <w:tcPr>
            <w:tcW w:w="1842" w:type="dxa"/>
            <w:noWrap w:val="0"/>
            <w:vAlign w:val="top"/>
          </w:tcPr>
          <w:p w14:paraId="182E0A83">
            <w:pPr>
              <w:pStyle w:val="58"/>
              <w:spacing w:line="240" w:lineRule="exact"/>
              <w:rPr>
                <w:bCs/>
                <w:color w:val="auto"/>
                <w:highlight w:val="none"/>
              </w:rPr>
            </w:pPr>
            <w:r>
              <w:rPr>
                <w:rFonts w:hint="eastAsia"/>
                <w:bCs/>
                <w:color w:val="auto"/>
                <w:highlight w:val="none"/>
              </w:rPr>
              <w:t>微波对射报警</w:t>
            </w:r>
          </w:p>
        </w:tc>
        <w:tc>
          <w:tcPr>
            <w:tcW w:w="1276" w:type="dxa"/>
            <w:noWrap w:val="0"/>
            <w:vAlign w:val="top"/>
          </w:tcPr>
          <w:p w14:paraId="7D3F376A">
            <w:pPr>
              <w:pStyle w:val="58"/>
              <w:spacing w:line="240" w:lineRule="exact"/>
              <w:rPr>
                <w:bCs/>
                <w:color w:val="auto"/>
                <w:highlight w:val="none"/>
              </w:rPr>
            </w:pPr>
            <w:r>
              <w:rPr>
                <w:rFonts w:hint="eastAsia"/>
                <w:bCs/>
                <w:color w:val="auto"/>
                <w:highlight w:val="none"/>
              </w:rPr>
              <w:t>中</w:t>
            </w:r>
          </w:p>
        </w:tc>
      </w:tr>
      <w:tr w14:paraId="642B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09" w:type="dxa"/>
            <w:noWrap w:val="0"/>
            <w:vAlign w:val="top"/>
          </w:tcPr>
          <w:p w14:paraId="038D6AEC">
            <w:pPr>
              <w:pStyle w:val="58"/>
              <w:spacing w:line="240" w:lineRule="exact"/>
              <w:rPr>
                <w:bCs/>
                <w:color w:val="auto"/>
                <w:highlight w:val="none"/>
              </w:rPr>
            </w:pPr>
            <w:r>
              <w:rPr>
                <w:rFonts w:hint="eastAsia"/>
                <w:bCs/>
                <w:color w:val="auto"/>
                <w:highlight w:val="none"/>
              </w:rPr>
              <w:t>13</w:t>
            </w:r>
          </w:p>
        </w:tc>
        <w:tc>
          <w:tcPr>
            <w:tcW w:w="1612" w:type="dxa"/>
            <w:noWrap w:val="0"/>
            <w:vAlign w:val="top"/>
          </w:tcPr>
          <w:p w14:paraId="4442A50E">
            <w:pPr>
              <w:pStyle w:val="58"/>
              <w:spacing w:line="240" w:lineRule="exact"/>
              <w:rPr>
                <w:bCs/>
                <w:color w:val="auto"/>
                <w:highlight w:val="none"/>
              </w:rPr>
            </w:pPr>
            <w:r>
              <w:rPr>
                <w:rFonts w:hint="eastAsia"/>
                <w:bCs/>
                <w:color w:val="auto"/>
                <w:highlight w:val="none"/>
              </w:rPr>
              <w:t>紧急报警</w:t>
            </w:r>
          </w:p>
        </w:tc>
        <w:tc>
          <w:tcPr>
            <w:tcW w:w="1774" w:type="dxa"/>
            <w:noWrap w:val="0"/>
            <w:vAlign w:val="top"/>
          </w:tcPr>
          <w:p w14:paraId="55C897D3">
            <w:pPr>
              <w:pStyle w:val="58"/>
              <w:spacing w:line="240" w:lineRule="exact"/>
              <w:rPr>
                <w:bCs/>
                <w:color w:val="auto"/>
                <w:highlight w:val="none"/>
              </w:rPr>
            </w:pPr>
            <w:r>
              <w:rPr>
                <w:rFonts w:hint="eastAsia"/>
                <w:bCs/>
                <w:color w:val="auto"/>
                <w:highlight w:val="none"/>
              </w:rPr>
              <w:t>所有</w:t>
            </w:r>
          </w:p>
        </w:tc>
        <w:tc>
          <w:tcPr>
            <w:tcW w:w="1842" w:type="dxa"/>
            <w:noWrap w:val="0"/>
            <w:vAlign w:val="top"/>
          </w:tcPr>
          <w:p w14:paraId="0441E651">
            <w:pPr>
              <w:pStyle w:val="58"/>
              <w:spacing w:line="240" w:lineRule="exact"/>
              <w:rPr>
                <w:bCs/>
                <w:color w:val="auto"/>
                <w:highlight w:val="none"/>
              </w:rPr>
            </w:pPr>
            <w:r>
              <w:rPr>
                <w:rFonts w:hint="eastAsia"/>
                <w:bCs/>
                <w:color w:val="auto"/>
                <w:highlight w:val="none"/>
              </w:rPr>
              <w:t>报警按钮报警</w:t>
            </w:r>
          </w:p>
        </w:tc>
        <w:tc>
          <w:tcPr>
            <w:tcW w:w="1276" w:type="dxa"/>
            <w:noWrap w:val="0"/>
            <w:vAlign w:val="top"/>
          </w:tcPr>
          <w:p w14:paraId="75D5DBDA">
            <w:pPr>
              <w:pStyle w:val="58"/>
              <w:spacing w:line="240" w:lineRule="exact"/>
              <w:rPr>
                <w:bCs/>
                <w:color w:val="auto"/>
                <w:highlight w:val="none"/>
              </w:rPr>
            </w:pPr>
            <w:r>
              <w:rPr>
                <w:rFonts w:hint="eastAsia"/>
                <w:bCs/>
                <w:color w:val="auto"/>
                <w:highlight w:val="none"/>
              </w:rPr>
              <w:t>高</w:t>
            </w:r>
          </w:p>
        </w:tc>
      </w:tr>
    </w:tbl>
    <w:p w14:paraId="6F97AB00">
      <w:pPr>
        <w:spacing w:line="360" w:lineRule="auto"/>
        <w:ind w:firstLine="420" w:firstLineChars="200"/>
        <w:rPr>
          <w:bCs/>
          <w:color w:val="auto"/>
          <w:highlight w:val="none"/>
        </w:rPr>
      </w:pPr>
      <w:r>
        <w:rPr>
          <w:rFonts w:hint="eastAsia"/>
          <w:bCs/>
          <w:color w:val="auto"/>
          <w:highlight w:val="none"/>
        </w:rPr>
        <w:t>4、报警分发</w:t>
      </w:r>
    </w:p>
    <w:p w14:paraId="405B8191">
      <w:pPr>
        <w:spacing w:line="360" w:lineRule="auto"/>
        <w:ind w:firstLine="420" w:firstLineChars="200"/>
        <w:rPr>
          <w:bCs/>
          <w:color w:val="auto"/>
          <w:highlight w:val="none"/>
        </w:rPr>
      </w:pPr>
      <w:r>
        <w:rPr>
          <w:rFonts w:hint="eastAsia"/>
          <w:bCs/>
          <w:color w:val="auto"/>
          <w:highlight w:val="none"/>
        </w:rPr>
        <w:t>根据报警级别和区域职能对报警信息进行分级分层分发；对于级别为低和中的报警，报警分发到相应的联勤值班室，其中报警级别为中的联勤值班室值班人员必须在规定的时间内对报警进行处置，如超时未处置则报警自动推送到指挥中心；对于报警级别为高的报警，同时推送到相关职能联勤值班室和指挥中心；推送的报警信息需包含报警点名称，报警描述，报警时间。</w:t>
      </w:r>
    </w:p>
    <w:p w14:paraId="4256A4E3">
      <w:pPr>
        <w:spacing w:line="360" w:lineRule="auto"/>
        <w:ind w:firstLine="420" w:firstLineChars="200"/>
        <w:rPr>
          <w:bCs/>
          <w:color w:val="auto"/>
          <w:highlight w:val="none"/>
        </w:rPr>
      </w:pPr>
      <w:r>
        <w:rPr>
          <w:rFonts w:hint="eastAsia"/>
          <w:bCs/>
          <w:color w:val="auto"/>
          <w:highlight w:val="none"/>
        </w:rPr>
        <w:t>5、报警事件</w:t>
      </w:r>
    </w:p>
    <w:p w14:paraId="1B5566DB">
      <w:pPr>
        <w:spacing w:line="360" w:lineRule="auto"/>
        <w:ind w:firstLine="420" w:firstLineChars="200"/>
        <w:rPr>
          <w:bCs/>
          <w:color w:val="auto"/>
          <w:highlight w:val="none"/>
        </w:rPr>
      </w:pPr>
      <w:r>
        <w:rPr>
          <w:rFonts w:hint="eastAsia"/>
          <w:bCs/>
          <w:color w:val="auto"/>
          <w:highlight w:val="none"/>
        </w:rPr>
        <w:t>支持报警事件管理，设置多种报警事件以及每种报警事件的处置流程，当用户进行报警处置时，可快速选择报警事件，平台可根据报警事件自动录入处置信息。</w:t>
      </w:r>
    </w:p>
    <w:p w14:paraId="43382816">
      <w:pPr>
        <w:spacing w:line="360" w:lineRule="auto"/>
        <w:ind w:firstLine="420" w:firstLineChars="200"/>
        <w:rPr>
          <w:bCs/>
          <w:color w:val="auto"/>
          <w:highlight w:val="none"/>
        </w:rPr>
      </w:pPr>
      <w:r>
        <w:rPr>
          <w:rFonts w:hint="eastAsia"/>
          <w:bCs/>
          <w:color w:val="auto"/>
          <w:highlight w:val="none"/>
        </w:rPr>
        <w:t>6、报警处置</w:t>
      </w:r>
    </w:p>
    <w:p w14:paraId="68B95C89">
      <w:pPr>
        <w:spacing w:line="360" w:lineRule="auto"/>
        <w:ind w:firstLine="420" w:firstLineChars="200"/>
        <w:rPr>
          <w:bCs/>
          <w:color w:val="auto"/>
          <w:highlight w:val="none"/>
        </w:rPr>
      </w:pPr>
      <w:r>
        <w:rPr>
          <w:rFonts w:hint="eastAsia"/>
          <w:bCs/>
          <w:color w:val="auto"/>
          <w:highlight w:val="none"/>
        </w:rPr>
        <w:t>平台在收到报警信息后，通过报警联动展示报警相关信息，包括G</w:t>
      </w:r>
      <w:r>
        <w:rPr>
          <w:bCs/>
          <w:color w:val="auto"/>
          <w:highlight w:val="none"/>
        </w:rPr>
        <w:t>IS</w:t>
      </w:r>
      <w:r>
        <w:rPr>
          <w:rFonts w:hint="eastAsia"/>
          <w:bCs/>
          <w:color w:val="auto"/>
          <w:highlight w:val="none"/>
        </w:rPr>
        <w:t>地图展示报警信息，联动报警信息关联的图像，联动展示报警点所在区域的值班人员信息，用户根据联动的汇总信息进行研判，在平台上选择报警事件，并可输入报警处置意见形成记录。</w:t>
      </w:r>
    </w:p>
    <w:p w14:paraId="13F19FE5">
      <w:pPr>
        <w:spacing w:line="360" w:lineRule="auto"/>
        <w:ind w:firstLine="420" w:firstLineChars="200"/>
        <w:rPr>
          <w:bCs/>
          <w:color w:val="auto"/>
          <w:highlight w:val="none"/>
        </w:rPr>
      </w:pPr>
      <w:r>
        <w:rPr>
          <w:rFonts w:hint="eastAsia"/>
          <w:bCs/>
          <w:color w:val="auto"/>
          <w:highlight w:val="none"/>
        </w:rPr>
        <w:t>7、报警查询</w:t>
      </w:r>
    </w:p>
    <w:p w14:paraId="74373F68">
      <w:pPr>
        <w:spacing w:line="360" w:lineRule="auto"/>
        <w:ind w:firstLine="420" w:firstLineChars="200"/>
        <w:rPr>
          <w:bCs/>
          <w:color w:val="auto"/>
          <w:highlight w:val="none"/>
        </w:rPr>
      </w:pPr>
      <w:r>
        <w:rPr>
          <w:rFonts w:hint="eastAsia"/>
          <w:bCs/>
          <w:color w:val="auto"/>
          <w:highlight w:val="none"/>
        </w:rPr>
        <w:t>可通过报警时间，报警区域，报警点名称，报警处置状态等条件查询所有报警记录，可查看选中的报警详细信息，包括报警点信息，报警描述，报警时间，报警处置记录，处置人名称，处置时间等。</w:t>
      </w:r>
    </w:p>
    <w:p w14:paraId="264A79A1">
      <w:pPr>
        <w:spacing w:line="360" w:lineRule="auto"/>
        <w:ind w:firstLine="420" w:firstLineChars="200"/>
        <w:rPr>
          <w:bCs/>
          <w:color w:val="auto"/>
          <w:highlight w:val="none"/>
        </w:rPr>
      </w:pPr>
      <w:r>
        <w:rPr>
          <w:rFonts w:hint="eastAsia"/>
          <w:bCs/>
          <w:color w:val="auto"/>
          <w:highlight w:val="none"/>
        </w:rPr>
        <w:t>8、报警统计</w:t>
      </w:r>
    </w:p>
    <w:p w14:paraId="6483AEC4">
      <w:pPr>
        <w:spacing w:line="360" w:lineRule="auto"/>
        <w:ind w:firstLine="420" w:firstLineChars="200"/>
        <w:rPr>
          <w:bCs/>
          <w:color w:val="auto"/>
          <w:highlight w:val="none"/>
        </w:rPr>
      </w:pPr>
      <w:r>
        <w:rPr>
          <w:rFonts w:hint="eastAsia"/>
          <w:bCs/>
          <w:color w:val="auto"/>
          <w:highlight w:val="none"/>
        </w:rPr>
        <w:t>可通过图表和可视化方式展示报警统计数据，可通过报警类型，报警时间段，报警区域等方式展示报警统计信息和数量。</w:t>
      </w:r>
    </w:p>
    <w:p w14:paraId="15F18B0F">
      <w:pPr>
        <w:pStyle w:val="12"/>
        <w:tabs>
          <w:tab w:val="left" w:pos="864"/>
        </w:tabs>
        <w:spacing w:line="360" w:lineRule="auto"/>
        <w:ind w:left="0" w:firstLine="420" w:firstLineChars="200"/>
        <w:rPr>
          <w:color w:val="auto"/>
          <w:szCs w:val="20"/>
          <w:highlight w:val="none"/>
        </w:rPr>
      </w:pPr>
      <w:r>
        <w:rPr>
          <w:rFonts w:hint="eastAsia"/>
          <w:color w:val="auto"/>
          <w:highlight w:val="none"/>
        </w:rPr>
        <w:t>电子巡查</w:t>
      </w:r>
    </w:p>
    <w:p w14:paraId="3D81676F">
      <w:pPr>
        <w:spacing w:line="360" w:lineRule="auto"/>
        <w:ind w:firstLine="420" w:firstLineChars="200"/>
        <w:rPr>
          <w:bCs/>
          <w:color w:val="auto"/>
          <w:highlight w:val="none"/>
        </w:rPr>
      </w:pPr>
      <w:r>
        <w:rPr>
          <w:rFonts w:hint="eastAsia"/>
          <w:bCs/>
          <w:color w:val="auto"/>
          <w:highlight w:val="none"/>
        </w:rPr>
        <w:t>1、巡查线路规划</w:t>
      </w:r>
    </w:p>
    <w:p w14:paraId="65FCE2C8">
      <w:pPr>
        <w:spacing w:line="360" w:lineRule="auto"/>
        <w:ind w:firstLine="420" w:firstLineChars="200"/>
        <w:rPr>
          <w:bCs/>
          <w:color w:val="auto"/>
          <w:highlight w:val="none"/>
        </w:rPr>
      </w:pPr>
      <w:r>
        <w:rPr>
          <w:rFonts w:hint="eastAsia"/>
          <w:bCs/>
          <w:color w:val="auto"/>
          <w:highlight w:val="none"/>
        </w:rPr>
        <w:t>平台通过系统集成门禁点刷卡实现警察的电子巡查功能，可通过选择门禁巡查点以及每个点位的巡查时间规划巡查线路，设置巡查人员。</w:t>
      </w:r>
    </w:p>
    <w:p w14:paraId="5B067999">
      <w:pPr>
        <w:spacing w:line="360" w:lineRule="auto"/>
        <w:ind w:firstLine="420" w:firstLineChars="200"/>
        <w:rPr>
          <w:bCs/>
          <w:color w:val="auto"/>
          <w:highlight w:val="none"/>
        </w:rPr>
      </w:pPr>
      <w:r>
        <w:rPr>
          <w:rFonts w:hint="eastAsia"/>
          <w:bCs/>
          <w:color w:val="auto"/>
          <w:highlight w:val="none"/>
        </w:rPr>
        <w:t>2、巡查自动提醒</w:t>
      </w:r>
    </w:p>
    <w:p w14:paraId="11D694F3">
      <w:pPr>
        <w:spacing w:line="360" w:lineRule="auto"/>
        <w:ind w:firstLine="420" w:firstLineChars="200"/>
        <w:rPr>
          <w:bCs/>
          <w:color w:val="auto"/>
          <w:highlight w:val="none"/>
        </w:rPr>
      </w:pPr>
      <w:r>
        <w:rPr>
          <w:rFonts w:hint="eastAsia"/>
          <w:bCs/>
          <w:color w:val="auto"/>
          <w:highlight w:val="none"/>
        </w:rPr>
        <w:t>根据巡查方案的时间和职能自动提醒本区域巡查人员开始巡查。</w:t>
      </w:r>
    </w:p>
    <w:p w14:paraId="551A222E">
      <w:pPr>
        <w:spacing w:line="360" w:lineRule="auto"/>
        <w:ind w:firstLine="420" w:firstLineChars="200"/>
        <w:rPr>
          <w:bCs/>
          <w:color w:val="auto"/>
          <w:highlight w:val="none"/>
        </w:rPr>
      </w:pPr>
      <w:r>
        <w:rPr>
          <w:rFonts w:hint="eastAsia"/>
          <w:bCs/>
          <w:color w:val="auto"/>
          <w:highlight w:val="none"/>
        </w:rPr>
        <w:t>3</w:t>
      </w:r>
      <w:r>
        <w:rPr>
          <w:bCs/>
          <w:color w:val="auto"/>
          <w:highlight w:val="none"/>
        </w:rPr>
        <w:t>、</w:t>
      </w:r>
      <w:r>
        <w:rPr>
          <w:rFonts w:hint="eastAsia"/>
          <w:bCs/>
          <w:color w:val="auto"/>
          <w:highlight w:val="none"/>
        </w:rPr>
        <w:t>巡查异常提醒</w:t>
      </w:r>
    </w:p>
    <w:p w14:paraId="36EE37A5">
      <w:pPr>
        <w:spacing w:line="360" w:lineRule="auto"/>
        <w:ind w:firstLine="420" w:firstLineChars="200"/>
        <w:rPr>
          <w:bCs/>
          <w:color w:val="auto"/>
          <w:szCs w:val="20"/>
          <w:highlight w:val="none"/>
        </w:rPr>
      </w:pPr>
      <w:r>
        <w:rPr>
          <w:rFonts w:hint="eastAsia"/>
          <w:bCs/>
          <w:color w:val="auto"/>
          <w:highlight w:val="none"/>
        </w:rPr>
        <w:t>针对每个巡查点和时间要求，进行巡查异常提醒，避免出现漏巡晚巡。</w:t>
      </w:r>
    </w:p>
    <w:p w14:paraId="62D3BF4E">
      <w:pPr>
        <w:spacing w:line="360" w:lineRule="auto"/>
        <w:ind w:firstLine="420" w:firstLineChars="200"/>
        <w:rPr>
          <w:bCs/>
          <w:color w:val="auto"/>
          <w:highlight w:val="none"/>
        </w:rPr>
      </w:pPr>
      <w:r>
        <w:rPr>
          <w:rFonts w:hint="eastAsia"/>
          <w:bCs/>
          <w:color w:val="auto"/>
          <w:highlight w:val="none"/>
        </w:rPr>
        <w:t>4、漏巡晚巡报警</w:t>
      </w:r>
    </w:p>
    <w:p w14:paraId="33226E66">
      <w:pPr>
        <w:spacing w:line="360" w:lineRule="auto"/>
        <w:ind w:firstLine="420" w:firstLineChars="200"/>
        <w:rPr>
          <w:bCs/>
          <w:color w:val="auto"/>
          <w:highlight w:val="none"/>
        </w:rPr>
      </w:pPr>
      <w:r>
        <w:rPr>
          <w:rFonts w:hint="eastAsia"/>
          <w:bCs/>
          <w:color w:val="auto"/>
          <w:highlight w:val="none"/>
        </w:rPr>
        <w:t>平台监控巡查方案的状态，如出现漏巡晚巡则产生报警提示。</w:t>
      </w:r>
    </w:p>
    <w:p w14:paraId="6281FDFD">
      <w:pPr>
        <w:spacing w:line="360" w:lineRule="auto"/>
        <w:ind w:firstLine="420" w:firstLineChars="200"/>
        <w:rPr>
          <w:bCs/>
          <w:color w:val="auto"/>
          <w:highlight w:val="none"/>
        </w:rPr>
      </w:pPr>
      <w:r>
        <w:rPr>
          <w:rFonts w:hint="eastAsia"/>
          <w:bCs/>
          <w:color w:val="auto"/>
          <w:highlight w:val="none"/>
        </w:rPr>
        <w:t>5、巡查记录统计分析</w:t>
      </w:r>
    </w:p>
    <w:p w14:paraId="7458919B">
      <w:pPr>
        <w:spacing w:line="360" w:lineRule="auto"/>
        <w:ind w:firstLine="420" w:firstLineChars="200"/>
        <w:rPr>
          <w:bCs/>
          <w:color w:val="auto"/>
          <w:highlight w:val="none"/>
        </w:rPr>
      </w:pPr>
      <w:r>
        <w:rPr>
          <w:rFonts w:hint="eastAsia"/>
          <w:bCs/>
          <w:color w:val="auto"/>
          <w:highlight w:val="none"/>
        </w:rPr>
        <w:t>巡查信息查询包括巡查人员的姓名、部门、巡查日期、巡查次数，巡查状况等信息。统计分析是对巡查信息进行分析，分析内容包括巡查状况的正常与异常的比例、巡查人员的巡查次数比例，以表格形式和图像报表的形式展示。可自定义查询条件，查询结果可打印、导出。</w:t>
      </w:r>
    </w:p>
    <w:p w14:paraId="4D42ADF2">
      <w:pPr>
        <w:spacing w:line="360" w:lineRule="auto"/>
        <w:ind w:firstLine="420" w:firstLineChars="200"/>
        <w:rPr>
          <w:bCs/>
          <w:color w:val="auto"/>
          <w:highlight w:val="none"/>
        </w:rPr>
      </w:pPr>
      <w:r>
        <w:rPr>
          <w:rFonts w:hint="eastAsia"/>
          <w:bCs/>
          <w:color w:val="auto"/>
          <w:highlight w:val="none"/>
        </w:rPr>
        <w:t>6、巡查轨迹</w:t>
      </w:r>
    </w:p>
    <w:p w14:paraId="5C830B1A">
      <w:pPr>
        <w:spacing w:line="360" w:lineRule="auto"/>
        <w:ind w:firstLine="420" w:firstLineChars="200"/>
        <w:rPr>
          <w:bCs/>
          <w:color w:val="auto"/>
          <w:highlight w:val="none"/>
        </w:rPr>
      </w:pPr>
      <w:r>
        <w:rPr>
          <w:rFonts w:hint="eastAsia"/>
          <w:bCs/>
          <w:color w:val="auto"/>
          <w:highlight w:val="none"/>
        </w:rPr>
        <w:t>可在电子地图上展示电子巡查的巡查轨迹。</w:t>
      </w:r>
    </w:p>
    <w:p w14:paraId="7AE7AC58">
      <w:pPr>
        <w:pStyle w:val="12"/>
        <w:tabs>
          <w:tab w:val="left" w:pos="864"/>
        </w:tabs>
        <w:spacing w:line="360" w:lineRule="auto"/>
        <w:ind w:left="0" w:firstLine="420" w:firstLineChars="200"/>
        <w:rPr>
          <w:color w:val="auto"/>
          <w:highlight w:val="none"/>
        </w:rPr>
      </w:pPr>
      <w:r>
        <w:rPr>
          <w:rFonts w:hint="eastAsia"/>
          <w:color w:val="auto"/>
          <w:highlight w:val="none"/>
        </w:rPr>
        <w:t>视频智能分析</w:t>
      </w:r>
    </w:p>
    <w:p w14:paraId="4ECAF37F">
      <w:pPr>
        <w:spacing w:line="360" w:lineRule="auto"/>
        <w:ind w:firstLine="420" w:firstLineChars="200"/>
        <w:rPr>
          <w:bCs/>
          <w:color w:val="auto"/>
          <w:highlight w:val="none"/>
        </w:rPr>
      </w:pPr>
      <w:r>
        <w:rPr>
          <w:rFonts w:hint="eastAsia"/>
          <w:bCs/>
          <w:color w:val="auto"/>
          <w:highlight w:val="none"/>
        </w:rPr>
        <w:t>平台通过集成智能视频分析设备，实现入侵检测、罪犯行为检测（攀高，徘徊）、越界检测，并能接受视频智能分析设备的报警信息并进行相关联动。</w:t>
      </w:r>
    </w:p>
    <w:p w14:paraId="73E8A648">
      <w:pPr>
        <w:pStyle w:val="12"/>
        <w:tabs>
          <w:tab w:val="left" w:pos="864"/>
        </w:tabs>
        <w:spacing w:line="360" w:lineRule="auto"/>
        <w:ind w:left="0" w:firstLine="420" w:firstLineChars="200"/>
        <w:rPr>
          <w:color w:val="auto"/>
          <w:highlight w:val="none"/>
        </w:rPr>
      </w:pPr>
      <w:r>
        <w:rPr>
          <w:rFonts w:hint="eastAsia"/>
          <w:color w:val="auto"/>
          <w:highlight w:val="none"/>
        </w:rPr>
        <w:t>目标跟踪</w:t>
      </w:r>
    </w:p>
    <w:p w14:paraId="42C929FB">
      <w:pPr>
        <w:spacing w:line="360" w:lineRule="auto"/>
        <w:ind w:firstLine="420" w:firstLineChars="200"/>
        <w:rPr>
          <w:bCs/>
          <w:color w:val="auto"/>
          <w:highlight w:val="none"/>
        </w:rPr>
      </w:pPr>
      <w:r>
        <w:rPr>
          <w:rFonts w:hint="eastAsia"/>
          <w:bCs/>
          <w:color w:val="auto"/>
          <w:highlight w:val="none"/>
        </w:rPr>
        <w:t>展示正在监控的跟踪目标的信息，在电子地图上实时显示跟踪目标的位置信息。</w:t>
      </w:r>
    </w:p>
    <w:p w14:paraId="2D5F0400">
      <w:pPr>
        <w:pStyle w:val="12"/>
        <w:tabs>
          <w:tab w:val="left" w:pos="864"/>
        </w:tabs>
        <w:spacing w:line="360" w:lineRule="auto"/>
        <w:ind w:left="0" w:firstLine="420" w:firstLineChars="200"/>
        <w:rPr>
          <w:color w:val="auto"/>
          <w:highlight w:val="none"/>
        </w:rPr>
      </w:pPr>
      <w:r>
        <w:rPr>
          <w:rFonts w:hint="eastAsia"/>
          <w:color w:val="auto"/>
          <w:highlight w:val="none"/>
        </w:rPr>
        <w:t>智能押解</w:t>
      </w:r>
    </w:p>
    <w:p w14:paraId="6FD743A7">
      <w:pPr>
        <w:spacing w:line="360" w:lineRule="auto"/>
        <w:ind w:firstLine="420" w:firstLineChars="200"/>
        <w:rPr>
          <w:bCs/>
          <w:color w:val="auto"/>
          <w:highlight w:val="none"/>
        </w:rPr>
      </w:pPr>
      <w:r>
        <w:rPr>
          <w:rFonts w:hint="eastAsia"/>
          <w:bCs/>
          <w:color w:val="auto"/>
          <w:highlight w:val="none"/>
        </w:rPr>
        <w:t>展示所有智能押解目标的状态，能实时查看智能押解目标的图像。</w:t>
      </w:r>
    </w:p>
    <w:p w14:paraId="6A0A31ED">
      <w:pPr>
        <w:pStyle w:val="11"/>
        <w:spacing w:before="0" w:after="0" w:line="360" w:lineRule="auto"/>
        <w:ind w:firstLine="562" w:firstLineChars="200"/>
        <w:rPr>
          <w:color w:val="auto"/>
          <w:highlight w:val="none"/>
        </w:rPr>
      </w:pPr>
      <w:r>
        <w:rPr>
          <w:rFonts w:hint="eastAsia"/>
          <w:color w:val="auto"/>
          <w:highlight w:val="none"/>
        </w:rPr>
        <w:t>报警联动</w:t>
      </w:r>
    </w:p>
    <w:p w14:paraId="69A04F88">
      <w:pPr>
        <w:spacing w:line="360" w:lineRule="auto"/>
        <w:ind w:firstLine="420" w:firstLineChars="200"/>
        <w:rPr>
          <w:bCs/>
          <w:color w:val="auto"/>
          <w:highlight w:val="none"/>
        </w:rPr>
      </w:pPr>
      <w:r>
        <w:rPr>
          <w:bCs/>
          <w:color w:val="auto"/>
          <w:highlight w:val="none"/>
        </w:rPr>
        <w:t>报警处置管理应具备以下要求：</w:t>
      </w:r>
    </w:p>
    <w:p w14:paraId="625170B3">
      <w:pPr>
        <w:spacing w:line="360" w:lineRule="auto"/>
        <w:ind w:firstLine="420" w:firstLineChars="200"/>
        <w:rPr>
          <w:bCs/>
          <w:color w:val="auto"/>
          <w:highlight w:val="none"/>
        </w:rPr>
      </w:pPr>
      <w:r>
        <w:rPr>
          <w:rFonts w:hint="eastAsia"/>
          <w:bCs/>
          <w:color w:val="auto"/>
          <w:highlight w:val="none"/>
        </w:rPr>
        <w:t>1、</w:t>
      </w:r>
      <w:r>
        <w:rPr>
          <w:bCs/>
          <w:color w:val="auto"/>
          <w:highlight w:val="none"/>
        </w:rPr>
        <w:t>接警管理：支持对警情、报警接警信息进行登记、存储、上报和发布，并可根据警情狱情实时启动相应的处置预案。</w:t>
      </w:r>
    </w:p>
    <w:p w14:paraId="409BE6AA">
      <w:pPr>
        <w:spacing w:line="360" w:lineRule="auto"/>
        <w:ind w:firstLine="420" w:firstLineChars="200"/>
        <w:rPr>
          <w:bCs/>
          <w:color w:val="auto"/>
          <w:highlight w:val="none"/>
        </w:rPr>
      </w:pPr>
      <w:r>
        <w:rPr>
          <w:rFonts w:hint="eastAsia"/>
          <w:bCs/>
          <w:color w:val="auto"/>
          <w:highlight w:val="none"/>
        </w:rPr>
        <w:t>2、</w:t>
      </w:r>
      <w:r>
        <w:rPr>
          <w:bCs/>
          <w:color w:val="auto"/>
          <w:highlight w:val="none"/>
        </w:rPr>
        <w:t>安防联动：支持根据狱情警情和预案，自动联动监控定位切换跟踪、门禁开关控制、语音喊话告警信息广播、信息报告上传短信息和通知公告显播等。</w:t>
      </w:r>
    </w:p>
    <w:p w14:paraId="38BA9DE2">
      <w:pPr>
        <w:spacing w:line="360" w:lineRule="auto"/>
        <w:ind w:firstLine="420" w:firstLineChars="200"/>
        <w:rPr>
          <w:bCs/>
          <w:color w:val="auto"/>
          <w:highlight w:val="none"/>
        </w:rPr>
      </w:pPr>
      <w:r>
        <w:rPr>
          <w:rFonts w:hint="eastAsia"/>
          <w:bCs/>
          <w:color w:val="auto"/>
          <w:highlight w:val="none"/>
        </w:rPr>
        <w:t>3、</w:t>
      </w:r>
      <w:r>
        <w:rPr>
          <w:bCs/>
          <w:color w:val="auto"/>
          <w:highlight w:val="none"/>
        </w:rPr>
        <w:t>设备集中控制：支持对各个安防设施（备）的集中控制管理，如：调阅现场监控音视频、监控云台控制、监听声音调整、启动或解除门禁联动、自动语音广播、广播喊话控制和发送短信等。</w:t>
      </w:r>
    </w:p>
    <w:p w14:paraId="3CCED8BB">
      <w:pPr>
        <w:spacing w:line="360" w:lineRule="auto"/>
        <w:ind w:firstLine="420" w:firstLineChars="200"/>
        <w:rPr>
          <w:bCs/>
          <w:color w:val="auto"/>
          <w:highlight w:val="none"/>
        </w:rPr>
      </w:pPr>
      <w:r>
        <w:rPr>
          <w:rFonts w:hint="eastAsia"/>
          <w:bCs/>
          <w:color w:val="auto"/>
          <w:highlight w:val="none"/>
        </w:rPr>
        <w:t>4、</w:t>
      </w:r>
      <w:r>
        <w:rPr>
          <w:bCs/>
          <w:color w:val="auto"/>
          <w:highlight w:val="none"/>
        </w:rPr>
        <w:t>处置过程管理：支持对罪犯基本信息、图片信息、罪犯动态移动轨迹信息、视频监控信息、音频监听信息、报警信息、围墙电网信息、门禁信息、广播信息和事件案例等相关信息的检索查询；同时对各处置信息的收集、确认、发布，实现处置现场实时辅助指挥。</w:t>
      </w:r>
    </w:p>
    <w:p w14:paraId="004E97AF">
      <w:pPr>
        <w:spacing w:line="360" w:lineRule="auto"/>
        <w:ind w:firstLine="420" w:firstLineChars="200"/>
        <w:rPr>
          <w:bCs/>
          <w:color w:val="auto"/>
          <w:highlight w:val="none"/>
        </w:rPr>
      </w:pPr>
      <w:r>
        <w:rPr>
          <w:rFonts w:hint="eastAsia"/>
          <w:bCs/>
          <w:color w:val="auto"/>
          <w:highlight w:val="none"/>
        </w:rPr>
        <w:t>5、</w:t>
      </w:r>
      <w:r>
        <w:rPr>
          <w:bCs/>
          <w:color w:val="auto"/>
          <w:highlight w:val="none"/>
        </w:rPr>
        <w:t>警情分析研判：支持对突发事件事态进展的掌握和事态进行分析评估，并实现各级指挥人员事态信息共享管理；支持对突发事件事态的辅助研判、事件关联分析，自动调用启动相关预案，为有效处置提供支持。</w:t>
      </w:r>
    </w:p>
    <w:p w14:paraId="1D6B250D">
      <w:pPr>
        <w:pStyle w:val="12"/>
        <w:tabs>
          <w:tab w:val="left" w:pos="864"/>
        </w:tabs>
        <w:spacing w:line="360" w:lineRule="auto"/>
        <w:ind w:left="0" w:firstLine="420" w:firstLineChars="200"/>
        <w:rPr>
          <w:color w:val="auto"/>
          <w:highlight w:val="none"/>
        </w:rPr>
      </w:pPr>
      <w:r>
        <w:rPr>
          <w:rFonts w:hint="eastAsia"/>
          <w:color w:val="auto"/>
          <w:highlight w:val="none"/>
        </w:rPr>
        <w:t>联动方案设置</w:t>
      </w:r>
    </w:p>
    <w:p w14:paraId="3D5AFCE8">
      <w:pPr>
        <w:spacing w:line="360" w:lineRule="auto"/>
        <w:ind w:firstLine="420" w:firstLineChars="200"/>
        <w:rPr>
          <w:bCs/>
          <w:color w:val="auto"/>
          <w:highlight w:val="none"/>
        </w:rPr>
      </w:pPr>
      <w:r>
        <w:rPr>
          <w:rFonts w:hint="eastAsia"/>
          <w:bCs/>
          <w:color w:val="auto"/>
          <w:highlight w:val="none"/>
        </w:rPr>
        <w:t>平台可根据联动预案灵活配置联动方式、联动点位、联动时间段，联动方式包括视频图像联动、门禁联动、广播联动、监管改造信息联动、警察信息联动等。</w:t>
      </w:r>
    </w:p>
    <w:p w14:paraId="22C9F303">
      <w:pPr>
        <w:pStyle w:val="12"/>
        <w:tabs>
          <w:tab w:val="left" w:pos="864"/>
        </w:tabs>
        <w:spacing w:line="360" w:lineRule="auto"/>
        <w:ind w:left="0" w:firstLine="420" w:firstLineChars="200"/>
        <w:rPr>
          <w:color w:val="auto"/>
          <w:highlight w:val="none"/>
        </w:rPr>
      </w:pPr>
      <w:r>
        <w:rPr>
          <w:rFonts w:hint="eastAsia"/>
          <w:color w:val="auto"/>
          <w:highlight w:val="none"/>
        </w:rPr>
        <w:t>联动分级推送</w:t>
      </w:r>
    </w:p>
    <w:p w14:paraId="22C2002D">
      <w:pPr>
        <w:spacing w:line="360" w:lineRule="auto"/>
        <w:ind w:firstLine="420" w:firstLineChars="200"/>
        <w:rPr>
          <w:bCs/>
          <w:color w:val="auto"/>
          <w:highlight w:val="none"/>
        </w:rPr>
      </w:pPr>
      <w:r>
        <w:rPr>
          <w:rFonts w:hint="eastAsia"/>
          <w:bCs/>
          <w:color w:val="auto"/>
          <w:highlight w:val="none"/>
        </w:rPr>
        <w:t>系统多级联动，上级可以对下级的资源进行管理和监控，日常可随意对已授权的监控的进行查看，实时的了解到下属的情况，同时上级可实时的接收下级所有的安防类报警信息。当发生突发事件时，上级可直接启动下级的应急预案，指导下级进行应急处置。</w:t>
      </w:r>
    </w:p>
    <w:p w14:paraId="51B3A136">
      <w:pPr>
        <w:pStyle w:val="12"/>
        <w:tabs>
          <w:tab w:val="left" w:pos="864"/>
        </w:tabs>
        <w:spacing w:line="360" w:lineRule="auto"/>
        <w:ind w:left="0" w:firstLine="420" w:firstLineChars="200"/>
        <w:rPr>
          <w:color w:val="auto"/>
          <w:highlight w:val="none"/>
        </w:rPr>
      </w:pPr>
      <w:r>
        <w:rPr>
          <w:rFonts w:hint="eastAsia"/>
          <w:color w:val="auto"/>
          <w:highlight w:val="none"/>
        </w:rPr>
        <w:t>视频图像联动</w:t>
      </w:r>
    </w:p>
    <w:p w14:paraId="3770EC1A">
      <w:pPr>
        <w:spacing w:line="360" w:lineRule="auto"/>
        <w:ind w:firstLine="420" w:firstLineChars="200"/>
        <w:rPr>
          <w:bCs/>
          <w:color w:val="auto"/>
          <w:highlight w:val="none"/>
        </w:rPr>
      </w:pPr>
      <w:r>
        <w:rPr>
          <w:rFonts w:hint="eastAsia"/>
          <w:bCs/>
          <w:color w:val="auto"/>
          <w:highlight w:val="none"/>
        </w:rPr>
        <w:t>发生报警后，平台可自动启动预先设置的联动方案，将部署在该报警点附近的摄像机图像在平台上显示，获取现场有效画面，供调度指挥使用。</w:t>
      </w:r>
    </w:p>
    <w:p w14:paraId="52255BFB">
      <w:pPr>
        <w:pStyle w:val="12"/>
        <w:tabs>
          <w:tab w:val="left" w:pos="864"/>
        </w:tabs>
        <w:spacing w:line="360" w:lineRule="auto"/>
        <w:ind w:left="0" w:firstLine="420" w:firstLineChars="200"/>
        <w:rPr>
          <w:color w:val="auto"/>
          <w:highlight w:val="none"/>
        </w:rPr>
      </w:pPr>
      <w:r>
        <w:rPr>
          <w:rFonts w:hint="eastAsia"/>
          <w:color w:val="auto"/>
          <w:highlight w:val="none"/>
        </w:rPr>
        <w:t>图片抓拍联动</w:t>
      </w:r>
    </w:p>
    <w:p w14:paraId="03E62F60">
      <w:pPr>
        <w:spacing w:line="360" w:lineRule="auto"/>
        <w:ind w:firstLine="420" w:firstLineChars="200"/>
        <w:rPr>
          <w:bCs/>
          <w:color w:val="auto"/>
          <w:highlight w:val="none"/>
        </w:rPr>
      </w:pPr>
      <w:r>
        <w:rPr>
          <w:rFonts w:hint="eastAsia"/>
          <w:bCs/>
          <w:color w:val="auto"/>
          <w:highlight w:val="none"/>
        </w:rPr>
        <w:t>发生事件(门禁刷卡</w:t>
      </w:r>
      <w:r>
        <w:rPr>
          <w:bCs/>
          <w:color w:val="auto"/>
          <w:highlight w:val="none"/>
        </w:rPr>
        <w:t>)</w:t>
      </w:r>
      <w:r>
        <w:rPr>
          <w:rFonts w:hint="eastAsia"/>
          <w:bCs/>
          <w:color w:val="auto"/>
          <w:highlight w:val="none"/>
        </w:rPr>
        <w:t>时，平台可自动进行图片抓拍。</w:t>
      </w:r>
    </w:p>
    <w:p w14:paraId="7257D35A">
      <w:pPr>
        <w:pStyle w:val="12"/>
        <w:tabs>
          <w:tab w:val="left" w:pos="864"/>
        </w:tabs>
        <w:spacing w:line="360" w:lineRule="auto"/>
        <w:ind w:left="0" w:firstLine="420" w:firstLineChars="200"/>
        <w:rPr>
          <w:color w:val="auto"/>
          <w:highlight w:val="none"/>
        </w:rPr>
      </w:pPr>
      <w:r>
        <w:rPr>
          <w:rFonts w:hint="eastAsia"/>
          <w:color w:val="auto"/>
          <w:highlight w:val="none"/>
        </w:rPr>
        <w:t>电子地图联动</w:t>
      </w:r>
    </w:p>
    <w:p w14:paraId="6407D77E">
      <w:pPr>
        <w:spacing w:line="360" w:lineRule="auto"/>
        <w:ind w:firstLine="420" w:firstLineChars="200"/>
        <w:rPr>
          <w:bCs/>
          <w:color w:val="auto"/>
          <w:highlight w:val="none"/>
        </w:rPr>
      </w:pPr>
      <w:r>
        <w:rPr>
          <w:rFonts w:hint="eastAsia"/>
          <w:bCs/>
          <w:color w:val="auto"/>
          <w:highlight w:val="none"/>
        </w:rPr>
        <w:t>发生报警后，在地图上快速定位，切换显示报警区域电子地图（三维、二维），该报警点的图标自动闪烁。</w:t>
      </w:r>
    </w:p>
    <w:p w14:paraId="24C150E4">
      <w:pPr>
        <w:pStyle w:val="12"/>
        <w:tabs>
          <w:tab w:val="left" w:pos="864"/>
        </w:tabs>
        <w:spacing w:line="360" w:lineRule="auto"/>
        <w:ind w:left="0" w:firstLine="420" w:firstLineChars="200"/>
        <w:rPr>
          <w:color w:val="auto"/>
          <w:highlight w:val="none"/>
        </w:rPr>
      </w:pPr>
      <w:r>
        <w:rPr>
          <w:rFonts w:hint="eastAsia"/>
          <w:color w:val="auto"/>
          <w:highlight w:val="none"/>
        </w:rPr>
        <w:t>门禁联动</w:t>
      </w:r>
    </w:p>
    <w:p w14:paraId="0A516A64">
      <w:pPr>
        <w:spacing w:line="360" w:lineRule="auto"/>
        <w:ind w:firstLine="420" w:firstLineChars="200"/>
        <w:rPr>
          <w:bCs/>
          <w:color w:val="auto"/>
          <w:highlight w:val="none"/>
        </w:rPr>
      </w:pPr>
      <w:r>
        <w:rPr>
          <w:rFonts w:hint="eastAsia"/>
          <w:bCs/>
          <w:color w:val="auto"/>
          <w:highlight w:val="none"/>
        </w:rPr>
        <w:t>发生报警后，平台可通过门禁系统自动关闭预先设定的通道，实现最高权限的一键戒严，只有在中心解除报警才能恢复门禁。</w:t>
      </w:r>
    </w:p>
    <w:p w14:paraId="37FD6304">
      <w:pPr>
        <w:pStyle w:val="12"/>
        <w:tabs>
          <w:tab w:val="left" w:pos="864"/>
        </w:tabs>
        <w:spacing w:line="360" w:lineRule="auto"/>
        <w:ind w:left="0" w:firstLine="420" w:firstLineChars="200"/>
        <w:rPr>
          <w:color w:val="auto"/>
          <w:highlight w:val="none"/>
        </w:rPr>
      </w:pPr>
      <w:r>
        <w:rPr>
          <w:rFonts w:hint="eastAsia"/>
          <w:color w:val="auto"/>
          <w:highlight w:val="none"/>
        </w:rPr>
        <w:t>大屏联动</w:t>
      </w:r>
    </w:p>
    <w:p w14:paraId="67D1F640">
      <w:pPr>
        <w:spacing w:line="360" w:lineRule="auto"/>
        <w:ind w:firstLine="420" w:firstLineChars="200"/>
        <w:rPr>
          <w:bCs/>
          <w:color w:val="auto"/>
          <w:highlight w:val="none"/>
        </w:rPr>
      </w:pPr>
      <w:r>
        <w:rPr>
          <w:rFonts w:hint="eastAsia"/>
          <w:bCs/>
          <w:color w:val="auto"/>
          <w:highlight w:val="none"/>
        </w:rPr>
        <w:t>发生报警时，平台可自动联动大屏设备，将报警关联的视频图像自动切换到大屏显示，获取现场有效画面，供调度指挥使用。</w:t>
      </w:r>
    </w:p>
    <w:p w14:paraId="10F3E488">
      <w:pPr>
        <w:pStyle w:val="12"/>
        <w:tabs>
          <w:tab w:val="left" w:pos="864"/>
        </w:tabs>
        <w:spacing w:line="360" w:lineRule="auto"/>
        <w:ind w:left="0" w:firstLine="420" w:firstLineChars="200"/>
        <w:rPr>
          <w:color w:val="auto"/>
          <w:highlight w:val="none"/>
        </w:rPr>
      </w:pPr>
      <w:r>
        <w:rPr>
          <w:rFonts w:hint="eastAsia"/>
          <w:color w:val="auto"/>
          <w:highlight w:val="none"/>
        </w:rPr>
        <w:t>广播联动</w:t>
      </w:r>
    </w:p>
    <w:p w14:paraId="46410FA0">
      <w:pPr>
        <w:spacing w:line="360" w:lineRule="auto"/>
        <w:ind w:firstLine="420" w:firstLineChars="200"/>
        <w:rPr>
          <w:bCs/>
          <w:color w:val="auto"/>
          <w:highlight w:val="none"/>
        </w:rPr>
      </w:pPr>
      <w:r>
        <w:rPr>
          <w:rFonts w:hint="eastAsia"/>
          <w:bCs/>
          <w:color w:val="auto"/>
          <w:highlight w:val="none"/>
        </w:rPr>
        <w:t>在发生报警时，平台可自动联动广播播放声音文件，实现通知、喊话和吓阻作用。</w:t>
      </w:r>
    </w:p>
    <w:p w14:paraId="6361AAF8">
      <w:pPr>
        <w:pStyle w:val="12"/>
        <w:tabs>
          <w:tab w:val="left" w:pos="864"/>
        </w:tabs>
        <w:spacing w:line="360" w:lineRule="auto"/>
        <w:ind w:left="0" w:firstLine="420" w:firstLineChars="200"/>
        <w:rPr>
          <w:color w:val="auto"/>
          <w:highlight w:val="none"/>
        </w:rPr>
      </w:pPr>
      <w:r>
        <w:rPr>
          <w:rFonts w:hint="eastAsia"/>
          <w:color w:val="auto"/>
          <w:highlight w:val="none"/>
        </w:rPr>
        <w:t>本地声音联动</w:t>
      </w:r>
    </w:p>
    <w:p w14:paraId="66A99F4E">
      <w:pPr>
        <w:spacing w:line="360" w:lineRule="auto"/>
        <w:ind w:firstLine="420" w:firstLineChars="200"/>
        <w:rPr>
          <w:bCs/>
          <w:color w:val="auto"/>
          <w:highlight w:val="none"/>
        </w:rPr>
      </w:pPr>
      <w:r>
        <w:rPr>
          <w:rFonts w:hint="eastAsia"/>
          <w:bCs/>
          <w:color w:val="auto"/>
          <w:highlight w:val="none"/>
        </w:rPr>
        <w:t>在发生报警时，平台可自动联动播放本地声音文件，实现对值班警察的提醒作用。</w:t>
      </w:r>
    </w:p>
    <w:p w14:paraId="10512DC6">
      <w:pPr>
        <w:pStyle w:val="12"/>
        <w:tabs>
          <w:tab w:val="left" w:pos="864"/>
        </w:tabs>
        <w:spacing w:line="360" w:lineRule="auto"/>
        <w:ind w:left="0" w:firstLine="420" w:firstLineChars="200"/>
        <w:rPr>
          <w:color w:val="auto"/>
          <w:highlight w:val="none"/>
        </w:rPr>
      </w:pPr>
      <w:r>
        <w:rPr>
          <w:rFonts w:hint="eastAsia"/>
          <w:color w:val="auto"/>
          <w:highlight w:val="none"/>
        </w:rPr>
        <w:t>录像联动</w:t>
      </w:r>
    </w:p>
    <w:p w14:paraId="28C74169">
      <w:pPr>
        <w:spacing w:line="360" w:lineRule="auto"/>
        <w:ind w:firstLine="420" w:firstLineChars="200"/>
        <w:rPr>
          <w:bCs/>
          <w:color w:val="auto"/>
          <w:highlight w:val="none"/>
        </w:rPr>
      </w:pPr>
      <w:r>
        <w:rPr>
          <w:rFonts w:hint="eastAsia"/>
          <w:bCs/>
          <w:color w:val="auto"/>
          <w:highlight w:val="none"/>
        </w:rPr>
        <w:t>在发生报警时，平台可自动联动录像，此录像为报警时间的前后的一段时间的录像，实现证据保存。</w:t>
      </w:r>
    </w:p>
    <w:p w14:paraId="0C720F8D">
      <w:pPr>
        <w:pStyle w:val="12"/>
        <w:tabs>
          <w:tab w:val="left" w:pos="864"/>
        </w:tabs>
        <w:spacing w:line="360" w:lineRule="auto"/>
        <w:ind w:left="0" w:firstLine="420" w:firstLineChars="200"/>
        <w:rPr>
          <w:color w:val="auto"/>
          <w:highlight w:val="none"/>
        </w:rPr>
      </w:pPr>
      <w:r>
        <w:rPr>
          <w:rFonts w:hint="eastAsia"/>
          <w:color w:val="auto"/>
          <w:highlight w:val="none"/>
        </w:rPr>
        <w:t>照明灯联动</w:t>
      </w:r>
    </w:p>
    <w:p w14:paraId="00CA8EAB">
      <w:pPr>
        <w:spacing w:line="360" w:lineRule="auto"/>
        <w:ind w:firstLine="420" w:firstLineChars="200"/>
        <w:rPr>
          <w:bCs/>
          <w:color w:val="auto"/>
          <w:highlight w:val="none"/>
        </w:rPr>
      </w:pPr>
      <w:r>
        <w:rPr>
          <w:rFonts w:hint="eastAsia"/>
          <w:bCs/>
          <w:color w:val="auto"/>
          <w:highlight w:val="none"/>
        </w:rPr>
        <w:t>在发生报警时，平台可自动联动开始周界照明灯。</w:t>
      </w:r>
    </w:p>
    <w:p w14:paraId="6E8597B1">
      <w:pPr>
        <w:pStyle w:val="12"/>
        <w:tabs>
          <w:tab w:val="left" w:pos="864"/>
        </w:tabs>
        <w:spacing w:line="360" w:lineRule="auto"/>
        <w:ind w:left="0" w:firstLine="420" w:firstLineChars="200"/>
        <w:rPr>
          <w:color w:val="auto"/>
          <w:highlight w:val="none"/>
        </w:rPr>
      </w:pPr>
      <w:r>
        <w:rPr>
          <w:rFonts w:hint="eastAsia"/>
          <w:color w:val="auto"/>
          <w:highlight w:val="none"/>
        </w:rPr>
        <w:t>声光报警器联动</w:t>
      </w:r>
    </w:p>
    <w:p w14:paraId="3B3C0EC8">
      <w:pPr>
        <w:spacing w:line="360" w:lineRule="auto"/>
        <w:ind w:firstLine="420" w:firstLineChars="200"/>
        <w:rPr>
          <w:bCs/>
          <w:color w:val="auto"/>
          <w:highlight w:val="none"/>
        </w:rPr>
      </w:pPr>
      <w:r>
        <w:rPr>
          <w:rFonts w:hint="eastAsia"/>
          <w:bCs/>
          <w:color w:val="auto"/>
          <w:highlight w:val="none"/>
        </w:rPr>
        <w:t>在发生报警时，平台可自动联动输出声光报警器发音发生，起到提醒作用。</w:t>
      </w:r>
    </w:p>
    <w:p w14:paraId="608CCFA7">
      <w:pPr>
        <w:pStyle w:val="12"/>
        <w:tabs>
          <w:tab w:val="left" w:pos="864"/>
        </w:tabs>
        <w:spacing w:line="360" w:lineRule="auto"/>
        <w:ind w:left="0" w:firstLine="420" w:firstLineChars="200"/>
        <w:rPr>
          <w:color w:val="auto"/>
          <w:highlight w:val="none"/>
        </w:rPr>
      </w:pPr>
      <w:r>
        <w:rPr>
          <w:rFonts w:hint="eastAsia"/>
          <w:color w:val="auto"/>
          <w:highlight w:val="none"/>
        </w:rPr>
        <w:t>罪犯信息联动</w:t>
      </w:r>
    </w:p>
    <w:p w14:paraId="06EB4BDA">
      <w:pPr>
        <w:spacing w:line="360" w:lineRule="auto"/>
        <w:ind w:firstLine="420" w:firstLineChars="200"/>
        <w:rPr>
          <w:bCs/>
          <w:color w:val="auto"/>
          <w:highlight w:val="none"/>
        </w:rPr>
      </w:pPr>
      <w:r>
        <w:rPr>
          <w:rFonts w:hint="eastAsia"/>
          <w:bCs/>
          <w:color w:val="auto"/>
          <w:highlight w:val="none"/>
        </w:rPr>
        <w:t>在发生报警或者对讲呼叫时，平台可关联显示相关罪犯信息。</w:t>
      </w:r>
    </w:p>
    <w:p w14:paraId="44E5E040">
      <w:pPr>
        <w:pStyle w:val="12"/>
        <w:tabs>
          <w:tab w:val="left" w:pos="864"/>
        </w:tabs>
        <w:spacing w:line="360" w:lineRule="auto"/>
        <w:ind w:left="0" w:firstLine="420" w:firstLineChars="200"/>
        <w:rPr>
          <w:color w:val="auto"/>
          <w:highlight w:val="none"/>
        </w:rPr>
      </w:pPr>
      <w:r>
        <w:rPr>
          <w:rFonts w:hint="eastAsia"/>
          <w:color w:val="auto"/>
          <w:highlight w:val="none"/>
        </w:rPr>
        <w:t>警察信息联动</w:t>
      </w:r>
    </w:p>
    <w:p w14:paraId="2FBDD595">
      <w:pPr>
        <w:spacing w:line="360" w:lineRule="auto"/>
        <w:ind w:firstLine="420" w:firstLineChars="200"/>
        <w:rPr>
          <w:bCs/>
          <w:color w:val="auto"/>
          <w:highlight w:val="none"/>
        </w:rPr>
      </w:pPr>
      <w:r>
        <w:rPr>
          <w:rFonts w:hint="eastAsia"/>
          <w:bCs/>
          <w:color w:val="auto"/>
          <w:highlight w:val="none"/>
        </w:rPr>
        <w:t>在发生报警或者对讲呼叫时，平台可关联显示相关警察信息，信息可包括姓名、警号、联系方式等。</w:t>
      </w:r>
    </w:p>
    <w:p w14:paraId="57768ED4">
      <w:pPr>
        <w:pStyle w:val="11"/>
        <w:spacing w:before="0" w:after="0" w:line="360" w:lineRule="auto"/>
        <w:ind w:firstLine="562" w:firstLineChars="200"/>
        <w:rPr>
          <w:color w:val="auto"/>
          <w:highlight w:val="none"/>
        </w:rPr>
      </w:pPr>
      <w:r>
        <w:rPr>
          <w:rFonts w:hint="eastAsia"/>
          <w:color w:val="auto"/>
          <w:highlight w:val="none"/>
        </w:rPr>
        <w:t>状态监控</w:t>
      </w:r>
    </w:p>
    <w:p w14:paraId="1822BCEE">
      <w:pPr>
        <w:spacing w:line="360" w:lineRule="auto"/>
        <w:ind w:firstLine="420" w:firstLineChars="200"/>
        <w:rPr>
          <w:bCs/>
          <w:color w:val="auto"/>
          <w:highlight w:val="none"/>
        </w:rPr>
      </w:pPr>
      <w:r>
        <w:rPr>
          <w:bCs/>
          <w:color w:val="auto"/>
          <w:highlight w:val="none"/>
        </w:rPr>
        <w:t>设备状态管理应具备以下要求：</w:t>
      </w:r>
    </w:p>
    <w:p w14:paraId="545A06F0">
      <w:pPr>
        <w:spacing w:line="360" w:lineRule="auto"/>
        <w:ind w:firstLine="420" w:firstLineChars="200"/>
        <w:rPr>
          <w:bCs/>
          <w:color w:val="auto"/>
          <w:highlight w:val="none"/>
        </w:rPr>
      </w:pPr>
      <w:r>
        <w:rPr>
          <w:rFonts w:hint="eastAsia"/>
          <w:bCs/>
          <w:color w:val="auto"/>
          <w:highlight w:val="none"/>
        </w:rPr>
        <w:t>1、</w:t>
      </w:r>
      <w:r>
        <w:rPr>
          <w:bCs/>
          <w:color w:val="auto"/>
          <w:highlight w:val="none"/>
        </w:rPr>
        <w:t>设备注册巡检：具有对各系统所有可通信管理的设备进行注册、巡检、统计分析等。</w:t>
      </w:r>
    </w:p>
    <w:p w14:paraId="57F62CC3">
      <w:pPr>
        <w:spacing w:line="360" w:lineRule="auto"/>
        <w:ind w:firstLine="420" w:firstLineChars="200"/>
        <w:rPr>
          <w:bCs/>
          <w:color w:val="auto"/>
          <w:highlight w:val="none"/>
        </w:rPr>
      </w:pPr>
      <w:r>
        <w:rPr>
          <w:rFonts w:hint="eastAsia"/>
          <w:bCs/>
          <w:color w:val="auto"/>
          <w:highlight w:val="none"/>
        </w:rPr>
        <w:t>2、</w:t>
      </w:r>
      <w:r>
        <w:rPr>
          <w:bCs/>
          <w:color w:val="auto"/>
          <w:highlight w:val="none"/>
        </w:rPr>
        <w:t>状态实时侦测：具有在线实时监测设备状态、故障类别和显示运行参数、故障信息等功能。</w:t>
      </w:r>
    </w:p>
    <w:p w14:paraId="29141108">
      <w:pPr>
        <w:spacing w:line="360" w:lineRule="auto"/>
        <w:ind w:firstLine="420" w:firstLineChars="200"/>
        <w:rPr>
          <w:bCs/>
          <w:color w:val="auto"/>
          <w:highlight w:val="none"/>
        </w:rPr>
      </w:pPr>
      <w:r>
        <w:rPr>
          <w:rFonts w:hint="eastAsia"/>
          <w:bCs/>
          <w:color w:val="auto"/>
          <w:highlight w:val="none"/>
        </w:rPr>
        <w:t>3、</w:t>
      </w:r>
      <w:r>
        <w:rPr>
          <w:bCs/>
          <w:color w:val="auto"/>
          <w:highlight w:val="none"/>
        </w:rPr>
        <w:t>故障管理：监测显示故障设备名称、类型、区域、位置、状态、事件、备注等信息，并告警提醒。</w:t>
      </w:r>
    </w:p>
    <w:p w14:paraId="0DE0F701">
      <w:pPr>
        <w:pStyle w:val="12"/>
        <w:tabs>
          <w:tab w:val="left" w:pos="864"/>
        </w:tabs>
        <w:spacing w:line="360" w:lineRule="auto"/>
        <w:ind w:left="0" w:firstLine="420" w:firstLineChars="200"/>
        <w:rPr>
          <w:color w:val="auto"/>
          <w:highlight w:val="none"/>
        </w:rPr>
      </w:pPr>
      <w:r>
        <w:rPr>
          <w:rFonts w:hint="eastAsia"/>
          <w:color w:val="auto"/>
          <w:highlight w:val="none"/>
        </w:rPr>
        <w:t>服务监控</w:t>
      </w:r>
    </w:p>
    <w:p w14:paraId="1FDA3DAB">
      <w:pPr>
        <w:spacing w:line="360" w:lineRule="auto"/>
        <w:ind w:firstLine="420" w:firstLineChars="200"/>
        <w:rPr>
          <w:bCs/>
          <w:color w:val="auto"/>
          <w:highlight w:val="none"/>
        </w:rPr>
      </w:pPr>
      <w:r>
        <w:rPr>
          <w:rFonts w:hint="eastAsia"/>
          <w:bCs/>
          <w:color w:val="auto"/>
          <w:highlight w:val="none"/>
        </w:rPr>
        <w:t>监控平台所有服务的状态，如GIS服务、中心服务、多媒体调度服务、代理转发服务、报警服务、接入服务、级联服务、存储服务、数据服务等平台服务的在线监测，可显示服务名称，I</w:t>
      </w:r>
      <w:r>
        <w:rPr>
          <w:bCs/>
          <w:color w:val="auto"/>
          <w:highlight w:val="none"/>
        </w:rPr>
        <w:t>P</w:t>
      </w:r>
      <w:r>
        <w:rPr>
          <w:rFonts w:hint="eastAsia"/>
          <w:bCs/>
          <w:color w:val="auto"/>
          <w:highlight w:val="none"/>
        </w:rPr>
        <w:t>地址，状态描述；支持远程重启和关闭平台相关服务。</w:t>
      </w:r>
    </w:p>
    <w:p w14:paraId="2D583542">
      <w:pPr>
        <w:pStyle w:val="12"/>
        <w:tabs>
          <w:tab w:val="left" w:pos="864"/>
        </w:tabs>
        <w:spacing w:line="360" w:lineRule="auto"/>
        <w:ind w:left="0" w:firstLine="420" w:firstLineChars="200"/>
        <w:rPr>
          <w:color w:val="auto"/>
          <w:highlight w:val="none"/>
        </w:rPr>
      </w:pPr>
      <w:r>
        <w:rPr>
          <w:rFonts w:hint="eastAsia"/>
          <w:color w:val="auto"/>
          <w:highlight w:val="none"/>
        </w:rPr>
        <w:t>设备级别</w:t>
      </w:r>
    </w:p>
    <w:p w14:paraId="18D63E38">
      <w:pPr>
        <w:spacing w:line="360" w:lineRule="auto"/>
        <w:ind w:firstLine="420" w:firstLineChars="200"/>
        <w:rPr>
          <w:bCs/>
          <w:color w:val="auto"/>
          <w:highlight w:val="none"/>
        </w:rPr>
      </w:pPr>
      <w:r>
        <w:rPr>
          <w:rFonts w:hint="eastAsia"/>
          <w:bCs/>
          <w:color w:val="auto"/>
          <w:highlight w:val="none"/>
        </w:rPr>
        <w:t>可将设备按照重要程度设置成一，二，三级设备，一级设备为最高级别，三级设备为最低级别；设备的异常告警和维护需按照设备级别进行管理；</w:t>
      </w:r>
    </w:p>
    <w:p w14:paraId="28F8B722">
      <w:pPr>
        <w:pStyle w:val="12"/>
        <w:tabs>
          <w:tab w:val="left" w:pos="864"/>
        </w:tabs>
        <w:spacing w:line="360" w:lineRule="auto"/>
        <w:ind w:left="0" w:firstLine="420" w:firstLineChars="200"/>
        <w:rPr>
          <w:color w:val="auto"/>
          <w:highlight w:val="none"/>
        </w:rPr>
      </w:pPr>
      <w:r>
        <w:rPr>
          <w:rFonts w:hint="eastAsia"/>
          <w:color w:val="auto"/>
          <w:highlight w:val="none"/>
        </w:rPr>
        <w:t>设备监控</w:t>
      </w:r>
    </w:p>
    <w:p w14:paraId="06035AC2">
      <w:pPr>
        <w:spacing w:line="360" w:lineRule="auto"/>
        <w:ind w:firstLine="420" w:firstLineChars="200"/>
        <w:rPr>
          <w:bCs/>
          <w:color w:val="auto"/>
          <w:highlight w:val="none"/>
        </w:rPr>
      </w:pPr>
      <w:r>
        <w:rPr>
          <w:rFonts w:hint="eastAsia"/>
          <w:bCs/>
          <w:color w:val="auto"/>
          <w:highlight w:val="none"/>
        </w:rPr>
        <w:t>监控所有安防设备（监控，门禁，对讲，广播，报警、车底扫描、生命探测仪等）</w:t>
      </w:r>
      <w:r>
        <w:rPr>
          <w:bCs/>
          <w:color w:val="auto"/>
          <w:highlight w:val="none"/>
        </w:rPr>
        <w:t>上下线状态监测</w:t>
      </w:r>
      <w:r>
        <w:rPr>
          <w:rFonts w:hint="eastAsia"/>
          <w:bCs/>
          <w:color w:val="auto"/>
          <w:highlight w:val="none"/>
        </w:rPr>
        <w:t>，</w:t>
      </w:r>
      <w:r>
        <w:rPr>
          <w:bCs/>
          <w:color w:val="auto"/>
          <w:highlight w:val="none"/>
        </w:rPr>
        <w:t>终端</w:t>
      </w:r>
      <w:r>
        <w:rPr>
          <w:rFonts w:hint="eastAsia"/>
          <w:bCs/>
          <w:color w:val="auto"/>
          <w:highlight w:val="none"/>
        </w:rPr>
        <w:t>、</w:t>
      </w:r>
      <w:r>
        <w:rPr>
          <w:bCs/>
          <w:color w:val="auto"/>
          <w:highlight w:val="none"/>
        </w:rPr>
        <w:t>服务器性能（CPU负载/内存/磁盘/网卡流量）</w:t>
      </w:r>
      <w:r>
        <w:rPr>
          <w:rFonts w:hint="eastAsia"/>
          <w:bCs/>
          <w:color w:val="auto"/>
          <w:highlight w:val="none"/>
        </w:rPr>
        <w:t>运行状态监控。</w:t>
      </w:r>
    </w:p>
    <w:p w14:paraId="13471A82">
      <w:pPr>
        <w:pStyle w:val="12"/>
        <w:tabs>
          <w:tab w:val="left" w:pos="864"/>
        </w:tabs>
        <w:spacing w:line="360" w:lineRule="auto"/>
        <w:ind w:left="0" w:firstLine="420" w:firstLineChars="200"/>
        <w:rPr>
          <w:color w:val="auto"/>
          <w:highlight w:val="none"/>
        </w:rPr>
      </w:pPr>
      <w:r>
        <w:rPr>
          <w:rFonts w:hint="eastAsia"/>
          <w:color w:val="auto"/>
          <w:highlight w:val="none"/>
        </w:rPr>
        <w:t>控制干预</w:t>
      </w:r>
    </w:p>
    <w:p w14:paraId="73230423">
      <w:pPr>
        <w:spacing w:line="360" w:lineRule="auto"/>
        <w:ind w:firstLine="420" w:firstLineChars="200"/>
        <w:rPr>
          <w:bCs/>
          <w:color w:val="auto"/>
          <w:highlight w:val="none"/>
        </w:rPr>
      </w:pPr>
      <w:r>
        <w:rPr>
          <w:bCs/>
          <w:color w:val="auto"/>
          <w:highlight w:val="none"/>
        </w:rPr>
        <w:t>系统检测服务状态下线后，需提供远程开启服务的功能，</w:t>
      </w:r>
      <w:r>
        <w:rPr>
          <w:rFonts w:hint="eastAsia"/>
          <w:bCs/>
          <w:color w:val="auto"/>
          <w:highlight w:val="none"/>
        </w:rPr>
        <w:t>可对平台服务进行远程启动、重启和关闭；可以</w:t>
      </w:r>
      <w:r>
        <w:rPr>
          <w:bCs/>
          <w:color w:val="auto"/>
          <w:highlight w:val="none"/>
        </w:rPr>
        <w:t>重启远端的解码器</w:t>
      </w:r>
      <w:r>
        <w:rPr>
          <w:rFonts w:hint="eastAsia"/>
          <w:bCs/>
          <w:color w:val="auto"/>
          <w:highlight w:val="none"/>
        </w:rPr>
        <w:t>。</w:t>
      </w:r>
    </w:p>
    <w:p w14:paraId="6C13F395">
      <w:pPr>
        <w:pStyle w:val="12"/>
        <w:tabs>
          <w:tab w:val="left" w:pos="864"/>
        </w:tabs>
        <w:spacing w:line="360" w:lineRule="auto"/>
        <w:ind w:left="0" w:firstLine="420" w:firstLineChars="200"/>
        <w:rPr>
          <w:color w:val="auto"/>
          <w:highlight w:val="none"/>
        </w:rPr>
      </w:pPr>
      <w:r>
        <w:rPr>
          <w:rFonts w:hint="eastAsia"/>
          <w:color w:val="auto"/>
          <w:highlight w:val="none"/>
        </w:rPr>
        <w:t>异常告警</w:t>
      </w:r>
    </w:p>
    <w:p w14:paraId="432F4A79">
      <w:pPr>
        <w:spacing w:line="360" w:lineRule="auto"/>
        <w:ind w:firstLine="420" w:firstLineChars="200"/>
        <w:rPr>
          <w:rFonts w:cs="宋体"/>
          <w:bCs/>
          <w:color w:val="auto"/>
          <w:kern w:val="0"/>
          <w:highlight w:val="none"/>
        </w:rPr>
      </w:pPr>
      <w:r>
        <w:rPr>
          <w:rFonts w:hint="eastAsia"/>
          <w:bCs/>
          <w:color w:val="auto"/>
          <w:highlight w:val="none"/>
        </w:rPr>
        <w:t>可配置告警规则，告警规则根据设备级别设置；当平台服务或者设备下线时，平台支持告警显示，展示出故障点名称，所在区域，故障时间，故障描述。</w:t>
      </w:r>
    </w:p>
    <w:p w14:paraId="56C60E8B">
      <w:pPr>
        <w:pStyle w:val="12"/>
        <w:tabs>
          <w:tab w:val="left" w:pos="864"/>
        </w:tabs>
        <w:spacing w:line="360" w:lineRule="auto"/>
        <w:ind w:left="0" w:firstLine="420" w:firstLineChars="200"/>
        <w:rPr>
          <w:color w:val="auto"/>
          <w:highlight w:val="none"/>
        </w:rPr>
      </w:pPr>
      <w:r>
        <w:rPr>
          <w:rFonts w:hint="eastAsia"/>
          <w:color w:val="auto"/>
          <w:highlight w:val="none"/>
        </w:rPr>
        <w:t>故障上报</w:t>
      </w:r>
    </w:p>
    <w:p w14:paraId="14FD39D6">
      <w:pPr>
        <w:spacing w:line="360" w:lineRule="auto"/>
        <w:ind w:firstLine="420" w:firstLineChars="200"/>
        <w:rPr>
          <w:bCs/>
          <w:color w:val="auto"/>
          <w:highlight w:val="none"/>
        </w:rPr>
      </w:pPr>
      <w:r>
        <w:rPr>
          <w:rFonts w:hint="eastAsia"/>
          <w:bCs/>
          <w:color w:val="auto"/>
          <w:highlight w:val="none"/>
        </w:rPr>
        <w:t>用户可通过本监狱的联勤值班室平台上报设备故障信息，在本监狱指挥中心可查看到所有联勤值班室上传的故障上报信息。</w:t>
      </w:r>
    </w:p>
    <w:p w14:paraId="7529CDE5">
      <w:pPr>
        <w:pStyle w:val="12"/>
        <w:tabs>
          <w:tab w:val="left" w:pos="864"/>
        </w:tabs>
        <w:spacing w:line="360" w:lineRule="auto"/>
        <w:ind w:left="0" w:firstLine="420" w:firstLineChars="200"/>
        <w:rPr>
          <w:color w:val="auto"/>
          <w:highlight w:val="none"/>
        </w:rPr>
      </w:pPr>
      <w:r>
        <w:rPr>
          <w:rFonts w:hint="eastAsia"/>
          <w:color w:val="auto"/>
          <w:highlight w:val="none"/>
        </w:rPr>
        <w:t>统计分析</w:t>
      </w:r>
    </w:p>
    <w:p w14:paraId="496FF964">
      <w:pPr>
        <w:spacing w:line="360" w:lineRule="auto"/>
        <w:ind w:firstLine="420" w:firstLineChars="200"/>
        <w:rPr>
          <w:bCs/>
          <w:color w:val="auto"/>
          <w:highlight w:val="none"/>
        </w:rPr>
      </w:pPr>
      <w:r>
        <w:rPr>
          <w:rFonts w:hint="eastAsia"/>
          <w:bCs/>
          <w:color w:val="auto"/>
          <w:highlight w:val="none"/>
        </w:rPr>
        <w:t>平台展示当前集成所有安防设备数量，故障数量。可按照设备类型，设备级别展示可查看所有设备的详细信息。可通过查询条件和结果导出设备信息。</w:t>
      </w:r>
    </w:p>
    <w:p w14:paraId="299204A6">
      <w:pPr>
        <w:pStyle w:val="11"/>
        <w:spacing w:before="0" w:after="0" w:line="360" w:lineRule="auto"/>
        <w:ind w:firstLine="562" w:firstLineChars="200"/>
        <w:rPr>
          <w:color w:val="auto"/>
          <w:highlight w:val="none"/>
        </w:rPr>
      </w:pPr>
      <w:r>
        <w:rPr>
          <w:rFonts w:hint="eastAsia"/>
          <w:color w:val="auto"/>
          <w:highlight w:val="none"/>
        </w:rPr>
        <w:t>日志管理</w:t>
      </w:r>
    </w:p>
    <w:p w14:paraId="0E1CB626">
      <w:pPr>
        <w:spacing w:line="360" w:lineRule="auto"/>
        <w:ind w:firstLine="420" w:firstLineChars="200"/>
        <w:rPr>
          <w:bCs/>
          <w:color w:val="auto"/>
          <w:highlight w:val="none"/>
        </w:rPr>
      </w:pPr>
      <w:r>
        <w:rPr>
          <w:rFonts w:hint="eastAsia"/>
          <w:bCs/>
          <w:color w:val="auto"/>
          <w:highlight w:val="none"/>
        </w:rPr>
        <w:t>本平台可实现对登陆日志、设备控制日志、联动日志的管理及日志查询功能。</w:t>
      </w:r>
    </w:p>
    <w:p w14:paraId="3E22D6EB">
      <w:pPr>
        <w:pStyle w:val="12"/>
        <w:tabs>
          <w:tab w:val="left" w:pos="864"/>
        </w:tabs>
        <w:spacing w:line="360" w:lineRule="auto"/>
        <w:ind w:left="0" w:firstLine="420" w:firstLineChars="200"/>
        <w:rPr>
          <w:color w:val="auto"/>
          <w:highlight w:val="none"/>
        </w:rPr>
      </w:pPr>
      <w:r>
        <w:rPr>
          <w:rFonts w:hint="eastAsia"/>
          <w:color w:val="auto"/>
          <w:highlight w:val="none"/>
        </w:rPr>
        <w:t>登录日志</w:t>
      </w:r>
    </w:p>
    <w:p w14:paraId="245C18EE">
      <w:pPr>
        <w:spacing w:line="360" w:lineRule="auto"/>
        <w:ind w:firstLine="420" w:firstLineChars="200"/>
        <w:rPr>
          <w:bCs/>
          <w:color w:val="auto"/>
          <w:highlight w:val="none"/>
        </w:rPr>
      </w:pPr>
      <w:r>
        <w:rPr>
          <w:rFonts w:hint="eastAsia"/>
          <w:bCs/>
          <w:color w:val="auto"/>
          <w:highlight w:val="none"/>
        </w:rPr>
        <w:t>记录系统的用户登录，注销，退出操做；</w:t>
      </w:r>
    </w:p>
    <w:p w14:paraId="7CF1DB7E">
      <w:pPr>
        <w:pStyle w:val="12"/>
        <w:tabs>
          <w:tab w:val="left" w:pos="864"/>
        </w:tabs>
        <w:spacing w:line="360" w:lineRule="auto"/>
        <w:ind w:left="0" w:firstLine="420" w:firstLineChars="200"/>
        <w:rPr>
          <w:color w:val="auto"/>
          <w:highlight w:val="none"/>
        </w:rPr>
      </w:pPr>
      <w:r>
        <w:rPr>
          <w:rFonts w:hint="eastAsia"/>
          <w:color w:val="auto"/>
          <w:highlight w:val="none"/>
        </w:rPr>
        <w:t>设备控制日志</w:t>
      </w:r>
    </w:p>
    <w:p w14:paraId="7CDE340C">
      <w:pPr>
        <w:spacing w:line="360" w:lineRule="auto"/>
        <w:ind w:firstLine="420" w:firstLineChars="200"/>
        <w:rPr>
          <w:bCs/>
          <w:color w:val="auto"/>
          <w:highlight w:val="none"/>
        </w:rPr>
      </w:pPr>
      <w:r>
        <w:rPr>
          <w:rFonts w:hint="eastAsia"/>
          <w:bCs/>
          <w:color w:val="auto"/>
          <w:highlight w:val="none"/>
        </w:rPr>
        <w:t>记录系统对设备的控制操做，包括图像点播、图像上屏、云台控制、报警布撤防、对讲呼叫监听、广播播放声音和喊话、门禁开关门等操作。</w:t>
      </w:r>
    </w:p>
    <w:p w14:paraId="5D41813B">
      <w:pPr>
        <w:pStyle w:val="12"/>
        <w:tabs>
          <w:tab w:val="left" w:pos="864"/>
        </w:tabs>
        <w:spacing w:line="360" w:lineRule="auto"/>
        <w:ind w:left="0" w:firstLine="420" w:firstLineChars="200"/>
        <w:rPr>
          <w:color w:val="auto"/>
          <w:highlight w:val="none"/>
        </w:rPr>
      </w:pPr>
      <w:r>
        <w:rPr>
          <w:rFonts w:hint="eastAsia"/>
          <w:color w:val="auto"/>
          <w:highlight w:val="none"/>
        </w:rPr>
        <w:t>联动日志</w:t>
      </w:r>
    </w:p>
    <w:p w14:paraId="1C2B2FEA">
      <w:pPr>
        <w:spacing w:line="360" w:lineRule="auto"/>
        <w:ind w:firstLine="420" w:firstLineChars="200"/>
        <w:rPr>
          <w:bCs/>
          <w:color w:val="auto"/>
          <w:highlight w:val="none"/>
        </w:rPr>
      </w:pPr>
      <w:r>
        <w:rPr>
          <w:rFonts w:hint="eastAsia"/>
          <w:bCs/>
          <w:color w:val="auto"/>
          <w:highlight w:val="none"/>
        </w:rPr>
        <w:t>记录系统的联动控制操作。</w:t>
      </w:r>
    </w:p>
    <w:p w14:paraId="459E21DD">
      <w:pPr>
        <w:pStyle w:val="12"/>
        <w:tabs>
          <w:tab w:val="left" w:pos="864"/>
        </w:tabs>
        <w:spacing w:line="360" w:lineRule="auto"/>
        <w:ind w:left="0" w:firstLine="420" w:firstLineChars="200"/>
        <w:rPr>
          <w:color w:val="auto"/>
          <w:highlight w:val="none"/>
        </w:rPr>
      </w:pPr>
      <w:r>
        <w:rPr>
          <w:rFonts w:hint="eastAsia"/>
          <w:color w:val="auto"/>
          <w:highlight w:val="none"/>
        </w:rPr>
        <w:t>日志查询</w:t>
      </w:r>
    </w:p>
    <w:p w14:paraId="3F89E362">
      <w:pPr>
        <w:spacing w:line="360" w:lineRule="auto"/>
        <w:ind w:firstLine="420" w:firstLineChars="200"/>
        <w:rPr>
          <w:bCs/>
          <w:color w:val="auto"/>
          <w:highlight w:val="none"/>
        </w:rPr>
      </w:pPr>
      <w:r>
        <w:rPr>
          <w:rFonts w:hint="eastAsia"/>
          <w:bCs/>
          <w:color w:val="auto"/>
          <w:highlight w:val="none"/>
        </w:rPr>
        <w:t>支持对日志信息的查询，可按照日志类型，包括用户登录类，设备控制类，联动类进行查询。</w:t>
      </w:r>
    </w:p>
    <w:p w14:paraId="68A7E2D1">
      <w:pPr>
        <w:pStyle w:val="10"/>
        <w:spacing w:before="0" w:after="0" w:line="360" w:lineRule="auto"/>
        <w:ind w:firstLine="643" w:firstLineChars="200"/>
        <w:rPr>
          <w:color w:val="auto"/>
          <w:highlight w:val="none"/>
        </w:rPr>
      </w:pPr>
      <w:r>
        <w:rPr>
          <w:rFonts w:hint="eastAsia"/>
          <w:color w:val="auto"/>
          <w:highlight w:val="none"/>
        </w:rPr>
        <w:t>4.16.2信息资源</w:t>
      </w:r>
      <w:r>
        <w:rPr>
          <w:color w:val="auto"/>
          <w:highlight w:val="none"/>
        </w:rPr>
        <w:t>库</w:t>
      </w:r>
      <w:r>
        <w:rPr>
          <w:rFonts w:hint="eastAsia"/>
          <w:color w:val="auto"/>
          <w:highlight w:val="none"/>
        </w:rPr>
        <w:t>建设</w:t>
      </w:r>
    </w:p>
    <w:p w14:paraId="68A0D892">
      <w:pPr>
        <w:spacing w:line="360" w:lineRule="auto"/>
        <w:ind w:firstLine="420" w:firstLineChars="200"/>
        <w:rPr>
          <w:bCs/>
          <w:color w:val="auto"/>
          <w:highlight w:val="none"/>
        </w:rPr>
      </w:pPr>
      <w:r>
        <w:rPr>
          <w:rFonts w:hint="eastAsia"/>
          <w:bCs/>
          <w:color w:val="auto"/>
          <w:highlight w:val="none"/>
        </w:rPr>
        <w:t>本项目建设是监狱业务管理系统软件建设的基础。根据监狱工作的特点和管理模式，主要建设以下三个信息资源库：</w:t>
      </w:r>
    </w:p>
    <w:p w14:paraId="0223B987">
      <w:pPr>
        <w:spacing w:line="360" w:lineRule="auto"/>
        <w:ind w:firstLine="420" w:firstLineChars="200"/>
        <w:rPr>
          <w:bCs/>
          <w:color w:val="auto"/>
          <w:highlight w:val="none"/>
        </w:rPr>
      </w:pPr>
      <w:r>
        <w:rPr>
          <w:rFonts w:hint="eastAsia"/>
          <w:bCs/>
          <w:color w:val="auto"/>
          <w:highlight w:val="none"/>
        </w:rPr>
        <w:t>罪犯信息资源库。按照《全国监狱罪犯信息编码标准》采集录入全省所有在押罪犯从入监到释放的全过程数据信息，最终形成以省监狱管理局为枢纽、以基层监狱为分中心的两级罪犯信息资源库。罪犯信息资源库和二十个应用子系统基于统一信息资源库实现原始数据的无接口共享，在此基础上，按照《全国监狱罪犯信息数据交换标准》同有关政法部门进行数据交换共享，彻底解决“信息孤岛”问题。</w:t>
      </w:r>
    </w:p>
    <w:p w14:paraId="7E524927">
      <w:pPr>
        <w:spacing w:line="360" w:lineRule="auto"/>
        <w:ind w:firstLine="420" w:firstLineChars="200"/>
        <w:rPr>
          <w:bCs/>
          <w:color w:val="auto"/>
          <w:highlight w:val="none"/>
        </w:rPr>
      </w:pPr>
      <w:r>
        <w:rPr>
          <w:rFonts w:hint="eastAsia"/>
          <w:bCs/>
          <w:color w:val="auto"/>
          <w:highlight w:val="none"/>
        </w:rPr>
        <w:t>警察信息资源库。按照中组部、人力资源和社会保障部的统一标准及司法部有关要求，采集录入全省监狱警察信息和单位人事信息，以加强监狱警察人事管理、警务管理为重点，形成两级监狱警察信息资源库，实现对监狱警察档案信息的数字化管理；采集录入监狱警察信息，加强对监狱体制改革工作的信息支撑。全省监狱警察和警察信息资源库同应用子系统基于统一信息资源库，实现原始数据的无接口共享。</w:t>
      </w:r>
    </w:p>
    <w:p w14:paraId="3FA3C2F4">
      <w:pPr>
        <w:spacing w:line="360" w:lineRule="auto"/>
        <w:ind w:firstLine="420" w:firstLineChars="200"/>
        <w:rPr>
          <w:rFonts w:hint="eastAsia"/>
          <w:bCs/>
          <w:color w:val="auto"/>
          <w:highlight w:val="none"/>
        </w:rPr>
      </w:pPr>
      <w:r>
        <w:rPr>
          <w:rFonts w:hint="eastAsia"/>
          <w:bCs/>
          <w:color w:val="auto"/>
          <w:highlight w:val="none"/>
        </w:rPr>
        <w:t>监狱管理信息资源库。记录和管理监狱场所自然地理、监狱建设和投资、经费执行情况、生产安全、警用装备和武器、法律法规、行政办公等监狱管理基础信息。</w:t>
      </w:r>
    </w:p>
    <w:p w14:paraId="245919E6">
      <w:pPr>
        <w:pStyle w:val="10"/>
        <w:spacing w:before="0" w:after="0" w:line="360" w:lineRule="auto"/>
        <w:ind w:firstLine="643" w:firstLineChars="200"/>
        <w:rPr>
          <w:color w:val="auto"/>
          <w:highlight w:val="none"/>
        </w:rPr>
      </w:pPr>
      <w:r>
        <w:rPr>
          <w:rFonts w:hint="eastAsia"/>
          <w:color w:val="auto"/>
          <w:highlight w:val="none"/>
        </w:rPr>
        <w:t>4.17无线对讲系统</w:t>
      </w:r>
    </w:p>
    <w:p w14:paraId="0EC7AB95">
      <w:pPr>
        <w:spacing w:line="360" w:lineRule="auto"/>
        <w:ind w:firstLine="420" w:firstLineChars="200"/>
        <w:rPr>
          <w:bCs/>
          <w:color w:val="auto"/>
          <w:highlight w:val="none"/>
        </w:rPr>
      </w:pPr>
      <w:r>
        <w:rPr>
          <w:rFonts w:hint="eastAsia"/>
          <w:bCs/>
          <w:color w:val="auto"/>
          <w:highlight w:val="none"/>
        </w:rPr>
        <w:t>根据使用要求，</w:t>
      </w:r>
      <w:r>
        <w:rPr>
          <w:rFonts w:hint="eastAsia" w:ascii="仿宋_GB2312" w:hAnsi="宋体"/>
          <w:bCs/>
          <w:color w:val="auto"/>
          <w:szCs w:val="32"/>
          <w:highlight w:val="none"/>
        </w:rPr>
        <w:t>确保无线对讲信号能够覆盖整个监狱，建立顺畅、稳定的无线语音通信联络，确保警察的无线通信使用要求，保障建立武警与监狱的</w:t>
      </w:r>
      <w:r>
        <w:rPr>
          <w:rFonts w:hint="eastAsia"/>
          <w:bCs/>
          <w:color w:val="auto"/>
          <w:highlight w:val="none"/>
        </w:rPr>
        <w:t>无线协同通信网络</w:t>
      </w:r>
      <w:r>
        <w:rPr>
          <w:rFonts w:hint="eastAsia" w:ascii="仿宋_GB2312" w:hAnsi="宋体"/>
          <w:bCs/>
          <w:color w:val="auto"/>
          <w:szCs w:val="32"/>
          <w:highlight w:val="none"/>
        </w:rPr>
        <w:t>。</w:t>
      </w:r>
    </w:p>
    <w:p w14:paraId="70BB517E">
      <w:pPr>
        <w:spacing w:line="360" w:lineRule="auto"/>
        <w:ind w:firstLine="420" w:firstLineChars="200"/>
        <w:rPr>
          <w:bCs/>
          <w:color w:val="auto"/>
          <w:highlight w:val="none"/>
        </w:rPr>
      </w:pPr>
      <w:r>
        <w:rPr>
          <w:rFonts w:hint="eastAsia"/>
          <w:bCs/>
          <w:color w:val="auto"/>
          <w:highlight w:val="none"/>
        </w:rPr>
        <w:t>武警中队值班室、备勤室、执勤哨位配备监狱电话、电台（对讲机），与监狱建立有线、无线协同通信。</w:t>
      </w:r>
    </w:p>
    <w:p w14:paraId="23A71E96">
      <w:pPr>
        <w:spacing w:line="360" w:lineRule="auto"/>
        <w:rPr>
          <w:rFonts w:ascii="宋体" w:hAnsi="宋体"/>
          <w:b/>
          <w:color w:val="auto"/>
          <w:sz w:val="32"/>
          <w:szCs w:val="32"/>
          <w:highlight w:val="none"/>
        </w:rPr>
      </w:pPr>
      <w:r>
        <w:rPr>
          <w:rFonts w:hint="eastAsia"/>
          <w:bCs/>
          <w:color w:val="auto"/>
          <w:highlight w:val="none"/>
        </w:rPr>
        <w:t>另外，在各联勤值班室及分控中心预留专用执法终端上传设备信息点。</w:t>
      </w:r>
    </w:p>
    <w:p w14:paraId="448BEFF1">
      <w:pPr>
        <w:spacing w:line="440" w:lineRule="exact"/>
        <w:ind w:firstLine="420" w:firstLineChars="200"/>
        <w:rPr>
          <w:rFonts w:ascii="宋体" w:hAnsi="宋体"/>
          <w:color w:val="auto"/>
          <w:szCs w:val="21"/>
          <w:highlight w:val="none"/>
        </w:rPr>
      </w:pPr>
    </w:p>
    <w:p w14:paraId="1F55382E">
      <w:pPr>
        <w:spacing w:line="440" w:lineRule="exact"/>
        <w:rPr>
          <w:rFonts w:ascii="宋体" w:hAnsi="宋体"/>
          <w:b/>
          <w:color w:val="auto"/>
          <w:szCs w:val="21"/>
          <w:highlight w:val="none"/>
        </w:rPr>
      </w:pPr>
    </w:p>
    <w:p w14:paraId="450F43D4">
      <w:pPr>
        <w:rPr>
          <w:rFonts w:ascii="宋体" w:hAnsi="宋体"/>
          <w:b/>
          <w:color w:val="auto"/>
          <w:szCs w:val="21"/>
          <w:highlight w:val="none"/>
        </w:rPr>
        <w:sectPr>
          <w:headerReference r:id="rId7" w:type="first"/>
          <w:footerReference r:id="rId9" w:type="first"/>
          <w:footerReference r:id="rId8" w:type="default"/>
          <w:pgSz w:w="11906" w:h="16838"/>
          <w:pgMar w:top="1440" w:right="1800" w:bottom="1440" w:left="1800" w:header="851" w:footer="992" w:gutter="0"/>
          <w:pgNumType w:start="1"/>
          <w:cols w:space="720" w:num="1"/>
          <w:titlePg/>
          <w:docGrid w:type="lines" w:linePitch="312" w:charSpace="0"/>
        </w:sectPr>
      </w:pPr>
      <w:r>
        <w:rPr>
          <w:rFonts w:ascii="宋体" w:hAnsi="宋体"/>
          <w:b/>
          <w:color w:val="auto"/>
          <w:szCs w:val="21"/>
          <w:highlight w:val="none"/>
        </w:rPr>
        <w:br w:type="page"/>
      </w:r>
    </w:p>
    <w:p w14:paraId="3D692B0F">
      <w:pPr>
        <w:spacing w:line="440" w:lineRule="exact"/>
        <w:ind w:firstLine="643" w:firstLineChars="200"/>
        <w:rPr>
          <w:rFonts w:hint="eastAsia" w:ascii="宋体" w:hAnsi="宋体"/>
          <w:b/>
          <w:bCs/>
          <w:color w:val="auto"/>
          <w:sz w:val="32"/>
          <w:szCs w:val="32"/>
          <w:highlight w:val="none"/>
        </w:rPr>
      </w:pPr>
      <w:bookmarkStart w:id="691" w:name="_Toc246997093"/>
      <w:bookmarkStart w:id="692" w:name="_Toc246996350"/>
      <w:bookmarkStart w:id="693" w:name="_Toc179632800"/>
      <w:bookmarkStart w:id="694" w:name="_Toc144974851"/>
      <w:bookmarkStart w:id="695" w:name="_Toc247096438"/>
      <w:bookmarkStart w:id="696" w:name="_Toc152045782"/>
      <w:bookmarkStart w:id="697" w:name="_Toc247085866"/>
      <w:bookmarkStart w:id="698" w:name="_Toc152042571"/>
      <w:bookmarkStart w:id="699" w:name="_Toc494093446"/>
      <w:bookmarkStart w:id="700" w:name="_Toc346523484"/>
      <w:bookmarkStart w:id="701" w:name="_Toc338840500"/>
      <w:bookmarkStart w:id="702" w:name="_Toc17490"/>
      <w:bookmarkStart w:id="703" w:name="_Toc338840252"/>
      <w:bookmarkStart w:id="704" w:name="_Toc494526418"/>
      <w:bookmarkStart w:id="705" w:name="_Toc346523421"/>
      <w:bookmarkStart w:id="706" w:name="_Toc23606"/>
      <w:bookmarkStart w:id="707" w:name="_Toc5704"/>
      <w:bookmarkStart w:id="708" w:name="_Toc338840461"/>
      <w:bookmarkStart w:id="709" w:name="_Toc32761"/>
      <w:r>
        <w:rPr>
          <w:rFonts w:hint="eastAsia" w:ascii="宋体" w:hAnsi="宋体"/>
          <w:b/>
          <w:bCs/>
          <w:color w:val="auto"/>
          <w:sz w:val="32"/>
          <w:szCs w:val="32"/>
          <w:highlight w:val="none"/>
        </w:rPr>
        <w:t>五、招标内容及技术要求</w:t>
      </w:r>
    </w:p>
    <w:p w14:paraId="499AF110">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本项目招标内容、数量及其有关技术要求如下：</w:t>
      </w:r>
    </w:p>
    <w:p w14:paraId="017E305D">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本采购项目的核心产品为：专网核心交换机</w:t>
      </w:r>
    </w:p>
    <w:p w14:paraId="1E6297BE">
      <w:pPr>
        <w:autoSpaceDE w:val="0"/>
        <w:autoSpaceDN w:val="0"/>
        <w:adjustRightInd w:val="0"/>
        <w:jc w:val="left"/>
        <w:rPr>
          <w:rFonts w:ascii="宋体" w:hAnsi="宋体" w:cs="宋体"/>
          <w:color w:val="auto"/>
          <w:kern w:val="0"/>
          <w:sz w:val="24"/>
          <w:highlight w:val="none"/>
        </w:rPr>
      </w:pP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40E19689">
        <w:tblPrEx>
          <w:tblCellMar>
            <w:top w:w="0" w:type="dxa"/>
            <w:left w:w="108" w:type="dxa"/>
            <w:bottom w:w="0" w:type="dxa"/>
            <w:right w:w="108" w:type="dxa"/>
          </w:tblCellMar>
        </w:tblPrEx>
        <w:trPr>
          <w:trHeight w:val="510" w:hRule="atLeast"/>
          <w:jc w:val="center"/>
        </w:trPr>
        <w:tc>
          <w:tcPr>
            <w:tcW w:w="12375" w:type="dxa"/>
            <w:gridSpan w:val="5"/>
            <w:tcBorders>
              <w:top w:val="nil"/>
              <w:left w:val="nil"/>
              <w:bottom w:val="nil"/>
              <w:right w:val="nil"/>
            </w:tcBorders>
            <w:shd w:val="clear" w:color="FFFFFF" w:fill="FFFFFF"/>
            <w:noWrap w:val="0"/>
            <w:vAlign w:val="center"/>
          </w:tcPr>
          <w:p w14:paraId="47A260EA">
            <w:pPr>
              <w:widowControl/>
              <w:jc w:val="center"/>
              <w:textAlignment w:val="center"/>
              <w:rPr>
                <w:rFonts w:hint="eastAsia" w:ascii="仿宋" w:hAnsi="仿宋" w:eastAsia="仿宋" w:cs="仿宋"/>
                <w:b/>
                <w:bCs/>
                <w:color w:val="auto"/>
                <w:sz w:val="40"/>
                <w:szCs w:val="40"/>
                <w:highlight w:val="none"/>
              </w:rPr>
            </w:pPr>
            <w:r>
              <w:rPr>
                <w:rFonts w:hint="eastAsia" w:ascii="仿宋" w:hAnsi="仿宋" w:eastAsia="仿宋" w:cs="仿宋"/>
                <w:b/>
                <w:bCs/>
                <w:color w:val="auto"/>
                <w:kern w:val="0"/>
                <w:sz w:val="40"/>
                <w:szCs w:val="40"/>
                <w:highlight w:val="none"/>
                <w:lang w:bidi="ar"/>
              </w:rPr>
              <w:t>设备清单</w:t>
            </w:r>
          </w:p>
        </w:tc>
      </w:tr>
      <w:tr w14:paraId="71F519D6">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22B0FCEC">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1、综合布线系统</w:t>
            </w:r>
          </w:p>
        </w:tc>
        <w:tc>
          <w:tcPr>
            <w:tcW w:w="1872" w:type="dxa"/>
            <w:gridSpan w:val="2"/>
            <w:tcBorders>
              <w:top w:val="nil"/>
              <w:left w:val="nil"/>
              <w:bottom w:val="nil"/>
              <w:right w:val="nil"/>
            </w:tcBorders>
            <w:shd w:val="clear" w:color="FFFFFF" w:fill="FFFFFF"/>
            <w:noWrap w:val="0"/>
            <w:vAlign w:val="bottom"/>
          </w:tcPr>
          <w:p w14:paraId="67F6511E">
            <w:pPr>
              <w:jc w:val="left"/>
              <w:rPr>
                <w:rFonts w:hint="eastAsia" w:ascii="仿宋" w:hAnsi="仿宋" w:eastAsia="仿宋" w:cs="仿宋"/>
                <w:color w:val="auto"/>
                <w:sz w:val="18"/>
                <w:szCs w:val="18"/>
                <w:highlight w:val="none"/>
              </w:rPr>
            </w:pPr>
          </w:p>
        </w:tc>
      </w:tr>
      <w:tr w14:paraId="5303B121">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EBE024E">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9395B5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0AD571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94DF205">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244B05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49128D41">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4AF4F66">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DCEF55D">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1B0345A">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0F1E6D5">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5939363">
            <w:pPr>
              <w:jc w:val="center"/>
              <w:rPr>
                <w:rFonts w:hint="eastAsia" w:ascii="仿宋" w:hAnsi="仿宋" w:eastAsia="仿宋" w:cs="仿宋"/>
                <w:b/>
                <w:bCs/>
                <w:color w:val="auto"/>
                <w:sz w:val="18"/>
                <w:szCs w:val="18"/>
                <w:highlight w:val="none"/>
              </w:rPr>
            </w:pPr>
          </w:p>
        </w:tc>
      </w:tr>
      <w:tr w14:paraId="0A826DE0">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65519D2">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F2F6B5D">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B2B2258">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9AEF80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B2D7953">
            <w:pPr>
              <w:jc w:val="center"/>
              <w:rPr>
                <w:rFonts w:hint="eastAsia" w:ascii="仿宋" w:hAnsi="仿宋" w:eastAsia="仿宋" w:cs="仿宋"/>
                <w:b/>
                <w:bCs/>
                <w:color w:val="auto"/>
                <w:sz w:val="18"/>
                <w:szCs w:val="18"/>
                <w:highlight w:val="none"/>
              </w:rPr>
            </w:pPr>
          </w:p>
        </w:tc>
      </w:tr>
      <w:tr w14:paraId="2816A440">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9584B18">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4F7D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综合布线系统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00A68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FD8906">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974E7A">
            <w:pPr>
              <w:jc w:val="right"/>
              <w:rPr>
                <w:rFonts w:hint="eastAsia" w:ascii="仿宋" w:hAnsi="仿宋" w:eastAsia="仿宋" w:cs="仿宋"/>
                <w:color w:val="auto"/>
                <w:sz w:val="18"/>
                <w:szCs w:val="18"/>
                <w:highlight w:val="none"/>
              </w:rPr>
            </w:pPr>
          </w:p>
        </w:tc>
      </w:tr>
      <w:tr w14:paraId="73AC7C5A">
        <w:tblPrEx>
          <w:tblCellMar>
            <w:top w:w="0" w:type="dxa"/>
            <w:left w:w="108" w:type="dxa"/>
            <w:bottom w:w="0" w:type="dxa"/>
            <w:right w:w="108" w:type="dxa"/>
          </w:tblCellMar>
        </w:tblPrEx>
        <w:trPr>
          <w:trHeight w:val="7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FFAB7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9031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光纤配线架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9257F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1.名称:24口光纤配线架</w:t>
            </w:r>
          </w:p>
          <w:p w14:paraId="2F3F59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2.规格:24口，包含一体化托盘、单模束状尾纤、LC适配器、热缩保护套管等所有配套材料</w:t>
            </w:r>
          </w:p>
          <w:p w14:paraId="5A2AC5F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9DCDF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9A68A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38</w:t>
            </w:r>
          </w:p>
        </w:tc>
      </w:tr>
      <w:tr w14:paraId="0E361A80">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118294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96F8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8456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1.名称:110配线架</w:t>
            </w:r>
          </w:p>
          <w:p w14:paraId="0DF8FEC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2.规格:25对电话110配线架</w:t>
            </w:r>
          </w:p>
          <w:p w14:paraId="52AE69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B67DC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297CE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r>
      <w:tr w14:paraId="7564397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7923BE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17BF2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2FE9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1.名称:110配线架</w:t>
            </w:r>
          </w:p>
          <w:p w14:paraId="659A47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2.规格:50对电话110配线架</w:t>
            </w:r>
          </w:p>
          <w:p w14:paraId="383568B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9B513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C4006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D76EC1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49E1C0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0A09C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2BF0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1.名称:24口数据配线架</w:t>
            </w:r>
          </w:p>
          <w:p w14:paraId="053059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2.规格:24口六类数据配线架</w:t>
            </w:r>
          </w:p>
          <w:p w14:paraId="437223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725D4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57062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125</w:t>
            </w:r>
          </w:p>
        </w:tc>
      </w:tr>
      <w:tr w14:paraId="438801F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5AF392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A3CE6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机柜、机架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5B03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1.名称:机柜</w:t>
            </w:r>
          </w:p>
          <w:p w14:paraId="648D458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2.规格:42U机柜600*600*2000</w:t>
            </w:r>
          </w:p>
          <w:p w14:paraId="46E5C4F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0BF97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A69C2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r>
      <w:tr w14:paraId="6A49BB9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63727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612C6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跳线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7F853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1.名称:数据跳线(专网)配线柜跳线</w:t>
            </w:r>
          </w:p>
          <w:p w14:paraId="7004F6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 3m</w:t>
            </w:r>
          </w:p>
          <w:p w14:paraId="6EC894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9FA5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71E86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1829</w:t>
            </w:r>
          </w:p>
        </w:tc>
      </w:tr>
      <w:tr w14:paraId="448858A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472691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17A70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跳线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F30A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1.名称:数据跳线(外网)配线柜跳线</w:t>
            </w:r>
          </w:p>
          <w:p w14:paraId="540404F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 3m</w:t>
            </w:r>
          </w:p>
          <w:p w14:paraId="50A22A4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D4739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453EA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337</w:t>
            </w:r>
          </w:p>
        </w:tc>
      </w:tr>
      <w:tr w14:paraId="6002163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F405B3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0FFB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跳线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D253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1.名称:语音跳线</w:t>
            </w:r>
          </w:p>
          <w:p w14:paraId="6DE6920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2.规格:语音插接模块-RJ45/RJ11水晶头型(比例1：1)</w:t>
            </w:r>
          </w:p>
          <w:p w14:paraId="552E828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06643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46D44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251</w:t>
            </w:r>
          </w:p>
        </w:tc>
      </w:tr>
      <w:tr w14:paraId="7B7BB60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7F390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F9EB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跳线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1DC0F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1.名称:光纤跳线</w:t>
            </w:r>
          </w:p>
          <w:p w14:paraId="2CBF16D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2.规格:单模LC-LC 3米</w:t>
            </w:r>
          </w:p>
          <w:p w14:paraId="7B92253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30B2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BCC94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152</w:t>
            </w:r>
          </w:p>
        </w:tc>
      </w:tr>
      <w:tr w14:paraId="2EDE39A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EC57A2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7947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布放尾纤</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CDB06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1.名称:光纤尾纤</w:t>
            </w:r>
          </w:p>
          <w:p w14:paraId="5311CB8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2.规格:LC-型 1.5m</w:t>
            </w:r>
          </w:p>
          <w:p w14:paraId="3C36626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1FF55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24E35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1080</w:t>
            </w:r>
          </w:p>
        </w:tc>
      </w:tr>
      <w:tr w14:paraId="3CFFE90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686077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61355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B850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1.名称:双孔面板及模块</w:t>
            </w:r>
          </w:p>
          <w:p w14:paraId="60BD90E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2.规格:含一个双孔面板及两个模块和底盒</w:t>
            </w:r>
          </w:p>
          <w:p w14:paraId="598D033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0982A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3C763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447</w:t>
            </w:r>
          </w:p>
        </w:tc>
      </w:tr>
      <w:tr w14:paraId="325FCE0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EBBA2E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74F2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68BB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1.名称:单孔面板及模块</w:t>
            </w:r>
          </w:p>
          <w:p w14:paraId="03CEC5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2.规格:含一个单孔面板及一个模块和底盒</w:t>
            </w:r>
          </w:p>
          <w:p w14:paraId="5BD97B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F34B2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C22EE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48</w:t>
            </w:r>
          </w:p>
        </w:tc>
      </w:tr>
      <w:tr w14:paraId="4D9EC4F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361E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0DF3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15BD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1.名称:IPTV面板及模块</w:t>
            </w:r>
          </w:p>
          <w:p w14:paraId="65C3BA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2.规格:含一个单孔面板及一个模块和底盒</w:t>
            </w:r>
          </w:p>
          <w:p w14:paraId="2C797D3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1FDD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AE9AC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155</w:t>
            </w:r>
          </w:p>
        </w:tc>
      </w:tr>
      <w:tr w14:paraId="146C19A5">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05344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EEF1D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51D96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375398D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6E2E644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3.规格:φ20</w:t>
            </w:r>
          </w:p>
          <w:p w14:paraId="3069E59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42C58B8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75DF2D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D00D2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4B9BE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37.47</w:t>
            </w:r>
          </w:p>
        </w:tc>
      </w:tr>
      <w:tr w14:paraId="680AFFF7">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DE9FF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33D21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D03F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6E9A9BF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6EA8D6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3.规格:φ20</w:t>
            </w:r>
          </w:p>
          <w:p w14:paraId="1D5B8D8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4.配置形式:暗配</w:t>
            </w:r>
          </w:p>
          <w:p w14:paraId="08E846E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0949D7B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23B1A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FE328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154.94</w:t>
            </w:r>
          </w:p>
        </w:tc>
      </w:tr>
      <w:tr w14:paraId="4ADAB264">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EEBD3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494E9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4156A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2A6EA92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3BD4F58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3.规格:φ25</w:t>
            </w:r>
          </w:p>
          <w:p w14:paraId="3EA4780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55B8FE2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7C9B6EF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07E2E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EEA12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3170.68</w:t>
            </w:r>
          </w:p>
        </w:tc>
      </w:tr>
      <w:tr w14:paraId="16C3317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6C9C64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D7351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A00A8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1.名称:CPVC电力管</w:t>
            </w:r>
          </w:p>
          <w:p w14:paraId="2C8663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2.规格:直径50mm</w:t>
            </w:r>
          </w:p>
          <w:p w14:paraId="5603E6B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2165A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81E74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1335.64</w:t>
            </w:r>
          </w:p>
        </w:tc>
      </w:tr>
      <w:tr w14:paraId="4166208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635E8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32B46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线槽</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6CA9C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1.名称：弱电桥架</w:t>
            </w:r>
          </w:p>
          <w:p w14:paraId="05A20B3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2.型号：200×100</w:t>
            </w:r>
          </w:p>
          <w:p w14:paraId="1608972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3.类型：槽式</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57158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67918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1560.42</w:t>
            </w:r>
          </w:p>
        </w:tc>
      </w:tr>
      <w:tr w14:paraId="4ED5406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C9070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52535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线槽</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E4601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1.名称：弱电桥架</w:t>
            </w:r>
          </w:p>
          <w:p w14:paraId="341EDC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2.型号：300×100</w:t>
            </w:r>
          </w:p>
          <w:p w14:paraId="045D4C7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3.类型：槽式</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AA987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7603F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555.75</w:t>
            </w:r>
          </w:p>
        </w:tc>
      </w:tr>
      <w:tr w14:paraId="1E5D9439">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7B6A83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83270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铁构件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2DB95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1.名称：桥架支撑架</w:t>
            </w:r>
          </w:p>
          <w:p w14:paraId="6D51B78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2.材质：型钢(综合)</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B411E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kg</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2B74F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2207.85</w:t>
            </w:r>
          </w:p>
        </w:tc>
      </w:tr>
      <w:tr w14:paraId="34E4349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0A849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3BBB7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90D3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20E703D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6A6F58E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683B5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4C9C3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13445.05</w:t>
            </w:r>
          </w:p>
        </w:tc>
      </w:tr>
      <w:tr w14:paraId="0055F75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CBF06A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23A55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8833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1.名称:管内穿线（超高）</w:t>
            </w:r>
          </w:p>
          <w:p w14:paraId="692E94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387FAEE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E186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35AD0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94.11</w:t>
            </w:r>
          </w:p>
        </w:tc>
      </w:tr>
      <w:tr w14:paraId="0F673A76">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FBFB4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647BA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4390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7B0A44C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63B05F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1E41E3B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3803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C3A1C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22703.01</w:t>
            </w:r>
          </w:p>
        </w:tc>
      </w:tr>
      <w:tr w14:paraId="2384B0D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7D5F1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230A0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2AF78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1.名称:线槽配线（超高）</w:t>
            </w:r>
          </w:p>
          <w:p w14:paraId="4CABF9E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35F0A6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5D694D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61C94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19DAF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420.77</w:t>
            </w:r>
          </w:p>
        </w:tc>
      </w:tr>
      <w:tr w14:paraId="5D18F9E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EA0FFA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D92A7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8236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63E1627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2.规格:12芯多模光缆</w:t>
            </w:r>
          </w:p>
          <w:p w14:paraId="596C322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7F0A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1731C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28.02</w:t>
            </w:r>
          </w:p>
        </w:tc>
      </w:tr>
      <w:tr w14:paraId="17E7EBD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F1B3A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5F411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74E0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665526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2.规格:12芯多模光缆</w:t>
            </w:r>
          </w:p>
          <w:p w14:paraId="395DFAF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FFD0C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3F4DD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124.21</w:t>
            </w:r>
          </w:p>
        </w:tc>
      </w:tr>
      <w:tr w14:paraId="790CB99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4572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B2E6D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69C92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1F23A57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2.规格:24芯单模光缆</w:t>
            </w:r>
          </w:p>
          <w:p w14:paraId="13BA1D6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A3DF7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67DE5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4.78</w:t>
            </w:r>
          </w:p>
        </w:tc>
      </w:tr>
      <w:tr w14:paraId="48B4D3A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748EE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5821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F8506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0B29B3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2.规格:24芯单模光缆</w:t>
            </w:r>
          </w:p>
          <w:p w14:paraId="218CDB1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7DFC2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D223A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208.66</w:t>
            </w:r>
          </w:p>
        </w:tc>
      </w:tr>
      <w:tr w14:paraId="5827E9D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0B21DA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3726B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157B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02BA66D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1E7552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07C5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2E795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710.03</w:t>
            </w:r>
          </w:p>
        </w:tc>
      </w:tr>
      <w:tr w14:paraId="04D02E2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18B85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D4745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F89DE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07AA3B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1E9E80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6563B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1E380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57EF1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4623.54</w:t>
            </w:r>
          </w:p>
        </w:tc>
      </w:tr>
      <w:tr w14:paraId="0638F3B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4C9E8C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70DF6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3F3B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1CCD34A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2.规格:RVV-2*0.5</w:t>
            </w:r>
          </w:p>
          <w:p w14:paraId="797D965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C9F49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550EA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1540.07</w:t>
            </w:r>
          </w:p>
        </w:tc>
      </w:tr>
      <w:tr w14:paraId="4D74B167">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91453B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C5255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7CA18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01F2E7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2.规格:RVSP-5*1.5</w:t>
            </w:r>
          </w:p>
          <w:p w14:paraId="72B7E2A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3C2C1A0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389DB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07B7B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3296.24</w:t>
            </w:r>
          </w:p>
        </w:tc>
      </w:tr>
      <w:tr w14:paraId="22668C8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2DB388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55323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人（手)孔井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B54AD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1.名称:手孔井</w:t>
            </w:r>
          </w:p>
          <w:p w14:paraId="3794AEF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2.规格尺寸:740*450*900</w:t>
            </w:r>
          </w:p>
          <w:p w14:paraId="5AD7AE3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B4F6A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座</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7268D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w:t>
            </w:r>
          </w:p>
        </w:tc>
      </w:tr>
      <w:tr w14:paraId="71F6E197">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549EE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C1D5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建筑设备自控化系统调试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064F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6F51788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4F215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E9B80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3D64A8CA">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544F5BCE">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13AEA7BC">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2、计算机网络系统</w:t>
            </w:r>
          </w:p>
        </w:tc>
        <w:tc>
          <w:tcPr>
            <w:tcW w:w="1872" w:type="dxa"/>
            <w:gridSpan w:val="2"/>
            <w:tcBorders>
              <w:top w:val="nil"/>
              <w:left w:val="nil"/>
              <w:bottom w:val="nil"/>
              <w:right w:val="nil"/>
            </w:tcBorders>
            <w:shd w:val="clear" w:color="FFFFFF" w:fill="FFFFFF"/>
            <w:noWrap w:val="0"/>
            <w:vAlign w:val="bottom"/>
          </w:tcPr>
          <w:p w14:paraId="2C2339EA">
            <w:pPr>
              <w:jc w:val="left"/>
              <w:rPr>
                <w:rFonts w:hint="eastAsia" w:ascii="仿宋" w:hAnsi="仿宋" w:eastAsia="仿宋" w:cs="仿宋"/>
                <w:color w:val="auto"/>
                <w:sz w:val="18"/>
                <w:szCs w:val="18"/>
                <w:highlight w:val="none"/>
              </w:rPr>
            </w:pPr>
          </w:p>
        </w:tc>
      </w:tr>
      <w:tr w14:paraId="2E49434C">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6AB6E0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AF117E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562B3E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871A97F">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371135B">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66359DC5">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2D5D7D4">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2DFC488">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60C3939">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3115F4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76D84D4">
            <w:pPr>
              <w:jc w:val="center"/>
              <w:rPr>
                <w:rFonts w:hint="eastAsia" w:ascii="仿宋" w:hAnsi="仿宋" w:eastAsia="仿宋" w:cs="仿宋"/>
                <w:b/>
                <w:bCs/>
                <w:color w:val="auto"/>
                <w:sz w:val="18"/>
                <w:szCs w:val="18"/>
                <w:highlight w:val="none"/>
              </w:rPr>
            </w:pPr>
          </w:p>
        </w:tc>
      </w:tr>
      <w:tr w14:paraId="7C1FFC88">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40412D22">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57496C4">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AF857A7">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1894241">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E185258">
            <w:pPr>
              <w:jc w:val="center"/>
              <w:rPr>
                <w:rFonts w:hint="eastAsia" w:ascii="仿宋" w:hAnsi="仿宋" w:eastAsia="仿宋" w:cs="仿宋"/>
                <w:b/>
                <w:bCs/>
                <w:color w:val="auto"/>
                <w:sz w:val="18"/>
                <w:szCs w:val="18"/>
                <w:highlight w:val="none"/>
              </w:rPr>
            </w:pPr>
          </w:p>
        </w:tc>
      </w:tr>
      <w:tr w14:paraId="15104E2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2B545EB">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1772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计算机网络系统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F0EF03">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3E022B">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3307B3">
            <w:pPr>
              <w:jc w:val="right"/>
              <w:rPr>
                <w:rFonts w:hint="eastAsia" w:ascii="仿宋" w:hAnsi="仿宋" w:eastAsia="仿宋" w:cs="仿宋"/>
                <w:color w:val="auto"/>
                <w:sz w:val="18"/>
                <w:szCs w:val="18"/>
                <w:highlight w:val="none"/>
              </w:rPr>
            </w:pPr>
          </w:p>
        </w:tc>
      </w:tr>
      <w:tr w14:paraId="78CADF76">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58576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B244D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交换机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8A4E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1.名称:48口接入交换机</w:t>
            </w:r>
          </w:p>
          <w:p w14:paraId="6095CB5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最低交换容量≥598Gbps，最低包转发率≥240Mpps，交换容量590Gbps，整机转发性能250Mpps，48个千兆电口，4个千兆光口；MAC地址用户数4k；支持静态路由、RIP、OSPF；支持0℃-55℃宽温工作，无风扇设计；单台配置千兆单模模块≥2个。</w:t>
            </w:r>
          </w:p>
          <w:p w14:paraId="5F29370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B762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40DF8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28</w:t>
            </w:r>
          </w:p>
        </w:tc>
      </w:tr>
      <w:tr w14:paraId="295825B4">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3A79B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2AAAB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交换机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4B198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1.名称:24口接入交换机</w:t>
            </w:r>
          </w:p>
          <w:p w14:paraId="66D712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2.功能:最低交换容量≥598Gbps，最低包转发率≥210Mpps，24个千兆电口，4个千兆光口；MAC地址用户数4k；支持静态路由、RIP、OSPF；支持0℃-55℃宽温工作，无风扇设计；单台配置千兆单模模块≥2个。</w:t>
            </w:r>
          </w:p>
          <w:p w14:paraId="65ACC15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179FA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915A7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w:t>
            </w:r>
          </w:p>
        </w:tc>
      </w:tr>
      <w:tr w14:paraId="26F94A01">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30901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78DC8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交换机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3914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1.名称:汇聚交换机</w:t>
            </w:r>
          </w:p>
          <w:p w14:paraId="3FDED7A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最低交换容量≥598Gbps，包转发率≥330Mpps，千兆光口≥24，千兆电口≥8，万兆光口≥4；整机扩展槽位≥2个，双交流电源供电；支持RIPv1/2、RIPng、OSPF、OSPFv3等路由策略；支持纵向和横向虚拟化技术；单台配置万兆单模光模块≥2个，单台配置千兆单模模块≥24个</w:t>
            </w:r>
          </w:p>
          <w:p w14:paraId="60CCB41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8B1E1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CBB00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63BCFD47">
        <w:tblPrEx>
          <w:tblCellMar>
            <w:top w:w="0" w:type="dxa"/>
            <w:left w:w="108" w:type="dxa"/>
            <w:bottom w:w="0" w:type="dxa"/>
            <w:right w:w="108" w:type="dxa"/>
          </w:tblCellMar>
        </w:tblPrEx>
        <w:trPr>
          <w:trHeight w:val="382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FE35D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A3A13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交换机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1F72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1.名称:专网核心交换机</w:t>
            </w:r>
            <w:r>
              <w:rPr>
                <w:rFonts w:hint="eastAsia" w:ascii="仿宋" w:hAnsi="仿宋" w:eastAsia="仿宋" w:cs="仿宋"/>
                <w:b/>
                <w:bCs/>
                <w:color w:val="auto"/>
                <w:kern w:val="0"/>
                <w:sz w:val="18"/>
                <w:szCs w:val="18"/>
                <w:highlight w:val="none"/>
                <w:lang w:bidi="ar"/>
              </w:rPr>
              <w:t>（核心产品）</w:t>
            </w:r>
          </w:p>
          <w:p w14:paraId="647BF4A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硬件架构:CLOS架构，主控与交换网板物理分离，主控槽位≥2个，交换网板槽位≥2个，业务槽位≥6个，电源槽位≥4个；配置要求:单台实配冗余万兆主控、冗余电源、满配交换网板，配置≥12个万兆光口，≥24个千兆电口，≥20个独立千兆光口，含虚拟化接口；性能要求：交换容量≥307.2Tbps，包转发率≥57600Mpps；路由协议：支持静态路由、RIP、OSPF、IS-IS、BGP4；支持静态路由OSPFv3、BGP4+、IS-ISv6；支持VRRP，支持等价路由，支持策略路由，支持GRE隧道；虚拟化：要求可实现1:N虚拟化功能，可将一台物理设备虚拟成多台逻辑设备，逻辑设备之间的表项空间完全独立，支持在N:1虚拟化环境下同时实现1:N虚拟化功能；要求可实现N:1虚拟化功能，可将多台物理设备虚拟成一台逻辑设备进行统一管理，实现流量的负载分担，实现跨框的链路聚合；QOS功能：要每端口支持8个优先级队列，支持SP、WRR、SP+WRR三种队列调度算法；具备并配置二、三层MPLS VPN；MPLS功能：支持分布式 MPLS VPN处理。支持MPLSL3VPN、MPLSL2VPN(VPLS，VLL)、MPLS-TE、MPLS QoS；（如需增加license开启该功能，必须配置相应license）；SDN功能：支持Openflow1.3协议标准；网络管理：支持主机和业务模块统一IP管理和统一的配置界面，支持统一网管功能，支持紧耦合部署，要求支持SNMP V1/V2/V3；RMON 1/2/3/9；Syslog，SSHv2；支持WEB网管，支持MIB-II。中文图形化管理。</w:t>
            </w:r>
          </w:p>
          <w:p w14:paraId="4AB091A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0329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E199A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2A0962B2">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6208D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D426D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交换机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0382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1.名称:外网核心交换机</w:t>
            </w:r>
          </w:p>
          <w:p w14:paraId="21FD48A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2.功能:整机业务槽位≥2个，交电源槽位≥2个，最低交换容量≥20Tbps，包转发率≥3800Mpps；支持4K个802.1Q VLAN，Super vlan，支持基于端口、MAC、IP子网、协议的VLAN；支持端口的负载均衡、支持LACP，支持链路聚合。支持静态路由、RIP、OSPF、ISIS、BGP和RIPng、OSPFv3、BGP4+等动态路由协议；支持BFD for VRRP/Static/RIP/OSPF/ISIS等。支持MPLS二层VPN和三层VPN功能，支持N：1 、1：N虚拟化功能。单台配置：电源模块≥2个，≥20个千兆光口，≥24个千兆电口，万兆SFP+光口≥4个，单台配置千兆单模模块≥20个，单台配置万兆单模光模块≥4个。</w:t>
            </w:r>
          </w:p>
          <w:p w14:paraId="7E597E5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47DBB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4EA93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51882BC">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4A7C83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68519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计算机应用、网络系统试运行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9C8F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1.名称:计算机应用、网络系统试运行</w:t>
            </w:r>
          </w:p>
          <w:p w14:paraId="5A5A4FA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C9976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DB29C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58C5B45C">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706B57DA">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68A1B488">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3、信息安全设备</w:t>
            </w:r>
          </w:p>
        </w:tc>
        <w:tc>
          <w:tcPr>
            <w:tcW w:w="1872" w:type="dxa"/>
            <w:gridSpan w:val="2"/>
            <w:tcBorders>
              <w:top w:val="nil"/>
              <w:left w:val="nil"/>
              <w:bottom w:val="nil"/>
              <w:right w:val="nil"/>
            </w:tcBorders>
            <w:shd w:val="clear" w:color="FFFFFF" w:fill="FFFFFF"/>
            <w:noWrap w:val="0"/>
            <w:vAlign w:val="bottom"/>
          </w:tcPr>
          <w:p w14:paraId="26DB4116">
            <w:pPr>
              <w:jc w:val="left"/>
              <w:rPr>
                <w:rFonts w:hint="eastAsia" w:ascii="仿宋" w:hAnsi="仿宋" w:eastAsia="仿宋" w:cs="仿宋"/>
                <w:color w:val="auto"/>
                <w:sz w:val="18"/>
                <w:szCs w:val="18"/>
                <w:highlight w:val="none"/>
              </w:rPr>
            </w:pPr>
          </w:p>
        </w:tc>
      </w:tr>
      <w:tr w14:paraId="21FCD44B">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5D16234">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80A8EA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95BE07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8D787F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4F12B4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055F852B">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41C38E1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C926BEB">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D0B54FA">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D7E785E">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A24A544">
            <w:pPr>
              <w:jc w:val="center"/>
              <w:rPr>
                <w:rFonts w:hint="eastAsia" w:ascii="仿宋" w:hAnsi="仿宋" w:eastAsia="仿宋" w:cs="仿宋"/>
                <w:b/>
                <w:bCs/>
                <w:color w:val="auto"/>
                <w:sz w:val="18"/>
                <w:szCs w:val="18"/>
                <w:highlight w:val="none"/>
              </w:rPr>
            </w:pPr>
          </w:p>
        </w:tc>
      </w:tr>
      <w:tr w14:paraId="040836CB">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0AC13E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C975A86">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758F943">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4B86C7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FF02428">
            <w:pPr>
              <w:jc w:val="center"/>
              <w:rPr>
                <w:rFonts w:hint="eastAsia" w:ascii="仿宋" w:hAnsi="仿宋" w:eastAsia="仿宋" w:cs="仿宋"/>
                <w:b/>
                <w:bCs/>
                <w:color w:val="auto"/>
                <w:sz w:val="18"/>
                <w:szCs w:val="18"/>
                <w:highlight w:val="none"/>
              </w:rPr>
            </w:pPr>
          </w:p>
        </w:tc>
      </w:tr>
      <w:tr w14:paraId="0BCCFDD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F42BF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0993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信息安全设备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BA9B1A">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D0A452">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46264F">
            <w:pPr>
              <w:jc w:val="right"/>
              <w:rPr>
                <w:rFonts w:hint="eastAsia" w:ascii="仿宋" w:hAnsi="仿宋" w:eastAsia="仿宋" w:cs="仿宋"/>
                <w:color w:val="auto"/>
                <w:sz w:val="18"/>
                <w:szCs w:val="18"/>
                <w:highlight w:val="none"/>
              </w:rPr>
            </w:pPr>
          </w:p>
        </w:tc>
      </w:tr>
      <w:tr w14:paraId="16D64672">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6E60E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4EF92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30D4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1.名称:出口路由器</w:t>
            </w:r>
          </w:p>
          <w:p w14:paraId="379AF7C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2.规格:整机转发性能≥3Mpps，槽位数≥2，千兆电口≥16个、千兆光口≥8个，支持静态路由、RIP v1/v2,OSPF v1/v2,BGP、RIPng、OSPFv3、BGP4+、策略路由；支持手工隧道，自动隧道，GRE隧道，6to4，ISATAP，支持MPLS ,MPLS L2VPN,MPLS L3VPN,VPLS；支持console口登录，支持telnet（VTY）登录，支持SSH登录，支持FTP登录；支持网管软件统一网管，支持SNMPv1、SNMPv2C、SNMPv3.</w:t>
            </w:r>
          </w:p>
          <w:p w14:paraId="07DB95C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A742B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4CE49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7D0A3AE">
        <w:tblPrEx>
          <w:tblCellMar>
            <w:top w:w="0" w:type="dxa"/>
            <w:left w:w="108" w:type="dxa"/>
            <w:bottom w:w="0" w:type="dxa"/>
            <w:right w:w="108" w:type="dxa"/>
          </w:tblCellMar>
        </w:tblPrEx>
        <w:trPr>
          <w:trHeight w:val="9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0714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79EC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防火墙设备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F9C43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1.名称:可管控防火墙</w:t>
            </w:r>
          </w:p>
          <w:p w14:paraId="39D85B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2.规格:配置接口≥4个千兆电口，≥4个千兆光口，≥8个万兆口，吞吐≥10Gbps，并发连接数≥500万，新建连接数≥15万/秒；支持防火墙、应用特征、防病毒、入侵防御、URL、IPSEC VPN、SSL VPN等功能扩展；要求支持将1台设备虚拟化为多台设备使用，可为虚拟防火墙划分各类硬件资源(至少包括CPU、内存、存储空间)，并支持网络虚拟化（如IP、VLAN、VRF资源）；支持将多台物理设备上的相同类型的业务处理板卡通过虚拟化技术虚拟成为业务处理资源池，提高业务处理能力及冗余能力；虚拟防火墙可以按需启动、停止，设备管理界面上可以查看到虚拟防火墙状态； 支持IPv6静态路由、RIPng、OSPFv3、BGP4+、IPv4向IPv6过渡隧道技术等，支持源地址NAT转换，目的地址NAT(nat server)转换和静态NAT映射，要求支持NAT二进制日志，可以设置发送开始、结束日志、活跃流日志，并支持NAT二进制日志主机负载分担，日志主机≥16台；支持静态NAT444、动态NAT444和NAT444用户日志；要求内置免费支持高性能IPSec、L2TP、GRE VPN等功能；可扩展支持高性能SSL VPN功能，要求支持集群式SSL VPN隧道备份切换，实配≥2个千兆单模模块。</w:t>
            </w:r>
          </w:p>
          <w:p w14:paraId="57D2870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93CF3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C24A4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0029BA8">
        <w:tblPrEx>
          <w:tblCellMar>
            <w:top w:w="0" w:type="dxa"/>
            <w:left w:w="108" w:type="dxa"/>
            <w:bottom w:w="0" w:type="dxa"/>
            <w:right w:w="108" w:type="dxa"/>
          </w:tblCellMar>
        </w:tblPrEx>
        <w:trPr>
          <w:trHeight w:val="76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AA0F0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D52A2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022A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1.名称:入侵防御</w:t>
            </w:r>
          </w:p>
          <w:p w14:paraId="13B6375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置≥4个千兆电口，可扩展光口，网络吞吐量≥5Gbps,IPS吞吐量≥4Gbps,防病毒吞吐量≥3Gbps，实配3年IPS特征库和病毒库，并发连接数:300万；产品形态为独立盒式形态或安全拔卡形态，具有良好的接口和功能扩展性：吞吐量可扩展至≥40Gbps，并发连接数可扩展至≥3200万，每秒新建连接数可扩展至≥100万，设备可扩展万兆接口≥32个；支持缺省策略、支持自定义策略，支持特征库手动、自动升级、支持预定义特征、支持自定义特征（可以通过snort文件导入自定义特征），支持 阻断/丢弃/允许/断开/重定向/捕获/日志，支持重定向报文、支持单独或组合配置特征动作。支持对BT等P2P/IM识别和控制，支持将多台设备虚拟化为一台，简化组网及管理，提升设备性能及可靠性， 支持将1台设备虚拟化为多台设备使用，可为虚拟设备划分各类硬件资源(至少包括CPU、内存、存储空间)，为虚拟数据中心多业务、多租户环境下灵活调度，资源按需分配，集成第三方专业防病毒厂商的专业病毒库； 支持蠕虫/病毒、木马、后门、DoS/DDoS攻击、探测/扫描、间谍软件、网络钓鱼、利用漏洞的攻击、SQL注入攻击、缓冲区溢出攻击、协议异常、IDS/IPS逃逸攻击等防护；支持URL过滤功能，可以自定义需要过滤的URL规则，URL过滤可以基于时间、主机，能够精细到单一IP地址；IPS检测到攻击报文或攻击流量后，支持阻断、限流、捕获原始报文等常规响应方式；实配≥2个千兆单模模块。</w:t>
            </w:r>
          </w:p>
          <w:p w14:paraId="1898E5D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8FAF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71DAD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74B4FB6">
        <w:tblPrEx>
          <w:tblCellMar>
            <w:top w:w="0" w:type="dxa"/>
            <w:left w:w="108" w:type="dxa"/>
            <w:bottom w:w="0" w:type="dxa"/>
            <w:right w:w="108" w:type="dxa"/>
          </w:tblCellMar>
        </w:tblPrEx>
        <w:trPr>
          <w:trHeight w:val="36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77D963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EDAEB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控制台(盘）、操作台、应急台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9FD23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1.名称:日志审计平台</w:t>
            </w:r>
          </w:p>
          <w:p w14:paraId="773749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2.规格:日志吞吐量：≥10000条/秒，动态缓存量：≥1000万，日志存储量：≥15亿；</w:t>
            </w:r>
          </w:p>
          <w:p w14:paraId="76372C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硬盘：≥2块1T容量，可作RAID1；</w:t>
            </w:r>
          </w:p>
          <w:p w14:paraId="47A0B05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网口：≥4个千兆以太网电口，双电源；</w:t>
            </w:r>
          </w:p>
          <w:p w14:paraId="6C7BA11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日志采集：对不同日志源 (包括Windows系统, Unix/Linux系统, 应用程序, 路由器, 防火墙等)所产生的日志进行收集，实现日志的集中管理和存储，支持解析任意格式、任意来源的日志，使用无代理的方式收集日志，不限制审计节点数。</w:t>
            </w:r>
          </w:p>
          <w:p w14:paraId="456B56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日志搜索：提供强大的日志搜索引擎，可进行基本搜索和高级搜索，从而帮助管理人员从海量的日志数据中检索出所需的信息。</w:t>
            </w:r>
          </w:p>
          <w:p w14:paraId="30B773E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日志归档：对收集的日志数据（包括从Windows系统收集到的Eventlog数据、从Linux/Unix及路由器/交换机收集到的Syslog数据、以及其它设备收集的Syslog数据）进行自动归档处理，以实现日志数据的长久保存。存储的日志数据，用于取证分析、性能检测、使用统计等方面。支持自定义合规性报表。</w:t>
            </w:r>
          </w:p>
          <w:p w14:paraId="27AB28A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48410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C3220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77EF411">
        <w:tblPrEx>
          <w:tblCellMar>
            <w:top w:w="0" w:type="dxa"/>
            <w:left w:w="108" w:type="dxa"/>
            <w:bottom w:w="0" w:type="dxa"/>
            <w:right w:w="108" w:type="dxa"/>
          </w:tblCellMar>
        </w:tblPrEx>
        <w:trPr>
          <w:trHeight w:val="3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092D8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EBFA0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EF790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1.名称:网络运维准入审计系统</w:t>
            </w:r>
          </w:p>
          <w:p w14:paraId="4310638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规格:对接入终端行为进行实时监控防护、东西向访问隔离、病毒传播行为监测、暴力破解检测响应、异常会话监测、设备联动响应等功能组件，保障平台的扩展性和兼容性；支持通过图形界面方式显示网络拓扑，支持自动发现网络拓扑连线；可提供网络流量的会话级阈值，根据网络流量的正常行为轮阈值廓特征建立正常流量模型,判别流量是否出现异常,对原始流记录进行异常检测,可发现网络蠕虫病毒攻击、网络IP扫描、端口扫描、僵尸机、ARP欺骗、TCP/UDP连接数异常等常见网络异常流量事件类型;支持自动收集终端资产状况，包括:在线/离线状态、IP地址、MAC地址、接入位置、操作系统、最近登录时间、最近登录的用户名;支持对整体网络进行指数评估包含终端在线数、运行时间、病毒传播行为、网络环路、ARP攻击等进行全访问展示；支持通过不同网络位置的日志数据收集，能够支持基于不同用户的网络行为基线画像，显示历史接入位置、接入端口、时间、流量趋势峰值、终端行为基线分析、安全状态评估、异常行为、网络会话日志记录，并能够提供相关日志辅助全面了解接入用户在网络通信中的行为，提升运维管理能力；支持控制台动态显示当前未处理的病毒传播行为异常数量、肉鸡源主机识别、仿冒主机识别与流量阻断及其各自影响的终端数量，支持点击TOP异常用户展示用户行为合规画像; </w:t>
            </w:r>
          </w:p>
          <w:p w14:paraId="2137742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71580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4D63F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F47B5B1">
        <w:tblPrEx>
          <w:tblCellMar>
            <w:top w:w="0" w:type="dxa"/>
            <w:left w:w="108" w:type="dxa"/>
            <w:bottom w:w="0" w:type="dxa"/>
            <w:right w:w="108" w:type="dxa"/>
          </w:tblCellMar>
        </w:tblPrEx>
        <w:trPr>
          <w:trHeight w:val="76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73AE96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C7EEC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各系统联动试运行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DD5C6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3126067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64B58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52008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66987263">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172F1430">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4D3E6CEB">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4、服务器及存储系统</w:t>
            </w:r>
          </w:p>
        </w:tc>
        <w:tc>
          <w:tcPr>
            <w:tcW w:w="1872" w:type="dxa"/>
            <w:gridSpan w:val="2"/>
            <w:tcBorders>
              <w:top w:val="nil"/>
              <w:left w:val="nil"/>
              <w:bottom w:val="nil"/>
              <w:right w:val="nil"/>
            </w:tcBorders>
            <w:shd w:val="clear" w:color="FFFFFF" w:fill="FFFFFF"/>
            <w:noWrap w:val="0"/>
            <w:vAlign w:val="bottom"/>
          </w:tcPr>
          <w:p w14:paraId="5F563029">
            <w:pPr>
              <w:jc w:val="left"/>
              <w:rPr>
                <w:rFonts w:hint="eastAsia" w:ascii="仿宋" w:hAnsi="仿宋" w:eastAsia="仿宋" w:cs="仿宋"/>
                <w:color w:val="auto"/>
                <w:sz w:val="18"/>
                <w:szCs w:val="18"/>
                <w:highlight w:val="none"/>
              </w:rPr>
            </w:pPr>
          </w:p>
        </w:tc>
      </w:tr>
      <w:tr w14:paraId="010D449C">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FEB8274">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3D1EAB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7F86128">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FCC1F4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94A538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470ACE89">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4B95001">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4A63D58">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5BC0960">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9089795">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6F2D663">
            <w:pPr>
              <w:jc w:val="center"/>
              <w:rPr>
                <w:rFonts w:hint="eastAsia" w:ascii="仿宋" w:hAnsi="仿宋" w:eastAsia="仿宋" w:cs="仿宋"/>
                <w:b/>
                <w:bCs/>
                <w:color w:val="auto"/>
                <w:sz w:val="18"/>
                <w:szCs w:val="18"/>
                <w:highlight w:val="none"/>
              </w:rPr>
            </w:pPr>
          </w:p>
        </w:tc>
      </w:tr>
      <w:tr w14:paraId="567C1EC9">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53CBDF0">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7202B4E">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2C7506B">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42F7FE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34E3CE2">
            <w:pPr>
              <w:jc w:val="center"/>
              <w:rPr>
                <w:rFonts w:hint="eastAsia" w:ascii="仿宋" w:hAnsi="仿宋" w:eastAsia="仿宋" w:cs="仿宋"/>
                <w:b/>
                <w:bCs/>
                <w:color w:val="auto"/>
                <w:sz w:val="18"/>
                <w:szCs w:val="18"/>
                <w:highlight w:val="none"/>
              </w:rPr>
            </w:pPr>
          </w:p>
        </w:tc>
      </w:tr>
      <w:tr w14:paraId="1474D823">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D64886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13F1E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服务器及存储系统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83250A">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1E4C1B">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EE457B">
            <w:pPr>
              <w:jc w:val="right"/>
              <w:rPr>
                <w:rFonts w:hint="eastAsia" w:ascii="仿宋" w:hAnsi="仿宋" w:eastAsia="仿宋" w:cs="仿宋"/>
                <w:color w:val="auto"/>
                <w:sz w:val="18"/>
                <w:szCs w:val="18"/>
                <w:highlight w:val="none"/>
              </w:rPr>
            </w:pPr>
          </w:p>
        </w:tc>
      </w:tr>
      <w:tr w14:paraId="41E54768">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97708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60F58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EF62B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1.名称:综合管理服务器</w:t>
            </w:r>
          </w:p>
          <w:p w14:paraId="2073746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2.国产服务器，处理器≥1颗，主频≥2.2G，核数≥14C；内存：配置≥64GB；内存类型：ECC DDR4 2666MHz或以上RDIMM；存储：配置≥3块600GB 10K SAS硬盘；RAID卡：配置磁盘阵列卡，≥2GB缓存，支持RAID0,1,10，5，6，50；网卡：配置≥4*GE电口，≥2*10GE光口（含光模块）；IO扩展性：PCI-E I/O插槽总数：≥10个；集成显卡：标配集成32M显卡；电源风扇：高性能热插拔冗余电源，冗余风扇；含配套服务器操作系统。</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C1173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02C32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C39F9C8">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FE2B36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1FE01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8EB56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1.名称:设备接入服务器</w:t>
            </w:r>
          </w:p>
          <w:p w14:paraId="232E41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2.国产服务器，处理器≥1颗，主频≥2.2G，核数≥14C；内存：配置≥64GB；内存类型：ECC DDR4 2666MHz或以上RDIMM；存储：配置≥3块600GB 10K SAS硬盘；RAID卡：配置磁盘阵列卡，≥2GB缓存，支持RAID0,1,10，5，6，50；网卡：配置≥4*GE电口，≥2*10GE光口（含光模块）；IO扩展性：PCI-E I/O插槽总数：≥10个；集成显卡：标配集成32M显卡；电源风扇：高性能热插拔冗余电源，冗余风扇；含配套服务器操作系统。</w:t>
            </w:r>
          </w:p>
          <w:p w14:paraId="17DAA74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427C6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D34C6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0FAB675">
        <w:tblPrEx>
          <w:tblCellMar>
            <w:top w:w="0" w:type="dxa"/>
            <w:left w:w="108" w:type="dxa"/>
            <w:bottom w:w="0" w:type="dxa"/>
            <w:right w:w="108" w:type="dxa"/>
          </w:tblCellMar>
        </w:tblPrEx>
        <w:trPr>
          <w:trHeight w:val="71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D6D672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F7726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6AA8E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1.名称:代理转发服务器</w:t>
            </w:r>
          </w:p>
          <w:p w14:paraId="6A7CBD7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2.国产服务器，处理器≥2颗，主频≥2.2G，核数≥12C；内存：配置≥128GB；内存类型：ECC DDR4 2666MHz或以上RDIMM；存储：配置≥3块600GB 10K SAS硬盘；RAID卡：配置磁盘阵列卡，≥2GB缓存，支持RAID0,1,10，5，6，50；网卡：配置≥4*GE电口，≥2*10GE光口（含光模块）；IO扩展性：PCI-E I/O插槽总数：≥10个；集成显卡：标配集成32M显卡；电源风扇：高性能热插拔冗余电源，冗余风扇；含配套服务器操作系统。</w:t>
            </w:r>
          </w:p>
          <w:p w14:paraId="34DAEE0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814F5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AC416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597E475">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D0FDF4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AB271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7C30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1.名称:报警管理服务器</w:t>
            </w:r>
          </w:p>
          <w:p w14:paraId="08716ED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2.国产服务器，处理器≥1颗，主频≥2.2G，核数≥14C；内存：配置≥64GB；内存类型：ECC DDR4 2666MHz或以上RDIMM；存储：配置≥3块600GB 10K SAS硬盘；RAID卡：配置磁盘阵列卡，≥2GB缓存，支持RAID0,1,10，5，6，50；网卡：配置≥4*GE电口，≥2*10GE光口（含光模块）；IO扩展性：PCI-E I/O插槽总数：≥10个；集成显卡：标配集成32M显卡；电源风扇：高性能热插拔冗余电源，冗余风扇；含配套服务器操作系统。</w:t>
            </w:r>
          </w:p>
          <w:p w14:paraId="0CB404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E0225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357E8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DBA2DA7">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59DF6F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AEFB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B9BB1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1.名称:GIS服务器</w:t>
            </w:r>
          </w:p>
          <w:p w14:paraId="2A9EC83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2.国产服务器，处理器≥2颗，主频≥2.2G，核数≥14C；内存：配置≥128GB；内存类型：ECC DDR4 2666MHz或以上RDIMM；存储：配置≥3块600GB 10K SAS硬盘，≥2块480GB SSD硬盘；RAID卡：配置磁盘阵列卡，≥2GB缓存，支持RAID0,1,10，5，6，50；网卡：配置≥4*GE电口，≥2*10GE光口（含光模块）；IO扩展性：PCI-E I/O插槽总数：≥10个；集成显卡：标配集成32M显卡；电源风扇：高性能热插拔冗余电源，冗余风扇。</w:t>
            </w:r>
          </w:p>
          <w:p w14:paraId="143E12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507F6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6B6C0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965118A">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C1E1C5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5603C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8802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1.名称:报警存储服务器</w:t>
            </w:r>
          </w:p>
          <w:p w14:paraId="18479A7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2.规格:国产服务器，处理器≥2颗，主频≥2.2G，核数≥12C；内存：配置≥128GB；内存类型：ECC DDR4 2666MHz或以上RDIMM；存储：配置≥3块600GB 10K SAS硬盘；RAID卡：配置磁盘阵列卡，≥2GB缓存，支持RAID0,1,10，5，6，50；网卡：配置≥4*GE电口，≥2*10GE光口（含光模块）；IO扩展性：PCI-E I/O插槽总数：≥10个；集成显卡：标配集成32M显卡；电源风扇：高性能热插拔冗余电源，冗余风扇；含配套服务器操作系统。</w:t>
            </w:r>
          </w:p>
          <w:p w14:paraId="4AB9883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7CE01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E221B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217D47D">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599F3C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4CD4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05406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1.名称:数据库服务器</w:t>
            </w:r>
          </w:p>
          <w:p w14:paraId="65DDE7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2.规格:国产服务器，处理器≥2颗，主频≥2.2G，核数≥14C；内存：配置≥128GB；内存类型：ECC DDR4 2666MHz或以上RDIMM；存储：配置≥3块600GB 10K SAS硬盘，≥2块480GB SSD硬盘；RAID卡：配置磁盘阵列卡，≥2GB缓存，支持RAID0,1,10，5，6，50；网卡：配置≥4*GE电口，≥2*10GE光口（含光模块）；IO扩展性：PCI-E I/O插槽总数：≥10个；集成显卡：标配集成32M显卡；电源风扇：高性能热插拔冗余电源，冗余风扇；含配套服务器操作系统。</w:t>
            </w:r>
          </w:p>
          <w:p w14:paraId="4CB3DC4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F9E4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97C87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D3C2D6F">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3F199F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1438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存储设备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D3B68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1.名称:业务存储</w:t>
            </w:r>
          </w:p>
          <w:p w14:paraId="569BE59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2.规格:标配双控；2U24个2.5寸盘位，≥128GB高速缓存；≥4个千兆网络端口、≥8个16Gb FC端口（含模块）、≥6个12Gb SAS端口；包含Thin-provisioning,本地卷镜像、快照、远程复制等功能；支持CIFS,NFS,FTP等协议；支持SSD/SAS/NL-SAS混插；配置≥20块10K rpm 900GB SAS硬盘。</w:t>
            </w:r>
          </w:p>
          <w:p w14:paraId="57731DB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0D5F0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D085E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793BEE5">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492F6D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1D007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计算机应用、网络系统系统联调</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AB68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1.名称:服务器安装、调试；磁盘阵列机安装、调试</w:t>
            </w:r>
          </w:p>
          <w:p w14:paraId="6250A12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B430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77A08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3D22A1C6">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4A1132D">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57D02AF">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5、机房工程</w:t>
            </w:r>
          </w:p>
        </w:tc>
        <w:tc>
          <w:tcPr>
            <w:tcW w:w="1872" w:type="dxa"/>
            <w:gridSpan w:val="2"/>
            <w:tcBorders>
              <w:top w:val="nil"/>
              <w:left w:val="nil"/>
              <w:bottom w:val="nil"/>
              <w:right w:val="nil"/>
            </w:tcBorders>
            <w:shd w:val="clear" w:color="FFFFFF" w:fill="FFFFFF"/>
            <w:noWrap w:val="0"/>
            <w:vAlign w:val="bottom"/>
          </w:tcPr>
          <w:p w14:paraId="02F5B96E">
            <w:pPr>
              <w:jc w:val="left"/>
              <w:rPr>
                <w:rFonts w:hint="eastAsia" w:ascii="仿宋" w:hAnsi="仿宋" w:eastAsia="仿宋" w:cs="仿宋"/>
                <w:color w:val="auto"/>
                <w:sz w:val="18"/>
                <w:szCs w:val="18"/>
                <w:highlight w:val="none"/>
              </w:rPr>
            </w:pPr>
          </w:p>
        </w:tc>
      </w:tr>
      <w:tr w14:paraId="104BDF3C">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2598D3A">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D0BE14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F9E4D4B">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9BDD85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0459D3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3CC3E245">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96FA3C5">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D3119F3">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49ABF41">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38EFDC8">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00E40C1">
            <w:pPr>
              <w:jc w:val="center"/>
              <w:rPr>
                <w:rFonts w:hint="eastAsia" w:ascii="仿宋" w:hAnsi="仿宋" w:eastAsia="仿宋" w:cs="仿宋"/>
                <w:b/>
                <w:bCs/>
                <w:color w:val="auto"/>
                <w:sz w:val="18"/>
                <w:szCs w:val="18"/>
                <w:highlight w:val="none"/>
              </w:rPr>
            </w:pPr>
          </w:p>
        </w:tc>
      </w:tr>
      <w:tr w14:paraId="37A28348">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66CC8F1">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80CD4B6">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26ACDA4">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05E5204">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1F60BC1">
            <w:pPr>
              <w:jc w:val="center"/>
              <w:rPr>
                <w:rFonts w:hint="eastAsia" w:ascii="仿宋" w:hAnsi="仿宋" w:eastAsia="仿宋" w:cs="仿宋"/>
                <w:b/>
                <w:bCs/>
                <w:color w:val="auto"/>
                <w:sz w:val="18"/>
                <w:szCs w:val="18"/>
                <w:highlight w:val="none"/>
              </w:rPr>
            </w:pPr>
          </w:p>
        </w:tc>
      </w:tr>
      <w:tr w14:paraId="5DE46D8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2446686">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461B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装饰工程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F5B1AE">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EA2B63">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0C05A6">
            <w:pPr>
              <w:jc w:val="right"/>
              <w:rPr>
                <w:rFonts w:hint="eastAsia" w:ascii="仿宋" w:hAnsi="仿宋" w:eastAsia="仿宋" w:cs="仿宋"/>
                <w:color w:val="auto"/>
                <w:sz w:val="18"/>
                <w:szCs w:val="18"/>
                <w:highlight w:val="none"/>
              </w:rPr>
            </w:pPr>
          </w:p>
        </w:tc>
      </w:tr>
      <w:tr w14:paraId="3EFAFBD4">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665BD66">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76BD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吊顶工程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DEB481">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25C447">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C5DF99">
            <w:pPr>
              <w:jc w:val="right"/>
              <w:rPr>
                <w:rFonts w:hint="eastAsia" w:ascii="仿宋" w:hAnsi="仿宋" w:eastAsia="仿宋" w:cs="仿宋"/>
                <w:color w:val="auto"/>
                <w:sz w:val="18"/>
                <w:szCs w:val="18"/>
                <w:highlight w:val="none"/>
              </w:rPr>
            </w:pPr>
          </w:p>
        </w:tc>
      </w:tr>
      <w:tr w14:paraId="4BD2185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6CC76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E5329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吊顶天棚</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FB2C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1.吊顶形式、吊杆规格、高度:微孔铝合金</w:t>
            </w:r>
          </w:p>
          <w:p w14:paraId="2B1024E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2.龙骨材料种类、规格、中距:300*1200*0.8mm</w:t>
            </w:r>
          </w:p>
          <w:p w14:paraId="54C9353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E3BB1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A765B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144</w:t>
            </w:r>
          </w:p>
        </w:tc>
      </w:tr>
      <w:tr w14:paraId="6F6C861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1B0017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7424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天棚喷刷涂料</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9F7C8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1.基层类型:防尘漆</w:t>
            </w:r>
          </w:p>
          <w:p w14:paraId="205DC9C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2.涂料品种、喷刷遍数:3遍</w:t>
            </w:r>
          </w:p>
          <w:p w14:paraId="1619C58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37A63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614BC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169</w:t>
            </w:r>
          </w:p>
        </w:tc>
      </w:tr>
      <w:tr w14:paraId="6177DA74">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A8B453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9DAD0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地板工程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C57655">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ED0274">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9A4B76">
            <w:pPr>
              <w:jc w:val="right"/>
              <w:rPr>
                <w:rFonts w:hint="eastAsia" w:ascii="仿宋" w:hAnsi="仿宋" w:eastAsia="仿宋" w:cs="仿宋"/>
                <w:color w:val="auto"/>
                <w:sz w:val="18"/>
                <w:szCs w:val="18"/>
                <w:highlight w:val="none"/>
              </w:rPr>
            </w:pPr>
          </w:p>
        </w:tc>
      </w:tr>
      <w:tr w14:paraId="695D304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90BD5D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45C91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防静电活动地板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744D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1.名称:硫酸钙无边框抗静电地板</w:t>
            </w:r>
          </w:p>
          <w:p w14:paraId="24E7C86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2.规格:600*600*35mm</w:t>
            </w:r>
          </w:p>
          <w:p w14:paraId="756788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60231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62617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144</w:t>
            </w:r>
          </w:p>
        </w:tc>
      </w:tr>
      <w:tr w14:paraId="5EA6BD7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D5867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482C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483A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1.名称:机柜底座</w:t>
            </w:r>
          </w:p>
          <w:p w14:paraId="6C4689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1142228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BFDA9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5B2EB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r>
      <w:tr w14:paraId="5A14258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50C5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74C07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EB581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1.名称:空调底座</w:t>
            </w:r>
          </w:p>
          <w:p w14:paraId="0E1B3A0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1ED5811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BF271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34627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3B64B47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BE25FF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E1533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F2CB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1.名称:空调室外机底座</w:t>
            </w:r>
          </w:p>
          <w:p w14:paraId="25EC998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7FA677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2CEE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3C988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64E8A60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6F22C5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79A4A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7E80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1.名称:输入配电柜底座</w:t>
            </w:r>
          </w:p>
          <w:p w14:paraId="23D80C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4B2184E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9A308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AE081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D4FBD0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F19C99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6E67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2D67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1.名称:动力输出配电柜底座</w:t>
            </w:r>
          </w:p>
          <w:p w14:paraId="7E09677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45E057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25868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C608A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324A86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31275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C578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3A496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1.名称:UPS输出配电柜底座</w:t>
            </w:r>
          </w:p>
          <w:p w14:paraId="3E1617A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0FA5007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56DD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7CAF9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8BA17E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A1DE89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348D2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8FF9B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1.名称:UPS底座</w:t>
            </w:r>
          </w:p>
          <w:p w14:paraId="1E3673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663EC49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A9F8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BA3D0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23AEB5A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38EC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51AB9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底座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CBFE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1.名称:电池柜底座</w:t>
            </w:r>
          </w:p>
          <w:p w14:paraId="1718423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2.规格:50*50*4mm角钢</w:t>
            </w:r>
          </w:p>
          <w:p w14:paraId="79DE4F5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6BADE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B9A7B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0D196362">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90A843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50177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踏步</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001B8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1.现场制作</w:t>
            </w:r>
          </w:p>
          <w:p w14:paraId="74337E2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E638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F4E80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EB7870E">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365240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F3E8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保温板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7B27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1.名称:铝箔塑板加0.5mm铝板含保温棉等基材</w:t>
            </w:r>
          </w:p>
          <w:p w14:paraId="454146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0D63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2F7E3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144</w:t>
            </w:r>
          </w:p>
        </w:tc>
      </w:tr>
      <w:tr w14:paraId="02E8C77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705BF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BFD54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喷刷涂料</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955B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1.基层类型:地板下防尘漆</w:t>
            </w:r>
          </w:p>
          <w:p w14:paraId="1B8D7C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2.涂料品种、喷刷遍数:3遍</w:t>
            </w:r>
          </w:p>
          <w:p w14:paraId="48B6A8F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4B894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B7007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144</w:t>
            </w:r>
          </w:p>
        </w:tc>
      </w:tr>
      <w:tr w14:paraId="2BBA0E2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EECC76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E1E3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拦水坝</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3147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1.名称:拦水坝</w:t>
            </w:r>
          </w:p>
          <w:p w14:paraId="7E5024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2.规格:100*100mm</w:t>
            </w:r>
          </w:p>
          <w:p w14:paraId="14F0768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378D9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4EA1E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w:t>
            </w:r>
          </w:p>
        </w:tc>
      </w:tr>
      <w:tr w14:paraId="045EC37F">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B551C2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540DA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墙面工程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493539">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3A210D">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DDB91C">
            <w:pPr>
              <w:jc w:val="right"/>
              <w:rPr>
                <w:rFonts w:hint="eastAsia" w:ascii="仿宋" w:hAnsi="仿宋" w:eastAsia="仿宋" w:cs="仿宋"/>
                <w:color w:val="auto"/>
                <w:sz w:val="18"/>
                <w:szCs w:val="18"/>
                <w:highlight w:val="none"/>
              </w:rPr>
            </w:pPr>
          </w:p>
        </w:tc>
      </w:tr>
      <w:tr w14:paraId="775767A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FE624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B01C2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墙面装饰板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AAA8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1.名称:墙面/柱面彩钢板</w:t>
            </w:r>
          </w:p>
          <w:p w14:paraId="24EDE85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2.隔离层材料种类、规格:12.6mm,含龙骨及保温棉等基材</w:t>
            </w:r>
          </w:p>
          <w:p w14:paraId="1775B6D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2D0BF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ABD42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297</w:t>
            </w:r>
          </w:p>
        </w:tc>
      </w:tr>
      <w:tr w14:paraId="026B663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6C977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CC8C3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钢质防火门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7218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1.名称:甲级钢制防火门</w:t>
            </w:r>
          </w:p>
          <w:p w14:paraId="3F02535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2.规格尺寸:1500*2400mm,含闭门器等</w:t>
            </w:r>
          </w:p>
          <w:p w14:paraId="7D4DF8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B6D54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樘</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8B77F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467FDFA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51D93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592E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金属踢脚线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7FA69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1.名称:成品钢质踢脚线</w:t>
            </w:r>
          </w:p>
          <w:p w14:paraId="1DA88A0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2.规格:67mm</w:t>
            </w:r>
          </w:p>
          <w:p w14:paraId="1D08EA8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79602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B96A7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85</w:t>
            </w:r>
          </w:p>
        </w:tc>
      </w:tr>
      <w:tr w14:paraId="7CEC32C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CD399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44C0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玻璃隔断</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8AC7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1.名称:钢化玻璃隔断（含门）</w:t>
            </w:r>
          </w:p>
          <w:p w14:paraId="0B2321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2.规格:15mm厚的钢化玻璃，面积约30平方米</w:t>
            </w:r>
          </w:p>
          <w:p w14:paraId="2A9B5F6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798E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8CF28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B5A160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75C7F9E">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2DF1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操作台及值班座椅</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D1163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C10547">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A60E4C">
            <w:pPr>
              <w:jc w:val="right"/>
              <w:rPr>
                <w:rFonts w:hint="eastAsia" w:ascii="仿宋" w:hAnsi="仿宋" w:eastAsia="仿宋" w:cs="仿宋"/>
                <w:color w:val="auto"/>
                <w:sz w:val="18"/>
                <w:szCs w:val="18"/>
                <w:highlight w:val="none"/>
              </w:rPr>
            </w:pPr>
          </w:p>
        </w:tc>
      </w:tr>
      <w:tr w14:paraId="0E730374">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E795DC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34895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操作台及值班座椅</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DEB72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1.定制操作台，含座椅</w:t>
            </w:r>
          </w:p>
          <w:p w14:paraId="08EF992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DFFC0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F3D89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5D35B86">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43B4002">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287AB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电气工程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3CDD27">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45343C">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1AB1EE">
            <w:pPr>
              <w:jc w:val="right"/>
              <w:rPr>
                <w:rFonts w:hint="eastAsia" w:ascii="仿宋" w:hAnsi="仿宋" w:eastAsia="仿宋" w:cs="仿宋"/>
                <w:color w:val="auto"/>
                <w:sz w:val="18"/>
                <w:szCs w:val="18"/>
                <w:highlight w:val="none"/>
              </w:rPr>
            </w:pPr>
          </w:p>
        </w:tc>
      </w:tr>
      <w:tr w14:paraId="37318105">
        <w:tblPrEx>
          <w:tblCellMar>
            <w:top w:w="0" w:type="dxa"/>
            <w:left w:w="108" w:type="dxa"/>
            <w:bottom w:w="0" w:type="dxa"/>
            <w:right w:w="108" w:type="dxa"/>
          </w:tblCellMar>
        </w:tblPrEx>
        <w:trPr>
          <w:trHeight w:val="486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76DEC8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27C5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ATS配电柜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4308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1.市电双切柜柜体与机柜外观一致；尺寸：800*1000*2000mm；采用优质覆铝锌板材，板材厚度不小于2.0毫米，且组装牢固；柜体的前、后门为网孔状通风散热，安装锁具。</w:t>
            </w:r>
          </w:p>
          <w:p w14:paraId="6CD9B51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2.配电柜的进出线方式符合现行国家标准、技术标准和规范。 </w:t>
            </w:r>
          </w:p>
          <w:p w14:paraId="40B1AAD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3.柜体的前后门及其外表面均应进行环氧粉末喷涂处理，喷涂厚 度不小于 50 微米，涂层应美观、牢固、耐腐蚀、抗冲击、不反光。所有柜内的零件、螺钉、电缆攀附的支架等均应镀锌，并达到耐盐 雾腐蚀的标准。</w:t>
            </w:r>
          </w:p>
          <w:p w14:paraId="297D60B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4.配电柜内配置智能电量仪，用于集中监测主路开关的电压、频 率、功率因素、电量等电参数；智能电量仪需具有远程通讯监控接口，方便进行网络通讯，可接入动环监控系统统一进行报警及信息反馈。</w:t>
            </w:r>
          </w:p>
          <w:p w14:paraId="3069C5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5.母线采用TMY 型优质电解紫铜排。搭接部位搪锡，非搭接部位套热塑管保护。母线的固定应采用阻燃的 DMC 绝缘排夹，具有耐电弧，动热稳定性高，机械强度高、耐高温和防潮的功能。 </w:t>
            </w:r>
          </w:p>
          <w:p w14:paraId="5EA00D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6.配电柜金属壳体和隔板等元件可靠连接，配电柜金属壳体设置接地螺栓及标志。 </w:t>
            </w:r>
          </w:p>
          <w:p w14:paraId="4DF25C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7.ATS切换器及断路器选用施耐德、ABB、西门子等国际一线知名品牌；配电柜内63A及以下断路器全部采用微型断路器，63A以上断路器采用塑壳断路器。配电柜内配置 60KA B级防雷器。 </w:t>
            </w:r>
          </w:p>
          <w:p w14:paraId="77D25D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E3DEE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9423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F4DDCEB">
        <w:tblPrEx>
          <w:tblCellMar>
            <w:top w:w="0" w:type="dxa"/>
            <w:left w:w="108" w:type="dxa"/>
            <w:bottom w:w="0" w:type="dxa"/>
            <w:right w:w="108" w:type="dxa"/>
          </w:tblCellMar>
        </w:tblPrEx>
        <w:trPr>
          <w:trHeight w:val="45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8D49AD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DB89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精密列头柜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E5C2C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1.精密列头柜外观要求与机柜外观一致，要求与模块化UPS电源同品牌，尺寸;600*1200*2000mm；采用优质覆铝锌板材，板材厚度不小于2.0毫米，且组装牢固；柜体的前、后门为网孔状通风散热，安装锁具。 </w:t>
            </w:r>
          </w:p>
          <w:p w14:paraId="207CD5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2.断路器选用施耐德、ABB、西门子等国际一线知名品牌，63A以上断路器采用塑壳断路器，63A以下断路器采用微型断路器； </w:t>
            </w:r>
          </w:p>
          <w:p w14:paraId="27B2FA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3.配电柜正面采用彩色触摸屏，测量主路电源电压、电流、频率、有功功率、功率因数、电压谐波、电流谐波、开关状态、负载百分比、电量，测量支路电流、负载百分比、开关状态。 </w:t>
            </w:r>
          </w:p>
          <w:p w14:paraId="0B4965D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4.监控要求支持 MODBUS 或 SNMP 协议,并通过 RS485,FE 接口上报，满足精密配电柜接入 L1 统一管理要求；支持主回路电压电流，空开状态，视在功率，有功功率，电能等指标监测；支持主回路过压 欠压告警，过流告警，频率异常告警，单路掉电告警，三相不平衡 告警； 5.采用分散控制集中管理的集散控制模式，形成网络集成式全分 布控制系统，以满足系统运行的实时、快速及可靠性要求； </w:t>
            </w:r>
          </w:p>
          <w:p w14:paraId="250DC54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6.监控装置实现多级权限管理、有效防止误操作； </w:t>
            </w:r>
          </w:p>
          <w:p w14:paraId="02DC6A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7.采用高性能微处理器的测控装置，实现智能化的监控及信息管理平台； </w:t>
            </w:r>
          </w:p>
          <w:p w14:paraId="066A8D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8.具有完善的故障告警和事件自诊断、分析功能，可保存历史记录信息； </w:t>
            </w:r>
          </w:p>
          <w:p w14:paraId="32F69B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9.监控装置具有断电自恢复功能，所有信息在断电时自动保存。 </w:t>
            </w:r>
          </w:p>
          <w:p w14:paraId="0642950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10.所有输出开关全部配置接线端子排，便于接线。 </w:t>
            </w:r>
          </w:p>
          <w:p w14:paraId="25CA88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11.配电柜内设置 20KA C 级防雷器 </w:t>
            </w:r>
          </w:p>
          <w:p w14:paraId="618F5F2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D6948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2531D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24E43D2">
        <w:tblPrEx>
          <w:tblCellMar>
            <w:top w:w="0" w:type="dxa"/>
            <w:left w:w="108" w:type="dxa"/>
            <w:bottom w:w="0" w:type="dxa"/>
            <w:right w:w="108" w:type="dxa"/>
          </w:tblCellMar>
        </w:tblPrEx>
        <w:trPr>
          <w:trHeight w:val="43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8E84F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6B0D8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指挥中心配电柜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CD55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1.指挥中心配电柜柜体与机柜外观一致；尺寸：600*1000*2000mm；采用优质覆铝锌板材，板材厚度不小于2.0毫米，且组装牢固；柜体的前、后门为网孔状通风散热，安装锁具。</w:t>
            </w:r>
          </w:p>
          <w:p w14:paraId="3D09FCF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2.配电柜的进出线方式符合现行国家标准、技术标准和规范。 </w:t>
            </w:r>
          </w:p>
          <w:p w14:paraId="2A7A5D0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3.柜体的前后门及其外表面均应进行环氧粉末喷涂处理，喷涂厚 度不小于 50 微米，涂层应美观、牢固、耐腐蚀、抗冲击、不反光。所有柜内的零件、螺钉、电缆攀附的支架等均应镀锌，并达到耐盐 雾腐蚀的标准。</w:t>
            </w:r>
          </w:p>
          <w:p w14:paraId="5F4369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4.配电柜内配置智能电量仪，用于集中监测主路开关的电压、频 率、功率因素、电量等电参数；智能电量仪需具有远程通讯监控接口，方便进行网络通讯，可接入动环监控系统统一进行报警及信息反馈。</w:t>
            </w:r>
          </w:p>
          <w:p w14:paraId="02216C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5.母线采用TMY 型优质电解紫铜排。搭接部位搪锡，非搭接部位套热塑管保护。母线的固定应采用阻燃的 DMC 绝缘排夹，具有耐电弧，动热稳定性高，机械强度高、耐高温和防潮的功能。 </w:t>
            </w:r>
          </w:p>
          <w:p w14:paraId="4440A4C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6.配电柜金属壳体和隔板等元件可靠连接，配电柜金属壳体设置接地螺栓及标志。 </w:t>
            </w:r>
          </w:p>
          <w:p w14:paraId="35589EB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7.ATS切换器及断路器选用施耐德、ABB、西门子等国际一线知名品牌；配电柜内63A及以下断路器全部采用微型断路器，63A以上断路器采用塑壳断路器。配电柜内配置 60KA B级防雷器。 </w:t>
            </w:r>
          </w:p>
          <w:p w14:paraId="1CAEE9E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B949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411E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951714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BDB282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74181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装饰灯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C1F07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1.名称:LED面板灯</w:t>
            </w:r>
          </w:p>
          <w:p w14:paraId="60650B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2.型号:含应急照明</w:t>
            </w:r>
          </w:p>
          <w:p w14:paraId="426EED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3.规格:300*1200/36W</w:t>
            </w:r>
          </w:p>
          <w:p w14:paraId="78EDD2D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B9706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0F3FC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r>
      <w:tr w14:paraId="638F8FB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55AD0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619A4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891F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1.名称:电源插座</w:t>
            </w:r>
          </w:p>
          <w:p w14:paraId="25F273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2.型号:五孔</w:t>
            </w:r>
          </w:p>
          <w:p w14:paraId="3556102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7027D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15187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r>
      <w:tr w14:paraId="24F4CA2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2EF12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B13F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45A10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1.名称:耐火型铜芯聚氯乙烯绝缘电线 </w:t>
            </w:r>
          </w:p>
          <w:p w14:paraId="3429FF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2.规格:RVV2.5</w:t>
            </w:r>
          </w:p>
          <w:p w14:paraId="0239531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16BD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8B085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300</w:t>
            </w:r>
          </w:p>
        </w:tc>
      </w:tr>
      <w:tr w14:paraId="4586D83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C28F4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18645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F4D15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1.名称:耐火型铜芯聚氯乙烯绝缘电线 </w:t>
            </w:r>
          </w:p>
          <w:p w14:paraId="2A572C4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2.规格:RVV4</w:t>
            </w:r>
          </w:p>
          <w:p w14:paraId="6C5A46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B7F50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EBCA0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300</w:t>
            </w:r>
          </w:p>
        </w:tc>
      </w:tr>
      <w:tr w14:paraId="65B97C8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CBB6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7D27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B840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1.名称:阻燃聚氯乙烯绝缘铜芯线 </w:t>
            </w:r>
          </w:p>
          <w:p w14:paraId="6B89C32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2.规格:ZR-BV-1</w:t>
            </w:r>
          </w:p>
          <w:p w14:paraId="56C8649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94E6E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FDDBD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1000</w:t>
            </w:r>
          </w:p>
        </w:tc>
      </w:tr>
      <w:tr w14:paraId="2697491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0397E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56FAC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F74E2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1.名称:阻燃聚氯乙烯绝缘铜芯线 </w:t>
            </w:r>
          </w:p>
          <w:p w14:paraId="2156E9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2.规格:ZR-BV-4</w:t>
            </w:r>
          </w:p>
          <w:p w14:paraId="1FAB12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2504B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E5B20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600</w:t>
            </w:r>
          </w:p>
        </w:tc>
      </w:tr>
      <w:tr w14:paraId="2D8E9BF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104E38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48CB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CC7C3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598827D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2.规格:ZR-YJV-3X6</w:t>
            </w:r>
          </w:p>
          <w:p w14:paraId="5585B05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86FEE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3058F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800</w:t>
            </w:r>
          </w:p>
        </w:tc>
      </w:tr>
      <w:tr w14:paraId="343531E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0B45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204E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B523E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217B03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2.规格:ZR-YJV-5X10</w:t>
            </w:r>
          </w:p>
          <w:p w14:paraId="5C084DF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667B0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472AA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80</w:t>
            </w:r>
          </w:p>
        </w:tc>
      </w:tr>
      <w:tr w14:paraId="6E48E85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DF4D5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D873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2EB76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0080853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2.规格:ZR-YJV-5X6</w:t>
            </w:r>
          </w:p>
          <w:p w14:paraId="663C3AF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CED4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EBFD7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w:t>
            </w:r>
          </w:p>
        </w:tc>
      </w:tr>
      <w:tr w14:paraId="18EFFCA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513C2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D7792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113B4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1B22C52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2.规格:ZR-YJV-4X35+1X16</w:t>
            </w:r>
          </w:p>
          <w:p w14:paraId="6F0C8C7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B1536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55262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r>
      <w:tr w14:paraId="6F50FD9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E52F6E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3ABF7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165BA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4FF0C2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2.规格:ZR-YJV-4X70+1X35</w:t>
            </w:r>
          </w:p>
          <w:p w14:paraId="780A65C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3EA74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0CDFF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w:t>
            </w:r>
          </w:p>
        </w:tc>
      </w:tr>
      <w:tr w14:paraId="0D38157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08EC4F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1580C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AE606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564FCD1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2.规格:ZR-YJV-4X120+70</w:t>
            </w:r>
          </w:p>
          <w:p w14:paraId="1A30673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B28C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EE32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w:t>
            </w:r>
          </w:p>
        </w:tc>
      </w:tr>
      <w:tr w14:paraId="4534C7D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55C93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28C3C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槽形母线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8FC2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1.名称:紫铜排</w:t>
            </w:r>
          </w:p>
          <w:p w14:paraId="1375E61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2.规格:20mm*3mm</w:t>
            </w:r>
          </w:p>
          <w:p w14:paraId="595656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F363E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FDC9D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73</w:t>
            </w:r>
          </w:p>
        </w:tc>
      </w:tr>
      <w:tr w14:paraId="229B450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0951A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AA252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槽形母线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1717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1.名称:紫铜排</w:t>
            </w:r>
          </w:p>
          <w:p w14:paraId="1E52AE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2.规格:15mm*3mm</w:t>
            </w:r>
          </w:p>
          <w:p w14:paraId="6C747EA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9E9F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428F8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228</w:t>
            </w:r>
          </w:p>
        </w:tc>
      </w:tr>
      <w:tr w14:paraId="4193C28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E470C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7DC8A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等电位端子箱、测试板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FB8D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1.名称:等电位接地体</w:t>
            </w:r>
          </w:p>
          <w:p w14:paraId="498C94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2.材质:接地电阻值低，耐腐蚀性、抗老化性</w:t>
            </w:r>
          </w:p>
          <w:p w14:paraId="4B0DE27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07B0B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52C9B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030E3BD">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BE2338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A96E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100KVA模块化UPS电源</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63C40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1.名称:100KVA模块化UPS电源</w:t>
            </w:r>
          </w:p>
          <w:p w14:paraId="429725B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UPS电源选用模块化UPS，设计总容量为200KVA；系统功率模块为50KVA，本次配置为2台50KVA模块；UPS所有模块必须满足在热拔插功能，UPS系统必须采用双路输入，满足系统的可靠性；采用LCD触摸屏，可以显示详细的信息，输入电压、输入频率、旁路电压、旁路频率、输出电压、输出电流、输出频率、有功功率、视载功率、负载率、电池均充电压、浮充电压、电池剩余放电时间、电池剩余容量、电池充电温度补偿系数、电池是否连接等参数；含配套齐平柜、电池（电池选型需根据实际放置空间选择）、电池开关柜、电池连接线等；后备电量1H，支持后期扩展为2H</w:t>
            </w:r>
          </w:p>
          <w:p w14:paraId="4D288D2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FDED0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50694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0285439">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5FFD6A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0A959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60KVA电源</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2711E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1.名称:60KVA电源</w:t>
            </w:r>
          </w:p>
          <w:p w14:paraId="3AA1478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2.参数:60KVA-UPS电源，输出功率因数≥0.9，超大LCD触摸宽屏显示；输入电压可变范围：204～242Vac；含电池开关柜、电池连接线等，后备电量1H,支持后期扩展为4H</w:t>
            </w:r>
          </w:p>
          <w:p w14:paraId="6489A9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DCDA5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79E0D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9E6BB6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0AC09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F8982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56BA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1.名称:PDU模块</w:t>
            </w:r>
          </w:p>
          <w:p w14:paraId="490431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2.参数:PDU左右侧垂直安装，32A输入，不少于12位国标插孔输出</w:t>
            </w:r>
          </w:p>
          <w:p w14:paraId="237E41B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F90B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3108B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34</w:t>
            </w:r>
          </w:p>
        </w:tc>
      </w:tr>
      <w:tr w14:paraId="32500CE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17AC2A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957F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装饰灯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99EEC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1.名称:疏散安全指示灯</w:t>
            </w:r>
          </w:p>
          <w:p w14:paraId="52A70FC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2.参数:LED超亮半导体发光管，应急功率不大于3W</w:t>
            </w:r>
          </w:p>
          <w:p w14:paraId="02E8E43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FAB80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8F234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5ECDB7A8">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7F1E1F">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FD0D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D3D28C">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91AB53">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2FCAE5">
            <w:pPr>
              <w:jc w:val="right"/>
              <w:rPr>
                <w:rFonts w:hint="eastAsia" w:ascii="仿宋" w:hAnsi="仿宋" w:eastAsia="仿宋" w:cs="仿宋"/>
                <w:color w:val="auto"/>
                <w:sz w:val="18"/>
                <w:szCs w:val="18"/>
                <w:highlight w:val="none"/>
              </w:rPr>
            </w:pPr>
          </w:p>
        </w:tc>
      </w:tr>
      <w:tr w14:paraId="1EC4880D">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E38CD6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43036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空调器</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855F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1.名称:风冷式行间空调</w:t>
            </w:r>
          </w:p>
          <w:p w14:paraId="2E27EA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2.参数:水平送风；总冷量≥40KW，显冷量≥40KW，风量≥8500m3/h，（回风温度37℃，回风湿度24%），应用直流变频压缩机，要求压缩机具有较高的能效比，且冷量输出可实现20%-100%连续调节。</w:t>
            </w:r>
          </w:p>
          <w:p w14:paraId="7FB7829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86C8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83193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1FF77E7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9F107C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7ED35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空调器</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25560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1.名称:基站式空调</w:t>
            </w:r>
          </w:p>
          <w:p w14:paraId="3D02AD0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2.参数:5P基站空调</w:t>
            </w:r>
          </w:p>
          <w:p w14:paraId="2993976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B0C1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F7673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6B73AD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F4C912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01979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空调器</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ACD6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1.名称:壁挂式空调</w:t>
            </w:r>
          </w:p>
          <w:p w14:paraId="6802692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2.参数:2P壁挂式空调</w:t>
            </w:r>
          </w:p>
          <w:p w14:paraId="733895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AE7C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54753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B91915A">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345E9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0F890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冷媒管及进出水管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6EF3D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1.内外机冷媒管道及进出水管安装实施</w:t>
            </w:r>
          </w:p>
          <w:p w14:paraId="0E7AB6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68FB0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500C6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7DBDF59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42B28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4CE6F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轴流通风机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84E7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1.名称:新风处理机组</w:t>
            </w:r>
          </w:p>
          <w:p w14:paraId="673FC3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2.规格:风量：1100m3/h 制冷量：14.0KW 制热量：8.1KW；机外静压：108Pa 电压：220V 50Hz</w:t>
            </w:r>
          </w:p>
          <w:p w14:paraId="3CFDE26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9C7E6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0C494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8FC3EE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40FE8A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1E7E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轴流通风机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9AB2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1.名称:轴流排烟机</w:t>
            </w:r>
          </w:p>
          <w:p w14:paraId="6F6526C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2.规格:风量：1020m3/h；风压：126pa,功率：0.18kw；转速：1450rpm，噪音：64dB(A)</w:t>
            </w:r>
          </w:p>
          <w:p w14:paraId="7B8E7DA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B59B8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43B17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C38C23C">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308872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34441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风管及风阀</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5F1A5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1.空调工程施工的相关工艺及配套各类风管及风阀等。</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784B4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45142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31035E8">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75A07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2E3A9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弱电工程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F4EB87">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20C476">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D0C6B1">
            <w:pPr>
              <w:jc w:val="right"/>
              <w:rPr>
                <w:rFonts w:hint="eastAsia" w:ascii="仿宋" w:hAnsi="仿宋" w:eastAsia="仿宋" w:cs="仿宋"/>
                <w:color w:val="auto"/>
                <w:sz w:val="18"/>
                <w:szCs w:val="18"/>
                <w:highlight w:val="none"/>
              </w:rPr>
            </w:pPr>
          </w:p>
        </w:tc>
      </w:tr>
      <w:tr w14:paraId="1A6AA19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923796">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3701B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综合布线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B33FBE">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26B6F7">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D998F4">
            <w:pPr>
              <w:jc w:val="right"/>
              <w:rPr>
                <w:rFonts w:hint="eastAsia" w:ascii="仿宋" w:hAnsi="仿宋" w:eastAsia="仿宋" w:cs="仿宋"/>
                <w:color w:val="auto"/>
                <w:sz w:val="18"/>
                <w:szCs w:val="18"/>
                <w:highlight w:val="none"/>
              </w:rPr>
            </w:pPr>
          </w:p>
        </w:tc>
      </w:tr>
      <w:tr w14:paraId="3B4EAA6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EDA3E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E869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A9F3C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1.名称:铜缆</w:t>
            </w:r>
          </w:p>
          <w:p w14:paraId="218F513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2.规格:6类/非屏蔽</w:t>
            </w:r>
          </w:p>
          <w:p w14:paraId="23C3E24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C192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0F7F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4800</w:t>
            </w:r>
          </w:p>
        </w:tc>
      </w:tr>
      <w:tr w14:paraId="75D23B9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B13D9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CA47E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18697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1.名称:光缆</w:t>
            </w:r>
          </w:p>
          <w:p w14:paraId="47C5AB6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2.规格:24芯/室内OM3</w:t>
            </w:r>
          </w:p>
          <w:p w14:paraId="6AE5147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BDF8D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00629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500</w:t>
            </w:r>
          </w:p>
        </w:tc>
      </w:tr>
      <w:tr w14:paraId="555C350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E98F3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B0B7B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EBF2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1.名称:铜缆配线架</w:t>
            </w:r>
          </w:p>
          <w:p w14:paraId="3CB5A5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2.规格:48口/6类，含模块</w:t>
            </w:r>
          </w:p>
          <w:p w14:paraId="647F0E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C936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D7B03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r>
      <w:tr w14:paraId="57AF8DD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6C0449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FDACF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F7E78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1.名称:铜缆配线架</w:t>
            </w:r>
          </w:p>
          <w:p w14:paraId="4D5894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2.规格:24口/6类，含模块</w:t>
            </w:r>
          </w:p>
          <w:p w14:paraId="2172E2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F3F3C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6BDC6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r>
      <w:tr w14:paraId="679B915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181DA4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DC919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0D03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1.名称:光纤配线架</w:t>
            </w:r>
          </w:p>
          <w:p w14:paraId="73D958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2.规格:48口，包含一体化托盘、单模束状尾纤、LC适配器、热缩保护套管等所有配套材料</w:t>
            </w:r>
          </w:p>
          <w:p w14:paraId="1C19135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E82D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446F7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7B91ED6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B79F12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42ACF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BF81C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1.名称:光纤配线架</w:t>
            </w:r>
          </w:p>
          <w:p w14:paraId="6A00E3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2.规格:24口，包含一体化托盘、单模束状尾纤、LC适配器、热缩保护套管等所有配套材料</w:t>
            </w:r>
          </w:p>
          <w:p w14:paraId="48A3399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2CABE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456B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r>
      <w:tr w14:paraId="2175C83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14FCFF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19B0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布放尾纤</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73CD3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1.名称:光纤尾纤</w:t>
            </w:r>
          </w:p>
          <w:p w14:paraId="6CBDA9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2.规格:3米/LC-/OM3</w:t>
            </w:r>
          </w:p>
          <w:p w14:paraId="5143B8D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A360E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7F7DC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650</w:t>
            </w:r>
          </w:p>
        </w:tc>
      </w:tr>
      <w:tr w14:paraId="3B0E49C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99538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7E1CE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布放尾纤</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1BD1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1.名称:光纤尾纤</w:t>
            </w:r>
          </w:p>
          <w:p w14:paraId="395B07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2.规格:3米/LC-/OM3</w:t>
            </w:r>
          </w:p>
          <w:p w14:paraId="71B5F92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96603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条</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4A9A5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150</w:t>
            </w:r>
          </w:p>
        </w:tc>
      </w:tr>
      <w:tr w14:paraId="69454095">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491C75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7E19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D13C9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1.名称:机柜</w:t>
            </w:r>
          </w:p>
          <w:p w14:paraId="3C76AA0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服务器机柜尺寸（宽*深*高，mm）：600*1200*2000；设计及制造符合BS15954、IEC297-2和EIN4194国际工业认证标准；机柜静态承载能力不小于2000kg；采用前后网孔门设计，前门单开，后门双开；门板网孔开孔均匀，支持前门、后门均采用高级弹力锁控制；采用上进上出的走线方式时，进线孔位置应具有线缆固定装置和专用封闭装置，不允许漏风。机柜顶部须有专用走线桥架，强电与弱电隔离设计。</w:t>
            </w:r>
          </w:p>
          <w:p w14:paraId="4B3F38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70723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91B72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r>
      <w:tr w14:paraId="4FA0401C">
        <w:tblPrEx>
          <w:tblCellMar>
            <w:top w:w="0" w:type="dxa"/>
            <w:left w:w="108" w:type="dxa"/>
            <w:bottom w:w="0" w:type="dxa"/>
            <w:right w:w="108" w:type="dxa"/>
          </w:tblCellMar>
        </w:tblPrEx>
        <w:trPr>
          <w:trHeight w:val="22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9920AD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36C46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封闭冷池</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9008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冷通道宽度为1200mm,手动平移门开启时隐藏设计，打开时，隐藏于两侧的管控柜内，外形大气美观，密封性好；手动平移门由整块大面积钢化玻璃外包钢制边框组成，活动天窗采用翻转式模块化设计组装，安装时可互换。活动天窗采用翻转式设计，磁力锁吸铁断电后靠自重翻转打开；活动天窗所用磁力锁电源受消防控制，消防启动时会将电磁铁电源切断，使活动天窗在自重的作用下打开，使消防气体进行通道内，实现消防联动。</w:t>
            </w:r>
          </w:p>
          <w:p w14:paraId="1D2F11C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通道天窗金属框应采用≥1.5mm优质冷轧钢板，通道天窗应采用透光性好，机械强度高的钢化玻璃材料，钢化玻璃厚度≥5mm，透光率不低于90%。封闭通道内应安装LED灯，作为通道的补充光源，平行分布于通道两侧，保持美观及必要的可维护性，通道内照度满足GB50174-2017相关要求。通道门为平移门，采用钢化玻璃外包优质冷轧钢板门框结构，通道门钢化玻璃面积≥50%；平移门顶部能安装可编辑显</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045F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58C65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583358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E6D735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DAF30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桥架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BBF1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1.名称:封闭式金属桥架</w:t>
            </w:r>
          </w:p>
          <w:p w14:paraId="66CBFA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2.规格:300*100</w:t>
            </w:r>
          </w:p>
          <w:p w14:paraId="4167B96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11FDA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E264C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r>
      <w:tr w14:paraId="0F5341A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8A2A58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F754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桥架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97BC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1.名称:敞开式网格桥架</w:t>
            </w:r>
          </w:p>
          <w:p w14:paraId="16CCDB1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2.规格:300*100</w:t>
            </w:r>
          </w:p>
          <w:p w14:paraId="15ED28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A1E77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D627E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w:t>
            </w:r>
          </w:p>
        </w:tc>
      </w:tr>
      <w:tr w14:paraId="64868BCB">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391900">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E099C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KVM系统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7C3AD7">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A4C030">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238F47">
            <w:pPr>
              <w:jc w:val="right"/>
              <w:rPr>
                <w:rFonts w:hint="eastAsia" w:ascii="仿宋" w:hAnsi="仿宋" w:eastAsia="仿宋" w:cs="仿宋"/>
                <w:color w:val="auto"/>
                <w:sz w:val="18"/>
                <w:szCs w:val="18"/>
                <w:highlight w:val="none"/>
              </w:rPr>
            </w:pPr>
          </w:p>
        </w:tc>
      </w:tr>
      <w:tr w14:paraId="2A672EC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B285E4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ED557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D9A2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1.名称:数字KVM控制台</w:t>
            </w:r>
          </w:p>
          <w:p w14:paraId="5C7E447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2.参数:32个服务器端口，最大可支持2个远程用户，支持1个本地用户接口，自带显示屏</w:t>
            </w:r>
          </w:p>
          <w:p w14:paraId="6FCE49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8157B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76650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605B53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59672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32A85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074F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1.名称:KVM转换模块</w:t>
            </w:r>
          </w:p>
          <w:p w14:paraId="27A9A0D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2.参数:KVM配套转换模块</w:t>
            </w:r>
          </w:p>
          <w:p w14:paraId="71E1DFA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4F835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BFA00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w:t>
            </w:r>
          </w:p>
        </w:tc>
      </w:tr>
      <w:tr w14:paraId="2859C323">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D1A4E4F">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D1B9F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机房环境监控系统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7B76AA">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74D85E">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148E62">
            <w:pPr>
              <w:jc w:val="right"/>
              <w:rPr>
                <w:rFonts w:hint="eastAsia" w:ascii="仿宋" w:hAnsi="仿宋" w:eastAsia="仿宋" w:cs="仿宋"/>
                <w:color w:val="auto"/>
                <w:sz w:val="18"/>
                <w:szCs w:val="18"/>
                <w:highlight w:val="none"/>
              </w:rPr>
            </w:pPr>
          </w:p>
        </w:tc>
      </w:tr>
      <w:tr w14:paraId="3351A8D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360BD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4934C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47DC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1.名称:供配电监测通信协议解析与软件接口</w:t>
            </w:r>
          </w:p>
          <w:p w14:paraId="189A0A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2.参数:根据智能电表通讯协议，实时监测配电柜三相电压、电流、功率等参数。</w:t>
            </w:r>
          </w:p>
          <w:p w14:paraId="5E4818B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3B582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93268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BF9A7C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B23C3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48679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1059D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1.名称:UPS监测通信协议解析与软件接口</w:t>
            </w:r>
          </w:p>
          <w:p w14:paraId="62EE1F2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2.参数:根据UPS自身通讯接口及协议实时监测UPSUPS的各开关、整流器、电池、逆变器、旁路及输出等各部分的状态</w:t>
            </w:r>
          </w:p>
          <w:p w14:paraId="496F1A4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2D94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354B9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6EADF2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4DB2FC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3FC92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4890A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1.名称:电池监测仪通信协议解析</w:t>
            </w:r>
          </w:p>
          <w:p w14:paraId="2DA5CB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2.参数:在线实时监测电池电压、电流、温度参数；报警延时&lt;0.1s；</w:t>
            </w:r>
          </w:p>
          <w:p w14:paraId="496E524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31358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B2088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9D5157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B1A452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F77A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B9FB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1.名称:精密配电柜监测通信协议解析与软件接口</w:t>
            </w:r>
          </w:p>
          <w:p w14:paraId="7806556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2.参数:根据智能电表接口协议实时读取设备自身电压、电流、功率等参数</w:t>
            </w:r>
          </w:p>
          <w:p w14:paraId="5C1722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E04C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3CE56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E2685D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4D589E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F5829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F7294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1.名称:精密空调监测通信协议解析与软件接口</w:t>
            </w:r>
          </w:p>
          <w:p w14:paraId="6A980C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2.参数:根据智能电表接口协议实时读取设备自身电压、电流、功率等参数</w:t>
            </w:r>
          </w:p>
          <w:p w14:paraId="227D57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71BC6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1BC88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643153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4356BA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8FE2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传感器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38248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1.名称:温湿度传感器</w:t>
            </w:r>
          </w:p>
          <w:p w14:paraId="6D53A8D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2.参数:温度测量范围：0℃～50℃；湿度测量范围：0%RH ～100%RH；工作电压：12-24VDC；工作温度：0℃～50℃；RS485 标准MODBUS输出；尺寸：85*26.5*100</w:t>
            </w:r>
          </w:p>
          <w:p w14:paraId="4B612B4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853B2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67256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r>
      <w:tr w14:paraId="27150EF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3CC0E2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DDC28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传感器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44F1F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1.名称:微压差传感器</w:t>
            </w:r>
          </w:p>
          <w:p w14:paraId="540FEF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2.参数:可用于感知管道中的压力差和气流差，监测滤网堵塞状态，量程30~100Pa</w:t>
            </w:r>
          </w:p>
          <w:p w14:paraId="161326D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9CC9D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3E907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68CD4E5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65BDF5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1E3D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0056C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1.名称:排风机控制器</w:t>
            </w:r>
          </w:p>
          <w:p w14:paraId="483ADA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2.参数:空调状态开关量变送器,新风状态开关监测器；输入范围：AC0～30A 可选，频率 45/65Hz</w:t>
            </w:r>
          </w:p>
          <w:p w14:paraId="05C30A8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3.接线端子材质、规格:未尽事宜参见施工图说明及相关规范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7FCA4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5C52E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2F76B3A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7028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8D640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C7EAE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1.名称:粉尘探测器</w:t>
            </w:r>
          </w:p>
          <w:p w14:paraId="73C0EF4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2.参数:空调状态开关量变送器,新风状态开关监测器；输入范围：AC0～30A 可选，频率 45/65Hz</w:t>
            </w:r>
          </w:p>
          <w:p w14:paraId="67F5F48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3.接线端子材质、规格:未尽事宜参见施工图说明及相关规范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A2CF5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58C06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2ABEB39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DE4F6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8DE3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传感器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F380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1.名称:压差传感器</w:t>
            </w:r>
          </w:p>
          <w:p w14:paraId="1EC6D4D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2.参数:12~36VDC(24VDC)输出：4mA~20mA/0mA~10mA, 1V~5V/0V~5V/0~10V</w:t>
            </w:r>
          </w:p>
          <w:p w14:paraId="474C3AF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E892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CF8B5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1F3C31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D1A95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51679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氢气检测器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8157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1.名称:氢气检测器</w:t>
            </w:r>
          </w:p>
          <w:p w14:paraId="59F33C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2.参数:工作电压：24VDC±15%，精度：±3%F.S，量程：0－1000ppm，分辨率1,信号输出：RS485</w:t>
            </w:r>
          </w:p>
          <w:p w14:paraId="111313D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44DAB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47E43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2F94550">
        <w:tblPrEx>
          <w:tblCellMar>
            <w:top w:w="0" w:type="dxa"/>
            <w:left w:w="108" w:type="dxa"/>
            <w:bottom w:w="0" w:type="dxa"/>
            <w:right w:w="108" w:type="dxa"/>
          </w:tblCellMar>
        </w:tblPrEx>
        <w:trPr>
          <w:trHeight w:val="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97889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16BA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A996A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1.名称:测漏控制器</w:t>
            </w:r>
          </w:p>
          <w:p w14:paraId="4012FC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2.参数:工作电压：12-24VDC；工作温度：-20℃～50℃；反应时间：小于2S，检测距离：200米；告警输出阻抗小于50欧，负载电流小于300mA</w:t>
            </w:r>
          </w:p>
          <w:p w14:paraId="5BCD7F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3.接线端子材质、规格:未尽事宜参见施工图说明及相关规范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DB4A6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93119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73F8D6D">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18D4D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7F3DE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B276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1.名称:测漏感应线</w:t>
            </w:r>
          </w:p>
          <w:p w14:paraId="5F9507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2.参数:漏水感应绳 XW 1100C–15M；线缆直径：7.5mm；导线外阻：20欧/100m；最大暴露温度：85℃；标配2米引出线</w:t>
            </w:r>
          </w:p>
          <w:p w14:paraId="4CE64D3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3.接线端子材质、规格:未尽事宜参见施工图说明及相关规范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E6763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F2925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3571A2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CF375C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AE58B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5CBD9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1.名称:漏水监测软件模块</w:t>
            </w:r>
          </w:p>
          <w:p w14:paraId="7C91CD9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2.参数:系统能对机房可能的漏水区域实时监视，显示并记录其运行数据，</w:t>
            </w:r>
          </w:p>
          <w:p w14:paraId="2F04D7F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9F40C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5B768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B228B2C">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B3DD0D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4C86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C2E98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1.名称:消防监测软件模块</w:t>
            </w:r>
          </w:p>
          <w:p w14:paraId="06FD8AE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2.参数:通过开关量数据采集模块，将消防控制器上的干接点变化信号送到监控主机，实时监测机房内的火灾情况和及时告警。</w:t>
            </w:r>
          </w:p>
          <w:p w14:paraId="7A3C71D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96240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2599C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290FF0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F7AD79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3E668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4072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1.名称:控制箱</w:t>
            </w:r>
          </w:p>
          <w:p w14:paraId="56243B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2.规格:含线槽导轨电源线空开</w:t>
            </w:r>
          </w:p>
          <w:p w14:paraId="5B464ED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6851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ACE5F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2EF32CC">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5CAEFD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E1033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数据采集及巡回检测报警装置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0A4D1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1.名称:数据采集器</w:t>
            </w:r>
          </w:p>
          <w:p w14:paraId="4458D44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2.参数:</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8路RS485/422和1路10/100Base-TX网络接口，RS-485/422接口不带供电</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4F499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72468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36C0762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33451A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0A9F0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C4B25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1.名称:冷通道联动控制模块</w:t>
            </w:r>
          </w:p>
          <w:p w14:paraId="48A6464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2.参数:通过开关量数据采集模块，将消防控制器上的干接点变化信号送到监控主机，实时监测机房内的火灾情况和及时告警。</w:t>
            </w:r>
          </w:p>
          <w:p w14:paraId="306D0A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496D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8C936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6C04A1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19CF8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623F1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3B95D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1.类型:摄像机</w:t>
            </w:r>
          </w:p>
          <w:p w14:paraId="5F31703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2.参数:网络半球摄像机，POE供电，镜头</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4mm，200万1/2.7”CMOS</w:t>
            </w:r>
          </w:p>
          <w:p w14:paraId="25F80D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BB5C4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B8D8D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r>
      <w:tr w14:paraId="28EFA8FC">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8B2C44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2440D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动环监控主机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FDA5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1.名称:动环监控主机</w:t>
            </w:r>
          </w:p>
          <w:p w14:paraId="495DC32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2.参数:数据采集设备支持</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16个下级设备,</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8个DI接口，4个AI接口，4个DO接口，以及4个RS485接口,2个RS232/RS485扩展接口。可以接入现场门禁控制器；现场报警模块；文字语音模块；DI输入模块；IO输入输出模块；智能蓄电池组采集器。</w:t>
            </w:r>
          </w:p>
          <w:p w14:paraId="5AFC9E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A5D0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1CDB2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970C761">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48A37B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A36A3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CE80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1.名称:监控系统软件平台</w:t>
            </w:r>
          </w:p>
          <w:p w14:paraId="772853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3D效果图形化软件界面。电子地图方式显示漏水位置、温湿度位置实时数据,实时显示存储各个子系统的监控数据，基于Windows系统，提供1级电子地图、实时数据浏览、告警集中管理、告警通知查询、历史数据与告警查询、用户管理、等基础功能，支持多浏览器，免插件。</w:t>
            </w:r>
          </w:p>
          <w:p w14:paraId="34BD475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4DAE4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0FB37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20002C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37E6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1DA5C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0ADA9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1.名称:视频监控软件模块</w:t>
            </w:r>
          </w:p>
          <w:p w14:paraId="62EB803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2.参数:监控系统接入软件开发</w:t>
            </w:r>
          </w:p>
          <w:p w14:paraId="5356367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E4529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0C33B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BC1CE1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A09B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AAC9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9361F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1.名称:门禁软件模块</w:t>
            </w:r>
          </w:p>
          <w:p w14:paraId="3A2C4D3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2.参数:门禁系统接入软件开发</w:t>
            </w:r>
          </w:p>
          <w:p w14:paraId="53806C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F5D3E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05F8B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A75B68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A8AE90">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6EE9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消防工程</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25D501">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A872D6">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4F3F5E">
            <w:pPr>
              <w:jc w:val="right"/>
              <w:rPr>
                <w:rFonts w:hint="eastAsia" w:ascii="仿宋" w:hAnsi="仿宋" w:eastAsia="仿宋" w:cs="仿宋"/>
                <w:color w:val="auto"/>
                <w:sz w:val="18"/>
                <w:szCs w:val="18"/>
                <w:highlight w:val="none"/>
              </w:rPr>
            </w:pPr>
          </w:p>
        </w:tc>
      </w:tr>
      <w:tr w14:paraId="61C325FB">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2B52F62">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89C98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气体灭火设备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64331C">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6EFF49">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12A3B0">
            <w:pPr>
              <w:jc w:val="right"/>
              <w:rPr>
                <w:rFonts w:hint="eastAsia" w:ascii="仿宋" w:hAnsi="仿宋" w:eastAsia="仿宋" w:cs="仿宋"/>
                <w:color w:val="auto"/>
                <w:sz w:val="18"/>
                <w:szCs w:val="18"/>
                <w:highlight w:val="none"/>
              </w:rPr>
            </w:pPr>
          </w:p>
        </w:tc>
      </w:tr>
      <w:tr w14:paraId="0099AF7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6B3BC7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5944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无管网气体灭火装置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B58E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1.名称:无管网灭火装置含药剂</w:t>
            </w:r>
          </w:p>
          <w:p w14:paraId="1D57D4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2.参数:90L/2.5，每套包括：灭火剂钢瓶一只，容器阀件组一套，电磁阀一个，收口喷头一个，无管网箱体</w:t>
            </w:r>
          </w:p>
          <w:p w14:paraId="1DDAB37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EA820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61C82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AC0F785">
        <w:tblPrEx>
          <w:tblCellMar>
            <w:top w:w="0" w:type="dxa"/>
            <w:left w:w="108" w:type="dxa"/>
            <w:bottom w:w="0" w:type="dxa"/>
            <w:right w:w="108" w:type="dxa"/>
          </w:tblCellMar>
        </w:tblPrEx>
        <w:trPr>
          <w:trHeight w:val="45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5BA442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9610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无管网气体灭火装置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439C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1.名称:无管网灭火装置含药剂</w:t>
            </w:r>
          </w:p>
          <w:p w14:paraId="5889CD9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2.参数:120L/2.5，每套包括：灭火剂钢瓶一只，容器阀件组一套，电磁阀一个，收口喷头一个，无管网箱体</w:t>
            </w:r>
          </w:p>
          <w:p w14:paraId="2F6BEE1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34119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6F126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701DD6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DE721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80A3F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无管网气体灭火装置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6023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1.名称:无管网灭火装置含药剂</w:t>
            </w:r>
          </w:p>
          <w:p w14:paraId="65F01AF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2.参数:150L/2.5，每套包括：灭火剂钢瓶一只，容器阀件组一套，电磁阀一个，收口喷头一个，无管网箱体</w:t>
            </w:r>
          </w:p>
          <w:p w14:paraId="26CA385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A0A4C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A3140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8369F4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4DED7C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5DCDE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泄压装置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0470D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1.名称:泄压装置</w:t>
            </w:r>
          </w:p>
          <w:p w14:paraId="3A973B5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2.参数:机械控制</w:t>
            </w:r>
          </w:p>
          <w:p w14:paraId="6B1452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05C8C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1B0A3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3913ABBD">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FF34B1C">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26B04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报警设备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57A7E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981C4A">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EA2F95">
            <w:pPr>
              <w:jc w:val="right"/>
              <w:rPr>
                <w:rFonts w:hint="eastAsia" w:ascii="仿宋" w:hAnsi="仿宋" w:eastAsia="仿宋" w:cs="仿宋"/>
                <w:color w:val="auto"/>
                <w:sz w:val="18"/>
                <w:szCs w:val="18"/>
                <w:highlight w:val="none"/>
              </w:rPr>
            </w:pPr>
          </w:p>
        </w:tc>
      </w:tr>
      <w:tr w14:paraId="4BFE0F1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C0D6A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0D98E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点型探测器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EA68F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1.名称:光电感烟火灾探测器</w:t>
            </w:r>
          </w:p>
          <w:p w14:paraId="0448561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2.规格:支持多种安装方式，可吸顶、可壁挂，含底座</w:t>
            </w:r>
          </w:p>
          <w:p w14:paraId="164D8C0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6D62C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EBEDE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5218DF3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6B709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C7049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点型探测器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B5CA9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1.名称:感温火灾探测器</w:t>
            </w:r>
          </w:p>
          <w:p w14:paraId="6190D10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2.规格:支持多种安装方式，可吸顶、可壁挂，含底座</w:t>
            </w:r>
          </w:p>
          <w:p w14:paraId="62DA8FB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1E62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3480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336D38C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383EF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06821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声光报警器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45E1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1.名称:声光报警器</w:t>
            </w:r>
          </w:p>
          <w:p w14:paraId="77B59A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2.规格:IP65防护，ABS灯罩</w:t>
            </w:r>
          </w:p>
          <w:p w14:paraId="1DCB3D7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C0E01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CC53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r>
      <w:tr w14:paraId="6FC2AE7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CDD5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96FC7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声光报警器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0976A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1.名称:气体喷洒指示灯</w:t>
            </w:r>
          </w:p>
          <w:p w14:paraId="4893A0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2.规格:IP65防护，ABS灯罩</w:t>
            </w:r>
          </w:p>
          <w:p w14:paraId="0A40A11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7C361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05C0C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1787956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A35C06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494DE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按钮</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AD21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1.名称:紧急启停按钮</w:t>
            </w:r>
          </w:p>
          <w:p w14:paraId="0E2A0D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2.规格:ABS材料</w:t>
            </w:r>
          </w:p>
          <w:p w14:paraId="0A13DD8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5062D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310F8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6A28DAD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F6204D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9C7A4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接线箱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8FFED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1.名称:智能电源箱</w:t>
            </w:r>
          </w:p>
          <w:p w14:paraId="381913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2.类型:各报警设备供电</w:t>
            </w:r>
          </w:p>
          <w:p w14:paraId="5089D1E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161A1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238CE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D669EE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88C4A5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A27AF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通信接口输入输出设备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1BB7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1.名称:RS485星型联网接口卡</w:t>
            </w:r>
          </w:p>
          <w:p w14:paraId="5BA88AE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2.规格:支持RS485星型组网</w:t>
            </w:r>
          </w:p>
          <w:p w14:paraId="100707F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33CCD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2480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B00E3D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08633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E0C7A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94A5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1.名称:气体灭火控制器</w:t>
            </w:r>
          </w:p>
          <w:p w14:paraId="0D9A933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2.类别:兼容无管网灭火装置</w:t>
            </w:r>
          </w:p>
          <w:p w14:paraId="47EE987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4061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63EA1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888934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C38F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6975D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联动控制箱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454AF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1.名称:火灾报警控制器</w:t>
            </w:r>
          </w:p>
          <w:p w14:paraId="2381E2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2.参数:实现火灾报警控制</w:t>
            </w:r>
          </w:p>
          <w:p w14:paraId="7847C68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6FB94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08F86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1A0AE6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30CCF8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11E07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模块(模块箱）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7B424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1.名称:输入/输出模块</w:t>
            </w:r>
          </w:p>
          <w:p w14:paraId="7F8F392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2.规格:支持多路输入、输出</w:t>
            </w:r>
          </w:p>
          <w:p w14:paraId="6031804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0AF15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CDC7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6223B1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91A97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F8324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16D07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1.名称:报警管线</w:t>
            </w:r>
          </w:p>
          <w:p w14:paraId="5C3C85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2.规格:ZR-RVS-2*1.5mm</w:t>
            </w:r>
          </w:p>
          <w:p w14:paraId="685816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F21EF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2DD2D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260</w:t>
            </w:r>
          </w:p>
        </w:tc>
      </w:tr>
      <w:tr w14:paraId="7684FBE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5EF496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C39F6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F797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1.名称:报警管线</w:t>
            </w:r>
          </w:p>
          <w:p w14:paraId="74D942B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2.规格:ZR-BV-2*2.5mm</w:t>
            </w:r>
          </w:p>
          <w:p w14:paraId="42E9C8C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2F14D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C7469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350</w:t>
            </w:r>
          </w:p>
        </w:tc>
      </w:tr>
      <w:tr w14:paraId="2B255244">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05802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75EB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辅助消防设备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4D0CCC">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845A97">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B44F46">
            <w:pPr>
              <w:jc w:val="right"/>
              <w:rPr>
                <w:rFonts w:hint="eastAsia" w:ascii="仿宋" w:hAnsi="仿宋" w:eastAsia="仿宋" w:cs="仿宋"/>
                <w:color w:val="auto"/>
                <w:sz w:val="18"/>
                <w:szCs w:val="18"/>
                <w:highlight w:val="none"/>
              </w:rPr>
            </w:pPr>
          </w:p>
        </w:tc>
      </w:tr>
      <w:tr w14:paraId="7C540A0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738D14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AC509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灭火器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5A582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1.名称:磷酸氨盐干粉灭火器（含灭火器箱）</w:t>
            </w:r>
          </w:p>
          <w:p w14:paraId="434CFE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2.规格、型号:5kg</w:t>
            </w:r>
          </w:p>
          <w:p w14:paraId="26B097C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E924A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具</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DC5E7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5412D6F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4E32B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D3EF4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防毒面具</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267F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1.防毒面具</w:t>
            </w:r>
          </w:p>
          <w:p w14:paraId="33FAB97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2.标准国标</w:t>
            </w:r>
          </w:p>
          <w:p w14:paraId="3FF9791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E206F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51F35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r>
    </w:tbl>
    <w:p w14:paraId="3C2767BE">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68477D86">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8937714">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6、固话及通讯终端智能管理系统</w:t>
            </w:r>
          </w:p>
        </w:tc>
        <w:tc>
          <w:tcPr>
            <w:tcW w:w="1872" w:type="dxa"/>
            <w:gridSpan w:val="2"/>
            <w:tcBorders>
              <w:top w:val="nil"/>
              <w:left w:val="nil"/>
              <w:bottom w:val="nil"/>
              <w:right w:val="nil"/>
            </w:tcBorders>
            <w:shd w:val="clear" w:color="FFFFFF" w:fill="FFFFFF"/>
            <w:noWrap w:val="0"/>
            <w:vAlign w:val="bottom"/>
          </w:tcPr>
          <w:p w14:paraId="36DC55E0">
            <w:pPr>
              <w:jc w:val="left"/>
              <w:rPr>
                <w:rFonts w:hint="eastAsia" w:ascii="仿宋" w:hAnsi="仿宋" w:eastAsia="仿宋" w:cs="仿宋"/>
                <w:color w:val="auto"/>
                <w:sz w:val="18"/>
                <w:szCs w:val="18"/>
                <w:highlight w:val="none"/>
              </w:rPr>
            </w:pPr>
          </w:p>
        </w:tc>
      </w:tr>
      <w:tr w14:paraId="17C9DD73">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DB10165">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E1B8068">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E8FD08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1ACF97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A0C486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6539AC91">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7F5291D">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B9CC08E">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0A7817F">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DD7514D">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977221F">
            <w:pPr>
              <w:jc w:val="center"/>
              <w:rPr>
                <w:rFonts w:hint="eastAsia" w:ascii="仿宋" w:hAnsi="仿宋" w:eastAsia="仿宋" w:cs="仿宋"/>
                <w:b/>
                <w:bCs/>
                <w:color w:val="auto"/>
                <w:sz w:val="18"/>
                <w:szCs w:val="18"/>
                <w:highlight w:val="none"/>
              </w:rPr>
            </w:pPr>
          </w:p>
        </w:tc>
      </w:tr>
      <w:tr w14:paraId="6813435E">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0D6BC6D1">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CDAB9BF">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F748417">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F9D180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9D1F5D7">
            <w:pPr>
              <w:jc w:val="center"/>
              <w:rPr>
                <w:rFonts w:hint="eastAsia" w:ascii="仿宋" w:hAnsi="仿宋" w:eastAsia="仿宋" w:cs="仿宋"/>
                <w:b/>
                <w:bCs/>
                <w:color w:val="auto"/>
                <w:sz w:val="18"/>
                <w:szCs w:val="18"/>
                <w:highlight w:val="none"/>
              </w:rPr>
            </w:pPr>
          </w:p>
        </w:tc>
      </w:tr>
      <w:tr w14:paraId="33DD05B3">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71827A3">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0C7D4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固话及通讯终端智能管理系统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A1E8BE">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BF6794">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45F0B2">
            <w:pPr>
              <w:jc w:val="right"/>
              <w:rPr>
                <w:rFonts w:hint="eastAsia" w:ascii="仿宋" w:hAnsi="仿宋" w:eastAsia="仿宋" w:cs="仿宋"/>
                <w:color w:val="auto"/>
                <w:sz w:val="18"/>
                <w:szCs w:val="18"/>
                <w:highlight w:val="none"/>
              </w:rPr>
            </w:pPr>
          </w:p>
        </w:tc>
      </w:tr>
      <w:tr w14:paraId="175F5C0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13A2BC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CD497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7D7E7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1.名称:IAD综合接入网关</w:t>
            </w:r>
          </w:p>
          <w:p w14:paraId="75B7BC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8个FXS端</w:t>
            </w:r>
          </w:p>
          <w:p w14:paraId="1C3FC7D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5E34D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828B5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r>
      <w:tr w14:paraId="35BEF8D9">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7CD940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FB91B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6DEFB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1.名称:IPPBX（含中继网关）</w:t>
            </w:r>
          </w:p>
          <w:p w14:paraId="4C5A60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2.规格:默认支持</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300分机，90并发；可扩展至500分机；支持</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100条VOIP中继；支持自动录音（内置存储硬盘）；支持1个E1（30B+D）接口；支持SIP协议和PRI/7号信令</w:t>
            </w:r>
          </w:p>
          <w:p w14:paraId="0E145C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383EA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C7FC6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A7AC2A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188E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C5699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C2403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1.名称:IAD综合接入网关</w:t>
            </w:r>
          </w:p>
          <w:p w14:paraId="34D5E99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2.材质:支持</w:t>
            </w:r>
            <w:r>
              <w:rPr>
                <w:rFonts w:hint="eastAsia" w:ascii="仿宋" w:hAnsi="仿宋" w:eastAsia="仿宋" w:cs="仿宋"/>
                <w:b/>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32个FXS端</w:t>
            </w:r>
            <w:r>
              <w:rPr>
                <w:rFonts w:hint="eastAsia" w:ascii="仿宋" w:hAnsi="仿宋" w:eastAsia="仿宋" w:cs="仿宋"/>
                <w:b/>
                <w:color w:val="auto"/>
                <w:kern w:val="0"/>
                <w:sz w:val="18"/>
                <w:szCs w:val="18"/>
                <w:highlight w:val="none"/>
                <w:lang w:bidi="ar"/>
              </w:rPr>
              <w:t>（参数太宽泛）</w:t>
            </w:r>
          </w:p>
          <w:p w14:paraId="4A5524F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21C31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3F87A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73AB212E">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F0327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A2B50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电视、电话插座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13279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1.名称：TV电视插座</w:t>
            </w:r>
          </w:p>
          <w:p w14:paraId="46BD3E3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2.安装方式：距地0.3m</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98126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A7099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r>
      <w:tr w14:paraId="08EBB27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9B0834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4AA0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4879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5757F9E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1D025BF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19FBD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2F1FA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68.43</w:t>
            </w:r>
          </w:p>
        </w:tc>
      </w:tr>
      <w:tr w14:paraId="017B0B42">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07126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F39C9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FBF8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7B1B518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34728F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13C218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E48CA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2BD06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140.49</w:t>
            </w:r>
          </w:p>
        </w:tc>
      </w:tr>
      <w:tr w14:paraId="3A09D791">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C3555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62C3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各系统联动试运行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FC09C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30698C2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7A04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0913C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2922D355">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72E6456">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20C2B20">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7、会议系统</w:t>
            </w:r>
          </w:p>
        </w:tc>
        <w:tc>
          <w:tcPr>
            <w:tcW w:w="1872" w:type="dxa"/>
            <w:gridSpan w:val="2"/>
            <w:tcBorders>
              <w:top w:val="nil"/>
              <w:left w:val="nil"/>
              <w:bottom w:val="nil"/>
              <w:right w:val="nil"/>
            </w:tcBorders>
            <w:shd w:val="clear" w:color="FFFFFF" w:fill="FFFFFF"/>
            <w:noWrap w:val="0"/>
            <w:vAlign w:val="bottom"/>
          </w:tcPr>
          <w:p w14:paraId="4EF7DBC5">
            <w:pPr>
              <w:jc w:val="left"/>
              <w:rPr>
                <w:rFonts w:hint="eastAsia" w:ascii="仿宋" w:hAnsi="仿宋" w:eastAsia="仿宋" w:cs="仿宋"/>
                <w:color w:val="auto"/>
                <w:sz w:val="18"/>
                <w:szCs w:val="18"/>
                <w:highlight w:val="none"/>
              </w:rPr>
            </w:pPr>
          </w:p>
        </w:tc>
      </w:tr>
      <w:tr w14:paraId="2A4D4179">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ACDBFA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B7582B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986CD4F">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942E588">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219AA0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2A639DAF">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00ADA45">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E977727">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AE60D46">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21E8000">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CC39DB0">
            <w:pPr>
              <w:jc w:val="center"/>
              <w:rPr>
                <w:rFonts w:hint="eastAsia" w:ascii="仿宋" w:hAnsi="仿宋" w:eastAsia="仿宋" w:cs="仿宋"/>
                <w:b/>
                <w:bCs/>
                <w:color w:val="auto"/>
                <w:sz w:val="18"/>
                <w:szCs w:val="18"/>
                <w:highlight w:val="none"/>
              </w:rPr>
            </w:pPr>
          </w:p>
        </w:tc>
      </w:tr>
      <w:tr w14:paraId="660A3C37">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E21FA3E">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803C49B">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B531E04">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437006D">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8E072AE">
            <w:pPr>
              <w:jc w:val="center"/>
              <w:rPr>
                <w:rFonts w:hint="eastAsia" w:ascii="仿宋" w:hAnsi="仿宋" w:eastAsia="仿宋" w:cs="仿宋"/>
                <w:b/>
                <w:bCs/>
                <w:color w:val="auto"/>
                <w:sz w:val="18"/>
                <w:szCs w:val="18"/>
                <w:highlight w:val="none"/>
              </w:rPr>
            </w:pPr>
          </w:p>
        </w:tc>
      </w:tr>
      <w:tr w14:paraId="36E1BBC8">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BFB74FF">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25923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会议系统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530ACA">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EB083B">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606328">
            <w:pPr>
              <w:jc w:val="right"/>
              <w:rPr>
                <w:rFonts w:hint="eastAsia" w:ascii="仿宋" w:hAnsi="仿宋" w:eastAsia="仿宋" w:cs="仿宋"/>
                <w:color w:val="auto"/>
                <w:sz w:val="18"/>
                <w:szCs w:val="18"/>
                <w:highlight w:val="none"/>
              </w:rPr>
            </w:pPr>
          </w:p>
        </w:tc>
      </w:tr>
      <w:tr w14:paraId="2B3A221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231F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E55C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消防广播及对讲电话主机(柜）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74D88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1.名称:话筒</w:t>
            </w:r>
          </w:p>
          <w:p w14:paraId="2D20381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2.规格:配备双路话筒音源切换器，实现音源切换，与话筒兼容配套</w:t>
            </w:r>
          </w:p>
          <w:p w14:paraId="25204CA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67838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E8C8D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99A492C">
        <w:tblPrEx>
          <w:tblCellMar>
            <w:top w:w="0" w:type="dxa"/>
            <w:left w:w="108" w:type="dxa"/>
            <w:bottom w:w="0" w:type="dxa"/>
            <w:right w:w="108" w:type="dxa"/>
          </w:tblCellMar>
        </w:tblPrEx>
        <w:trPr>
          <w:trHeight w:val="20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7D8179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0DF9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高功放分系统设备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AA04F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1.名称:专业功放</w:t>
            </w:r>
          </w:p>
          <w:p w14:paraId="04C1FE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2.规格:智能控制强制散热设计，风机噪音小，散热效率高等特点； 内置智能压限系统，控制功率模块及扬声器系统在安全范围内工作； 内置30Hz/50Hz高通滤波器。多种模式：立体声、桥接、并行。H类高效的功率放大电路，完善可靠的安全保护措施和工作状态指示（短路、过载、直流和过热保护，变压器过热保护）；立体声/并联8Ω×2:500W×2、立体声/并联4Ω×2:750W×2、立体声/并联2Ω×2:1125W×2、桥接8Ω:1500W、桥接4Ω:2200W；输入灵敏度:0dBu(1V)、输入阻抗:10K Ω 非平衡、20KΩ 平衡；频率响应(@1W功率下）:20Hz-20KHz/±1dB、信噪比(A计权)：≥100dB；保护方式:过流保护、直流保护、短路保护、冷却方式:风扇冷却；供电:~ 220V(50/60Hz)</w:t>
            </w:r>
          </w:p>
          <w:p w14:paraId="0EECA4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4093F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站</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776B6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E7F691A">
        <w:tblPrEx>
          <w:tblCellMar>
            <w:top w:w="0" w:type="dxa"/>
            <w:left w:w="108" w:type="dxa"/>
            <w:bottom w:w="0" w:type="dxa"/>
            <w:right w:w="108" w:type="dxa"/>
          </w:tblCellMar>
        </w:tblPrEx>
        <w:trPr>
          <w:trHeight w:val="6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23D002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B36DB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高功放分系统设备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15EE3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1.名称:专业功放</w:t>
            </w:r>
          </w:p>
          <w:p w14:paraId="46D20A3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2.规格:智能控制强制散热设计，风机噪音小，散热效率高等特点； 两声道功放有三档输入灵敏度选择，轻松接纳宽幅度范围信号源输入；完善可靠的安全保护措施和工作状态指示（短路、过载、直流和过热保护，变压器过热保护），让用户放心使用；智能削峰限幅器，控制功率模块及扬声器系统在安全范围内工作； 输出功率:立体声/并联8Ω:350W*2、立体声/并联4Ω:530W*2、桥接8Ω :1060W  信噪比:≥90dB、频响:20Hz-20KHz(+0dB/-2dB)；分离度:≥80dB、失真度:≤0.05%；供电:~ 220V(50/60Hz)</w:t>
            </w:r>
          </w:p>
          <w:p w14:paraId="7A36984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7DD28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站</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2CCA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3133089E">
        <w:tblPrEx>
          <w:tblCellMar>
            <w:top w:w="0" w:type="dxa"/>
            <w:left w:w="108" w:type="dxa"/>
            <w:bottom w:w="0" w:type="dxa"/>
            <w:right w:w="108" w:type="dxa"/>
          </w:tblCellMar>
        </w:tblPrEx>
        <w:trPr>
          <w:trHeight w:val="20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23B0B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E9340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塑仿石音箱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FEFA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1.名称:专业音箱（含支架）</w:t>
            </w:r>
          </w:p>
          <w:p w14:paraId="3D6717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2.规格:1.阻抗：</w:t>
            </w:r>
            <w:r>
              <w:rPr>
                <w:rFonts w:hint="eastAsia" w:ascii="仿宋" w:hAnsi="仿宋" w:eastAsia="仿宋" w:cs="仿宋"/>
                <w:color w:val="auto"/>
                <w:kern w:val="0"/>
                <w:sz w:val="18"/>
                <w:szCs w:val="18"/>
                <w:highlight w:val="none"/>
                <w:lang w:val="en-US" w:eastAsia="zh-CN" w:bidi="ar"/>
              </w:rPr>
              <w:t>不大于</w:t>
            </w:r>
            <w:r>
              <w:rPr>
                <w:rFonts w:hint="eastAsia" w:ascii="仿宋" w:hAnsi="仿宋" w:eastAsia="仿宋" w:cs="仿宋"/>
                <w:color w:val="auto"/>
                <w:kern w:val="0"/>
                <w:sz w:val="18"/>
                <w:szCs w:val="18"/>
                <w:highlight w:val="none"/>
                <w:lang w:bidi="ar"/>
              </w:rPr>
              <w:t>8Ω</w:t>
            </w:r>
          </w:p>
          <w:p w14:paraId="28D238D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2.频响：50Hz~20KHz</w:t>
            </w:r>
          </w:p>
          <w:p w14:paraId="029B9F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3.额定功率：</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350W</w:t>
            </w:r>
          </w:p>
          <w:p w14:paraId="76AC32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4.灵敏度：</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99dB/W/M</w:t>
            </w:r>
          </w:p>
          <w:p w14:paraId="1C5B0C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5.覆盖角度：</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(H)80°(V)60°</w:t>
            </w:r>
          </w:p>
          <w:p w14:paraId="6D39C4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6.高音：</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1.7"压缩高音单元×1</w:t>
            </w:r>
          </w:p>
          <w:p w14:paraId="4580696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7.低音：</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12"低音×1</w:t>
            </w:r>
          </w:p>
          <w:p w14:paraId="73769E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2886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F38C2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r>
      <w:tr w14:paraId="3924D4B4">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D2AA94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E2FA7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报警联动一体机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674C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1.名称:75寸触控平板一体机</w:t>
            </w:r>
          </w:p>
          <w:p w14:paraId="2DC9999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屏幕：尺寸≥75寸，亮度≥280cd/㎡，分辨率不低于3840*2160，支持4K高清，内置3*800W像素摄像头，支持多视角切换，6阵列麦克风，8米有效拾音距离；内置2*10W+15W（低音）扬声器，支持20点触摸书写，无线投屏支持4分屏，支持扩展显示；内置视频会议软件，一键开启视频会议，支持集控平台软件对接，WiFi模块支持可插拔</w:t>
            </w:r>
          </w:p>
          <w:p w14:paraId="1291499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9733D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42EDC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949B7E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E7727F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B5AFB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全玻（无框玻璃）幕墙</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5E26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1.名称:幕布</w:t>
            </w:r>
          </w:p>
          <w:p w14:paraId="1FE8AF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2.规格:120寸</w:t>
            </w:r>
          </w:p>
          <w:p w14:paraId="51BABA2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9C4FD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02376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7890200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7FA610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A0253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2C91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1.名称:投影仪</w:t>
            </w:r>
          </w:p>
          <w:p w14:paraId="7E808BD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2.规格:4000流明</w:t>
            </w:r>
          </w:p>
          <w:p w14:paraId="27DF3F4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10605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5F15D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261135D7">
        <w:tblPrEx>
          <w:tblCellMar>
            <w:top w:w="0" w:type="dxa"/>
            <w:left w:w="108" w:type="dxa"/>
            <w:bottom w:w="0" w:type="dxa"/>
            <w:right w:w="108" w:type="dxa"/>
          </w:tblCellMar>
        </w:tblPrEx>
        <w:trPr>
          <w:trHeight w:val="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0CD246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1772C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插座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97360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1.名称:多功能地插</w:t>
            </w:r>
          </w:p>
          <w:p w14:paraId="5DE742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2.规格:一个USB、一个网络、一个3.5音频、一个HDMI、一个VGA、一个电源</w:t>
            </w:r>
          </w:p>
          <w:p w14:paraId="19A7319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E8E69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CF661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297FD938">
        <w:tblPrEx>
          <w:tblCellMar>
            <w:top w:w="0" w:type="dxa"/>
            <w:left w:w="108" w:type="dxa"/>
            <w:bottom w:w="0" w:type="dxa"/>
            <w:right w:w="108" w:type="dxa"/>
          </w:tblCellMar>
        </w:tblPrEx>
        <w:trPr>
          <w:trHeight w:val="432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F10635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3DB4E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072B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1.名称:UHF段液晶显示可调频真分集无线咪</w:t>
            </w:r>
          </w:p>
          <w:p w14:paraId="5DE4E8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(一拖八无线话筒）</w:t>
            </w:r>
          </w:p>
          <w:p w14:paraId="6F8FEB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2.规格:采用先进PLL频率合成锁相环技术，微电脑集成中央处理器CPU总线控制系统。</w:t>
            </w:r>
          </w:p>
          <w:p w14:paraId="3A26EE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兼容手动选频和红外自动对频锁定频道， 杂讯锁定静噪控制及音码锁定静噪控制，信号更稳定。</w:t>
            </w:r>
          </w:p>
          <w:p w14:paraId="5B6353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V/A显示屏在任何角度观察字体清晰同时显示信道号与工作频率。带8级射频电平显示，8级音频电平显示，频道菜单显示，静音显示。</w:t>
            </w:r>
          </w:p>
          <w:p w14:paraId="3240BCF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先进的滤波及抗干扰功能能够有效阻隔外界不良信号及手机信号的干扰。 使用640-830MHZ频段，每台接收机拥有200个可调频率。</w:t>
            </w:r>
          </w:p>
          <w:p w14:paraId="011ACEF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采用传统按键操控，更省电，更经济实惠，性价比高，内置高性能的语音压扩技术，支持平衡和非平衡两种选择输出端口。系统指标：频率范围： 640-690MHZ  740-790MHz  807-830MHz、频道数目： 500个、音频响应 ：80HZ-18KHZ(±2dB)、信噪比： &gt;105dB、灵敏度 ：–105 dBm for 12 dB SINAD, typical、有效使用距离 ：空旷50米；接收器指标：平衡200Ω 负载-13dBV，非平衡600Ω、音频输出阻抗： 平衡200Ω；1路合并非平衡600Ω；麦克风指标：输出功率 ：高功率30mW；低功率3mW；系统包括有一台主机+四台桌面式无线麦克</w:t>
            </w:r>
          </w:p>
          <w:p w14:paraId="1C60612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37E42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18956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7C238A4">
        <w:tblPrEx>
          <w:tblCellMar>
            <w:top w:w="0" w:type="dxa"/>
            <w:left w:w="108" w:type="dxa"/>
            <w:bottom w:w="0" w:type="dxa"/>
            <w:right w:w="108" w:type="dxa"/>
          </w:tblCellMar>
        </w:tblPrEx>
        <w:trPr>
          <w:trHeight w:val="40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107CE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E195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55A9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1.名称:UHF段液晶显示可调频真分集无线咪</w:t>
            </w:r>
          </w:p>
          <w:p w14:paraId="6A125D7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(一拖八无线话筒）</w:t>
            </w:r>
          </w:p>
          <w:p w14:paraId="7B21E82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2.规格:采用先进PLL频率合成锁相环技术，微电脑集成中央处理器CPU总线控制系统。 兼容手动选频和红外自动对频锁定频道， 杂讯锁定静噪控制及音码锁定静噪控制，信号更稳定。具有SCAN 自动扫频功能，使用前按SET功能键自动找一个环境最干净的频点处停下来，此频率作为接收机的使用频率；V/A显示屏在任何角度观察字体清晰同时显示信道号与工作频率。带8级射频电平显示，8级音频电平显示，频道菜单显示，静音显示。 先进的滤波及抗干扰功能能够有效阻隔外界不良信号及手机信号的干扰。使用640-830MHZ频段，每台接收机拥有200个可调频率。采用传统按键操控，更省电，更经济实惠，性价比高，内置高性能的语音压扩技术，支持平衡和非平衡两种选择输出端口。系统指标：频率范围： 640-690MHZ  740-790MHz  807-830MHz、频道数目： 500个、音频响应 ：80HZ-18KHZ(±2dB)、信噪比： &gt;105dB、灵敏度 ：–105 dBm for 12 dB SINAD, typical、有效使用距离 ：空旷50米；接收器指标：平衡200Ω 负载-13dBV，非平衡600Ω、音频输出阻抗： 平衡200Ω；1路合并非平衡600Ω；麦克风指标：输出功率 ：高功率30mW；低功率3mW；系统包括有一台主机+八台桌面式无线麦克</w:t>
            </w:r>
          </w:p>
          <w:p w14:paraId="0487E94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F6B9A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984AF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3B07C03A">
        <w:tblPrEx>
          <w:tblCellMar>
            <w:top w:w="0" w:type="dxa"/>
            <w:left w:w="108" w:type="dxa"/>
            <w:bottom w:w="0" w:type="dxa"/>
            <w:right w:w="108" w:type="dxa"/>
          </w:tblCellMar>
        </w:tblPrEx>
        <w:trPr>
          <w:trHeight w:val="99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64F3A8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D634F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短信、语音信箱设备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C32C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1.名称:12路数字输出两编组USB录音实况调音台</w:t>
            </w:r>
          </w:p>
          <w:p w14:paraId="60448EA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2.规格:1.输入通道：单声道8路，立体声2组，话筒接口幻像电源：+48V；                </w:t>
            </w:r>
          </w:p>
          <w:p w14:paraId="345FA3E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2.输出通道：1组立体声主输出、2路编组输出、2组辅助输出、1组立体声监听输出、1组CD/TAPE输出、USB声卡播放输出、蓝牙播放输出；</w:t>
            </w:r>
          </w:p>
          <w:p w14:paraId="737C1DC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3.频率响应：20～20KHz±0.5dB；</w:t>
            </w:r>
          </w:p>
          <w:p w14:paraId="220EC2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4通道串音：≤-90dB @ 20KHz；</w:t>
            </w:r>
          </w:p>
          <w:p w14:paraId="3987527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5.信噪比(计权)：≥95dB @ 1KHz 0dB；</w:t>
            </w:r>
          </w:p>
          <w:p w14:paraId="65DA38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6.失真度：≤0.002% @ 0dB 1KHz；</w:t>
            </w:r>
          </w:p>
          <w:p w14:paraId="484262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7.内置21种DSP效果器，面板按键可选择；</w:t>
            </w:r>
          </w:p>
          <w:p w14:paraId="630EF0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8.内置USB声卡，连接电脑进行音乐播放和音乐录音；</w:t>
            </w:r>
          </w:p>
          <w:p w14:paraId="48E85E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9.内置蓝牙播放模块，可对频蓝牙设备并播放其数字音频节目；</w:t>
            </w:r>
          </w:p>
          <w:p w14:paraId="38DF209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10.电源供应及功耗：220V/50Hz,&lt;60W；</w:t>
            </w:r>
          </w:p>
          <w:p w14:paraId="50C7BB5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35F0C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5888F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6DF10570">
        <w:tblPrEx>
          <w:tblCellMar>
            <w:top w:w="0" w:type="dxa"/>
            <w:left w:w="108" w:type="dxa"/>
            <w:bottom w:w="0" w:type="dxa"/>
            <w:right w:w="108" w:type="dxa"/>
          </w:tblCellMar>
        </w:tblPrEx>
        <w:trPr>
          <w:trHeight w:val="20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3A3AF0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E6BC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前置通信处理器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636D8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1.名称:音频处理器</w:t>
            </w:r>
          </w:p>
          <w:p w14:paraId="3DA5E9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数字音频处理器支持≥8路平衡式话筒/线路输入通道，采用裸线接口端子，平衡接法；支持≥8路平衡式线路输出，采用裸线接口端子，平衡接法。输入通道支持前级放大、信号发生器、扩展器、压缩器、5段参量均衡、AM自动混音功能、AFC自适应反馈消除、AEC回声消除、ANC噪声消除。输出通道支持31段参量均衡器、延时器、分频器、高低通滤波器、限幅器。</w:t>
            </w:r>
          </w:p>
          <w:p w14:paraId="1A65DE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支持24bit/48KHz卓越的高品质声音，支持输入通道48V幻象供电，频率响应：20Hz-20KHz，总谐波失真＜0.002% @1KHz ,4dBu，数/模动态范围(A-计权)：120dB；最大输出电平≥+24dBu，最大输入电平≥+24dBu。</w:t>
            </w:r>
          </w:p>
          <w:p w14:paraId="34BB460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B0E81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F3F67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88BEBF5">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7D4205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46ED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计算机终端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FE5B1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1.名称:视频会议终端 </w:t>
            </w:r>
          </w:p>
          <w:p w14:paraId="3D59D4B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2.规格:支持ITU-T H.323.IETF SIP协议，支持H.323.SIP、RTSP等协议的设备混合入会，具有良好的兼容性。带宽速率支持64Kbps-8Mbps；支持QCIF、CIF、4CIF、480P、D1.720P、1080P视频分辨率。支持H.264.H.264 MP、H.264 HP、H.265视频编解码协议，支持G.711.G.722.G.722.1.G.722.1C、OPUS等音频编解码协议，音质最高达48KHz。能够</w:t>
            </w:r>
            <w:r>
              <w:rPr>
                <w:rFonts w:hint="eastAsia" w:ascii="仿宋" w:hAnsi="仿宋" w:eastAsia="仿宋" w:cs="仿宋"/>
                <w:color w:val="auto"/>
                <w:kern w:val="0"/>
                <w:sz w:val="18"/>
                <w:szCs w:val="18"/>
                <w:highlight w:val="none"/>
                <w:lang w:val="en-US" w:eastAsia="zh-CN" w:bidi="ar"/>
              </w:rPr>
              <w:t>满足使用需求</w:t>
            </w:r>
            <w:r>
              <w:rPr>
                <w:rFonts w:hint="eastAsia" w:ascii="仿宋" w:hAnsi="仿宋" w:eastAsia="仿宋" w:cs="仿宋"/>
                <w:color w:val="auto"/>
                <w:kern w:val="0"/>
                <w:sz w:val="18"/>
                <w:szCs w:val="18"/>
                <w:highlight w:val="none"/>
                <w:lang w:bidi="ar"/>
              </w:rPr>
              <w:t>。</w:t>
            </w:r>
          </w:p>
          <w:p w14:paraId="6857058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B7F8E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17E55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DC31856">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D58354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8E7D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摄像设备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CAE2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1.名称:摄像机</w:t>
            </w:r>
          </w:p>
          <w:p w14:paraId="6C7EC0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2.材质:支持H.265编码的视频会议摄像机，可实现全高清1080p超低带宽传输。采用1/2.7英寸、207万有效像素的高品质HD CMOS传感器，可实现1920x1080高分辨率的优质图像。20倍光学自动变倍聚焦镜头，32倍数字变倍，焦距：f4.42mm ~ 88.5mm, F1.8 ~ F2.8；超高性噪比的全新CMOS图像传感器，同时应用2D和3D降噪算法，大幅降低了图像噪声；</w:t>
            </w:r>
          </w:p>
          <w:p w14:paraId="08E0C68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96B46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145DA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1E55B010">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728C9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94122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消防广播及对讲电话主机(柜）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0253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1.名称:麦克风</w:t>
            </w:r>
          </w:p>
          <w:p w14:paraId="599057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 360°拾音麦克风星型阵列，宽范围频率响应，支持模拟输出。</w:t>
            </w:r>
          </w:p>
          <w:p w14:paraId="05FF6A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可自动将焦点对准当前发言人，音质清晰，低噪音。桌面式设计特性，优化音频采集，真实还原声音。 麦克风可放置于桌面，设备部署更简洁，更美观，更高效。内置回声消除AEC, 自动增益AGC，以及噪声抑制ANS，完整保留通话音质。拾音半径≥6米</w:t>
            </w:r>
          </w:p>
          <w:p w14:paraId="5675251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047A5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794E2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F6642F5">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90A14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A1C3F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备用电源及电池主机(柜）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7112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1.名称:视频会议主机</w:t>
            </w:r>
          </w:p>
          <w:p w14:paraId="0F6A93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2.规格:采用嵌入式操作系统，非Windows操作系统；采用电信级设计、插卡式模块设计，支持7*24小时连续工作。支持ITU-T H.323.IETF SIP协议，支持H.323.SIP、RTSP等协议的设备混合入会，具有良好的兼容性，带宽速率支持64Kbps-8Mbps；支持QCIF、CIF、4CIF、480P、D1.720P、1080P视频分辨率。支持H.264.H.264 MP、H.264 HP、H.265视频编解码协议，支持G.711.G.722.G.722.1.G.722.1C、OPUS等音频编解码协议，音质最高达48KHz。</w:t>
            </w:r>
          </w:p>
          <w:p w14:paraId="7106FD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39006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D9062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18CA56F">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3AEA87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90407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3F66C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1.名称:8路电源时序器</w:t>
            </w:r>
          </w:p>
          <w:p w14:paraId="305F91C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2.规格:支持8通道电源时序打开/关闭，支持远程控制（上电+24V直流信号）8通道电源时序打开/关闭—当电源开关锁处于off位置时有效。支持配置CH1和CH2通道为受控或不受控状态。</w:t>
            </w:r>
          </w:p>
          <w:p w14:paraId="1F5FB69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2、当远程控制有效时同时控制后板ALARM（报警）端口导通—起到级联控制ALARM（报警）功能。</w:t>
            </w:r>
          </w:p>
          <w:p w14:paraId="3BF542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3、单个通道最大负载功率2200W，所有通道负载总功率达6000W。输出连接器：多用途电源插座。</w:t>
            </w:r>
          </w:p>
          <w:p w14:paraId="0D504A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23C2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040EB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C3D1D99">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1DA9D9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EF79C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各系统联动试运行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E8E4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5C21641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CBEC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C4387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3ACC4D89">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38ABB018">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4F90EA7B">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8、周界安防系统</w:t>
            </w:r>
          </w:p>
        </w:tc>
        <w:tc>
          <w:tcPr>
            <w:tcW w:w="1872" w:type="dxa"/>
            <w:gridSpan w:val="2"/>
            <w:tcBorders>
              <w:top w:val="nil"/>
              <w:left w:val="nil"/>
              <w:bottom w:val="nil"/>
              <w:right w:val="nil"/>
            </w:tcBorders>
            <w:shd w:val="clear" w:color="FFFFFF" w:fill="FFFFFF"/>
            <w:noWrap w:val="0"/>
            <w:vAlign w:val="bottom"/>
          </w:tcPr>
          <w:p w14:paraId="1ABBBC64">
            <w:pPr>
              <w:jc w:val="left"/>
              <w:rPr>
                <w:rFonts w:hint="eastAsia" w:ascii="仿宋" w:hAnsi="仿宋" w:eastAsia="仿宋" w:cs="仿宋"/>
                <w:color w:val="auto"/>
                <w:sz w:val="18"/>
                <w:szCs w:val="18"/>
                <w:highlight w:val="none"/>
              </w:rPr>
            </w:pPr>
          </w:p>
        </w:tc>
      </w:tr>
      <w:tr w14:paraId="6748EED3">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85B5FE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5C2EDDF">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6255505">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CE74A6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E45F4E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5B8FB7B1">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5943FF9">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D3FDC4A">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E491BE8">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4C83537">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223AA3B">
            <w:pPr>
              <w:jc w:val="center"/>
              <w:rPr>
                <w:rFonts w:hint="eastAsia" w:ascii="仿宋" w:hAnsi="仿宋" w:eastAsia="仿宋" w:cs="仿宋"/>
                <w:b/>
                <w:bCs/>
                <w:color w:val="auto"/>
                <w:sz w:val="18"/>
                <w:szCs w:val="18"/>
                <w:highlight w:val="none"/>
              </w:rPr>
            </w:pPr>
          </w:p>
        </w:tc>
      </w:tr>
      <w:tr w14:paraId="121F8765">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8D4184A">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74C02C9">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FA83A51">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B6C1B3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5C84DD0">
            <w:pPr>
              <w:jc w:val="center"/>
              <w:rPr>
                <w:rFonts w:hint="eastAsia" w:ascii="仿宋" w:hAnsi="仿宋" w:eastAsia="仿宋" w:cs="仿宋"/>
                <w:b/>
                <w:bCs/>
                <w:color w:val="auto"/>
                <w:sz w:val="18"/>
                <w:szCs w:val="18"/>
                <w:highlight w:val="none"/>
              </w:rPr>
            </w:pPr>
          </w:p>
        </w:tc>
      </w:tr>
      <w:tr w14:paraId="61AAB2C7">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5F96CAF">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D54C4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高压电网（双电网）</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5CEA36">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C4CEB0">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D2628C">
            <w:pPr>
              <w:jc w:val="right"/>
              <w:rPr>
                <w:rFonts w:hint="eastAsia" w:ascii="仿宋" w:hAnsi="仿宋" w:eastAsia="仿宋" w:cs="仿宋"/>
                <w:color w:val="auto"/>
                <w:sz w:val="18"/>
                <w:szCs w:val="18"/>
                <w:highlight w:val="none"/>
              </w:rPr>
            </w:pPr>
          </w:p>
        </w:tc>
      </w:tr>
      <w:tr w14:paraId="6CE0E340">
        <w:tblPrEx>
          <w:tblCellMar>
            <w:top w:w="0" w:type="dxa"/>
            <w:left w:w="108" w:type="dxa"/>
            <w:bottom w:w="0" w:type="dxa"/>
            <w:right w:w="108" w:type="dxa"/>
          </w:tblCellMar>
        </w:tblPrEx>
        <w:trPr>
          <w:trHeight w:val="24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96A10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F47BF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火灾报警系统控制主机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1F5E4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1.名称:高压电网主机</w:t>
            </w:r>
          </w:p>
          <w:p w14:paraId="12FE98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机柜式高压电网系统控制主机，含显示、控制等功能模块及配套电网管理软件。具有以下功能：实时显示各高压箱对地电流、电压数值（液晶显示，电流单位为mA，电压单位为V）；实时显示各高压报警状态下电流、电压数值（液晶显示）；可同时显示电网运行状态及电网报警状态下电压、电流值；可进行各高压箱触网、断网、短网、故障时声光报警指示；接收不到各子箱指令和数据时产生故障报警；具备复位解除报警功能；预留联动接口，能与外围设备联动，提供控制信号；系统报警率100%，输出RS232/RS485通信信号和常开、常闭干接点信号；通讯方式：与高压箱同时采用与RS485总线、光纤等信号直接控制；与平台软件采用TCP/IP网络远程控制；每0.2s对各高压箱进行巡检，发送、接收指令，监测系统运转情况；供电电源：AC220V/50HZ；</w:t>
            </w:r>
          </w:p>
          <w:p w14:paraId="08658CF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符合GB25287-2010《周界防范高压电网装置》要求</w:t>
            </w:r>
          </w:p>
          <w:p w14:paraId="350333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E487C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3B95C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48E2A1A">
        <w:tblPrEx>
          <w:tblCellMar>
            <w:top w:w="0" w:type="dxa"/>
            <w:left w:w="108" w:type="dxa"/>
            <w:bottom w:w="0" w:type="dxa"/>
            <w:right w:w="108" w:type="dxa"/>
          </w:tblCellMar>
        </w:tblPrEx>
        <w:trPr>
          <w:trHeight w:val="99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1B9D57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749F7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配电箱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B98E3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1.名称:高压箱</w:t>
            </w:r>
          </w:p>
          <w:p w14:paraId="2A927F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前端变压，升压及传感(一个防区由两台高压箱控制)；电网的输入为正弦交流50HZ、220V电压；输入电压可在在180V-240V范围内波动，输入电压不应超过250V；为电网提供高压输出线地5600v±3%，线间电压是11200v±3%；打击电流在450mA-499mA,打击电量在40mC-60mC(可调）；短网电流在450-499mA；可进行触网、断网、短网、故障报警；具有声光报警输出功能；高压箱应有LCD液晶屏显示警戒时的电压、电流、警情类别等，根据报警记录信息进行检修。有效降低了系统维护复杂度和维护时间和成本；功耗低，警戒功耗50W左右；高压箱可脱离主机独立工作，单独布防；与主机进行通信，接收和发送指令；在持续电击时间不少于20min后，电网仍能正常工作；当出现多处同时触网、断网、短路的情况时，电网的打击功能应不受影响；通讯方式：485信号。</w:t>
            </w:r>
          </w:p>
          <w:p w14:paraId="7ED69F5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A3DC3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420DC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r>
      <w:tr w14:paraId="3716975F">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5F25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11378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3E557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1.名称:岗楼报警器</w:t>
            </w:r>
          </w:p>
          <w:p w14:paraId="6AB0E9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2.型号:电网电源指示，电网运行状态显示，所监视电网各防区（触网、短网、断网、故障等警情）声光报警及显示器中文显示</w:t>
            </w:r>
          </w:p>
          <w:p w14:paraId="4BBC384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84951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6CAF7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0F6E9370">
        <w:tblPrEx>
          <w:tblCellMar>
            <w:top w:w="0" w:type="dxa"/>
            <w:left w:w="108" w:type="dxa"/>
            <w:bottom w:w="0" w:type="dxa"/>
            <w:right w:w="108" w:type="dxa"/>
          </w:tblCellMar>
        </w:tblPrEx>
        <w:trPr>
          <w:trHeight w:val="22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503E8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0D0E5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火灾报警系统控制主机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7839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1.名称:系统控制终端</w:t>
            </w:r>
          </w:p>
          <w:p w14:paraId="209EC9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高压电网系统监控主机（含软件及硬件），软件具有以下功能：电网运行状态电压、电流值显示；电网报警状态下电压、电流值显示；触网、短网、断网、故障报警状态显示；电网报警复位、各防区独立及所有防区布防、撤防；电网运行数据、报警数据、开关机信息、工作日志的存储、查询、打印；联网功能,将数据传输至局域网及远程监控平台；可中文语音报警；网线低电压报警；模拟围墙电子地图，显示监狱围墙分段电子图形及电网设备的工作状况，当围墙电网发生警情时，通过计算机显示器上的电子图形立即提示警情发生区段、警情种类、警情发生时间，同时进行声光报警、存储、记忆；和主机通讯故障时产生声光报警；具备远程关闭高压箱高压输出的功能；具备手机报警联动功能；具备与各监控系统、智慧监狱平台无缝对接功能。</w:t>
            </w:r>
          </w:p>
          <w:p w14:paraId="67F1EDA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5C103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4246B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43D9BB2">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74CAE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BEBD7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1C5D7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4F25E2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2.规格:BV-4</w:t>
            </w:r>
          </w:p>
          <w:p w14:paraId="5CC7C4C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2B52A0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0C166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D79CB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3876.22</w:t>
            </w:r>
          </w:p>
        </w:tc>
      </w:tr>
      <w:tr w14:paraId="5AC7E0AD">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A84016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A6869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F45D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4289E3F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2.规格:RVSVP-2*1.5</w:t>
            </w:r>
          </w:p>
          <w:p w14:paraId="4DAC5B6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34C1260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1570F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09FF0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2973.64</w:t>
            </w:r>
          </w:p>
        </w:tc>
      </w:tr>
      <w:tr w14:paraId="3DF1D69B">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B7F4A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2886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C109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1.名称:高压网线</w:t>
            </w:r>
          </w:p>
          <w:p w14:paraId="2B1937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2.规格:16平方钢芯铝绞线</w:t>
            </w:r>
          </w:p>
          <w:p w14:paraId="4D7EA09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18B6552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30874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7C8AF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7626.26</w:t>
            </w:r>
          </w:p>
        </w:tc>
      </w:tr>
      <w:tr w14:paraId="22BE3899">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0C5D6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FE9FF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FFA8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1.名称:通讯电缆</w:t>
            </w:r>
          </w:p>
          <w:p w14:paraId="529F90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2.规格:屏蔽线缆 1.5平方</w:t>
            </w:r>
          </w:p>
          <w:p w14:paraId="46D7B0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541FED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7D754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BBF6A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1865.32</w:t>
            </w:r>
          </w:p>
        </w:tc>
      </w:tr>
      <w:tr w14:paraId="4DE22C7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16B795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33E9F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跨座式接触轨绝缘子</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B74D7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1.名称:硅胶绝缘子 </w:t>
            </w:r>
          </w:p>
          <w:p w14:paraId="05A8EF8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2.规格:硅胶绝缘子（国标），规格应优于FPQ-10/5T16</w:t>
            </w:r>
          </w:p>
          <w:p w14:paraId="6E9FDCA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39BE4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FB8AA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1960</w:t>
            </w:r>
          </w:p>
        </w:tc>
      </w:tr>
      <w:tr w14:paraId="5FB23A3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B6420A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424DF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支架、吊架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BDC0F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1.名称:电网支架 </w:t>
            </w:r>
          </w:p>
          <w:p w14:paraId="1C33F3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2.规格:镀锌双电网安装(50*50*5角钢、含固定膨胀螺丝)</w:t>
            </w:r>
          </w:p>
          <w:p w14:paraId="2EE2DBD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97500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AA40F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200</w:t>
            </w:r>
          </w:p>
        </w:tc>
      </w:tr>
      <w:tr w14:paraId="435027D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6435A5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59B98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8532A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1.名称:警示灯 </w:t>
            </w:r>
          </w:p>
          <w:p w14:paraId="33E7868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2.规格:防水、红色发光灯 AC220V</w:t>
            </w:r>
          </w:p>
          <w:p w14:paraId="73B7BBF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102EB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88DC4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100</w:t>
            </w:r>
          </w:p>
        </w:tc>
      </w:tr>
      <w:tr w14:paraId="113A75B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7A67D6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D13F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接地母线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DE743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1.名称:接地线 </w:t>
            </w:r>
          </w:p>
          <w:p w14:paraId="48BFCBE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2.规格:6平方接地线缆及接地角铁5*50*1500mm</w:t>
            </w:r>
          </w:p>
          <w:p w14:paraId="51E7F3F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392EE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F4DB2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6693F29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7251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0C71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标志牌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A1607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1.名称:高压警示牌 </w:t>
            </w:r>
          </w:p>
          <w:p w14:paraId="17EC39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2.规格:高压危险 请勿靠近 铝塑800*600*3mm</w:t>
            </w:r>
          </w:p>
          <w:p w14:paraId="41F728E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9855A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17ACD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r>
      <w:tr w14:paraId="74BAF16D">
        <w:tblPrEx>
          <w:tblCellMar>
            <w:top w:w="0" w:type="dxa"/>
            <w:left w:w="108" w:type="dxa"/>
            <w:bottom w:w="0" w:type="dxa"/>
            <w:right w:w="108" w:type="dxa"/>
          </w:tblCellMar>
        </w:tblPrEx>
        <w:trPr>
          <w:trHeight w:val="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606A5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E841C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避雷器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CFB1F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1.名称:避雷器 </w:t>
            </w:r>
          </w:p>
          <w:p w14:paraId="40F4665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2.规格:复合避雷器 10KV</w:t>
            </w:r>
          </w:p>
          <w:p w14:paraId="0528B23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5E13E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组</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1F93A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r>
      <w:tr w14:paraId="034C0F3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AFBDFD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16260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不间断电源</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57E5C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1.名称:UPS电源10KVA/4h </w:t>
            </w:r>
          </w:p>
          <w:p w14:paraId="6CAAC8E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2.规格:控制主机用不间断电源</w:t>
            </w:r>
          </w:p>
          <w:p w14:paraId="4DF9DED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5A69C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DD798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6B4013D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266D3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BF9CD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周界语音</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753AA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A46033">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C27D3D">
            <w:pPr>
              <w:jc w:val="right"/>
              <w:rPr>
                <w:rFonts w:hint="eastAsia" w:ascii="仿宋" w:hAnsi="仿宋" w:eastAsia="仿宋" w:cs="仿宋"/>
                <w:color w:val="auto"/>
                <w:sz w:val="18"/>
                <w:szCs w:val="18"/>
                <w:highlight w:val="none"/>
              </w:rPr>
            </w:pPr>
          </w:p>
        </w:tc>
      </w:tr>
      <w:tr w14:paraId="21E2E24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A61A8A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64C7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扩声系统设备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0E33D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1.名称:功率放大器</w:t>
            </w:r>
          </w:p>
          <w:p w14:paraId="1C0716D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2.规格:≥350W，3路音源输入，2路话筒输出，带默音功能，70V/100V，4-16Ω输出。</w:t>
            </w:r>
          </w:p>
          <w:p w14:paraId="5F7501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86B38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B5830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r>
      <w:tr w14:paraId="49BF310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6733EF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60CE9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扩声系统设备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D163D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1.名称:分区寻呼器</w:t>
            </w:r>
          </w:p>
          <w:p w14:paraId="08A0627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2.规格:微电脑控制，可以控制8台16路分区矩阵器，8台16路强切电源；可以连接8个远程寻呼话筒；</w:t>
            </w:r>
          </w:p>
          <w:p w14:paraId="4DD6B3F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73370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0AFC5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0863C5D">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BBDD7B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8FF0C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扩声系统设备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E699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1.名称:广播主机</w:t>
            </w:r>
          </w:p>
          <w:p w14:paraId="6C39EE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2.规格:全中文菜单，可外控CD机、调谐器、分区器、报警器、电源时序器等设备，编程自动控制，定时、定点、定节目播放，实现无人职守，可设置大容量音乐库进行编程播放。</w:t>
            </w:r>
          </w:p>
          <w:p w14:paraId="7117F5E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29CD9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1790B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87E82E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1F1AC1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BACE5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音频、视频及脉冲分配器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1A13C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1.名称:信号分配器</w:t>
            </w:r>
          </w:p>
          <w:p w14:paraId="1039FFE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2.规格:16路矩阵输出，四路节目输入和一个优先输入，手动寻呼/报警强切功能，报警后可手动复位，接受中央控制器和电脑软件等设备控制，具地址码选择，可多台并机工作。</w:t>
            </w:r>
          </w:p>
          <w:p w14:paraId="1E9F3F9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F8E59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10E03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A78D40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6942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6482F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扬声器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E4D9D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1.名称:报警信号发声器</w:t>
            </w:r>
          </w:p>
          <w:p w14:paraId="1ACEE7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2.规格:紧急警报信号功能，可固化录音，警报触发自动播放报警或录音，两种提示钟声输出。</w:t>
            </w:r>
          </w:p>
          <w:p w14:paraId="6CE28E9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8388B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8CB50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F70486E">
        <w:tblPrEx>
          <w:tblCellMar>
            <w:top w:w="0" w:type="dxa"/>
            <w:left w:w="108" w:type="dxa"/>
            <w:bottom w:w="0" w:type="dxa"/>
            <w:right w:w="108" w:type="dxa"/>
          </w:tblCellMar>
        </w:tblPrEx>
        <w:trPr>
          <w:trHeight w:val="33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0C5406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6541C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扬声器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5E1F9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1.名称:音柱</w:t>
            </w:r>
          </w:p>
          <w:p w14:paraId="3B50E7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2.规格:输入灵敏度：94db；额定功率：≥40W；铝质箱体，金属网面,防护等级IP65</w:t>
            </w:r>
          </w:p>
          <w:p w14:paraId="60F8942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80CFC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0D4C6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w:t>
            </w:r>
          </w:p>
        </w:tc>
      </w:tr>
      <w:tr w14:paraId="541F32D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B6117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D3CAB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消防广播及对讲电话主机(柜）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D633E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1.名称:远程寻呼话筒</w:t>
            </w:r>
          </w:p>
          <w:p w14:paraId="27E587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2.规格:远程寻呼，带钟声提示，可以远程寻呼8台16路寻呼器，寻呼128个分区，具有地址码选择，最多可以连接8台</w:t>
            </w:r>
          </w:p>
          <w:p w14:paraId="5F2FD0B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30BE6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B7D3A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A459015">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89079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546F7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扩声系统调试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7D5E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 多功能系统</w:t>
            </w:r>
          </w:p>
          <w:p w14:paraId="2F19CD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372C0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25ADC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F6AA188">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43479D">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CE34C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微波对射系统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85368E">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F7F24D">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E1EA89">
            <w:pPr>
              <w:jc w:val="right"/>
              <w:rPr>
                <w:rFonts w:hint="eastAsia" w:ascii="仿宋" w:hAnsi="仿宋" w:eastAsia="仿宋" w:cs="仿宋"/>
                <w:color w:val="auto"/>
                <w:sz w:val="18"/>
                <w:szCs w:val="18"/>
                <w:highlight w:val="none"/>
              </w:rPr>
            </w:pPr>
          </w:p>
        </w:tc>
      </w:tr>
      <w:tr w14:paraId="491895E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CE625C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CF67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FE4C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1.名称:微波对射探测报警器</w:t>
            </w:r>
          </w:p>
          <w:p w14:paraId="5D39D0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2.规格:≤100 米安装一对含支架</w:t>
            </w:r>
          </w:p>
          <w:p w14:paraId="2B5317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DE6D0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CD213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r>
      <w:tr w14:paraId="116418E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5D5D1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6101D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8E603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1.名称:微波对射系统采集主机</w:t>
            </w:r>
          </w:p>
          <w:p w14:paraId="6DE29E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2.规格:最大可支持16防区</w:t>
            </w:r>
          </w:p>
          <w:p w14:paraId="4036730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D3DBE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3D982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517D7E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C3BC48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05872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71741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1.名称:管理主机</w:t>
            </w:r>
          </w:p>
          <w:p w14:paraId="6CF74DE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2.规格:报警管理主机</w:t>
            </w:r>
          </w:p>
          <w:p w14:paraId="1815BE6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430B6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9E69E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2FFA4C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16D94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FA052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蓄电池屏（柜）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1441A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1.名称:安装箱</w:t>
            </w:r>
          </w:p>
          <w:p w14:paraId="7BA0C7C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2.规格:定制</w:t>
            </w:r>
          </w:p>
          <w:p w14:paraId="4A7E44D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3ADD6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23992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r>
      <w:tr w14:paraId="4852E2C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B524FB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948C4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CA87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4A94569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2.规格:RVV-2*2.5</w:t>
            </w:r>
          </w:p>
          <w:p w14:paraId="6B52C14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833423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481FE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DD858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987.65</w:t>
            </w:r>
          </w:p>
        </w:tc>
      </w:tr>
      <w:tr w14:paraId="2141E7F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7BCA9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57272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27F2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0DFF8F7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2.规格:RVV-4*1.5</w:t>
            </w:r>
          </w:p>
          <w:p w14:paraId="7BB45A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0D080A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E65B7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3883B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987.65</w:t>
            </w:r>
          </w:p>
        </w:tc>
      </w:tr>
      <w:tr w14:paraId="26BE3786">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5D0E9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D545E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安全防范分系统调试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7BBB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1.名称:安全防范分系统调试</w:t>
            </w:r>
          </w:p>
          <w:p w14:paraId="60FAA70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9C0F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5DA40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0A3D103">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6494A8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1643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周界照明</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8737C9">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B3015F">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A1EF92">
            <w:pPr>
              <w:jc w:val="right"/>
              <w:rPr>
                <w:rFonts w:hint="eastAsia" w:ascii="仿宋" w:hAnsi="仿宋" w:eastAsia="仿宋" w:cs="仿宋"/>
                <w:color w:val="auto"/>
                <w:sz w:val="18"/>
                <w:szCs w:val="18"/>
                <w:highlight w:val="none"/>
              </w:rPr>
            </w:pPr>
          </w:p>
        </w:tc>
      </w:tr>
      <w:tr w14:paraId="60EEB61D">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FED9B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811E2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普通灯具</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645B3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1.名称:LED灯</w:t>
            </w:r>
          </w:p>
          <w:p w14:paraId="7C1CFE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额定电压：AC220V/50Hz；光源：LED；额定功率：80W，光通量：≥9300lm，平均使用寿命：≥50000h；色温：5000K－6500K（冷白）；功率因数：＞0.9；使用环境温度：－20℃~+40℃；外壳防护等级：IP66，含支架。LED。灯具必须通过国家CQC安全认证</w:t>
            </w:r>
          </w:p>
          <w:p w14:paraId="2718FD9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10851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ECE8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68</w:t>
            </w:r>
          </w:p>
        </w:tc>
      </w:tr>
      <w:tr w14:paraId="53BCD772">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7F7176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DCC1A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普通灯具</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02B7B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1.名称:LED灯</w:t>
            </w:r>
          </w:p>
          <w:p w14:paraId="3C4CDC8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额定电压：AC220V/50Hz；光源：LED；额定功率：110W，光通量：≥10000lm，平均使用寿命：≥100000h；5000K-6000K（冷白）；功率因数：＞0.95；使用环境温度：－20℃~+40℃；外壳防护等级：IP66；含支架；灯具必须通过国家CQC安全认证</w:t>
            </w:r>
          </w:p>
          <w:p w14:paraId="379B6C6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F7C4F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77FE4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36</w:t>
            </w:r>
          </w:p>
        </w:tc>
      </w:tr>
      <w:tr w14:paraId="7A2D4312">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AC36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58A4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普通灯具</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13E91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1.名称:巡道地脚灯</w:t>
            </w:r>
          </w:p>
          <w:p w14:paraId="746A6E8A">
            <w:pPr>
              <w:widowControl/>
              <w:jc w:val="left"/>
              <w:textAlignment w:val="center"/>
              <w:rPr>
                <w:rFonts w:hint="default" w:ascii="仿宋" w:hAnsi="仿宋" w:eastAsia="仿宋" w:cs="仿宋"/>
                <w:strike w:val="0"/>
                <w:dstrike w:val="0"/>
                <w:color w:val="auto"/>
                <w:kern w:val="0"/>
                <w:sz w:val="18"/>
                <w:szCs w:val="18"/>
                <w:highlight w:val="none"/>
                <w:lang w:val="en-US" w:eastAsia="zh-CN" w:bidi="ar"/>
              </w:rPr>
            </w:pPr>
            <w:r>
              <w:rPr>
                <w:rFonts w:hint="eastAsia" w:ascii="仿宋" w:hAnsi="仿宋" w:eastAsia="仿宋" w:cs="仿宋"/>
                <w:color w:val="auto"/>
                <w:kern w:val="0"/>
                <w:sz w:val="18"/>
                <w:szCs w:val="18"/>
                <w:highlight w:val="none"/>
                <w:lang w:bidi="ar"/>
              </w:rPr>
              <w:t>2</w:t>
            </w:r>
            <w:r>
              <w:rPr>
                <w:rFonts w:hint="eastAsia" w:ascii="仿宋" w:hAnsi="仿宋" w:eastAsia="仿宋" w:cs="仿宋"/>
                <w:strike w:val="0"/>
                <w:dstrike w:val="0"/>
                <w:color w:val="auto"/>
                <w:kern w:val="0"/>
                <w:sz w:val="18"/>
                <w:szCs w:val="18"/>
                <w:highlight w:val="none"/>
                <w:lang w:bidi="ar"/>
              </w:rPr>
              <w:t>.</w:t>
            </w:r>
            <w:r>
              <w:rPr>
                <w:rFonts w:hint="eastAsia" w:ascii="仿宋" w:hAnsi="仿宋" w:eastAsia="仿宋" w:cs="仿宋"/>
                <w:strike w:val="0"/>
                <w:dstrike w:val="0"/>
                <w:color w:val="auto"/>
                <w:kern w:val="0"/>
                <w:sz w:val="18"/>
                <w:szCs w:val="18"/>
                <w:highlight w:val="none"/>
                <w:lang w:val="en-US" w:eastAsia="zh-CN" w:bidi="ar"/>
              </w:rPr>
              <w:t>LED 5W</w:t>
            </w:r>
          </w:p>
          <w:p w14:paraId="596873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安装间距6m</w:t>
            </w:r>
          </w:p>
          <w:p w14:paraId="674FA6E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AB64E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E31F8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115</w:t>
            </w:r>
          </w:p>
        </w:tc>
      </w:tr>
      <w:tr w14:paraId="0EC52538">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439EE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B1E39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工厂灯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C35F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1.名称:探照灯</w:t>
            </w:r>
          </w:p>
          <w:p w14:paraId="28A837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2.型号:250w高压氙灯，配有控制云台，防护等级应：IP66，功率因数：＞0.9；</w:t>
            </w:r>
            <w:r>
              <w:rPr>
                <w:rFonts w:ascii="仿宋" w:hAnsi="仿宋" w:eastAsia="仿宋" w:cs="仿宋"/>
                <w:color w:val="auto"/>
                <w:kern w:val="0"/>
                <w:sz w:val="18"/>
                <w:szCs w:val="18"/>
                <w:highlight w:val="none"/>
                <w:lang w:bidi="ar"/>
              </w:rPr>
              <w:t>★</w:t>
            </w:r>
            <w:r>
              <w:rPr>
                <w:rFonts w:hint="eastAsia" w:ascii="仿宋" w:hAnsi="仿宋" w:eastAsia="仿宋" w:cs="仿宋"/>
                <w:color w:val="auto"/>
                <w:kern w:val="0"/>
                <w:sz w:val="18"/>
                <w:szCs w:val="18"/>
                <w:highlight w:val="none"/>
                <w:lang w:bidi="ar"/>
              </w:rPr>
              <w:t>根据监狱照明需要可上下、左右自由调节旋转角度，上下可在0～180°之间旋转，水平可360°旋转；具有无线遥控和线控两种模式，可在＜30m范围内移动操控；具有电源极性防反接和低压保护功能，电源电压过低时，灯具自动切断照明输出，当电压恢复正常再接通照明；灯具最远照射距离≥300m；连续启动时间＜3min</w:t>
            </w:r>
          </w:p>
          <w:p w14:paraId="3BD2C2C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42B09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3DA59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5AFDAAE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50A44E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48F5B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FAEB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1.名称:报警联动模块</w:t>
            </w:r>
          </w:p>
          <w:p w14:paraId="393CC8A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2.型号:配套</w:t>
            </w:r>
          </w:p>
          <w:p w14:paraId="61E2C8D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D1EF7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A3BA4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30CB1A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665F33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B9F97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配电箱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8B41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1.名称:配电箱</w:t>
            </w:r>
          </w:p>
          <w:p w14:paraId="64F577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2.型号:定制，不少于10输出回路</w:t>
            </w:r>
          </w:p>
          <w:p w14:paraId="0AE214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1DEF8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4126B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7D63A1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72CBC8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1FA6A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A0209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2EA9923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2.规格:NHBV-2.5</w:t>
            </w:r>
          </w:p>
          <w:p w14:paraId="7F0A6B0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3.敷设方式:管内敷设</w:t>
            </w:r>
          </w:p>
          <w:p w14:paraId="6243BFD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8590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04D45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2153.26</w:t>
            </w:r>
          </w:p>
        </w:tc>
      </w:tr>
      <w:tr w14:paraId="0C638EE2">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89FEC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35BAD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C5D3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5A1339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2.规格:BV-6</w:t>
            </w:r>
          </w:p>
          <w:p w14:paraId="0E119D3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1889C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D6384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B1CD5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1300</w:t>
            </w:r>
          </w:p>
        </w:tc>
      </w:tr>
      <w:tr w14:paraId="1C1FF40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1E126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8B992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97FC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1.名称:继电器</w:t>
            </w:r>
          </w:p>
          <w:p w14:paraId="2306F90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2.型号:智能开关控制器</w:t>
            </w:r>
          </w:p>
          <w:p w14:paraId="6C6748E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54B0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7020B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3BF95389">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A0EE39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F4A2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微振动报警</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9DADE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A25A26">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E6E8AD">
            <w:pPr>
              <w:jc w:val="right"/>
              <w:rPr>
                <w:rFonts w:hint="eastAsia" w:ascii="仿宋" w:hAnsi="仿宋" w:eastAsia="仿宋" w:cs="仿宋"/>
                <w:color w:val="auto"/>
                <w:sz w:val="18"/>
                <w:szCs w:val="18"/>
                <w:highlight w:val="none"/>
              </w:rPr>
            </w:pPr>
          </w:p>
        </w:tc>
      </w:tr>
      <w:tr w14:paraId="3070B839">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5D63B5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B744D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D1EA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1.名称:振动入侵探测器</w:t>
            </w:r>
          </w:p>
          <w:p w14:paraId="38DBDF4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2.规格:操作电压： 12VDC，外壳： 高压塑料，防紫外线，工作温度范围：-20℃～60℃。可以安装在任何已有的边界围墙（栅栏）上（如：焊接的网、链锁、装饰篱笆、墙、六角形线圈等），可控制5米高的栅栏和隔离网</w:t>
            </w:r>
          </w:p>
          <w:p w14:paraId="7AE3E1E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855F0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53BE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350</w:t>
            </w:r>
          </w:p>
        </w:tc>
      </w:tr>
      <w:tr w14:paraId="4EF20DDE">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F8FC62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6FB7A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B0BE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1.名称:入侵探测系统软件</w:t>
            </w:r>
          </w:p>
          <w:p w14:paraId="2F1F01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2.规格:具有入侵报警：传感器感应到振动触发报警后，客户端须具有声光报警；</w:t>
            </w:r>
          </w:p>
          <w:p w14:paraId="679964D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防破坏报警功能：当远程控制器防拆开关被打开、传感器连接线缆被剪断、控制器与软件网络断开等情况发生时，客户端须具有声光报警；</w:t>
            </w:r>
          </w:p>
          <w:p w14:paraId="59983D7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可同过客户端对防区数量、名称、位置进行设置；</w:t>
            </w:r>
          </w:p>
          <w:p w14:paraId="6C9D9C1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可通过客户端查询报警信息记录、查询、调用等功能；</w:t>
            </w:r>
          </w:p>
          <w:p w14:paraId="7BC8880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须承诺免费提供通讯协议，并入现有信息化平台，信号可与监控等系统联动使用。</w:t>
            </w:r>
          </w:p>
          <w:p w14:paraId="73F9C0F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FD440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F2660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907DC5F">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37598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77FB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9A636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1.名称:远程控制器</w:t>
            </w:r>
          </w:p>
          <w:p w14:paraId="1A9BC7D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2.规格:每个远程控制装置可以控制不小于2个回路，每个回路控制距离：不小于750米</w:t>
            </w:r>
          </w:p>
          <w:p w14:paraId="29B86D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每个探测回路可设置防区数：不小于30个防区</w:t>
            </w:r>
          </w:p>
          <w:p w14:paraId="50B466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防区距离设置：不大于20米</w:t>
            </w:r>
          </w:p>
          <w:p w14:paraId="02AD2ED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操作电压： DC 12V ；</w:t>
            </w:r>
          </w:p>
          <w:p w14:paraId="613B403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输出脉冲振幅：5v；</w:t>
            </w:r>
          </w:p>
          <w:p w14:paraId="4CB5090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F2B89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E80A0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274574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9849AA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836BB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C016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1.名称:控制主机</w:t>
            </w:r>
          </w:p>
          <w:p w14:paraId="141BA7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2.规格:主流PC</w:t>
            </w:r>
          </w:p>
          <w:p w14:paraId="4FD0B52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DB481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3C720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8F0613C">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BDAFCD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A4789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0463C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2030E0A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2.规格:RVV-2*2.5</w:t>
            </w:r>
          </w:p>
          <w:p w14:paraId="279E50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2A4B6B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3B2D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469A6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896.32</w:t>
            </w:r>
          </w:p>
        </w:tc>
      </w:tr>
      <w:tr w14:paraId="21865554">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3CE33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BEB4B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94E9C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5940413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2.规格:RVV-4*1.5</w:t>
            </w:r>
          </w:p>
          <w:p w14:paraId="082A1D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4204A0D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0FD0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23229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896.32</w:t>
            </w:r>
          </w:p>
        </w:tc>
      </w:tr>
      <w:tr w14:paraId="1B3536F7">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E2C51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7D13B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安全防范分系统调试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E03FF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1.名称:安全防范分系统调试</w:t>
            </w:r>
          </w:p>
          <w:p w14:paraId="5F4DC20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3A6C6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8CE8D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B331CA6">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0E043D9">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EA327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周界监控系统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B553A2">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F9E6C4">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332D32">
            <w:pPr>
              <w:jc w:val="right"/>
              <w:rPr>
                <w:rFonts w:hint="eastAsia" w:ascii="仿宋" w:hAnsi="仿宋" w:eastAsia="仿宋" w:cs="仿宋"/>
                <w:color w:val="auto"/>
                <w:sz w:val="18"/>
                <w:szCs w:val="18"/>
                <w:highlight w:val="none"/>
              </w:rPr>
            </w:pPr>
          </w:p>
        </w:tc>
      </w:tr>
      <w:tr w14:paraId="03AD3C19">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F7D96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A09A8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CBB74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1.类型:星光级枪式摄像机</w:t>
            </w:r>
          </w:p>
          <w:p w14:paraId="7793E66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2.规格、型号:≥400万像素、H.265 压缩方式、超星光超低照度、支持绊线入侵，区域入侵，快速移动（三项均支持人车分类及精准检测），物品遗留，物品搬移，徘徊检测，人员聚集，停车检测，热度图；含护罩。</w:t>
            </w:r>
          </w:p>
          <w:p w14:paraId="7662DB1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3.支架形式:吸顶支架安装</w:t>
            </w:r>
          </w:p>
          <w:p w14:paraId="1CF1D36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4C74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F8018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w:t>
            </w:r>
          </w:p>
        </w:tc>
      </w:tr>
      <w:tr w14:paraId="6DAC7CAE">
        <w:tblPrEx>
          <w:tblCellMar>
            <w:top w:w="0" w:type="dxa"/>
            <w:left w:w="108" w:type="dxa"/>
            <w:bottom w:w="0" w:type="dxa"/>
            <w:right w:w="108" w:type="dxa"/>
          </w:tblCellMar>
        </w:tblPrEx>
        <w:trPr>
          <w:trHeight w:val="426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690F33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86928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355F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1.类型:37倍200W星光网络球机</w:t>
            </w:r>
          </w:p>
          <w:p w14:paraId="10BC314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（预警跟踪摄像机）</w:t>
            </w:r>
          </w:p>
          <w:p w14:paraId="1A32859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型号:1.内置GPU芯片，支持深度学习算法，有效提升检测准确率支持机动车、非机动车、人脸、人体检测；2.支持抓拍，支持上报最优的抓图，支持机动车属性提取；3.支持人脸检测，支持跟踪，支持上报最优的人脸抓图；4.支持人脸增强，支持人脸属性提取，支持6种属性8种表情；5.支持绊线入侵、区域入侵、穿越围栏、徘徊、物品遗留、物品搬移、快速移动、停车、人员聚集检测；6.支持人车分类报警；7.支持联动跟踪支持37倍光学变倍，16倍数字变倍采用200万像素1/1.9英寸CMOS传感器支持超星光级超低照度，彩色：0.001Lux@F1.5黑白：0.0001Lux@F1.5；8.支持H.265编码，实现超低码流传输内置220米红外灯补光，采用倍率与红外灯功率匹配算法，补光效果更均匀水平方向360°连续旋转，垂直方向-20°～90°自动翻转180°后连续监视,无监视盲区支持300个预置位，8条巡航路径，5条巡迹路径；9.支持1路音频输入和1路音频输出，内置报警输入和报警输出，支持报警联动功能支持IP67防护等级；10.8000V防雷、防浪涌和防突波保护支持AC24V±25%宽电压输入。</w:t>
            </w:r>
          </w:p>
          <w:p w14:paraId="25433E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3.支架形式:吸顶支架安装</w:t>
            </w:r>
          </w:p>
          <w:p w14:paraId="05598D9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1C4E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9E728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r>
      <w:tr w14:paraId="1E29D7FB">
        <w:tblPrEx>
          <w:tblCellMar>
            <w:top w:w="0" w:type="dxa"/>
            <w:left w:w="108" w:type="dxa"/>
            <w:bottom w:w="0" w:type="dxa"/>
            <w:right w:w="108" w:type="dxa"/>
          </w:tblCellMar>
        </w:tblPrEx>
        <w:trPr>
          <w:trHeight w:val="584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D386A9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E2660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16B6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1.类型:40倍400W星光网络球机</w:t>
            </w:r>
          </w:p>
          <w:p w14:paraId="72C136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（预警跟踪摄像机）</w:t>
            </w:r>
          </w:p>
          <w:p w14:paraId="4EF4F7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型号:1.内置GPU芯片，支持深度学习算法，有效提升检测准确率；2.支持机动车、非机动车、人脸、人体检测，支持机动车属性提取；3.支持人脸检测，支持跟踪；支持上报最优的人脸抓图；4.支持人脸增强；支持人脸属性提取，支持6种属性8种表情；5.支持绊线入侵、区域入侵、穿越围栏、徘徊、物品遗留、物品搬移、快速移动、停车、人员聚集检测；支持人车分类报警；支持联动跟踪；6.支持40倍光学变倍，16倍数字变倍，采用400万像素1/1.8英寸CMOS传感器；7.支持超星光级超低照度，彩色：0.001Lux@F1.4黑白：0.0001Lux@F1.40Lux（红外灯开启）；8.支持H.265编码，实现超低码流传输；9.内置250米红外灯补光，采用倍率与红外灯功率匹配算法，补光效果更均匀；10.水平方向360°连续旋转，垂直方向-30°～90°自动翻转180°后连续监视,无监视盲区；11.支持300个预置位，8条巡航路径，5条巡迹路径；12.支持光学透雾，雾天也能输出清晰、透彻的图像；13.支持手动雨刷功能；14.支持1路音频输入和1路音频输出；</w:t>
            </w:r>
          </w:p>
          <w:p w14:paraId="6ED7FD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15.内置报警输入和报警输出，支持报警联动功能；16.支持IP67防护等级，8000V防雷、防浪涌和防突波保护；17.支持AC24V±25%宽电压输入。</w:t>
            </w:r>
          </w:p>
          <w:p w14:paraId="336562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3.支架形式:吸顶支架安装</w:t>
            </w:r>
          </w:p>
          <w:p w14:paraId="3F2CBE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FB89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F9D84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32CCE7D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A432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5395E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蓄电池屏（柜）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3DDC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1.名称:摄像机配套电源箱</w:t>
            </w:r>
          </w:p>
          <w:p w14:paraId="2772F1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2.规格:含配套光纤收发器（1单模光口，1千兆电口），IP65防护等级</w:t>
            </w:r>
          </w:p>
          <w:p w14:paraId="7C8D5F0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DB59F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5504C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w:t>
            </w:r>
          </w:p>
        </w:tc>
      </w:tr>
      <w:tr w14:paraId="524BBD4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CC3BF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AB355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浪涌保护器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6F5C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1.名称:浪涌保护器</w:t>
            </w:r>
          </w:p>
          <w:p w14:paraId="7128AB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2.规格:二合一浪涌保护器</w:t>
            </w:r>
          </w:p>
          <w:p w14:paraId="6A207B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9F490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D4B51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w:t>
            </w:r>
          </w:p>
        </w:tc>
      </w:tr>
      <w:tr w14:paraId="71BA68DD">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55E15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84F4F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安全防范全系统调试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9760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1.名称:安防系统联合调试</w:t>
            </w:r>
          </w:p>
          <w:p w14:paraId="3092BD3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A3DE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2372C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B6D0742">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CC99A58">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F8851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周界管线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890ACB">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B896E4">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30AEAC">
            <w:pPr>
              <w:jc w:val="right"/>
              <w:rPr>
                <w:rFonts w:hint="eastAsia" w:ascii="仿宋" w:hAnsi="仿宋" w:eastAsia="仿宋" w:cs="仿宋"/>
                <w:color w:val="auto"/>
                <w:sz w:val="18"/>
                <w:szCs w:val="18"/>
                <w:highlight w:val="none"/>
              </w:rPr>
            </w:pPr>
          </w:p>
        </w:tc>
      </w:tr>
      <w:tr w14:paraId="445ECB2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0F4818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D522F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桥架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6906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1.名称：弱电桥架</w:t>
            </w:r>
          </w:p>
          <w:p w14:paraId="72D581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2.型号：300×100</w:t>
            </w:r>
          </w:p>
          <w:p w14:paraId="29E1BB0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3.类型：槽式</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07679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273E0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1389.1</w:t>
            </w:r>
          </w:p>
        </w:tc>
      </w:tr>
      <w:tr w14:paraId="4B42805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E697E7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14C1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1BA2C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1.名称:两芯单模光缆</w:t>
            </w:r>
          </w:p>
          <w:p w14:paraId="2AA60F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2.规格:桥架内敷设</w:t>
            </w:r>
          </w:p>
          <w:p w14:paraId="7600DBD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6785F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87097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8657.16</w:t>
            </w:r>
          </w:p>
        </w:tc>
      </w:tr>
      <w:tr w14:paraId="36E69621">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31246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01FC8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4145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3AFC18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2.规格:RVV-3*1.5</w:t>
            </w:r>
          </w:p>
          <w:p w14:paraId="7922D1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0FE40D3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CCBAB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1DA40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978.25</w:t>
            </w:r>
          </w:p>
        </w:tc>
      </w:tr>
      <w:tr w14:paraId="36AA2D9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F79402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2E02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4F3A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1.名称:七孔梅花管PE5</w:t>
            </w:r>
          </w:p>
          <w:p w14:paraId="041BD76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2.规格:每孔直径32mm</w:t>
            </w:r>
          </w:p>
          <w:p w14:paraId="5B80D60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29067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789E9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2631.2</w:t>
            </w:r>
          </w:p>
        </w:tc>
      </w:tr>
      <w:tr w14:paraId="233C4E6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02163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67485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B07C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1.名称:硬质UPVC</w:t>
            </w:r>
          </w:p>
          <w:p w14:paraId="3480BA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2.规格:直径100mm</w:t>
            </w:r>
          </w:p>
          <w:p w14:paraId="279E2F3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0E6EB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0F8E2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2600.69</w:t>
            </w:r>
          </w:p>
        </w:tc>
      </w:tr>
    </w:tbl>
    <w:p w14:paraId="3B0C20CA">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6ABE0C1">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CAD2E65">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9、视频监控系统</w:t>
            </w:r>
          </w:p>
        </w:tc>
        <w:tc>
          <w:tcPr>
            <w:tcW w:w="1872" w:type="dxa"/>
            <w:gridSpan w:val="2"/>
            <w:tcBorders>
              <w:top w:val="nil"/>
              <w:left w:val="nil"/>
              <w:bottom w:val="nil"/>
              <w:right w:val="nil"/>
            </w:tcBorders>
            <w:shd w:val="clear" w:color="FFFFFF" w:fill="FFFFFF"/>
            <w:noWrap w:val="0"/>
            <w:vAlign w:val="bottom"/>
          </w:tcPr>
          <w:p w14:paraId="429797DC">
            <w:pPr>
              <w:jc w:val="left"/>
              <w:rPr>
                <w:rFonts w:hint="eastAsia" w:ascii="仿宋" w:hAnsi="仿宋" w:eastAsia="仿宋" w:cs="仿宋"/>
                <w:color w:val="auto"/>
                <w:sz w:val="18"/>
                <w:szCs w:val="18"/>
                <w:highlight w:val="none"/>
              </w:rPr>
            </w:pPr>
          </w:p>
        </w:tc>
      </w:tr>
      <w:tr w14:paraId="0534565A">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069D77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25EAD0B">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8C2767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21C5ADF">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4BC5D3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0EA70F1A">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F922684">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4BFE764">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D5B652D">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4C961FA">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DACAE1">
            <w:pPr>
              <w:jc w:val="center"/>
              <w:rPr>
                <w:rFonts w:hint="eastAsia" w:ascii="仿宋" w:hAnsi="仿宋" w:eastAsia="仿宋" w:cs="仿宋"/>
                <w:b/>
                <w:bCs/>
                <w:color w:val="auto"/>
                <w:sz w:val="18"/>
                <w:szCs w:val="18"/>
                <w:highlight w:val="none"/>
              </w:rPr>
            </w:pPr>
          </w:p>
        </w:tc>
      </w:tr>
      <w:tr w14:paraId="191F4619">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057435D">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B64376C">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55999AB">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0EC0D0B">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E8FEA3A">
            <w:pPr>
              <w:jc w:val="center"/>
              <w:rPr>
                <w:rFonts w:hint="eastAsia" w:ascii="仿宋" w:hAnsi="仿宋" w:eastAsia="仿宋" w:cs="仿宋"/>
                <w:b/>
                <w:bCs/>
                <w:color w:val="auto"/>
                <w:sz w:val="18"/>
                <w:szCs w:val="18"/>
                <w:highlight w:val="none"/>
              </w:rPr>
            </w:pPr>
          </w:p>
        </w:tc>
      </w:tr>
      <w:tr w14:paraId="1E2DC882">
        <w:tblPrEx>
          <w:tblCellMar>
            <w:top w:w="0" w:type="dxa"/>
            <w:left w:w="108" w:type="dxa"/>
            <w:bottom w:w="0" w:type="dxa"/>
            <w:right w:w="108" w:type="dxa"/>
          </w:tblCellMar>
        </w:tblPrEx>
        <w:trPr>
          <w:trHeight w:val="11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E29DF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E199F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CB84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1.类型:高清红外防爆半球摄像机</w:t>
            </w:r>
          </w:p>
          <w:p w14:paraId="1C4AE82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400万变焦半球型网络摄像机。</w:t>
            </w:r>
          </w:p>
          <w:p w14:paraId="5168541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2.★靶面尺寸为1/3，内置1个麦克风。</w:t>
            </w:r>
          </w:p>
          <w:p w14:paraId="6611E18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具有1个RJ45网络接口，具有1个音频输入接口，1个音频输出接口，具有1个报警输入接口，1个报警输出接口。</w:t>
            </w:r>
          </w:p>
          <w:p w14:paraId="778741D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支持IP67防尘防水。支持poe供电。</w:t>
            </w:r>
          </w:p>
          <w:p w14:paraId="2C4527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能在额定电源电压±30%范围内正常工作，支持防反接保护。</w:t>
            </w:r>
          </w:p>
          <w:p w14:paraId="509F9D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支持SD卡热插拔，SD卡最大支持256GB。</w:t>
            </w:r>
          </w:p>
          <w:p w14:paraId="2382C1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在2688x1520下分辨力</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1500TVL。</w:t>
            </w:r>
          </w:p>
          <w:p w14:paraId="3CD7958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3.★支持红外补光，可识别距离</w:t>
            </w:r>
            <w:r>
              <w:rPr>
                <w:rFonts w:hint="eastAsia" w:ascii="仿宋" w:hAnsi="仿宋" w:eastAsia="仿宋" w:cs="仿宋"/>
                <w:color w:val="auto"/>
                <w:kern w:val="0"/>
                <w:sz w:val="18"/>
                <w:szCs w:val="18"/>
                <w:highlight w:val="none"/>
                <w:lang w:val="en-US" w:eastAsia="zh-CN" w:bidi="ar"/>
              </w:rPr>
              <w:t>不低于</w:t>
            </w:r>
            <w:r>
              <w:rPr>
                <w:rFonts w:hint="eastAsia" w:ascii="仿宋" w:hAnsi="仿宋" w:eastAsia="仿宋" w:cs="仿宋"/>
                <w:color w:val="auto"/>
                <w:kern w:val="0"/>
                <w:sz w:val="18"/>
                <w:szCs w:val="18"/>
                <w:highlight w:val="none"/>
                <w:lang w:bidi="ar"/>
              </w:rPr>
              <w:t>60m处人体轮廓。</w:t>
            </w:r>
          </w:p>
          <w:p w14:paraId="55F9034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4.★需支持IK10防暴等级。</w:t>
            </w:r>
          </w:p>
          <w:p w14:paraId="2DDB0DC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最低照度彩色：0.002 lx，黑白:0.0002 lx，最大亮度鉴别等级（灰度等级）不小于11级。具备区域入侵、越界入侵、进入区域、离开区域、人员聚集、快速移动、徘徊、物品移除、物品遗留、停车智能分析功能，当以上智能分析行为达到设定的阈值时，可通过客户端软件或IE浏览器给出报警提示。</w:t>
            </w:r>
          </w:p>
          <w:p w14:paraId="408E88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8D305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65124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738</w:t>
            </w:r>
          </w:p>
        </w:tc>
      </w:tr>
      <w:tr w14:paraId="1301F9E9">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0D7194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E9F28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90CE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1.类型:枪式摄像机</w:t>
            </w:r>
          </w:p>
          <w:p w14:paraId="437CD1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400万 1/1.8" CMOS 全彩筒型网络摄像机</w:t>
            </w:r>
          </w:p>
          <w:p w14:paraId="753F4E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2.具有400万像素 CMOS传感器，具有不小于1/1.8"靶面尺寸最低照度彩色：0.0005 lx。内置暖白光补光灯，补光距离不小于60米，动态范围不小于106dB，信噪比不小于62dB，需支持IP67防尘防水。</w:t>
            </w:r>
          </w:p>
          <w:p w14:paraId="5C6D963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3.需支持DC12V供电，且在不小于DC12V±30%范围内变化时可以正常工作。</w:t>
            </w:r>
          </w:p>
          <w:p w14:paraId="07E9782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BA8C9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F6526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378</w:t>
            </w:r>
          </w:p>
        </w:tc>
      </w:tr>
      <w:tr w14:paraId="736943F5">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4F738E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EABCC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BD22E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1.类型:电梯专用摄像机</w:t>
            </w:r>
          </w:p>
          <w:p w14:paraId="329BDD4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400万 1/3”CMOS日夜型迷你半球型网络摄像机</w:t>
            </w:r>
          </w:p>
          <w:p w14:paraId="5A0055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2.网络: 1个RJ45 10 M/100 M自适应以太网口音频: 1个内置麦克风</w:t>
            </w:r>
          </w:p>
          <w:p w14:paraId="74CDC13C">
            <w:pPr>
              <w:widowControl/>
              <w:jc w:val="left"/>
              <w:textAlignment w:val="center"/>
              <w:rPr>
                <w:rFonts w:hint="eastAsia" w:ascii="仿宋" w:hAnsi="仿宋" w:eastAsia="仿宋" w:cs="仿宋"/>
                <w:color w:val="auto"/>
                <w:kern w:val="0"/>
                <w:sz w:val="18"/>
                <w:szCs w:val="18"/>
                <w:highlight w:val="none"/>
                <w:lang w:eastAsia="zh-CN" w:bidi="ar"/>
              </w:rPr>
            </w:pPr>
            <w:r>
              <w:rPr>
                <w:rFonts w:hint="eastAsia" w:ascii="仿宋" w:hAnsi="仿宋" w:eastAsia="仿宋" w:cs="仿宋"/>
                <w:color w:val="auto"/>
                <w:kern w:val="0"/>
                <w:sz w:val="18"/>
                <w:szCs w:val="18"/>
                <w:highlight w:val="none"/>
                <w:lang w:bidi="ar"/>
              </w:rPr>
              <w:t>最低照度: 彩色：0.005 Lux @（F1.2，AGC ON），0 Lux with IR宽动态: 120 dB</w:t>
            </w:r>
            <w:r>
              <w:rPr>
                <w:rFonts w:hint="eastAsia" w:ascii="仿宋" w:hAnsi="仿宋" w:eastAsia="仿宋" w:cs="仿宋"/>
                <w:color w:val="auto"/>
                <w:kern w:val="0"/>
                <w:sz w:val="18"/>
                <w:szCs w:val="18"/>
                <w:highlight w:val="none"/>
                <w:lang w:eastAsia="zh-CN" w:bidi="ar"/>
              </w:rPr>
              <w:t>，</w:t>
            </w:r>
          </w:p>
          <w:p w14:paraId="2B890D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支持3路码流，主码流视频分辨率与帧率2560×1440@25fps，子码流视频分辨率与帧率640×480@25fps，三码流视频分辨率1280×720。最低照度彩色0.01lx，黑白0.001lx。</w:t>
            </w:r>
          </w:p>
          <w:p w14:paraId="10D6ED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3.★红外灯开启时，可根据被摄物的距离自动调节红外光密度功率。</w:t>
            </w:r>
          </w:p>
          <w:p w14:paraId="6AA8432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4.★同一静止场景相同图像质量下设备在H.264或H.265编码方式时，开启智能编码功能和不开启智能编码相比，码率节约1/2。</w:t>
            </w:r>
          </w:p>
          <w:p w14:paraId="2DFB13A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需具有区域入侵、越界入侵、进入区域、离开区域、徘徊、人员聚集、快速移动、物品遗留、停车智能行为分析功能。支持SD卡热插拔，最大支持128GB SD卡。支持PoE供电。</w:t>
            </w:r>
          </w:p>
          <w:p w14:paraId="66C9E49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★机械碰撞防护等级应符合IK10的规定。4.其他:未尽事宜参见施工图说明及相关规范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5C69D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27A3A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3459839F">
        <w:tblPrEx>
          <w:tblCellMar>
            <w:top w:w="0" w:type="dxa"/>
            <w:left w:w="108" w:type="dxa"/>
            <w:bottom w:w="0" w:type="dxa"/>
            <w:right w:w="108" w:type="dxa"/>
          </w:tblCellMar>
        </w:tblPrEx>
        <w:trPr>
          <w:trHeight w:val="22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F4DE5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E73E3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7CB00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1.类型:全景摄像机</w:t>
            </w:r>
          </w:p>
          <w:p w14:paraId="41CDC4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800万像素180°全景拼接摄像机</w:t>
            </w:r>
          </w:p>
          <w:p w14:paraId="01B024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自带镜头，另配4个图像采集模块，可输出1路主视频图像和4路辅视频图像。可将4个辅视频图像进行无缝拼接，实现180°拼接画面显示，并抓拍拼接后的图像。拼接后的辅视频图像：水平视场角为180°，垂直视场角为80°。</w:t>
            </w:r>
          </w:p>
          <w:p w14:paraId="48F19CD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内置GPU芯片，主视频图像：1920 × 1080@25fps，辅视频图像：4096×1800@30fps</w:t>
            </w:r>
          </w:p>
          <w:p w14:paraId="398CE6D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3.★主视频支持不小于48倍光学变倍，镜头最大焦距不小于288mm。</w:t>
            </w:r>
          </w:p>
          <w:p w14:paraId="1BCB40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支持7路报警输入接口，2路报警输出接口，支持1路音频输入，1路输出接口。</w:t>
            </w:r>
          </w:p>
          <w:p w14:paraId="7B84104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支持500个预置位，支持32条巡航扫描，每条巡航路径可设置16个预置点。</w:t>
            </w:r>
          </w:p>
          <w:p w14:paraId="6FDD7C6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4.★产品支持定位联动、自动跟踪、手动跟踪、混合跟踪功能，在辅视频图像中跟踪目标的灵敏度及时间可设；并且自动跟踪模式下，最多对60个目标进行检测并抓拍。</w:t>
            </w:r>
          </w:p>
          <w:p w14:paraId="0B2BB60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电源具有较强适应性，电源电压在DC36V±47%范围内变化时，摄像机可以正常工作</w:t>
            </w:r>
          </w:p>
          <w:p w14:paraId="5A9BBA9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具备较好防护性能和环境适应性，支持IP67，10KV防浪涌，工作温度范围可达-45℃-75℃。</w:t>
            </w:r>
          </w:p>
          <w:p w14:paraId="5A019C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5.红外灯开启时，样机可根据被摄物的距离自动调节红外灯功率密度。红外夜视距离：可识别距离样机550m外人体轮廓。</w:t>
            </w:r>
          </w:p>
          <w:p w14:paraId="45ED72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6.当样机检测到雾的浓度达到设定的阈值时，可自动在算法透雾和光学透雾之间进行切换。具有三种滤光片，在白天、夜晚及有雾情况下可自动切换不同的滤光片进行成像。三片滤光片透过率均不小于95%。</w:t>
            </w:r>
          </w:p>
          <w:p w14:paraId="1D9E06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7.★可通过IE浏览器设置8个场景进行人脸抓拍，可设置每个场景的布防时间。</w:t>
            </w:r>
          </w:p>
          <w:p w14:paraId="3114525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CE6C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B5038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77A0C0B1">
        <w:tblPrEx>
          <w:tblCellMar>
            <w:top w:w="0" w:type="dxa"/>
            <w:left w:w="108" w:type="dxa"/>
            <w:bottom w:w="0" w:type="dxa"/>
            <w:right w:w="108" w:type="dxa"/>
          </w:tblCellMar>
        </w:tblPrEx>
        <w:trPr>
          <w:trHeight w:val="59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08BC8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99F7F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3CA69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1.类型:室外高速球型摄像机</w:t>
            </w:r>
          </w:p>
          <w:p w14:paraId="3513E9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2.★摄像机内置不少于3个镜头，可输出至少一路全景视频和一路细节视频，其中全景路内置不少于2个镜头，细节路内置1个镜头。</w:t>
            </w:r>
          </w:p>
          <w:p w14:paraId="53DE69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3.★全景通道内置2个镜头，光圈不小于F1.0，具有不小于1/1.8靶面尺寸，内置4颗补光灯。</w:t>
            </w:r>
          </w:p>
          <w:p w14:paraId="798598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4.★细节通道内置镜头，支持不小于40倍光学变倍，镜头最大焦距不小于240mm，具备不小于1/1.8靶面尺寸，内置10颗红外补光灯及1颗白光灯。</w:t>
            </w:r>
          </w:p>
          <w:p w14:paraId="5B53B83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置不少于2个GPU芯片，全景路视频图像分辨率不小于3840 × 1080，细节路视频图像分辨率不小于2560x1440</w:t>
            </w:r>
          </w:p>
          <w:p w14:paraId="713A54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支持最低照度可达彩色0.0002 lx，黑白0.0001 lx</w:t>
            </w:r>
          </w:p>
          <w:p w14:paraId="114446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全景通道可输出两个镜头无缝拼接的全景图像，拼接偏差像素不大于4个像素，全景画面水平视场角不小于192°；</w:t>
            </w:r>
          </w:p>
          <w:p w14:paraId="2C8C64C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5.★全景通道可进行垂直旋转，旋转范围不低于10°可调。</w:t>
            </w:r>
          </w:p>
          <w:p w14:paraId="7F4C44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6.★摄像机可在预览画面及抓拍图片中叠加人员和车辆的移动轨迹，轨迹颜色支持红色、黄色、蓝色、绿色、及紫色，轨迹末尾具有一个方向箭头，指向目标离开的方向，抓拍图片大小不大于500KB。</w:t>
            </w:r>
          </w:p>
          <w:p w14:paraId="5951903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红外距离不小于200米</w:t>
            </w:r>
          </w:p>
          <w:p w14:paraId="06E98F6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具备闪光灯警戒功能，可设置闪光灯闪烁时间（1-300），闪烁频率（高、中、低、常亮），亮度（1-100），当监控画面中有目标触发区域入侵侦测、越界侦测、进入区域侦测、离开区域侦测等报警时，可联动白光灯闪烁进行报警。当篮球、小狗、树叶等非人或车辆目标经过检测区域时不会触发报警。开启混合目标检测模式后，设备可同时对行人、非机动车、机动车进行检测、跟踪、抓拍，可支持人脸与人体，车牌与车辆的关联显示</w:t>
            </w:r>
          </w:p>
          <w:p w14:paraId="0F9FA31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7.设备进行违法停车检测时，镜头倍率为1倍情况下，白天有效检测距离最大为150米，其他倍率下，白天有效检测距离最大为300米。设备可通过预置位设置16个预置违法检测场景，每个场景内可设置8条违法检测规则</w:t>
            </w:r>
          </w:p>
          <w:p w14:paraId="52A7EF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当预置违法检测场景内有违法规则被触发时，设备可联动报警输出和上传视频图像，并输出设定的语音信息</w:t>
            </w:r>
          </w:p>
          <w:p w14:paraId="629BFB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设备支持违法取证图片单张上传或者多张合成上传，合成图片的数量（1~6张可选）可配置。9.支持数据感知功能，可同时支持3路web监听通道，设备响应web端发送的查询请求，并返回对应的感知数据；断网重连后，报警信息可继续上传。10.支持硬件微引导程序、uboot、OS、应用软件逐级校验功能。非法篡改的uboot、OS、应用软件固件包，不能通过命令行、浏览器、客户端方式进行升级。</w:t>
            </w:r>
          </w:p>
          <w:p w14:paraId="6E4A922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E34ED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48C67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36A1D6BF">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C4850A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4B32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监控摄像机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0A1F8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1.名称:车辆抓拍摄像机</w:t>
            </w:r>
          </w:p>
          <w:p w14:paraId="76A6EE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400万 1/1.8" AI全结构全彩智能筒型网络摄像机</w:t>
            </w:r>
          </w:p>
          <w:p w14:paraId="1D4AAB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2.支持智能资源全结构化模式：人脸抓拍、人体抓拍、车辆抓拍和牌识。设备内置电动变焦镜头，操作便易，变焦过程平稳。分辨率设置为2560×1440@25fps，分辨力不小于1400TVL。</w:t>
            </w:r>
          </w:p>
          <w:p w14:paraId="372949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3.★具有不小于1/1.8"靶面尺寸，像元尺寸不小于2.9um×2.9um，内置2个麦克风、1个扬声器。</w:t>
            </w:r>
          </w:p>
          <w:p w14:paraId="0930F90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4.★内置2颗白光灯（1颗远光灯、1颗近光灯）。</w:t>
            </w:r>
          </w:p>
          <w:p w14:paraId="33253E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镜头支持电动变焦，并可对拍摄物体进行自动聚焦，光圈大小为F1.0。</w:t>
            </w:r>
          </w:p>
          <w:p w14:paraId="36A30D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5.在彩色模式下，当环境照度降低至设定阈值，可自动开启白光补光灯，在白天、夜晚均可输出彩色视频图像。</w:t>
            </w:r>
          </w:p>
          <w:p w14:paraId="150FD5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6.最低照度彩色不大于0.0002lx，黑白不大于0.0001lx。</w:t>
            </w:r>
          </w:p>
          <w:p w14:paraId="615247E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09AF9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44151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64F2678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32433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61604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扩声系统设备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5BAD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1.名称:防爆拾音器</w:t>
            </w:r>
          </w:p>
          <w:p w14:paraId="4B596BA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2.规格:监听面积:最大支持90平方米,具备降噪抗混响处理电路</w:t>
            </w:r>
          </w:p>
          <w:p w14:paraId="4918DD7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79C1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7C3F6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132</w:t>
            </w:r>
          </w:p>
        </w:tc>
      </w:tr>
      <w:tr w14:paraId="2DABD8B1">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D1E962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B7FA8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接线盒</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A1FC8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1.名称:针孔摄像头接线盒</w:t>
            </w:r>
          </w:p>
          <w:p w14:paraId="615940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2.材质:钢制</w:t>
            </w:r>
          </w:p>
          <w:p w14:paraId="604907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3.安装形式:据地1.5米</w:t>
            </w:r>
          </w:p>
          <w:p w14:paraId="3780156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2810A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8EB21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95</w:t>
            </w:r>
          </w:p>
        </w:tc>
      </w:tr>
      <w:tr w14:paraId="18FBF77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77E67D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333F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电源分配柜、箱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9BBE0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1.规格:电源箱</w:t>
            </w:r>
          </w:p>
          <w:p w14:paraId="5EC2C6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2.型号:监控专用电源，总功率输出不小于360W（DC12V/30A），16分路输出，含接线端子</w:t>
            </w:r>
          </w:p>
          <w:p w14:paraId="7FAF12E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49C59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83C25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w:t>
            </w:r>
          </w:p>
        </w:tc>
      </w:tr>
      <w:tr w14:paraId="761E5C7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32900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F9D7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蓄电池屏（柜）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1BF44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1.名称:电池箱</w:t>
            </w:r>
          </w:p>
          <w:p w14:paraId="1AAB507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2.规格:监控专用电源，总功率输出不小于120W（AC24V/5A），含接线端子</w:t>
            </w:r>
          </w:p>
          <w:p w14:paraId="39E167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2F45F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85302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CF9A0C7">
        <w:tblPrEx>
          <w:tblCellMar>
            <w:top w:w="0" w:type="dxa"/>
            <w:left w:w="108" w:type="dxa"/>
            <w:bottom w:w="0" w:type="dxa"/>
            <w:right w:w="108" w:type="dxa"/>
          </w:tblCellMar>
        </w:tblPrEx>
        <w:trPr>
          <w:trHeight w:val="42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6CEDC4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46D0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8220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1.名称:视频系统管理配套软件</w:t>
            </w:r>
          </w:p>
          <w:p w14:paraId="6B6075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2.支持弹窗显示所选点位地图标识及其名称、编码、经纬度、IP地址、类型、离线/在线等信息</w:t>
            </w:r>
          </w:p>
          <w:p w14:paraId="1614C5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3.所投软件产品需支持级联管理，支持配置数据级联上下级域，并支持查看下级、本级及上级域的运行状态（在线状态及跨网域情况等）。</w:t>
            </w:r>
          </w:p>
          <w:p w14:paraId="528745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4.★所投软件产品需支持名单库级联共享，支持将本级名单库下发至下级域，并支持查看下发状态。</w:t>
            </w:r>
          </w:p>
          <w:p w14:paraId="41E5DF7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支持实时视频追踪及历史追踪功能，支持在地图上指定相应的追踪中心点，搜索出周边最近的监控点，并调用播放器进行实时预览及历史回放。点击“显示轨迹”按钮，可以将多次追踪形成有起点和终点的轨迹。此外也可对追踪记录进行删除操作。</w:t>
            </w:r>
          </w:p>
          <w:p w14:paraId="6F5CD0F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支持按列表展示分组及网格，并在地图上展示所有网格区域。支持网格分组及网格本身的显隐性控制；所投软件产品需支持通过人证设备对驾驶员人证一致性校验，验证通过后登记界面显示驾驶员信息，审核民警对人员信息进行审核之后，并填写驾驶证号、人员类型、事由、车牌号、车辆类型、登记有效期进行登记支持根据车牌及颜色分析车辆行车规律，并能在地图联动展示支持阈值自定义，对单个或多个卡口/路口在某一段时间内频繁通过的车辆进行查询，并能在地图联动展示</w:t>
            </w:r>
          </w:p>
          <w:p w14:paraId="7419263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所投软件产品需支持按照登记时间、车牌号、驾驶员进行搜索；支持信息列表展示，内容包含车牌号、登记时间、驾驶员、人员类型、事由，结果以分页列表展示，可以进行上下翻页，跳转翻页等操作；支持罪犯比对信息一键全部确认。</w:t>
            </w:r>
          </w:p>
          <w:p w14:paraId="3CF340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支持分析车辆首次入城时间和地点，并能在地图联动展示</w:t>
            </w:r>
          </w:p>
          <w:p w14:paraId="5CBCE7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所投软件产品需支持显示车底照片、驶入车辆抓拍照片、驶入车底扫描照片、驶出车辆抓拍照片、驶出车底扫描照片、驶入车牌抓拍、驶出车牌抓拍，支持显示驾驶员、带队民警、检查民警比对信息所投软件产品需支持支持通过人脸抓拍机进行人员抓拍点到，按照小组为单位展示清点进度，期间可进行监舍视频查看，点名完成系统可自动提示结束。支持按照未点、已点、特殊情况进行展示。民警可对进行手动补点。且系统针对特殊人员，如外出就医等，可默认为特殊情况人员</w:t>
            </w:r>
          </w:p>
          <w:p w14:paraId="54CF36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支持实时、历史过车查询与布控，支持据车辆类型、车辆品牌、车辆颜色布控并联动报警；</w:t>
            </w:r>
          </w:p>
          <w:p w14:paraId="0824E1B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支持过车数据按成功、失败、异常过车次数、外地车、车辆总数、初次入城等数据统计</w:t>
            </w:r>
          </w:p>
          <w:p w14:paraId="751B886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所投软件产品需支持以分监区维度，进行记录查询，可查看分监区每个计划任务的点名时间、人员点到数量、人员未点到数量、特殊情况数量等信息；</w:t>
            </w:r>
          </w:p>
          <w:p w14:paraId="69C159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8.★所投软件产品需支持人员通过人脸设备进行布控，可按照不同时间、不同设备、不同人员进行布控，并且可报警联动弹视频、抓图、录像、上墙等。</w:t>
            </w:r>
          </w:p>
          <w:p w14:paraId="7BCAE26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所投软件产品需支持显示所有在大门出入比对过的人员信息记录，包括姓名、人员类型、编号、性别、比对时间、单位、处理民警、处理内容、处理状态；支持按照姓名、编号、人员类型、开始时间、结束时间进行搜索，结果以分页列表展示，可以进行上下翻页，跳转翻页等操作；支持罪犯比对信息一键全部确认。</w:t>
            </w:r>
          </w:p>
          <w:p w14:paraId="54A463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支持异常号牌、套牌的数据监测、审核及查询</w:t>
            </w:r>
          </w:p>
          <w:p w14:paraId="7F4846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所投软件产品需支持显示比对信息记录；支持按照外来人员、民警、罪犯类型进行筛选显示记录，当有罪犯时系统进行语音报警，并高亮提示，对罪犯报警可进行确认备注；支持开关报警声音提示；支持打开大门关联视频</w:t>
            </w:r>
          </w:p>
          <w:p w14:paraId="413AA9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本次支持1200路视频接入管理功能；</w:t>
            </w:r>
          </w:p>
          <w:p w14:paraId="2E33FFC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CA7C9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9D229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859A562">
        <w:tblPrEx>
          <w:tblCellMar>
            <w:top w:w="0" w:type="dxa"/>
            <w:left w:w="108" w:type="dxa"/>
            <w:bottom w:w="0" w:type="dxa"/>
            <w:right w:w="108" w:type="dxa"/>
          </w:tblCellMar>
        </w:tblPrEx>
        <w:trPr>
          <w:trHeight w:val="608"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4855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0CB34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流媒体服务器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19A7A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1.名称:流媒体服务器</w:t>
            </w:r>
          </w:p>
          <w:p w14:paraId="2C2881A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2.包含视频管理系统流媒体转发服务模块</w:t>
            </w:r>
          </w:p>
          <w:p w14:paraId="1F1C01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4210×2/64G DDR4/600G 10K  SAS×4(RAID_1)/SAS_HBA/1GbE×2+10GbE×2/550W(1+1)/2U/16DIMM2U双路标准机架式服务器CPU：2颗Intel至强系列处理器，核数≥10核，主频≥2.2GHz内存：64G DDR4，16根内存插槽，最大支持扩展至2TB内存硬盘：4块600G 10K 2.5寸 SAS硬盘阵列卡：SAS_HBA卡, 支持RAID 0/1/10</w:t>
            </w:r>
          </w:p>
          <w:p w14:paraId="2861A38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PCIE扩展：最大可支持6个PCIE扩展插槽网口：2个千兆电口，2个万兆光口其他接口：1个RJ45管理接口，后置2个USB 3.0接口，前置2个USB2.0接口，1个VGA接口电源：标配550W（1+1）高效铂金CRPS冗余电源 </w:t>
            </w:r>
          </w:p>
          <w:p w14:paraId="1177303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94F43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E0240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41F9669">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DE5E64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CE66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存储设备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97AE8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1.名称:存储接入模块</w:t>
            </w:r>
          </w:p>
          <w:p w14:paraId="106B0CB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2.系统由管理节点和/或存储节点组成，且系统可扩容，增加管理或存储节点。在多节点系统中，任何一个存储节点出现故障，应不影响数据的正常存取</w:t>
            </w:r>
          </w:p>
          <w:p w14:paraId="4CFEC3D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3.★一套云存储架构，同时支持7类数据存储服务，12种存储协议，构建统一数据湖。存储服务包含：流式存储-视频存储（GB/T 28181、RTSP、Onvif）、流式存储-图片存储（GA/T 1400.4）、NAS文件存储（NFS、CIFS、FTP）、对象存储（S3、OSS）、块存储（iSCSI，FC）、大数据存储（HDFS）、结构化数据存储。</w:t>
            </w:r>
          </w:p>
          <w:p w14:paraId="7CBEBA5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云存储支持纵向和横向扩展；支持直连x86服务器或添加JBOD的方式并构建存储资源池。任意节点均可提供对象访问、SAN访问、NAS访问等</w:t>
            </w:r>
          </w:p>
          <w:p w14:paraId="0BF4C7A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一套云存储系统支持唯一入口访问，可同时管理不少于300台存储节点，支持不少于10万个前端接入，可支持在线扩容、升级，扩容后设备可立即上线使用，同时扩容、升级过程中实时读写业务不中断、数据不丢失。</w:t>
            </w:r>
          </w:p>
          <w:p w14:paraId="7FB568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系统支持文件数至少达1亿个，文件数量可扩展</w:t>
            </w:r>
          </w:p>
          <w:p w14:paraId="16BC39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支持块级存储，无碎片，系统无存储空间和性能衰减</w:t>
            </w:r>
          </w:p>
          <w:p w14:paraId="100FFF0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单台物理设备应可自定义部署多个微服务，包括流媒体接入服务，流媒体转发服务，录像存储服务、智能分析服务和数据库服务等；支持微服务能力秒级动态调整</w:t>
            </w:r>
          </w:p>
          <w:p w14:paraId="383B2DA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一套云存储架构，可对系统SSD、HDD、磁带库存储资源统一纳管，同时对外同时提供流式数据存储、NAS存储、对象存储服务，可利用分层存储技术将流式数据(录像、图片)、NAS文件数据、对象数据在不同存储介质中迁移，其中迁移策略包括手动迁移、计划迁移、周期自动迁移、容量自动迁移。</w:t>
            </w:r>
          </w:p>
          <w:p w14:paraId="71A94F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支持Cinder插件，为云计算提供云硬盘服务；</w:t>
            </w:r>
          </w:p>
          <w:p w14:paraId="18CCA33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支持同一套存储系统同时接入SATA（CMR、HM-SMR、DM-SMR、MACH.2双磁臂硬盘）、SAS、SSD，并同时对外提供流式存储、块存储、NAS存储、对象存储服务。支持SATA硬盘，包括1TB、2TB、3TB、4TB、6TB、8TB、10TB、12TB、16TB等；支持SAS硬盘，包括1TB、2TB、3TB、4TB、6TB、12TB等；支持SSD硬盘，包含：64GB、120GB、480GB、800GB、960GB、2TB等；支持DM-SMR、HM-SMR 硬盘，DM-SMR包含8T，HM-SMR包含14T、15T、16T、18T、20T等；支持以上各种磁盘混插；且每个硬盘的空间使用率不低于99%。支持SATA、SAS、SSD、SMR硬盘分组隔离，实现冷热数据的分层存储。</w:t>
            </w:r>
          </w:p>
          <w:p w14:paraId="0A4D863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7.一套云存储系统中，支持的存储节点个数不小于4096 个,支持单个域中创建至少100万个不同容量的资源池/Bucket，可管理高清前端实时流、历时流接入不低于200万路，支持不低于1024个管理员用户，支持同时在线用户数10万，并支持不低于100万个客户端的业务访问；</w:t>
            </w:r>
          </w:p>
          <w:p w14:paraId="73C289C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多云集群系统支持不小于1024个云存储系统</w:t>
            </w:r>
          </w:p>
          <w:p w14:paraId="17A0FB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视频存储接入能力：单台设备支持5000路摄像机接入，同时支持至少512路视频点播</w:t>
            </w:r>
          </w:p>
          <w:p w14:paraId="2F7AB29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单台可并发支持存储不小于 3800Mbps，转发不小于 3000Mbps，录像下载不小于 3200Mbps</w:t>
            </w:r>
          </w:p>
          <w:p w14:paraId="78DC042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录像下载能力：支持1天（24小时）高清4Mbps码流的录像 8s内完成下载</w:t>
            </w:r>
          </w:p>
          <w:p w14:paraId="408ADE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录像1/16、1/8、1/4、1/2、2、4、8、16、32、64、128、256倍速正序、倒序回放，进度条拖动视频画面毫秒级（50ms内）响应，不黑屏；快进及倒退相互切换毫秒级(50ms内)响应，不黑屏支持录像正放切换为倒放，及倒放切换为正放；支持正放1/16、1/8、1/4、1/2、2、4、8、16、32、64、128、256倍速切换为倒放的对应倍速；</w:t>
            </w:r>
          </w:p>
          <w:p w14:paraId="4470AF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8.支持录像隐藏功能，对选定视频片段做标签并设定周期后，在周期内录像隐藏不可见且不被覆盖</w:t>
            </w:r>
          </w:p>
          <w:p w14:paraId="536EC25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系统支持数据压缩，可基于H.264/H.265视频编码标准对视频数据进行压缩存储，压缩后数据可在线点播、AI分析，数据压缩比可达60%以上；可对图片数据进行压缩存储，压缩后图片数据可正常被浏览器访问，图片数据压缩比可达80%以上。</w:t>
            </w:r>
          </w:p>
          <w:p w14:paraId="7A78D21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支持图片格式转换：尺寸压缩、裁剪、质量压缩、马赛克、水印、比例压缩、归一化当磁盘或设备故障时，支持智能数据恢复，对标明重要的特定文件中的数据优先恢复；支持手动选择关键点位、关键时间节点的录像优先重构，保障关键数据安全</w:t>
            </w:r>
          </w:p>
          <w:p w14:paraId="2E8C10D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11.★系统同时提供多副本、Erasure Code数据保护机制，其中Erasure Code安全级别可支持设置44+4，安全级别可在线动态修改，系统根据当前节点状态使用相应的容错算法。</w:t>
            </w:r>
          </w:p>
          <w:p w14:paraId="068BA87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12.★系统支持对数据重构任务预先设置重构级别与策略，重构级别包含高、中、低；重构策略包含热点数据即时重构、高优先级资源池优先重构、锁定数据优先重构、人工指定时间段数据优先重构。同时系统可依据当前集群网络、磁盘、CPU等负载，动态调整重构速度。</w:t>
            </w:r>
          </w:p>
          <w:p w14:paraId="298B58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完全自主产品，采用 Linux（Cantos、Red Hat、Ubuntu、SUSE）等主流操作系统,不接受OEM或联合品牌产品,提供云存储独立的软件著作权登记证书。</w:t>
            </w:r>
          </w:p>
          <w:p w14:paraId="0696AD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支持运行在ARM架构下的银河麒麟系统中；支持国产海光CPU、中标麒麟系统。并获得“麒麟软件Neo Certify认证”证书；</w:t>
            </w:r>
          </w:p>
          <w:p w14:paraId="4A759C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0736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1E01C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52D2019">
        <w:tblPrEx>
          <w:tblCellMar>
            <w:top w:w="0" w:type="dxa"/>
            <w:left w:w="108" w:type="dxa"/>
            <w:bottom w:w="0" w:type="dxa"/>
            <w:right w:w="108" w:type="dxa"/>
          </w:tblCellMar>
        </w:tblPrEx>
        <w:trPr>
          <w:trHeight w:val="983"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FBAF20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AEE8D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存储设备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B942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1.名称:分布式云存储</w:t>
            </w:r>
          </w:p>
          <w:p w14:paraId="3B05F13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单设备应配置≥两颗64位多核处理器，≥8GB内存，内存支持扩展到≥256GB，需配置冗余金牌电源；单设备应标配≥4个千兆网口，可增扩≥2个万兆口或≥4个光纤接口，可增扩2个SSD固态硬盘；系统由管理节点和/或存储节点组成，且系统可扩容，增加管理或存储节点。在多节点系统中，任何一个存储节点出现故障，应不影响数据的正常存取；支持控制流与数据流分离，数据的存储或读取由存储节点并行读写。</w:t>
            </w:r>
          </w:p>
          <w:p w14:paraId="4DD5E3F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3.★支持云存储系统一键部署，一键部署微视云、标准云环境，一键部署包含组建集群、创建域、自动创建资源池等。</w:t>
            </w:r>
          </w:p>
          <w:p w14:paraId="23F8FC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4.一套云存储系统可对外提供多种类型数据混合存储，同时支持分布式流式存储，分布式对象存储、分布式文件存储、分布式块存储。</w:t>
            </w:r>
          </w:p>
          <w:p w14:paraId="17902C8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统一命名空间，将所有物理存储资源虚拟化成统一的存储空间，以唯一业务IP地址对外提供存储服务。支持存储空间虚拟化管理。支持多存储设备容量整合，形成录像池；可根据用户业务分配通用、文件、视频、图片等类型存储空间；支持在线弹性伸缩录像池的容量空间，不影响业务继续读写数据分散存储到存储节点上，数据呈离散式分布。</w:t>
            </w:r>
          </w:p>
          <w:p w14:paraId="3F560DD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6.支持按照设备可用容量实现负载均衡，各存储节点上存储的数据量在稳定状态下保持均衡，差距小于5%。</w:t>
            </w:r>
          </w:p>
          <w:p w14:paraId="28AC409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7.支持按照接入任务数实现自动负载均衡，支持前端设备自动分配到存储节点。各节点间读写任务数差距±1。</w:t>
            </w:r>
          </w:p>
          <w:p w14:paraId="4C5096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8.支持 《公安视频图像信息应用系统》中的GA/T1400协议。</w:t>
            </w:r>
          </w:p>
          <w:p w14:paraId="225E2C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9.★支持IPV4/IPV6双栈，支持iscsi、samba、nfs、cifs、ftp、afp协议。</w:t>
            </w:r>
          </w:p>
          <w:p w14:paraId="10855CE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支持只配置2台元数据服务器时，云存储系统支持存储文件个数不小于30亿；元数据服务器规模扩展后，存储文件文件数量线性扩展。一套云存储系统中，支持的存储节点个数不小于4096个；多云集群系统支持不小于1024个云存储系统单台存储节点图片存储性能≥1Gb/s,且不受图片大小改变而产生大的变化支持按毫秒级自定义时间段进行视频精准检索、回放、下载，回放支持豪秒级定位回放、关键帧回放、回放暂停、倍速快放、慢放等。业务平台支持共享平台通过GB/T28181-2016协议对接，支持业务平台向共享平台订阅设备信息，共享平台反馈设备信息给业务平台。</w:t>
            </w:r>
          </w:p>
          <w:p w14:paraId="6D34129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11.支持时区设置，支持客户端与云存储设备在不同的时区，录像时间段不受异地时区影响。</w:t>
            </w:r>
          </w:p>
          <w:p w14:paraId="04D78E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12.★云存储支持单机EC方案，即支持以任一存储节点为单位独立设置N+M数据保护，支持多硬盘时，业务不中断，数据不丢失，同时可根据实时接入业务进行负载均衡。</w:t>
            </w:r>
          </w:p>
          <w:p w14:paraId="5A20CF2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13.支持在管理节点全部故障、存储节点出现批量故障时，只要存在一台有效的存储，业务就不会中断。</w:t>
            </w:r>
          </w:p>
          <w:p w14:paraId="2EBEA38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支持非副本模式下，可容忍9台（10≤N≤29，N为设备总台数）存储节点同时故障</w:t>
            </w:r>
          </w:p>
          <w:p w14:paraId="1E9B18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14.具备节点间容错功能，容忍N-1（N为设备总台数）台存储节点设备同时故障后，只要有1台以上存储节点设备正常，即可保证录像可写入，写入录像依然具备磁盘间容错能力。</w:t>
            </w:r>
          </w:p>
          <w:p w14:paraId="3B4E8B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15.支持两朵云的数据灾备，可通过同一图片、对象的URL对主、备云上的数据进行访问，客户端无感。</w:t>
            </w:r>
          </w:p>
          <w:p w14:paraId="64D324B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16.存储运维精细化：支持在运维监测功能页面显示存储硬盘的健康状态，便于存储硬盘的生命周期管理支持视频点位监控录像出现异常时及时告警，设备支持以分钟为精度对录像完整性监控，当录像连续丢失1分钟及以上时，自动判定该小时录像为异常。</w:t>
            </w:r>
          </w:p>
          <w:p w14:paraId="4A2CC3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17.由2台管理节点构成的HA（主备模式）集群可在线无缝扩充为3台；并支持3台管理节点集群在线扩充为5台，系统业务均不受影响。</w:t>
            </w:r>
          </w:p>
          <w:p w14:paraId="10DEBF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18.★支持4+1、8+2、12+3等多种纠删码容错方式向上升级容错方式。</w:t>
            </w:r>
          </w:p>
          <w:p w14:paraId="32D2616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19.支持业务数据的存储周期管理。可按策略对业务数据进行自动清理，存储周期可以按容量或时间方式进行配置。</w:t>
            </w:r>
          </w:p>
          <w:p w14:paraId="633D60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20.云存储系统支持分域管理，当单个域中设备接入到同一个交换机时，可实现数据流分域控制管理，域内业务不受其他域影响。</w:t>
            </w:r>
          </w:p>
          <w:p w14:paraId="4F42CB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21.支持底层数据块Erasure Code技术容错，数据恢复以数据块为单位，无需全硬盘恢复。</w:t>
            </w:r>
          </w:p>
          <w:p w14:paraId="1B9883D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云存储节点单设备支持采用N+M冗余方式进行数据校验存储，不采用传统的RAID磁盘级方式（如Raid5，Raid6，Vraid，Sraid，SafeVideo等）进行数据保护支持对管理节点和存储节点的硬件信息、云服务进程、服务软件版本、磁盘信息、系统容量进行实时监控，并对存储节点的风扇、温度、块设备信息进行实时监控。</w:t>
            </w:r>
          </w:p>
          <w:p w14:paraId="3E4858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22.★支持通过统一运维一键式部署整个云存储系统，一键升级、格式化系统；支持设备自动发现，支持无需登录设备，即可远程配置IP地址；支持单服务、服务集群一键升级，支持升级包的hash签名加密认证。</w:t>
            </w:r>
          </w:p>
          <w:p w14:paraId="77743EB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提供提供云存储独立的软件著作权登记证书。</w:t>
            </w:r>
          </w:p>
          <w:p w14:paraId="265C51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0029B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8D551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6E113D2A">
        <w:tblPrEx>
          <w:tblCellMar>
            <w:top w:w="0" w:type="dxa"/>
            <w:left w:w="108" w:type="dxa"/>
            <w:bottom w:w="0" w:type="dxa"/>
            <w:right w:w="108" w:type="dxa"/>
          </w:tblCellMar>
        </w:tblPrEx>
        <w:trPr>
          <w:trHeight w:val="3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F1DBA3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4A77B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存储设备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52AB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1.名称:存储接入交换机</w:t>
            </w:r>
          </w:p>
          <w:p w14:paraId="641050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2.配置：48个1G/10G SFP+光接口，2个40G QSFP+光接口，支持2个扩展槽位；</w:t>
            </w:r>
          </w:p>
          <w:p w14:paraId="67D232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支持独立的console管理串口，≥1个带外管理口</w:t>
            </w:r>
          </w:p>
          <w:p w14:paraId="224095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支持USB拷贝文件、MicroUSB登陆设备功能</w:t>
            </w:r>
          </w:p>
          <w:p w14:paraId="7FB44A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支持模块化电源数量≥2，模块化风扇数量≥2</w:t>
            </w:r>
          </w:p>
          <w:p w14:paraId="673718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交换容量：2.56Tbps/25.6Tbps，转发性能：1080Mpps/1620Mpps</w:t>
            </w:r>
          </w:p>
          <w:p w14:paraId="2FE9B1D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提供工信部入网许可证、入网检测报告证明</w:t>
            </w:r>
          </w:p>
          <w:p w14:paraId="74ED7D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设备内存容量≥2048M，端口平均转发时延≤3us</w:t>
            </w:r>
          </w:p>
          <w:p w14:paraId="00C334B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支持IPv4 ACL表入方向≥2K条+出方向≥512条</w:t>
            </w:r>
          </w:p>
          <w:p w14:paraId="3AA23B2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MAC地址表≥128K，ARP表≥64K，端口MAC地址缓存能力≥2048个</w:t>
            </w:r>
          </w:p>
          <w:p w14:paraId="197ACFA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支持802.3az（EEE）能效以太网标准</w:t>
            </w:r>
          </w:p>
          <w:p w14:paraId="3E1C50C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3.★支持虚拟化本地负载分担、虚拟化单点管理功能、9台设备堆叠、虚拟化堆叠链路冗余保护收敛时间小于50ms，</w:t>
            </w:r>
          </w:p>
          <w:p w14:paraId="0D33B2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4.支持链路聚合功能及聚合零丢包功能，</w:t>
            </w:r>
          </w:p>
          <w:p w14:paraId="3E5E8F6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5.支持BFD for VRRP，BFD for IPv4路由，BFD for IPv6路由，策略路由，等价路由，</w:t>
            </w:r>
          </w:p>
          <w:p w14:paraId="1120C90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支持用户的分级分权控制，可以为用户分配不同权限，每个用户只能进行其权限所允许的操作</w:t>
            </w:r>
          </w:p>
          <w:p w14:paraId="2BA75CD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6.支持Vxlan二层互通、Vxlan集中式网关三层互通、EVPN分布式网关二三层互通功能，</w:t>
            </w:r>
          </w:p>
          <w:p w14:paraId="6F2B246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7.★支持通过网管平台实现统一运维管理，在平台上实现对接入的交换机和终端设备进行系统拓扑展示及管理，支持以不同图标展示接入设备间的连接方式，包括网线、光纤和无线连接s，</w:t>
            </w:r>
          </w:p>
          <w:p w14:paraId="64A178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8.支持通过网管平台对接入设备间的链路详情展示，包括传输速率、链路两端设备信息和链路带宽告警，</w:t>
            </w:r>
          </w:p>
          <w:p w14:paraId="62A8D05C">
            <w:pPr>
              <w:widowControl/>
              <w:jc w:val="left"/>
              <w:textAlignment w:val="center"/>
              <w:rPr>
                <w:rFonts w:hint="eastAsia" w:ascii="仿宋" w:hAnsi="仿宋" w:eastAsia="仿宋" w:cs="仿宋"/>
                <w:strike w:val="0"/>
                <w:dstrike w:val="0"/>
                <w:color w:val="auto"/>
                <w:kern w:val="0"/>
                <w:sz w:val="18"/>
                <w:szCs w:val="18"/>
                <w:highlight w:val="none"/>
                <w:lang w:eastAsia="zh-CN" w:bidi="ar"/>
              </w:rPr>
            </w:pPr>
            <w:r>
              <w:rPr>
                <w:rFonts w:hint="eastAsia" w:ascii="仿宋" w:hAnsi="仿宋" w:eastAsia="仿宋" w:cs="仿宋"/>
                <w:strike w:val="0"/>
                <w:dstrike w:val="0"/>
                <w:color w:val="auto"/>
                <w:kern w:val="0"/>
                <w:sz w:val="18"/>
                <w:szCs w:val="18"/>
                <w:highlight w:val="none"/>
                <w:lang w:bidi="ar"/>
              </w:rPr>
              <w:t>9.★支持通过网管平台在网络拓扑中展示设备详情，包括设备基本信息、性能使用信息、面板状态和端口信息</w:t>
            </w:r>
            <w:r>
              <w:rPr>
                <w:rFonts w:hint="eastAsia" w:ascii="仿宋" w:hAnsi="仿宋" w:eastAsia="仿宋" w:cs="仿宋"/>
                <w:strike w:val="0"/>
                <w:dstrike w:val="0"/>
                <w:color w:val="auto"/>
                <w:kern w:val="0"/>
                <w:sz w:val="18"/>
                <w:szCs w:val="18"/>
                <w:highlight w:val="none"/>
                <w:lang w:eastAsia="zh-CN" w:bidi="ar"/>
              </w:rPr>
              <w:t>。</w:t>
            </w:r>
          </w:p>
          <w:p w14:paraId="1EC4D0F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F7C3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26F9B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5264F46">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835727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F77D8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780F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030DFA7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54524A9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3.规格:φ20</w:t>
            </w:r>
          </w:p>
          <w:p w14:paraId="6F5F0F8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6659E95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193039F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CD88B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2E8D4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120</w:t>
            </w:r>
          </w:p>
        </w:tc>
      </w:tr>
      <w:tr w14:paraId="6CF96571">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A9088B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57023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D96B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07E02C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22B918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3.规格:φ25</w:t>
            </w:r>
          </w:p>
          <w:p w14:paraId="211658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76C3EDC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5673647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C7AB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DB31D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863.3</w:t>
            </w:r>
          </w:p>
        </w:tc>
      </w:tr>
      <w:tr w14:paraId="4BA694E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9FF9E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7231A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BE52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0B1E674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6EB3542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2B071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F2658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6633.52</w:t>
            </w:r>
          </w:p>
        </w:tc>
      </w:tr>
      <w:tr w14:paraId="5D751D8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89C6BF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FC00D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24073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1.名称:管内穿线（超高）</w:t>
            </w:r>
          </w:p>
          <w:p w14:paraId="7E8D578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195C6B4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FA055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C08A1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49.85</w:t>
            </w:r>
          </w:p>
        </w:tc>
      </w:tr>
      <w:tr w14:paraId="15570AD1">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2D41AA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521D1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F8FC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4365E2D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2.规格:RVSP-5*1.5</w:t>
            </w:r>
          </w:p>
          <w:p w14:paraId="2561DE5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1ADB523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7B6A3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9D96C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20368.36</w:t>
            </w:r>
          </w:p>
        </w:tc>
      </w:tr>
      <w:tr w14:paraId="76C030B8">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EA608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CDEA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D1DF3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1.名称:线槽配线（超高）</w:t>
            </w:r>
          </w:p>
          <w:p w14:paraId="280AC2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73D6415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9F2959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6F6AC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8F672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250.11</w:t>
            </w:r>
          </w:p>
        </w:tc>
      </w:tr>
      <w:tr w14:paraId="1CE8B61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E40CD8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0AA7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B0D2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760A4B7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5534675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0621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F31CF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1023.57</w:t>
            </w:r>
          </w:p>
        </w:tc>
      </w:tr>
      <w:tr w14:paraId="00C1910F">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8826C8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07AFC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06C1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787DF0E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6805248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49627F3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9E2B0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96FB3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2097.11</w:t>
            </w:r>
          </w:p>
        </w:tc>
      </w:tr>
      <w:tr w14:paraId="75C6F5F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2E674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B0B41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53E9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0F30F07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6E8B704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25E9B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2B887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6630.56</w:t>
            </w:r>
          </w:p>
        </w:tc>
      </w:tr>
      <w:tr w14:paraId="33CF71A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8DF730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28D93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3E21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1.名称:管内穿线（超高）</w:t>
            </w:r>
          </w:p>
          <w:p w14:paraId="3EBE35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5AC15F9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9AC32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0AC3C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49.85</w:t>
            </w:r>
          </w:p>
        </w:tc>
      </w:tr>
      <w:tr w14:paraId="6F8E296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D02AF9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70FBE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7EF3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1E9B98B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5273607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0CEDC3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B30BA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51D7B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24325.32</w:t>
            </w:r>
          </w:p>
        </w:tc>
      </w:tr>
      <w:tr w14:paraId="3F968AF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432E86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90371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7C7E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1.名称:线槽配线（超高）</w:t>
            </w:r>
          </w:p>
          <w:p w14:paraId="34A225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1D100ED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5015EE3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A83D9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7B50A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250.11</w:t>
            </w:r>
          </w:p>
        </w:tc>
      </w:tr>
      <w:tr w14:paraId="0835AFE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F7998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8E36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AA0C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364967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2.规格:RVV-3*1.0</w:t>
            </w:r>
          </w:p>
          <w:p w14:paraId="3AD6E4A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C26A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C02F4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30.66</w:t>
            </w:r>
          </w:p>
        </w:tc>
      </w:tr>
      <w:tr w14:paraId="5D1B5FE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3DB9FD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19656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7AB85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637245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2.规格:RVV-3*1.0</w:t>
            </w:r>
          </w:p>
          <w:p w14:paraId="2C7370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5E6E8C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70751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A1283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17.62</w:t>
            </w:r>
          </w:p>
        </w:tc>
      </w:tr>
      <w:tr w14:paraId="0269AEBE">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1A3CBE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DE4CB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安全防范全系统调试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2D71F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1.名称:安防系统联合调试</w:t>
            </w:r>
          </w:p>
          <w:p w14:paraId="0A79EEB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43B2B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28E22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E202225">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863B7D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FA87A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视频系统调试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D9C10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1.名称:视频系统试运行</w:t>
            </w:r>
          </w:p>
          <w:p w14:paraId="6CB36DD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6847A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FBECD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53F419A2">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543FC30">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1699777">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10、紧急报警系统</w:t>
            </w:r>
          </w:p>
        </w:tc>
        <w:tc>
          <w:tcPr>
            <w:tcW w:w="1872" w:type="dxa"/>
            <w:gridSpan w:val="2"/>
            <w:tcBorders>
              <w:top w:val="nil"/>
              <w:left w:val="nil"/>
              <w:bottom w:val="nil"/>
              <w:right w:val="nil"/>
            </w:tcBorders>
            <w:shd w:val="clear" w:color="FFFFFF" w:fill="FFFFFF"/>
            <w:noWrap w:val="0"/>
            <w:vAlign w:val="bottom"/>
          </w:tcPr>
          <w:p w14:paraId="34B870B1">
            <w:pPr>
              <w:jc w:val="left"/>
              <w:rPr>
                <w:rFonts w:hint="eastAsia" w:ascii="仿宋" w:hAnsi="仿宋" w:eastAsia="仿宋" w:cs="仿宋"/>
                <w:color w:val="auto"/>
                <w:sz w:val="18"/>
                <w:szCs w:val="18"/>
                <w:highlight w:val="none"/>
              </w:rPr>
            </w:pPr>
          </w:p>
        </w:tc>
      </w:tr>
      <w:tr w14:paraId="14C8A663">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E99CEC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E746A1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B120AA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D08F71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5F8D8EA">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6653B84C">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384814D">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AE0D33">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20003AD">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6F534A9">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8FD004A">
            <w:pPr>
              <w:jc w:val="center"/>
              <w:rPr>
                <w:rFonts w:hint="eastAsia" w:ascii="仿宋" w:hAnsi="仿宋" w:eastAsia="仿宋" w:cs="仿宋"/>
                <w:b/>
                <w:bCs/>
                <w:color w:val="auto"/>
                <w:sz w:val="18"/>
                <w:szCs w:val="18"/>
                <w:highlight w:val="none"/>
              </w:rPr>
            </w:pPr>
          </w:p>
        </w:tc>
      </w:tr>
      <w:tr w14:paraId="76899526">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47AE9A29">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5ED751B">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2119E7D">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D22291F">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DCF07ED">
            <w:pPr>
              <w:jc w:val="center"/>
              <w:rPr>
                <w:rFonts w:hint="eastAsia" w:ascii="仿宋" w:hAnsi="仿宋" w:eastAsia="仿宋" w:cs="仿宋"/>
                <w:b/>
                <w:bCs/>
                <w:color w:val="auto"/>
                <w:sz w:val="18"/>
                <w:szCs w:val="18"/>
                <w:highlight w:val="none"/>
              </w:rPr>
            </w:pPr>
          </w:p>
        </w:tc>
      </w:tr>
      <w:tr w14:paraId="2A843D4B">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1CA6A4F">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1C916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紧急报警系统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1496E4">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462CF8">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8E5E1F">
            <w:pPr>
              <w:jc w:val="right"/>
              <w:rPr>
                <w:rFonts w:hint="eastAsia" w:ascii="仿宋" w:hAnsi="仿宋" w:eastAsia="仿宋" w:cs="仿宋"/>
                <w:color w:val="auto"/>
                <w:sz w:val="18"/>
                <w:szCs w:val="18"/>
                <w:highlight w:val="none"/>
              </w:rPr>
            </w:pPr>
          </w:p>
        </w:tc>
      </w:tr>
      <w:tr w14:paraId="41241E5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278D4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31077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A86FB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1.名称:紧急报警分控主机</w:t>
            </w:r>
          </w:p>
          <w:p w14:paraId="009BCB7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2.路数:8 路有线报警主机，含IP通讯功能</w:t>
            </w:r>
          </w:p>
          <w:p w14:paraId="3799E63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CE534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831D7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5653384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3FF9B0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10493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声光报警器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404F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1.名称:声光报警器安装</w:t>
            </w:r>
          </w:p>
          <w:p w14:paraId="14B242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2.安装形式:吸顶安装</w:t>
            </w:r>
          </w:p>
          <w:p w14:paraId="011826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A67B7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4C801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r>
      <w:tr w14:paraId="7F73A861">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19C528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60679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入侵报警信号传输设备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9C0E0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1.名称:无线转发器</w:t>
            </w:r>
          </w:p>
          <w:p w14:paraId="6E5E784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30C7E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5812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r>
      <w:tr w14:paraId="50E4B88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5B167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1F5A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847F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1.名称:紧急报警按钮</w:t>
            </w:r>
          </w:p>
          <w:p w14:paraId="7D33DFF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 八六盒型紧急按钮，常开/常闭型</w:t>
            </w:r>
          </w:p>
          <w:p w14:paraId="13E5224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3.安装形式:距地1.0米</w:t>
            </w:r>
          </w:p>
          <w:p w14:paraId="7874A09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29260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BBE3F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71</w:t>
            </w:r>
          </w:p>
        </w:tc>
      </w:tr>
      <w:tr w14:paraId="265BFD2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67DBBF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390CB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5E8C5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1.名称:紧急报警按钮</w:t>
            </w:r>
          </w:p>
          <w:p w14:paraId="233230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 八六盒型紧急按钮，人工复位型</w:t>
            </w:r>
          </w:p>
          <w:p w14:paraId="54CE148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3.安装形式:距地1.0米</w:t>
            </w:r>
          </w:p>
          <w:p w14:paraId="0DACC8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F85CE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3E9B7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r>
      <w:tr w14:paraId="05CE53D4">
        <w:tblPrEx>
          <w:tblCellMar>
            <w:top w:w="0" w:type="dxa"/>
            <w:left w:w="108" w:type="dxa"/>
            <w:bottom w:w="0" w:type="dxa"/>
            <w:right w:w="108" w:type="dxa"/>
          </w:tblCellMar>
        </w:tblPrEx>
        <w:trPr>
          <w:trHeight w:val="2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2D1A35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355FD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B7F62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1.名称:无线紧急报警按钮</w:t>
            </w:r>
          </w:p>
          <w:p w14:paraId="4544A71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2.安装形式:距地1.0米</w:t>
            </w:r>
          </w:p>
          <w:p w14:paraId="031A6F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8CD51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ED70F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100</w:t>
            </w:r>
          </w:p>
        </w:tc>
      </w:tr>
      <w:tr w14:paraId="1B69839C">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6B4FD8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A952E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9A17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1.名称:紧急报警管理软件</w:t>
            </w:r>
          </w:p>
          <w:p w14:paraId="0B99C1D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E72C0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5D0F0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D138E86">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18677B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F6277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E14F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4EA4FE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21F99A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3.规格:φ20</w:t>
            </w:r>
          </w:p>
          <w:p w14:paraId="330FFC2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36B482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7ABECFD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B2966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96579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95.36</w:t>
            </w:r>
          </w:p>
        </w:tc>
      </w:tr>
      <w:tr w14:paraId="2532900C">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C7782E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A26B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D1AA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1.名称:弱电配管</w:t>
            </w:r>
          </w:p>
          <w:p w14:paraId="284D1D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2.材质:JDG管</w:t>
            </w:r>
          </w:p>
          <w:p w14:paraId="29585A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3.规格:φ25</w:t>
            </w:r>
          </w:p>
          <w:p w14:paraId="75D4F6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4.配置形式:明配</w:t>
            </w:r>
          </w:p>
          <w:p w14:paraId="265125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5.敷设部位:室内</w:t>
            </w:r>
          </w:p>
          <w:p w14:paraId="7DD1472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3AF0A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D2FAC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13.55</w:t>
            </w:r>
          </w:p>
        </w:tc>
      </w:tr>
      <w:tr w14:paraId="2955281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DD75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FC36E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042FE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608519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2895ACB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6C60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AE071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50.53</w:t>
            </w:r>
          </w:p>
        </w:tc>
      </w:tr>
      <w:tr w14:paraId="405684D4">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1CA2B0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727B5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77E5A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03597F3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14D4132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7C6A203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20841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158F1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169.37</w:t>
            </w:r>
          </w:p>
        </w:tc>
      </w:tr>
      <w:tr w14:paraId="2098C99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D1313A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34C45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72377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61B4D8A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2AB931F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32848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B24072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628.06</w:t>
            </w:r>
          </w:p>
        </w:tc>
      </w:tr>
      <w:tr w14:paraId="179B7E96">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AD0D73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05B4D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EF8EB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2142AF0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394DDD7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03B406C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EF42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4722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1869.69</w:t>
            </w:r>
          </w:p>
        </w:tc>
      </w:tr>
      <w:tr w14:paraId="2D05BD4F">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E308BF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F912D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安全防范分系统调试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FAFF1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1.名称:安全防范分系统调试</w:t>
            </w:r>
          </w:p>
          <w:p w14:paraId="167CDFF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E2139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52C2B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3455B75A">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10F86B5D">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028E9310">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11、监听对讲系统</w:t>
            </w:r>
          </w:p>
        </w:tc>
        <w:tc>
          <w:tcPr>
            <w:tcW w:w="1872" w:type="dxa"/>
            <w:gridSpan w:val="2"/>
            <w:tcBorders>
              <w:top w:val="nil"/>
              <w:left w:val="nil"/>
              <w:bottom w:val="nil"/>
              <w:right w:val="nil"/>
            </w:tcBorders>
            <w:shd w:val="clear" w:color="FFFFFF" w:fill="FFFFFF"/>
            <w:noWrap w:val="0"/>
            <w:vAlign w:val="bottom"/>
          </w:tcPr>
          <w:p w14:paraId="21FC84CA">
            <w:pPr>
              <w:jc w:val="left"/>
              <w:rPr>
                <w:rFonts w:hint="eastAsia" w:ascii="仿宋" w:hAnsi="仿宋" w:eastAsia="仿宋" w:cs="仿宋"/>
                <w:color w:val="auto"/>
                <w:sz w:val="18"/>
                <w:szCs w:val="18"/>
                <w:highlight w:val="none"/>
              </w:rPr>
            </w:pPr>
          </w:p>
        </w:tc>
      </w:tr>
      <w:tr w14:paraId="7C692BEA">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0F53F84">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78F2B6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022C404">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5EAD4C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A317BF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74E198C2">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258A124">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78666D0">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878F5B2">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F7048A5">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9A4271A">
            <w:pPr>
              <w:jc w:val="center"/>
              <w:rPr>
                <w:rFonts w:hint="eastAsia" w:ascii="仿宋" w:hAnsi="仿宋" w:eastAsia="仿宋" w:cs="仿宋"/>
                <w:b/>
                <w:bCs/>
                <w:color w:val="auto"/>
                <w:sz w:val="18"/>
                <w:szCs w:val="18"/>
                <w:highlight w:val="none"/>
              </w:rPr>
            </w:pPr>
          </w:p>
        </w:tc>
      </w:tr>
      <w:tr w14:paraId="5FF1F5AD">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9520F2B">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F4D3FBB">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04A6C60">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DD3213E">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65B2D89">
            <w:pPr>
              <w:jc w:val="center"/>
              <w:rPr>
                <w:rFonts w:hint="eastAsia" w:ascii="仿宋" w:hAnsi="仿宋" w:eastAsia="仿宋" w:cs="仿宋"/>
                <w:b/>
                <w:bCs/>
                <w:color w:val="auto"/>
                <w:sz w:val="18"/>
                <w:szCs w:val="18"/>
                <w:highlight w:val="none"/>
              </w:rPr>
            </w:pPr>
          </w:p>
        </w:tc>
      </w:tr>
      <w:tr w14:paraId="350B5089">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1DBF09E">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6682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监听对讲系统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5772B6">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F66CFF">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4BA7F2">
            <w:pPr>
              <w:jc w:val="right"/>
              <w:rPr>
                <w:rFonts w:hint="eastAsia" w:ascii="仿宋" w:hAnsi="仿宋" w:eastAsia="仿宋" w:cs="仿宋"/>
                <w:color w:val="auto"/>
                <w:sz w:val="18"/>
                <w:szCs w:val="18"/>
                <w:highlight w:val="none"/>
              </w:rPr>
            </w:pPr>
          </w:p>
        </w:tc>
      </w:tr>
      <w:tr w14:paraId="0D9179EA">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52272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6911A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5ACD3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1.名称:监仓可视分机</w:t>
            </w:r>
          </w:p>
          <w:p w14:paraId="3D6906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2.规格:IP 金属防暴嵌入式，铝合金面板(含安装底盒),带防刺戳保护装置和专用螺丝，防范人为破坏,实现全双工对讲，内置1080P高清摄像头；支持移动侦测报警，本机摄像头检测到画面变化时可自动向主机报警；自带呼叫和报警按钮，可对指定的设备进行一键呼叫和一键报警。</w:t>
            </w:r>
          </w:p>
          <w:p w14:paraId="2631EA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3.安装方式:暗装,距地1.3m</w:t>
            </w:r>
          </w:p>
          <w:p w14:paraId="1111617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5FF9D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FF747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193</w:t>
            </w:r>
          </w:p>
        </w:tc>
      </w:tr>
      <w:tr w14:paraId="555F9657">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88F3B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C2E29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76E2A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1.名称:监仓可视分机</w:t>
            </w:r>
          </w:p>
          <w:p w14:paraId="65CA590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2.规格:采用数字真彩显示屏，防暴电容式触摸屏，1080P高清摄像头，支持双键呼叫、监听、监视、语音识别报警、录音录像、VOIP电话、信息发布等</w:t>
            </w:r>
          </w:p>
          <w:p w14:paraId="1402D07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3.安装方式:暗装,距地1.3m</w:t>
            </w:r>
          </w:p>
          <w:p w14:paraId="2093E7B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CB69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D10DB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30A4297">
        <w:tblPrEx>
          <w:tblCellMar>
            <w:top w:w="0" w:type="dxa"/>
            <w:left w:w="108" w:type="dxa"/>
            <w:bottom w:w="0" w:type="dxa"/>
            <w:right w:w="108" w:type="dxa"/>
          </w:tblCellMar>
        </w:tblPrEx>
        <w:trPr>
          <w:trHeight w:val="6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216C96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6C4F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551C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1.名称:总控主机</w:t>
            </w:r>
          </w:p>
          <w:p w14:paraId="2E8B123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双显示屏一体化结构设计，触摸式操作，支持双向1080P高清可视全双工对讲，支持手柄、免提两种对讲方式，对讲音频采样率不低于16KHz，支持视频会议，可与系统内其它设备实现视频会议，并可同时显示多路参会成员的视频画面，支持视频联动，本机可同时显示不少于4路监控摄像机的视频画面；支持H.264、H.265视频解码，可解码显示H.264、H.265格式的监控摄像机图像；支持信息发布，可向系统内其他设备发送图片、文字、视频信息；支持录音录像，本机可对通话过程录音录像，并可在本机查询播放录制的文件；显示屏不小于1920X1080像素，可管理相应的一级主机和分机。</w:t>
            </w:r>
          </w:p>
          <w:p w14:paraId="5B2B39F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FE2C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4DBE2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E5B95A3">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4B7C0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E173F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FC59D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1.名称:分控主机</w:t>
            </w:r>
          </w:p>
          <w:p w14:paraId="0E7CD8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数字真彩显示屏，电容式触摸屏，1080P高清摄像头，呼叫、对讲、监听、监视、广播、托管,内置扬声器，实现双向通话和监听,具有报警接收、解除及语音提示功能；TCP/IP网络架构；能够管理对应区域分机</w:t>
            </w:r>
          </w:p>
          <w:p w14:paraId="025F3C4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B747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23A68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r>
      <w:tr w14:paraId="39AA7BC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04C88F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6169D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电源分配柜、箱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0EA83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1.规格:电源箱</w:t>
            </w:r>
          </w:p>
          <w:p w14:paraId="6F8DB9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2.型号:监控专用电源,总功率输出不小于360W(DC12V/30A),16分路输出,含接线端子</w:t>
            </w:r>
          </w:p>
          <w:p w14:paraId="5796875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2DD2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3EF2A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r>
      <w:tr w14:paraId="4B1A1AC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7D7E6C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7A61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网络服务器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AAD1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1.名称:服务器型地址盒</w:t>
            </w:r>
          </w:p>
          <w:p w14:paraId="15D9AB3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2.规格:用于主机和分机等所有网络设备的IP地址注册查询、sip服务、音视频代理等。</w:t>
            </w:r>
          </w:p>
          <w:p w14:paraId="205BF3E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F95A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735F7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2F2FC3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91DD41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8A3D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46465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5F84978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3C3A192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BC972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5A698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180.42</w:t>
            </w:r>
          </w:p>
        </w:tc>
      </w:tr>
      <w:tr w14:paraId="399B7AF0">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4087B8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93A7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0EF4C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1F5320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278F619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22AE42B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3560E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C3C87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1094.35</w:t>
            </w:r>
          </w:p>
        </w:tc>
      </w:tr>
      <w:tr w14:paraId="62176F2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88E4C4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BD320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88C33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619D744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53959A2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50A75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91120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180.42</w:t>
            </w:r>
          </w:p>
        </w:tc>
      </w:tr>
      <w:tr w14:paraId="7F33E429">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A789D2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4C7A7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21BD4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3B6EF18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3C4BE03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5CCC8E0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0F708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977E4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1094.35</w:t>
            </w:r>
          </w:p>
        </w:tc>
      </w:tr>
      <w:tr w14:paraId="0EB5DA6C">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E40D1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1FCAD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安全防范分系统调试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F2F5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1.名称:安全防范分系统调试</w:t>
            </w:r>
          </w:p>
          <w:p w14:paraId="00E9272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F17DA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4F680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64931689">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43F82F19">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23CADC0D">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12、出入口管理系统</w:t>
            </w:r>
          </w:p>
        </w:tc>
        <w:tc>
          <w:tcPr>
            <w:tcW w:w="1872" w:type="dxa"/>
            <w:gridSpan w:val="2"/>
            <w:tcBorders>
              <w:top w:val="nil"/>
              <w:left w:val="nil"/>
              <w:bottom w:val="nil"/>
              <w:right w:val="nil"/>
            </w:tcBorders>
            <w:shd w:val="clear" w:color="FFFFFF" w:fill="FFFFFF"/>
            <w:noWrap w:val="0"/>
            <w:vAlign w:val="bottom"/>
          </w:tcPr>
          <w:p w14:paraId="6D5CA548">
            <w:pPr>
              <w:jc w:val="left"/>
              <w:rPr>
                <w:rFonts w:hint="eastAsia" w:ascii="仿宋" w:hAnsi="仿宋" w:eastAsia="仿宋" w:cs="仿宋"/>
                <w:color w:val="auto"/>
                <w:sz w:val="18"/>
                <w:szCs w:val="18"/>
                <w:highlight w:val="none"/>
              </w:rPr>
            </w:pPr>
          </w:p>
        </w:tc>
      </w:tr>
      <w:tr w14:paraId="493CC7A7">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49B527B">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F954D1A">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CA8804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5440AC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045DDF5">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463CFD26">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DC7957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1B13439">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1A07A56">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8EBF4BA">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F858C84">
            <w:pPr>
              <w:jc w:val="center"/>
              <w:rPr>
                <w:rFonts w:hint="eastAsia" w:ascii="仿宋" w:hAnsi="仿宋" w:eastAsia="仿宋" w:cs="仿宋"/>
                <w:b/>
                <w:bCs/>
                <w:color w:val="auto"/>
                <w:sz w:val="18"/>
                <w:szCs w:val="18"/>
                <w:highlight w:val="none"/>
              </w:rPr>
            </w:pPr>
          </w:p>
        </w:tc>
      </w:tr>
      <w:tr w14:paraId="56BBD350">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BE930E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AD5E8DB">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C614EC0">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EB67E42">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2447444">
            <w:pPr>
              <w:jc w:val="center"/>
              <w:rPr>
                <w:rFonts w:hint="eastAsia" w:ascii="仿宋" w:hAnsi="仿宋" w:eastAsia="仿宋" w:cs="仿宋"/>
                <w:b/>
                <w:bCs/>
                <w:color w:val="auto"/>
                <w:sz w:val="18"/>
                <w:szCs w:val="18"/>
                <w:highlight w:val="none"/>
              </w:rPr>
            </w:pPr>
          </w:p>
        </w:tc>
      </w:tr>
      <w:tr w14:paraId="17409A07">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D3568E9">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48BE5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出入口管理系统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45D0C3">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FF38E7">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E2CFF5">
            <w:pPr>
              <w:jc w:val="right"/>
              <w:rPr>
                <w:rFonts w:hint="eastAsia" w:ascii="仿宋" w:hAnsi="仿宋" w:eastAsia="仿宋" w:cs="仿宋"/>
                <w:color w:val="auto"/>
                <w:sz w:val="18"/>
                <w:szCs w:val="18"/>
                <w:highlight w:val="none"/>
              </w:rPr>
            </w:pPr>
          </w:p>
        </w:tc>
      </w:tr>
      <w:tr w14:paraId="67C3FF0A">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6CE8A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0027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出入口控制设备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B976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1.名称:两门控制器</w:t>
            </w:r>
          </w:p>
          <w:p w14:paraId="34525B1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双门双向刷卡控制、支持纯刷卡、卡加密码、纯密码、反胁迫报警密码等多种认证开门方式；多卡开门，首卡开门，倒计时关门，可通过软件设置远程开门、倒计时开门及按时间自动开门，支持双门互锁，含报警蜂鸣器，含电源。</w:t>
            </w:r>
          </w:p>
          <w:p w14:paraId="59354D4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0EEF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D02B3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62</w:t>
            </w:r>
          </w:p>
        </w:tc>
      </w:tr>
      <w:tr w14:paraId="642DB04D">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F4CF39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30A62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出入口执行机构设备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CD9DE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1.名称:四门控制器</w:t>
            </w:r>
          </w:p>
          <w:p w14:paraId="0FC5131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四门双向刷卡控制、支持纯刷卡、卡加密码、纯密码、反胁迫报警密码等多种认证开门方式；多卡开门，首卡开门，倒计时关门，可通过软件设置远程开门、倒计时开门及按时间自动开门，支持双门互锁，含报警蜂鸣器，含电源。</w:t>
            </w:r>
          </w:p>
          <w:p w14:paraId="075E198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6388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306CA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r>
      <w:tr w14:paraId="2E812CB2">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CCD7F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1E9D2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出入口执行机构设备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11B8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1.名称:读卡器</w:t>
            </w:r>
          </w:p>
          <w:p w14:paraId="72A5D0C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2.规格:防水不锈钢防暴键盘，防拆、防爆及二级防雷，支持刷卡与密码等多种认证方式，反胁迫密码功能。</w:t>
            </w:r>
          </w:p>
          <w:p w14:paraId="560E5FD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CD0A2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3979F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204</w:t>
            </w:r>
          </w:p>
        </w:tc>
      </w:tr>
      <w:tr w14:paraId="32D3ADA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FBB99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48EB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EC90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1.名称:金属探测扫描门</w:t>
            </w:r>
          </w:p>
          <w:p w14:paraId="2C57C6F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2.规格:能够划分探测区域，准确判断金属物品的位置，同时具备体温测量的功能。</w:t>
            </w:r>
          </w:p>
          <w:p w14:paraId="7FB17D2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4D65B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2823E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r>
      <w:tr w14:paraId="0EC19D5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1182F4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9937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6109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1.名称:隔离通道门</w:t>
            </w:r>
          </w:p>
          <w:p w14:paraId="02E1D1A1">
            <w:pPr>
              <w:widowControl/>
              <w:jc w:val="left"/>
              <w:textAlignment w:val="center"/>
              <w:rPr>
                <w:rFonts w:hint="default" w:ascii="仿宋" w:hAnsi="仿宋" w:eastAsia="仿宋" w:cs="仿宋"/>
                <w:color w:val="auto"/>
                <w:kern w:val="0"/>
                <w:sz w:val="18"/>
                <w:szCs w:val="18"/>
                <w:highlight w:val="none"/>
                <w:lang w:val="en-US" w:eastAsia="zh-CN" w:bidi="ar"/>
              </w:rPr>
            </w:pPr>
            <w:r>
              <w:rPr>
                <w:rFonts w:hint="eastAsia" w:ascii="仿宋" w:hAnsi="仿宋" w:eastAsia="仿宋" w:cs="仿宋"/>
                <w:color w:val="auto"/>
                <w:kern w:val="0"/>
                <w:sz w:val="18"/>
                <w:szCs w:val="18"/>
                <w:highlight w:val="none"/>
                <w:lang w:bidi="ar"/>
              </w:rPr>
              <w:t>2.参数:定制，金属格栅</w:t>
            </w:r>
            <w:r>
              <w:rPr>
                <w:rFonts w:hint="eastAsia" w:ascii="仿宋" w:hAnsi="仿宋" w:eastAsia="仿宋" w:cs="仿宋"/>
                <w:color w:val="auto"/>
                <w:kern w:val="0"/>
                <w:sz w:val="18"/>
                <w:szCs w:val="18"/>
                <w:highlight w:val="none"/>
                <w:lang w:eastAsia="zh-CN" w:bidi="ar"/>
              </w:rPr>
              <w:t>，</w:t>
            </w:r>
            <w:r>
              <w:rPr>
                <w:rFonts w:hint="eastAsia" w:ascii="仿宋" w:hAnsi="仿宋" w:eastAsia="仿宋" w:cs="仿宋"/>
                <w:color w:val="auto"/>
                <w:kern w:val="0"/>
                <w:sz w:val="18"/>
                <w:szCs w:val="18"/>
                <w:highlight w:val="none"/>
                <w:lang w:val="en-US" w:eastAsia="zh-CN" w:bidi="ar"/>
              </w:rPr>
              <w:t>约3.8米宽、4.2米高，材质等要求按照现行《监狱建筑设计标准》执行。</w:t>
            </w:r>
          </w:p>
          <w:p w14:paraId="5B9B1B0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F3D0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6C444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r>
      <w:tr w14:paraId="3B51E197">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9E1A2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B2399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614E1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1.名称:全高辊闸</w:t>
            </w:r>
          </w:p>
          <w:p w14:paraId="4A477F7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2.规格:整个产品外形板材采用304不锈钢板,管材采用202不锈钢冲压成型， 支持4种常开常闭信号控制</w:t>
            </w:r>
            <w:r>
              <w:rPr>
                <w:rFonts w:hint="eastAsia" w:ascii="仿宋" w:hAnsi="仿宋" w:eastAsia="仿宋" w:cs="仿宋"/>
                <w:color w:val="auto"/>
                <w:kern w:val="0"/>
                <w:sz w:val="18"/>
                <w:szCs w:val="18"/>
                <w:highlight w:val="none"/>
                <w:lang w:eastAsia="zh-CN" w:bidi="ar"/>
              </w:rPr>
              <w:t>，</w:t>
            </w:r>
            <w:r>
              <w:rPr>
                <w:rFonts w:hint="eastAsia" w:ascii="仿宋" w:hAnsi="仿宋" w:eastAsia="仿宋" w:cs="仿宋"/>
                <w:color w:val="auto"/>
                <w:kern w:val="0"/>
                <w:sz w:val="18"/>
                <w:szCs w:val="18"/>
                <w:highlight w:val="none"/>
                <w:lang w:val="en-US" w:eastAsia="zh-CN" w:bidi="ar"/>
              </w:rPr>
              <w:t>含配套不锈钢隔离栅栏约80米,高约4米</w:t>
            </w:r>
            <w:r>
              <w:rPr>
                <w:rFonts w:hint="eastAsia" w:ascii="仿宋" w:hAnsi="仿宋" w:eastAsia="仿宋" w:cs="仿宋"/>
                <w:color w:val="auto"/>
                <w:kern w:val="0"/>
                <w:sz w:val="18"/>
                <w:szCs w:val="18"/>
                <w:highlight w:val="none"/>
                <w:lang w:bidi="ar"/>
              </w:rPr>
              <w:t>。（双通道3套）</w:t>
            </w:r>
          </w:p>
          <w:p w14:paraId="7564818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CE04F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B54C6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r>
      <w:tr w14:paraId="75AC4AC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6649D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038DA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出入口控制设备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D9FCD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1.名称:门禁触摸控制主机</w:t>
            </w:r>
          </w:p>
          <w:p w14:paraId="50EBB6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2.规格:实现对监区为单位的监舍类型各个门禁控制器及门锁的可视化触摸管理</w:t>
            </w:r>
          </w:p>
          <w:p w14:paraId="57AEC1B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2D568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7AA3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r>
      <w:tr w14:paraId="4A9FC2A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BFC2B9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0A788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出入口执行机构设备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DFF2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1.名称:门禁锁</w:t>
            </w:r>
          </w:p>
          <w:p w14:paraId="32ECFE3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2.规格:电插锁，支持手动开锁和电动控制开锁，控制电路智能化设计，误开锁或开锁后无人进入，4秒后自动上锁</w:t>
            </w:r>
          </w:p>
          <w:p w14:paraId="6468B23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CCD3A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82E87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340</w:t>
            </w:r>
          </w:p>
        </w:tc>
      </w:tr>
      <w:tr w14:paraId="6C1619E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4970AA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FC34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出入口控制设备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23721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1.名称:开门按钮</w:t>
            </w:r>
          </w:p>
          <w:p w14:paraId="25CDE43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2.规格:86型</w:t>
            </w:r>
          </w:p>
          <w:p w14:paraId="7FBF7B1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5C53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915BA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w:t>
            </w:r>
          </w:p>
        </w:tc>
      </w:tr>
      <w:tr w14:paraId="6DE7AC7D">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DFA87D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48763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目标识别设备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95F8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1.名称:人脸识别终端</w:t>
            </w:r>
          </w:p>
          <w:p w14:paraId="5B1F42F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（人脸信息前端识别端）</w:t>
            </w:r>
          </w:p>
          <w:p w14:paraId="68CE22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2.参数:有补光策略，白天 / 黑夜都可识别，低照度下识别时彩色图像也清晰可辨，确保识别数据的有效性；验证模式：人脸识别/卡 + 人脸/编号 + 人脸/智能识别模式；与业务系统中监狱大门外来人员（车辆）应用系统深度融合。</w:t>
            </w:r>
          </w:p>
          <w:p w14:paraId="0FB0D77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28A2B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F0916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r>
      <w:tr w14:paraId="73B1E1F4">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716FE3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26E3E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目标识别设备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A644C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1.名称:人脸识别终端</w:t>
            </w:r>
          </w:p>
          <w:p w14:paraId="0F4B661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（人脸信息录入登记端）</w:t>
            </w:r>
          </w:p>
          <w:p w14:paraId="61B6BEC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2.参数：人员信息登记，人脸信息和身份证信息进行相关录入比对；能够实现与出入口综合管理软件配套。</w:t>
            </w:r>
          </w:p>
          <w:p w14:paraId="29C6D8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30AF0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A74AB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5BE83D8">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8D0B14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EB0BC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78E07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1.名称:人脸识别后台管理软件</w:t>
            </w:r>
          </w:p>
          <w:p w14:paraId="310FC28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2.参数:人脸识别终端内置软件和配套后台管理软件，通过人脸识别管理后台软件实现单保险模式人脸验证通过，双模式保险模式人脸民警卡同时验证通过。（包含配套的人脸识别算法）</w:t>
            </w:r>
          </w:p>
          <w:p w14:paraId="4535808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4670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83CB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A18FC2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F4CA1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7CC64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F2E3D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1.名称:出入口综合管理软件</w:t>
            </w:r>
          </w:p>
          <w:p w14:paraId="396726A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2.规格:实现对所有出入口的综合管理控制，包含人脸识别、AB门出入控制管理等。</w:t>
            </w:r>
          </w:p>
          <w:p w14:paraId="74FF3A4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3C095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382D9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6626F8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B8FF1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ED0D1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二代身份证读写器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1BB3E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1.名称:二代身份证读写器</w:t>
            </w:r>
          </w:p>
          <w:p w14:paraId="5DA343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2.规格:二代身份证采集器</w:t>
            </w:r>
          </w:p>
          <w:p w14:paraId="39AB285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BF4C9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0CED0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4510A07">
        <w:tblPrEx>
          <w:tblCellMar>
            <w:top w:w="0" w:type="dxa"/>
            <w:left w:w="108" w:type="dxa"/>
            <w:bottom w:w="0" w:type="dxa"/>
            <w:right w:w="108" w:type="dxa"/>
          </w:tblCellMar>
        </w:tblPrEx>
        <w:trPr>
          <w:trHeight w:val="66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8D768F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59980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ACD67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1.名称:生命探测仪</w:t>
            </w:r>
          </w:p>
          <w:p w14:paraId="570C3BF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具备入侵检测及报警功能，通过传感器对车辆据进行采集、分析，将测试结果用红灯\绿灯模式显示在显示器上。且报警音不小于110dB（A）；在每次测试后系统自动对环境进行分级，并在测试结果界面以数字或文字形式明确显示每次的环境等级信息；系统内置连接错误自检功能，如果系统出现部件连接错误，会出现提示；可对测试车辆手动记录车辆信息，如驾驶员、车牌号等，可通过接口输出报警信号。精确采集规定范围内的有效连续震动频率。信号转换功能：把模拟信号转换为数字信号。采用机械式震动传感器、工作电压：12VDC； 采集频率范围：0.5HZ～20HZ；车辆传感器须具有有线传输、无线传输，可采用有线、无线、地埋三种方式；系统同时支持有线及无线车辆传感器各1套，每次操作使用数量≤2个；19寸工业触屏，可采用嵌入式或悬挂式安装；有线数据传输部件及线缆，可自动回缩式电缆轴及滑环组件，电缆预装到卷轴；专用连接数据电缆，三芯、低电压、低衰减。生命探测仪核心部件，含“数据处理主机、振动传感器、软件”整体具有CCC国家强制性产品认证。</w:t>
            </w:r>
          </w:p>
          <w:p w14:paraId="0B16BBB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E552A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C20A6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9DBA815">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812B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5C65C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入侵探测设备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5086A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1.名称:车底扫描仪</w:t>
            </w:r>
          </w:p>
          <w:p w14:paraId="2861BB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车牌图像获取并车牌号码识别；车辆检测信号的识别，通过雷达或对射探测器或地感经IO控制器实现；通过车检感知IO信号进行抓拍并存储；进出监狱的车辆长短不一，可设置人工抓拍按键，实现多部位抓拍，每抓拍一次就生成一幅合成大图———命名为车牌号+进出日期时间；整个车辆底盘检查流程可通过地感线圈或光传感器、无线雷达、精准激光对射带声光引导系统的车检器等实现高度自动化操作。</w:t>
            </w:r>
          </w:p>
          <w:p w14:paraId="5CD90A0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1D1A8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498D4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FF2FE6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BECA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8B10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模块（接口）</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E8A69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1.名称:IO扩展模组</w:t>
            </w:r>
          </w:p>
          <w:p w14:paraId="3F98B7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2.规格:可扩展门禁控制信号，输入点16个，输出点16个，通讯接口RS485</w:t>
            </w:r>
          </w:p>
          <w:p w14:paraId="75F28E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6454E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DDE8F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r>
      <w:tr w14:paraId="5088CAF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30EF8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F0A9B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普通灯具</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BF3600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1.名称:三色门灯</w:t>
            </w:r>
          </w:p>
          <w:p w14:paraId="7AA2D0F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2.规格:门灯颜色需要和监舍门的开关状态联动，不同颜色显示监舍电动门的不同状态</w:t>
            </w:r>
          </w:p>
          <w:p w14:paraId="6A868DD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06C0B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43E84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103</w:t>
            </w:r>
          </w:p>
        </w:tc>
      </w:tr>
      <w:tr w14:paraId="7D221B4B">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F6599B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8F51C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插座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39F77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1.名称：TD插座</w:t>
            </w:r>
          </w:p>
          <w:p w14:paraId="52C1948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2.安装方式：距地1.5m</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1FED7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82F1D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09E4F640">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0B8CE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C12F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蓄电池屏（柜）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FCA6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1.名称：电池箱</w:t>
            </w:r>
          </w:p>
          <w:p w14:paraId="361026C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ADCA5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76032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r>
      <w:tr w14:paraId="49A7944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25340C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1001B6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闸门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429DB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1.名称:通道闸机</w:t>
            </w:r>
          </w:p>
          <w:p w14:paraId="0083277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2.规格:一人一档，自动闸机，支持身份证刷卡；一进一出</w:t>
            </w:r>
          </w:p>
          <w:p w14:paraId="7050077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C9035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座</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97293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31442F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09B7D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52F3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显示仪表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E582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1.名称:掌静脉仪</w:t>
            </w:r>
          </w:p>
          <w:p w14:paraId="588120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2.规格:部署一台掌静脉采集仪；一台识别仪，用户容量≥1500ID</w:t>
            </w:r>
          </w:p>
          <w:p w14:paraId="771266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539B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FCF79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2DD19D7">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4CFA30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DE745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警示柱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642F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1.名称:防撞柱</w:t>
            </w:r>
          </w:p>
          <w:p w14:paraId="0D83961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包含防撞柱控制管理终端、管理控制器及前端防撞柱（现场定制）；升降时间为1.8-6秒；当停电的时候，可通过停和降组合键对液压系统泄压，让升降柱降下；柱身顶端安装LED超高亮警示顶灯，柱身顶部四周装有反光膜。升降柱在上升、下降运行过程中及处于立柱升起状态时，顶灯有闪烁发光信号提示功能，应能够被过往车辆的驾驶员明显识别；防护等级为IP68，材质使用304不锈钢。</w:t>
            </w:r>
          </w:p>
          <w:p w14:paraId="02A0386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D879C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37D89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B7A541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98E37B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6556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电阻器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3137A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1.名称:阻车器</w:t>
            </w:r>
          </w:p>
          <w:p w14:paraId="00E4295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2.规格:1.包含阻车器控制管理终端、管理控制器等相关材料，根据现场距离定制 4-7 米（双组）；</w:t>
            </w:r>
          </w:p>
          <w:p w14:paraId="690A5F5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采用板式升降路障，内置防撞梁；迎撞面板厚度：10mm；材质：A3Q235结构钢；3.表面工艺：丙聚喷塑；防腐工艺：环氧底漆防腐；反转角度：＜70度；4.迎撞面带刺尖，刺尖直径20mm；电源：380V，高度：500mm；升降时间：上升小于4s，下降小于3s；5.压力保持功能。根据图纸及大门实际宽度配置相应数量阻车器。6.支持二次开发，与监狱出入口管理系统及门禁系统无缝对接。</w:t>
            </w:r>
          </w:p>
          <w:p w14:paraId="3FC515B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BA24E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箱</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78F58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35F7B78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32BC35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BBBE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61E29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738576C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2.规格:RVVP-6*0.75</w:t>
            </w:r>
          </w:p>
          <w:p w14:paraId="2F313A8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C024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66FB3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2247.32</w:t>
            </w:r>
          </w:p>
        </w:tc>
      </w:tr>
      <w:tr w14:paraId="399732F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6BF5EF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995B9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FA21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1.名称:管内穿线（超高）</w:t>
            </w:r>
          </w:p>
          <w:p w14:paraId="763AE70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2.规格:RVVP-6*0.75</w:t>
            </w:r>
          </w:p>
          <w:p w14:paraId="09EC244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D459B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F6E8E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13.63</w:t>
            </w:r>
          </w:p>
        </w:tc>
      </w:tr>
      <w:tr w14:paraId="0479D64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1F64ED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0E42E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13898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77B6C3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2.规格:RVVP-6*0.75</w:t>
            </w:r>
          </w:p>
          <w:p w14:paraId="09C84EE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0A749B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C6071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CBDFA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2135.39</w:t>
            </w:r>
          </w:p>
        </w:tc>
      </w:tr>
      <w:tr w14:paraId="4377FDA7">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3DC40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1C36B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9903E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1.名称:线槽配线（超高）</w:t>
            </w:r>
          </w:p>
          <w:p w14:paraId="23D389C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2.规格:RVVP-6*0.75</w:t>
            </w:r>
          </w:p>
          <w:p w14:paraId="7419159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3A0967D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8B3CA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89051B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67.22</w:t>
            </w:r>
          </w:p>
        </w:tc>
      </w:tr>
      <w:tr w14:paraId="1AC3F6AC">
        <w:tblPrEx>
          <w:tblCellMar>
            <w:top w:w="0" w:type="dxa"/>
            <w:left w:w="108" w:type="dxa"/>
            <w:bottom w:w="0" w:type="dxa"/>
            <w:right w:w="108" w:type="dxa"/>
          </w:tblCellMar>
        </w:tblPrEx>
        <w:trPr>
          <w:trHeight w:val="33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B1E3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066CD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6FD4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3708FFA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2.规格:RVVP-4*1.0</w:t>
            </w:r>
          </w:p>
          <w:p w14:paraId="4C081A8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4D6FF6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0C725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1523.21</w:t>
            </w:r>
          </w:p>
        </w:tc>
      </w:tr>
      <w:tr w14:paraId="0F9B22C8">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C3A9CE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E330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137FF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6B0672A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2.规格:RVVP-4*1.0</w:t>
            </w:r>
          </w:p>
          <w:p w14:paraId="5D900C4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10B41AC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5297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E78B0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7563.32</w:t>
            </w:r>
          </w:p>
        </w:tc>
      </w:tr>
      <w:tr w14:paraId="420384BD">
        <w:tblPrEx>
          <w:tblCellMar>
            <w:top w:w="0" w:type="dxa"/>
            <w:left w:w="108" w:type="dxa"/>
            <w:bottom w:w="0" w:type="dxa"/>
            <w:right w:w="108" w:type="dxa"/>
          </w:tblCellMar>
        </w:tblPrEx>
        <w:trPr>
          <w:trHeight w:val="78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EC09B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A15925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866B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20B2719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474F21B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332E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4D35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904.46</w:t>
            </w:r>
          </w:p>
        </w:tc>
      </w:tr>
      <w:tr w14:paraId="2586B017">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459CC9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D250B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39222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1.名称:管内穿线（超高）</w:t>
            </w:r>
          </w:p>
          <w:p w14:paraId="648FB22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442EF96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89D19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70CEC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27.25</w:t>
            </w:r>
          </w:p>
        </w:tc>
      </w:tr>
      <w:tr w14:paraId="02A88DB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37F52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263DC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C7C98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720069B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0251DD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86D2F3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B49C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3D2E6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2932.26</w:t>
            </w:r>
          </w:p>
        </w:tc>
      </w:tr>
      <w:tr w14:paraId="39E04FA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EBF13B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34EB8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DEBE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1.名称:线槽配线（超高）</w:t>
            </w:r>
          </w:p>
          <w:p w14:paraId="7CB440C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2.规格:RVV-2*1.0</w:t>
            </w:r>
          </w:p>
          <w:p w14:paraId="534F21F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C27482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995E7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2142A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134.44</w:t>
            </w:r>
          </w:p>
        </w:tc>
      </w:tr>
      <w:tr w14:paraId="31A811F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8DA8EE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ED2A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4D15D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282E83F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2.规格:RVVP-3*0.5</w:t>
            </w:r>
          </w:p>
          <w:p w14:paraId="6EF7446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B043F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FE7D7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325.87</w:t>
            </w:r>
          </w:p>
        </w:tc>
      </w:tr>
      <w:tr w14:paraId="6DD864E1">
        <w:tblPrEx>
          <w:tblCellMar>
            <w:top w:w="0" w:type="dxa"/>
            <w:left w:w="108" w:type="dxa"/>
            <w:bottom w:w="0" w:type="dxa"/>
            <w:right w:w="108" w:type="dxa"/>
          </w:tblCellMar>
        </w:tblPrEx>
        <w:trPr>
          <w:trHeight w:val="30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42A442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CCF2F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78792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3E6D616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2.规格:RVVP-3*0.5</w:t>
            </w:r>
          </w:p>
          <w:p w14:paraId="01629B6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43386FD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1EA43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2A47D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1856.31</w:t>
            </w:r>
          </w:p>
        </w:tc>
      </w:tr>
      <w:tr w14:paraId="0DB19DC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BE6F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EED82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774A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1.名称:管内穿线</w:t>
            </w:r>
          </w:p>
          <w:p w14:paraId="05F542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76FADBA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7363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A6D62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51.8</w:t>
            </w:r>
          </w:p>
        </w:tc>
      </w:tr>
      <w:tr w14:paraId="53CB465B">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DD0751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E6386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C5D21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1.名称:线槽配线</w:t>
            </w:r>
          </w:p>
          <w:p w14:paraId="1FE5191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2.规格:六类非屏蔽双绞线</w:t>
            </w:r>
          </w:p>
          <w:p w14:paraId="508DB4E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3.敷设方式:线槽内敷设</w:t>
            </w:r>
          </w:p>
          <w:p w14:paraId="6994F6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C8094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30FA1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180.38</w:t>
            </w:r>
          </w:p>
        </w:tc>
      </w:tr>
      <w:tr w14:paraId="66687B52">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CF471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08265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安全防范全系统调试</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564A2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1.名称:安全防范分系统调试</w:t>
            </w:r>
          </w:p>
          <w:p w14:paraId="0F3B5A4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EC7B5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25F7E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FAC35AE">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30E49C4">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54657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智能卡管理系统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9641C2">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888945">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B17EA1">
            <w:pPr>
              <w:jc w:val="right"/>
              <w:rPr>
                <w:rFonts w:hint="eastAsia" w:ascii="仿宋" w:hAnsi="仿宋" w:eastAsia="仿宋" w:cs="仿宋"/>
                <w:color w:val="auto"/>
                <w:sz w:val="18"/>
                <w:szCs w:val="18"/>
                <w:highlight w:val="none"/>
              </w:rPr>
            </w:pPr>
          </w:p>
        </w:tc>
      </w:tr>
      <w:tr w14:paraId="6215BBB3">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F6D6E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D5A87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综合管理平台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1217E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1.名称:综合管理平台</w:t>
            </w:r>
          </w:p>
          <w:p w14:paraId="2B33B4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2.技术参数:基本版考勤管理功能,支持开门逾时警报,消防/警报连动门区开关,电脑语音播放。门禁管理中心实时监控和电子地图功能，系统具备出现异常情况时的自适应能力，可以实现与其他平台联动集成。</w:t>
            </w:r>
          </w:p>
          <w:p w14:paraId="19358E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3.配件:含发卡器（USB通讯及供电、兼容IC/ID、CPU卡）2个、门禁卡（CPU卡，警察卡，既用于业务管理又用于干警消费，支持国密）300个、感应卡（IC/ID感应卡，犯人用卡，既用于会见登记又用于犯人监舍消费）2000张</w:t>
            </w:r>
          </w:p>
          <w:p w14:paraId="5473A68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65F0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6BD79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296BFC4C">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6CDC7C48">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7763EA95">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13、会见管理系统</w:t>
            </w:r>
          </w:p>
        </w:tc>
        <w:tc>
          <w:tcPr>
            <w:tcW w:w="1872" w:type="dxa"/>
            <w:gridSpan w:val="2"/>
            <w:tcBorders>
              <w:top w:val="nil"/>
              <w:left w:val="nil"/>
              <w:bottom w:val="nil"/>
              <w:right w:val="nil"/>
            </w:tcBorders>
            <w:shd w:val="clear" w:color="FFFFFF" w:fill="FFFFFF"/>
            <w:noWrap w:val="0"/>
            <w:vAlign w:val="bottom"/>
          </w:tcPr>
          <w:p w14:paraId="34E903AD">
            <w:pPr>
              <w:jc w:val="left"/>
              <w:rPr>
                <w:rFonts w:hint="eastAsia" w:ascii="仿宋" w:hAnsi="仿宋" w:eastAsia="仿宋" w:cs="仿宋"/>
                <w:color w:val="auto"/>
                <w:sz w:val="18"/>
                <w:szCs w:val="18"/>
                <w:highlight w:val="none"/>
              </w:rPr>
            </w:pPr>
          </w:p>
        </w:tc>
      </w:tr>
      <w:tr w14:paraId="2DE702CC">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4961E84">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C4FF8C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4589A0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5B8B46F">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BBCEA45">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75A79C3F">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712E6E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3EBEA26">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4AF7AB4">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25654C0">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2179681">
            <w:pPr>
              <w:jc w:val="center"/>
              <w:rPr>
                <w:rFonts w:hint="eastAsia" w:ascii="仿宋" w:hAnsi="仿宋" w:eastAsia="仿宋" w:cs="仿宋"/>
                <w:b/>
                <w:bCs/>
                <w:color w:val="auto"/>
                <w:sz w:val="18"/>
                <w:szCs w:val="18"/>
                <w:highlight w:val="none"/>
              </w:rPr>
            </w:pPr>
          </w:p>
        </w:tc>
      </w:tr>
      <w:tr w14:paraId="3E1AE60D">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38B9CB9">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5A80692">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59F3F5E">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DC07AD5">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E29ECF5">
            <w:pPr>
              <w:jc w:val="center"/>
              <w:rPr>
                <w:rFonts w:hint="eastAsia" w:ascii="仿宋" w:hAnsi="仿宋" w:eastAsia="仿宋" w:cs="仿宋"/>
                <w:b/>
                <w:bCs/>
                <w:color w:val="auto"/>
                <w:sz w:val="18"/>
                <w:szCs w:val="18"/>
                <w:highlight w:val="none"/>
              </w:rPr>
            </w:pPr>
          </w:p>
        </w:tc>
      </w:tr>
      <w:tr w14:paraId="13C252E5">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E385B6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FB985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会见管理系统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A1160F">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539B05">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EFAD37">
            <w:pPr>
              <w:jc w:val="right"/>
              <w:rPr>
                <w:rFonts w:hint="eastAsia" w:ascii="仿宋" w:hAnsi="仿宋" w:eastAsia="仿宋" w:cs="仿宋"/>
                <w:color w:val="auto"/>
                <w:sz w:val="18"/>
                <w:szCs w:val="18"/>
                <w:highlight w:val="none"/>
              </w:rPr>
            </w:pPr>
          </w:p>
        </w:tc>
      </w:tr>
      <w:tr w14:paraId="4AC4E4B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51246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95CDF5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插箱、机柜</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659E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1.名称:会见管理电脑</w:t>
            </w:r>
          </w:p>
          <w:p w14:paraId="11BFC5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2.规格:i5 4590/4GB/1TB/1G独显，含显示器</w:t>
            </w:r>
          </w:p>
          <w:p w14:paraId="3A643E3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78060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88D05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098CCDF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22A7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7355A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出入口目标识别设备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A14E6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1.名称:IC刷卡器</w:t>
            </w:r>
          </w:p>
          <w:p w14:paraId="0B1462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2.规格:实现对犯人卡进行读取签到</w:t>
            </w:r>
          </w:p>
          <w:p w14:paraId="27F0076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F0D49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6809C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FD03584">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D2376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A4A1D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08EA3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1.名称:排队客户端软件</w:t>
            </w:r>
          </w:p>
          <w:p w14:paraId="60276FA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送对讲器，安装于电脑(值班室)，放置在监区值班室、叫号区等地方。功能简介：号票打印：支持打印服刑人员会见票号信息。物品登记：可处理家属送钱送物记录。会见审批：支持远程提交不满足会见条件的审批。会见通知：支持通知客户端民警带犯人。同步显示：可同步显示点到叫号情况。自动叫号：可根据空闲会见窗口自动语音播报叫号。排队显示：支持大屏显示号票排队提示。人工喊话：可对等候区域进行喊话。监听插话切断：支持会会见过程监听插话切断。循环监听：支持循环监听多路会见窗口。会见查询：可查询会见管理服务器上所有会见登记数据。</w:t>
            </w:r>
          </w:p>
          <w:p w14:paraId="556C13E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BCEC0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5A973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24FB3DC">
        <w:tblPrEx>
          <w:tblCellMar>
            <w:top w:w="0" w:type="dxa"/>
            <w:left w:w="108" w:type="dxa"/>
            <w:bottom w:w="0" w:type="dxa"/>
            <w:right w:w="108" w:type="dxa"/>
          </w:tblCellMar>
        </w:tblPrEx>
        <w:trPr>
          <w:trHeight w:val="20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DDA0F9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09488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EA0E8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1.名称:家属排队登记软件</w:t>
            </w:r>
          </w:p>
          <w:p w14:paraId="79DECD9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安装于电脑(登记室)，放置在家属登记室。功能简介：会见登记：支持刷身份证读取家属身份信息（须购身份证读卡器）。人脸识别：支持人脸拍照与身份证照片比对。号票打印：支持打印家属排队等候票号信息。物品登记：支持家属送钱送物登记。会见审批：支持远程提交不满足会见条件的审批 。会见通知：支持通知客户端民警带犯人。同步显示：可同步显示点到叫号情况。自动叫号：可根据空闲会见窗口自动语音播报叫号。排队显示：支持大屏显示号票排队提示。人工喊话：可对等候区域进行喊话。监听插话切断：支持会会见过程监听插话切断。循环监听：支持循环监听多路会见窗口。会见查询：可查询会见管理服务器上所有会见登记数据。</w:t>
            </w:r>
          </w:p>
          <w:p w14:paraId="0F69021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3BF40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32CBF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589C4CF">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5BAFCC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A5542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9FC56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1.名称:人证合一查验软件</w:t>
            </w:r>
          </w:p>
          <w:p w14:paraId="4E83A3B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2.规格:验证身份证照片是否是本人；人脸识别录入身份证照片供后端比对；需配合家属排队登记软件一起使用</w:t>
            </w:r>
          </w:p>
          <w:p w14:paraId="0478B21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626FA7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2B836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6F82B98">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7BE109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D8E6E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打印机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F200B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1.名称:打印机 </w:t>
            </w:r>
          </w:p>
          <w:p w14:paraId="268ADBB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2.规格:配套家属排队登记软件和客户端软件出票使用。 声光一体化提示；特殊防尘、防油设计；80mm打印宽度。 通过电脑主机接收排队数据。 使用指定热敏纸。 同时购买打印机、体检排队对讲主机，可随机配送10卷卷纸。 打印方法：直接热敏行式打印。</w:t>
            </w:r>
          </w:p>
          <w:p w14:paraId="2BCDAD5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C5CEA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B5D23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0A464F14">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18E9DD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2E8AC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目标识别设备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7972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1.名称:集成高拍仪 </w:t>
            </w:r>
          </w:p>
          <w:p w14:paraId="537C2F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2.规格:安装在登记室与家属排队登记软件一起使用。支持多种证件的信息识别；内嵌个人身份信息识别芯片，可读取各类证件并将信息传输至电脑存档； 智能图像处理  ，证件正反面可自动合成 ；自动处理图像（调节边框、边缘修补、补光、颜色修正）；条码扫描识别 ，对准条码轻轻一扫，自动命名文件； 支持JPG/GIF/BMP/TIFF/PDF图片导出格式，可按需自由转换格式并存储；拆装方便 ，拆装便捷的结构设计，使用方便 。</w:t>
            </w:r>
          </w:p>
          <w:p w14:paraId="0B927E1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B71DA0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925B8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5D8DB21">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17213E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85078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计算机终端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F59F2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1.名称:自助登记终端 </w:t>
            </w:r>
          </w:p>
          <w:p w14:paraId="00FFC95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自助登记终端放置在登记室，供家属刷二代身份证与人脸识别自助登记；支持获取狱政系统获取家属与犯人的基本信息，进行会见前的信息核验与登记；支持人脸识别录入家属面部照片；支持自助操作会见登记；支持打印会见排队小票；支持读取身份证信息；通过自助登记与人工登记相配合，减轻民警工作量；</w:t>
            </w:r>
          </w:p>
          <w:p w14:paraId="520C2E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6806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76026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D96853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772BE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596C2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有线电视系统管理设备</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E2B7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1.名称:液晶一体机 </w:t>
            </w:r>
          </w:p>
          <w:p w14:paraId="3D9F84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2.规格:局域网传输，采用50英寸液晶显示屏，可作为等候显示屏使用。</w:t>
            </w:r>
          </w:p>
          <w:p w14:paraId="22583D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899EA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96DC7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0F58ABD">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707E17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4F774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3C5EF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1.名称:语音控制软件</w:t>
            </w:r>
          </w:p>
          <w:p w14:paraId="656D69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2.规格:局语音合成:支持中文、英文和数字的语音合成，并将页面信息、文本信息直接合成为语音信息，支持定点语音播报。远程调节:可远程调节语音播报的语速、音量。</w:t>
            </w:r>
          </w:p>
          <w:p w14:paraId="30EEEED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喊话广播:可接收来自门诊排队对讲主机的广播内容,进行实时的喊话广播。</w:t>
            </w:r>
          </w:p>
          <w:p w14:paraId="3BA3A2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AE789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E21D5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DD0C37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8BF6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56DD7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高功放分系统设备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2705F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1.名称:功放</w:t>
            </w:r>
          </w:p>
          <w:p w14:paraId="2FA59FF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2.规格:常规国产，用于家属区和罪犯区播报</w:t>
            </w:r>
          </w:p>
          <w:p w14:paraId="0AD1B0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7FC73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4755F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92723A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ACCB0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63BC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广播设备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1E0AB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1.名称:吸顶喇叭</w:t>
            </w:r>
          </w:p>
          <w:p w14:paraId="056829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2.规格:常规国产，用于家属区播报，和罪犯区播报</w:t>
            </w:r>
          </w:p>
          <w:p w14:paraId="6589FB9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3995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ADE8D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87028F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03F70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E1F4F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摄像设备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2663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1.名称:终端摄像头</w:t>
            </w:r>
          </w:p>
          <w:p w14:paraId="1CABA7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2.规格:背胶粘于会见窗口玻璃一侧，支持广角1080P高清摄像头录制，支持人脸识别拍摄。</w:t>
            </w:r>
          </w:p>
          <w:p w14:paraId="0DBF67E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47A2B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77475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42</w:t>
            </w:r>
          </w:p>
        </w:tc>
      </w:tr>
      <w:tr w14:paraId="2094BE90">
        <w:tblPrEx>
          <w:tblCellMar>
            <w:top w:w="0" w:type="dxa"/>
            <w:left w:w="108" w:type="dxa"/>
            <w:bottom w:w="0" w:type="dxa"/>
            <w:right w:w="108" w:type="dxa"/>
          </w:tblCellMar>
        </w:tblPrEx>
        <w:trPr>
          <w:trHeight w:val="18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019FA5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609A2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计算机终端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9C0B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1.名称:会见终端 </w:t>
            </w:r>
          </w:p>
          <w:p w14:paraId="35DD730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2.规格:每个会见窗口安装一台会见终端、两台终端摄像头，以及适量通话分机；</w:t>
            </w:r>
          </w:p>
          <w:p w14:paraId="434814C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会见终端采用网线连接至网络交换机；</w:t>
            </w:r>
          </w:p>
          <w:p w14:paraId="5D12799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会见终端支持标准ONVIF协议，可将会见双方的音视频传输至上网络音频录像机；</w:t>
            </w:r>
          </w:p>
          <w:p w14:paraId="692EE09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通过终端摄像头可人脸识别服刑人员身份，判断其是否是经批准的会见人员，判断符合条件后，系统才准许通话；</w:t>
            </w:r>
          </w:p>
          <w:p w14:paraId="320795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会见终端支持远程在线升级软件；可人脸识别，开启会见通道。</w:t>
            </w:r>
          </w:p>
          <w:p w14:paraId="3231D98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4D460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D6296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r>
      <w:tr w14:paraId="06498A0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FC5E2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3DB82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D10D3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1.名称:适配器</w:t>
            </w:r>
          </w:p>
          <w:p w14:paraId="5241CA0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2.规格:DC14V/1.7A电源适配器</w:t>
            </w:r>
          </w:p>
          <w:p w14:paraId="08C60C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9464F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0ED8A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r>
      <w:tr w14:paraId="698CA50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99EAB6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828B2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电话交换设备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FBE9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1.名称:通话分机</w:t>
            </w:r>
          </w:p>
          <w:p w14:paraId="2D7D52A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2.规格:通话分机采用两芯线连接至会见终端，可并接多台通话分机；                                                                                          通话分机之间全双工对讲；支持通话结束前语音提示功能。</w:t>
            </w:r>
          </w:p>
          <w:p w14:paraId="593B76E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C2F16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架</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B7BF4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84</w:t>
            </w:r>
          </w:p>
        </w:tc>
      </w:tr>
      <w:tr w14:paraId="58BE65AE">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430BD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4C340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备用电源及电池主机(柜）</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14C02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1.名称:监听主机</w:t>
            </w:r>
          </w:p>
          <w:p w14:paraId="3C82F2C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2.规格:采用触摸显示屏，内置1080P高清视频，安装在会见监听席；支持监听监视任意一路会见窗口双方的音视频画面合成；支持对任意一路会见窗口进行插话提醒与通话切断；支持免提和手柄两种工作方式；</w:t>
            </w:r>
          </w:p>
          <w:p w14:paraId="4239204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AE1E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D2FA2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3997314">
        <w:tblPrEx>
          <w:tblCellMar>
            <w:top w:w="0" w:type="dxa"/>
            <w:left w:w="108" w:type="dxa"/>
            <w:bottom w:w="0" w:type="dxa"/>
            <w:right w:w="108" w:type="dxa"/>
          </w:tblCellMar>
        </w:tblPrEx>
        <w:trPr>
          <w:trHeight w:val="101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8D3346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18D08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78EC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1.名称:会见管理软件</w:t>
            </w:r>
          </w:p>
          <w:p w14:paraId="3675D1A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2.规格:配送软件加密狗，安装于电脑(会见监控室)，放置在会见监控室。</w:t>
            </w:r>
          </w:p>
          <w:p w14:paraId="2116E24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支持对任一路会见窗口进行插话提醒和通话切断；支持双画面融合实时监听监视任一路会见窗口的通话过程；支持对每路通话分机设定通话时间；支持显示每个会见窗口的话机通话状态和终端设备在线状态，并可对会见窗口添加备注信息；支持对接排队叫系统自动分配空闲窗口（也可手动分配窗口）；支持完成多路分机同时对讲及通话录音录像；支持循环监听监视会见窗口通话过程；支持双画面融合播放会见通话录音录像文件。</w:t>
            </w:r>
          </w:p>
          <w:p w14:paraId="396A8A0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C9461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31600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73759B3">
        <w:tblPrEx>
          <w:tblCellMar>
            <w:top w:w="0" w:type="dxa"/>
            <w:left w:w="108" w:type="dxa"/>
            <w:bottom w:w="0" w:type="dxa"/>
            <w:right w:w="108" w:type="dxa"/>
          </w:tblCellMar>
        </w:tblPrEx>
        <w:trPr>
          <w:trHeight w:val="15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64BE6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CDDB3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D8049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1.名称:录音录像管理服务器软件</w:t>
            </w:r>
          </w:p>
          <w:p w14:paraId="670103D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规格:要求安装在专业硬件服务器中使用，不建议采用虚拟机方式安装，软件用于集中储存主机录音录像文件。功能简介：B/S架构：采用B/S架构，通过浏览器可远程访问服务器。通话记录：支持网页远程访问并查询通话记录。文件管理：支持对录音录像文件集中管理、统计查询。在线播放：支持网页远程在线播放录音录像文件。在线导出：支持导出通话记录功能。批量下载：支持批量导出录音录像文件功能。人员管理：支持操作人员权限管理。 </w:t>
            </w:r>
          </w:p>
          <w:p w14:paraId="5038681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3170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58CD8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B16147A">
        <w:tblPrEx>
          <w:tblCellMar>
            <w:top w:w="0" w:type="dxa"/>
            <w:left w:w="108" w:type="dxa"/>
            <w:bottom w:w="0" w:type="dxa"/>
            <w:right w:w="108" w:type="dxa"/>
          </w:tblCellMar>
        </w:tblPrEx>
        <w:trPr>
          <w:trHeight w:val="20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0824F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9F011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0D4F1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1.名称:服务器型地址盒</w:t>
            </w:r>
          </w:p>
          <w:p w14:paraId="586BDC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2.规格:设备管理：支持对网络设备的注册和管理。</w:t>
            </w:r>
          </w:p>
          <w:p w14:paraId="070BFB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音视频代理：支持音视频代理功能，实现设备在跨网段跨路由环境下可视对讲。</w:t>
            </w:r>
          </w:p>
          <w:p w14:paraId="5201E8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数据交互：支持与第三方平台对接，实现数据的交互共享。</w:t>
            </w:r>
          </w:p>
          <w:p w14:paraId="4C0ED6F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备份还原：支持本地数据库的备份和还原。</w:t>
            </w:r>
          </w:p>
          <w:p w14:paraId="4E1CF10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NTP服务：支持与NTP服务器时间同步，并提供系统时间同步服务。</w:t>
            </w:r>
          </w:p>
          <w:p w14:paraId="14AE87F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远程升级：支持远程升级软件。</w:t>
            </w:r>
          </w:p>
          <w:p w14:paraId="300338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（该设备可与对讲系统中的：服务器型地址盒共用） </w:t>
            </w:r>
          </w:p>
          <w:p w14:paraId="1CD7F2C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895A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B1409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AFC6442">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2A69D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2588C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A65A5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1.名称:硬件服务器</w:t>
            </w:r>
          </w:p>
          <w:p w14:paraId="13805B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2.规格:处理器：主频2.1GHz、12核、单CPU</w:t>
            </w:r>
          </w:p>
          <w:p w14:paraId="1F3124A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内存：16GB及以上</w:t>
            </w:r>
          </w:p>
          <w:p w14:paraId="24FC4C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硬盘：2TB以上SAS或SATA企业级硬盘 </w:t>
            </w:r>
          </w:p>
          <w:p w14:paraId="08208E8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F1BBE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90307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6670EAA0">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A3E15F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80403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会见通道配套栅栏及伸缩门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D3B84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1.名称:会见通道配套栅栏及伸缩门</w:t>
            </w:r>
          </w:p>
          <w:p w14:paraId="5E7DC8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2.规格:定制（电动伸缩通道约50m，封顶栅栏约400米）</w:t>
            </w:r>
          </w:p>
          <w:p w14:paraId="337A772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ED73BA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A9F93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DCFE3DF">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63265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C3C49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各系统联动试运行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C34B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2962C44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67C195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B2495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43A63AAB">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F0D6341">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20132717">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14、亲情电话系统</w:t>
            </w:r>
          </w:p>
        </w:tc>
        <w:tc>
          <w:tcPr>
            <w:tcW w:w="1872" w:type="dxa"/>
            <w:gridSpan w:val="2"/>
            <w:tcBorders>
              <w:top w:val="nil"/>
              <w:left w:val="nil"/>
              <w:bottom w:val="nil"/>
              <w:right w:val="nil"/>
            </w:tcBorders>
            <w:shd w:val="clear" w:color="FFFFFF" w:fill="FFFFFF"/>
            <w:noWrap w:val="0"/>
            <w:vAlign w:val="bottom"/>
          </w:tcPr>
          <w:p w14:paraId="625C61C4">
            <w:pPr>
              <w:jc w:val="left"/>
              <w:rPr>
                <w:rFonts w:hint="eastAsia" w:ascii="仿宋" w:hAnsi="仿宋" w:eastAsia="仿宋" w:cs="仿宋"/>
                <w:color w:val="auto"/>
                <w:sz w:val="18"/>
                <w:szCs w:val="18"/>
                <w:highlight w:val="none"/>
              </w:rPr>
            </w:pPr>
          </w:p>
        </w:tc>
      </w:tr>
      <w:tr w14:paraId="1E575833">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D9F9BEE">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E92BC7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FDB508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261466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A0FE6D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06AAA660">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50827C0A">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EB0BC43">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818CBD3">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4752EE7">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07CE98F">
            <w:pPr>
              <w:jc w:val="center"/>
              <w:rPr>
                <w:rFonts w:hint="eastAsia" w:ascii="仿宋" w:hAnsi="仿宋" w:eastAsia="仿宋" w:cs="仿宋"/>
                <w:b/>
                <w:bCs/>
                <w:color w:val="auto"/>
                <w:sz w:val="18"/>
                <w:szCs w:val="18"/>
                <w:highlight w:val="none"/>
              </w:rPr>
            </w:pPr>
          </w:p>
        </w:tc>
      </w:tr>
      <w:tr w14:paraId="76DC5CE0">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E5F19E7">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0F42F2A">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6A68751">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D05D818">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07AF671">
            <w:pPr>
              <w:jc w:val="center"/>
              <w:rPr>
                <w:rFonts w:hint="eastAsia" w:ascii="仿宋" w:hAnsi="仿宋" w:eastAsia="仿宋" w:cs="仿宋"/>
                <w:b/>
                <w:bCs/>
                <w:color w:val="auto"/>
                <w:sz w:val="18"/>
                <w:szCs w:val="18"/>
                <w:highlight w:val="none"/>
              </w:rPr>
            </w:pPr>
          </w:p>
        </w:tc>
      </w:tr>
      <w:tr w14:paraId="2E16E503">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8E6C111">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72A86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亲情电话系统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E5C397">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F65DFC">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FF0D56">
            <w:pPr>
              <w:jc w:val="right"/>
              <w:rPr>
                <w:rFonts w:hint="eastAsia" w:ascii="仿宋" w:hAnsi="仿宋" w:eastAsia="仿宋" w:cs="仿宋"/>
                <w:color w:val="auto"/>
                <w:sz w:val="18"/>
                <w:szCs w:val="18"/>
                <w:highlight w:val="none"/>
              </w:rPr>
            </w:pPr>
          </w:p>
        </w:tc>
      </w:tr>
      <w:tr w14:paraId="26EAA094">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5320ED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1DFD2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电话机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EA5D8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1.名称:犯人感应卡话机</w:t>
            </w:r>
          </w:p>
          <w:p w14:paraId="5381F0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2.规格:犯人端,高保真,静音,铃声大小调节功能,音频拨号功能重拨、支持CPU射频卡刷卡打电话</w:t>
            </w:r>
          </w:p>
          <w:p w14:paraId="7D183A4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95F345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64F096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r>
      <w:tr w14:paraId="1E4651E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3AD9F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FBEAA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入侵报警控制器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B691F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1.名称:干警专用监听话机</w:t>
            </w:r>
          </w:p>
          <w:p w14:paraId="71076F1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2.规格:干警端,高保真、支持监听、控制，适合一对一监听。</w:t>
            </w:r>
          </w:p>
          <w:p w14:paraId="52563FA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1DFB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2141C2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r>
      <w:tr w14:paraId="551427A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3C202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C928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2F38B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1.名称:软交换内线语音网关</w:t>
            </w:r>
          </w:p>
          <w:p w14:paraId="042B2E4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2.规格:10路内线,含电源</w:t>
            </w:r>
          </w:p>
          <w:p w14:paraId="379F387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C5738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F5A6B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5C87F3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FF94B4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44B8B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路由器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65AD5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1.名称:软交换外线适配器</w:t>
            </w:r>
          </w:p>
          <w:p w14:paraId="7DC3EC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2.规格:支持最多16路外线接入</w:t>
            </w:r>
          </w:p>
          <w:p w14:paraId="3F07CBA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B4E38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D3BFA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64BED9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B36685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266D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显示设备</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C268E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1.名称:显示器</w:t>
            </w:r>
          </w:p>
          <w:p w14:paraId="681E067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2.规格:21寸，与服务器配套</w:t>
            </w:r>
          </w:p>
          <w:p w14:paraId="4E3C73C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90307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DA134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3BAA4EB8">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3DCC8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F8D27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综合管理平台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47825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1.名称:智能亲情电话管理系统</w:t>
            </w:r>
          </w:p>
          <w:p w14:paraId="22207D1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技术参数:软交换亲情电话软件支持SIP协议软交换,连接控制、网关管理、呼叫控制、信令、数据处理，安全性和呼叫详细记录。具有呼叫控制同步录音、全程监控，提供电脑、电话监控两种方式，号码审核登记，发卡管理，在线监听、录音、插话、拆线，重犯提醒，通话权限管理，录音查询，统计报表等功能。</w:t>
            </w:r>
          </w:p>
          <w:p w14:paraId="5A4830F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915F6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D25D7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CCF825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AF92B6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DFEF74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网络服务器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AA2AD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1.名称:亲情电话服务器</w:t>
            </w:r>
          </w:p>
          <w:p w14:paraId="08E68FE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2.规格:Xeon E5-2609v4（10核）/16GB DDR4/4*2TB 3.5  SATA/R110i板载Raid 5/450W金牌单电源/DVD/双口千兆/导轨 </w:t>
            </w:r>
          </w:p>
          <w:p w14:paraId="15BD238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DA00A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A6145F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FF9E986">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D4D54F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C7B7F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系统软件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1BC2E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1.名称:IPPBX</w:t>
            </w:r>
          </w:p>
          <w:p w14:paraId="6EF7235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2.规格:用于安装软交换平台，Linux操作系统，注册授权。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BBE6C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95542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68D87B0">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E6A47E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5B8E1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各系统联动试运行</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467F8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1.名称:系统调试</w:t>
            </w:r>
          </w:p>
          <w:p w14:paraId="385678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283D0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93831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097DA20B">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09357CB5">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1273E425">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15、指挥中心</w:t>
            </w:r>
          </w:p>
        </w:tc>
        <w:tc>
          <w:tcPr>
            <w:tcW w:w="1872" w:type="dxa"/>
            <w:gridSpan w:val="2"/>
            <w:tcBorders>
              <w:top w:val="nil"/>
              <w:left w:val="nil"/>
              <w:bottom w:val="nil"/>
              <w:right w:val="nil"/>
            </w:tcBorders>
            <w:shd w:val="clear" w:color="FFFFFF" w:fill="FFFFFF"/>
            <w:noWrap w:val="0"/>
            <w:vAlign w:val="bottom"/>
          </w:tcPr>
          <w:p w14:paraId="2D395818">
            <w:pPr>
              <w:jc w:val="left"/>
              <w:rPr>
                <w:rFonts w:hint="eastAsia" w:ascii="仿宋" w:hAnsi="仿宋" w:eastAsia="仿宋" w:cs="仿宋"/>
                <w:color w:val="auto"/>
                <w:sz w:val="18"/>
                <w:szCs w:val="18"/>
                <w:highlight w:val="none"/>
              </w:rPr>
            </w:pPr>
          </w:p>
        </w:tc>
      </w:tr>
      <w:tr w14:paraId="6C77790D">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546B2B1">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C139952">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05D5A5D">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A6DC37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5084D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234B9493">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4C888D8">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76EE853">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C437DF6">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249B154">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4A50E42">
            <w:pPr>
              <w:jc w:val="center"/>
              <w:rPr>
                <w:rFonts w:hint="eastAsia" w:ascii="仿宋" w:hAnsi="仿宋" w:eastAsia="仿宋" w:cs="仿宋"/>
                <w:b/>
                <w:bCs/>
                <w:color w:val="auto"/>
                <w:sz w:val="18"/>
                <w:szCs w:val="18"/>
                <w:highlight w:val="none"/>
              </w:rPr>
            </w:pPr>
          </w:p>
        </w:tc>
      </w:tr>
      <w:tr w14:paraId="23D09103">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20D85813">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329FDB8">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11F0D15">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1A4BA06">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B19D503">
            <w:pPr>
              <w:jc w:val="center"/>
              <w:rPr>
                <w:rFonts w:hint="eastAsia" w:ascii="仿宋" w:hAnsi="仿宋" w:eastAsia="仿宋" w:cs="仿宋"/>
                <w:b/>
                <w:bCs/>
                <w:color w:val="auto"/>
                <w:sz w:val="18"/>
                <w:szCs w:val="18"/>
                <w:highlight w:val="none"/>
              </w:rPr>
            </w:pPr>
          </w:p>
        </w:tc>
      </w:tr>
      <w:tr w14:paraId="342E77EB">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473705">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6AF06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指挥中心</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7D542D">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256835B">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D26392">
            <w:pPr>
              <w:jc w:val="right"/>
              <w:rPr>
                <w:rFonts w:hint="eastAsia" w:ascii="仿宋" w:hAnsi="仿宋" w:eastAsia="仿宋" w:cs="仿宋"/>
                <w:color w:val="auto"/>
                <w:sz w:val="18"/>
                <w:szCs w:val="18"/>
                <w:highlight w:val="none"/>
              </w:rPr>
            </w:pPr>
          </w:p>
        </w:tc>
      </w:tr>
      <w:tr w14:paraId="26848FDF">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FD1FF6">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67C5E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综合布线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EC849D">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48794A">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6EBC63">
            <w:pPr>
              <w:jc w:val="right"/>
              <w:rPr>
                <w:rFonts w:hint="eastAsia" w:ascii="仿宋" w:hAnsi="仿宋" w:eastAsia="仿宋" w:cs="仿宋"/>
                <w:color w:val="auto"/>
                <w:sz w:val="18"/>
                <w:szCs w:val="18"/>
                <w:highlight w:val="none"/>
              </w:rPr>
            </w:pPr>
          </w:p>
        </w:tc>
      </w:tr>
      <w:tr w14:paraId="5C37DE6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5257F0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A2BC4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1097A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1.名称:铜缆</w:t>
            </w:r>
          </w:p>
          <w:p w14:paraId="6BB9C14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2.规格:6类/非屏蔽</w:t>
            </w:r>
          </w:p>
          <w:p w14:paraId="7A7BA99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5B4EB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4DC77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600</w:t>
            </w:r>
          </w:p>
        </w:tc>
      </w:tr>
      <w:tr w14:paraId="7B80BD8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A416E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78F43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光缆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75B2B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1.名称:光缆</w:t>
            </w:r>
          </w:p>
          <w:p w14:paraId="4237E69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2.规格:24芯/室内OM3</w:t>
            </w:r>
          </w:p>
          <w:p w14:paraId="4DB3D1A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F3D5D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E0D66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r>
      <w:tr w14:paraId="1FA20C9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9ED77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ACF068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配线架</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F3CF6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1.名称:铜缆配线架</w:t>
            </w:r>
          </w:p>
          <w:p w14:paraId="26D66E9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2.规格:48口/6类，含模块</w:t>
            </w:r>
          </w:p>
          <w:p w14:paraId="751EA4E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31079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24E08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r>
      <w:tr w14:paraId="306076D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3ED73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EB10B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信息插座</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31D3C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1.名称:双孔信息插座</w:t>
            </w:r>
          </w:p>
          <w:p w14:paraId="6390B0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2.类别:6类，含模块、面板</w:t>
            </w:r>
          </w:p>
          <w:p w14:paraId="1DF7DDA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38346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8DD195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r>
      <w:tr w14:paraId="112D3E3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0B7C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40A1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线管及其它</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DA725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1.线管及其它</w:t>
            </w:r>
          </w:p>
          <w:p w14:paraId="4CACB56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2.国标</w:t>
            </w:r>
          </w:p>
          <w:p w14:paraId="2F5D2D9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CDA9CB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FB0D2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2D4DF417">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8C2D1CA">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8AC15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大屏显示系统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4B514F">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608AE8E">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370BF5F">
            <w:pPr>
              <w:jc w:val="right"/>
              <w:rPr>
                <w:rFonts w:hint="eastAsia" w:ascii="仿宋" w:hAnsi="仿宋" w:eastAsia="仿宋" w:cs="仿宋"/>
                <w:color w:val="auto"/>
                <w:sz w:val="18"/>
                <w:szCs w:val="18"/>
                <w:highlight w:val="none"/>
              </w:rPr>
            </w:pPr>
          </w:p>
        </w:tc>
      </w:tr>
      <w:tr w14:paraId="01244D9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51119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2EF6F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7089E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1.名称:7位控制台</w:t>
            </w:r>
          </w:p>
          <w:p w14:paraId="61A3B79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2.规格:800*11000mm</w:t>
            </w:r>
          </w:p>
          <w:p w14:paraId="3284C51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6A209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76D5E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410759AC">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A84C32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15360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BAAB0E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1.名称:12位指挥台</w:t>
            </w:r>
          </w:p>
          <w:p w14:paraId="0BE3480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2.规格:1200*11000mm</w:t>
            </w:r>
          </w:p>
          <w:p w14:paraId="6934446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FE02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4DDB07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5411B0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77199C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65DF7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7位、12位控制台座椅</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C31AB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1.7位、12位控制台座椅</w:t>
            </w:r>
          </w:p>
          <w:p w14:paraId="09D295B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2.定制</w:t>
            </w:r>
          </w:p>
          <w:p w14:paraId="5B492CE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4DD33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把</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3D4FF6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w:t>
            </w:r>
          </w:p>
        </w:tc>
      </w:tr>
      <w:tr w14:paraId="2684C453">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27EC0F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DB733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服务器显示设备</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87972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1.名称:液晶拼接单元</w:t>
            </w:r>
          </w:p>
          <w:p w14:paraId="20ABAE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40块大屏拼接，1、LCD显示单元为：55“超窄边液晶屏；2、物理分辨率达到1920×1080，物理拼缝≤1.0mm，响应时间≤8ms；3、亮度700cd/㎡；4、输入接口：VGA(D-Sub)*1、CVBS(BNC)*2、DVI-D*1、HDMI*1、RS232(RJ45)*1、USB（升级和多媒体）*1；5、输出接口：CVBS(BNC)*2、RS232(RJ45)*1；</w:t>
            </w:r>
          </w:p>
          <w:p w14:paraId="396467B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5E5F1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BBB5FD">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w:t>
            </w:r>
          </w:p>
        </w:tc>
      </w:tr>
      <w:tr w14:paraId="03E2B3C2">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9CF0A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7283B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服务器显示设备</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37FCF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1.名称:双基色LED屏</w:t>
            </w:r>
          </w:p>
          <w:p w14:paraId="43D073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2.规格:密度2.0</w:t>
            </w:r>
          </w:p>
          <w:p w14:paraId="1B5C205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CC655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F8C20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11.5</w:t>
            </w:r>
          </w:p>
        </w:tc>
      </w:tr>
      <w:tr w14:paraId="01CE7253">
        <w:tblPrEx>
          <w:tblCellMar>
            <w:top w:w="0" w:type="dxa"/>
            <w:left w:w="108" w:type="dxa"/>
            <w:bottom w:w="0" w:type="dxa"/>
            <w:right w:w="108" w:type="dxa"/>
          </w:tblCellMar>
        </w:tblPrEx>
        <w:trPr>
          <w:trHeight w:val="13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4AA13C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D0DA7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D55B4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1.名称:拼接解码控制器</w:t>
            </w:r>
          </w:p>
          <w:p w14:paraId="6B62F35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1、配置4路DVI信号输入、4路HDMI信号输入，配置48路高清信号输出；2、具备配套解码功能，支持112路720p/56路1080p高清视频的解码；3、平均故障时间间隔（MTBF）不小于96000小时；4、可根据实际需要扩容解码板卡及输入输出板卡等5、支持 RS232串口和网络TCP/IP控制，开放控制协议，可与任何系统集成；6、支持对灯光窗帘等配套控制。（包含显示单元专用管理控制软件）</w:t>
            </w:r>
          </w:p>
          <w:p w14:paraId="3881032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705EC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116ECE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0C6B5D0">
        <w:tblPrEx>
          <w:tblCellMar>
            <w:top w:w="0" w:type="dxa"/>
            <w:left w:w="108" w:type="dxa"/>
            <w:bottom w:w="0" w:type="dxa"/>
            <w:right w:w="108" w:type="dxa"/>
          </w:tblCellMar>
        </w:tblPrEx>
        <w:trPr>
          <w:trHeight w:val="33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B80F8F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3E8F3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终端主机</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2A43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1.名称:终端主机</w:t>
            </w:r>
          </w:p>
          <w:p w14:paraId="533B096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（图像调度/系统运维/</w:t>
            </w:r>
          </w:p>
          <w:p w14:paraId="093B8C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2.参数:工业级设计，一机双屏输出、CPUi7 9700，内存≥8GB，19"液晶显示屏,配置独立显卡</w:t>
            </w:r>
          </w:p>
          <w:p w14:paraId="2EC2360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19632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CBF8A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r>
      <w:tr w14:paraId="31E2FE3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60AE13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827326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系统线缆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E495E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1.系统线缆</w:t>
            </w:r>
          </w:p>
          <w:p w14:paraId="14494AE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2.国标</w:t>
            </w:r>
          </w:p>
          <w:p w14:paraId="0000BC3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6912D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7C804EA">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5AAA848">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BB58738">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69AE5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装修系统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09278E">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B4D4A5">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7D4765">
            <w:pPr>
              <w:jc w:val="right"/>
              <w:rPr>
                <w:rFonts w:hint="eastAsia" w:ascii="仿宋" w:hAnsi="仿宋" w:eastAsia="仿宋" w:cs="仿宋"/>
                <w:color w:val="auto"/>
                <w:sz w:val="18"/>
                <w:szCs w:val="18"/>
                <w:highlight w:val="none"/>
              </w:rPr>
            </w:pPr>
          </w:p>
        </w:tc>
      </w:tr>
      <w:tr w14:paraId="42506B8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C57B90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D9ED7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防静电活动地板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C0C80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1.名称:硫酸钙无边框抗静电地板</w:t>
            </w:r>
          </w:p>
          <w:p w14:paraId="7AD1394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2.规格:仿瓷贴面，800*800*mm，含支架</w:t>
            </w:r>
          </w:p>
          <w:p w14:paraId="7CFA93E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8BC566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E99C4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260</w:t>
            </w:r>
          </w:p>
        </w:tc>
      </w:tr>
      <w:tr w14:paraId="21959D5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62C0AB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1A8D8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喷刷涂料</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56E17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1.基层类型:地板下防尘漆</w:t>
            </w:r>
          </w:p>
          <w:p w14:paraId="75F1A2B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2.涂料品种、喷刷遍数:3遍</w:t>
            </w:r>
          </w:p>
          <w:p w14:paraId="29BBC53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ECCD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63B86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780</w:t>
            </w:r>
          </w:p>
        </w:tc>
      </w:tr>
      <w:tr w14:paraId="6D73243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2E4743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8C5E7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墙面装饰板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A631CC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1.名称:墙面防火高档吸音板</w:t>
            </w:r>
          </w:p>
          <w:p w14:paraId="6129453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2.隔离层材料种类、规格:装饰板墙面 木龙骨基层 刷防火涂料三遍   50mm厚防火吸音垫层  一级防火枫木色生态木吸音板面层(面层材料品质：高档 环保E1级)</w:t>
            </w:r>
          </w:p>
          <w:p w14:paraId="6AF01EE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3.压条材料种类、规格:未尽事宜参见施工图说明及相关规范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74D86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E1B2F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224</w:t>
            </w:r>
          </w:p>
        </w:tc>
      </w:tr>
      <w:tr w14:paraId="57B7751D">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B769BD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3EADD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吊顶天棚</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C5F97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1.吊顶形式、吊杆规格、高度:微孔铝合金</w:t>
            </w:r>
          </w:p>
          <w:p w14:paraId="56F3614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2.龙骨材料种类、规格、中距:天棚U型轻钢龙骨架(不上人) 面层规格(1300×800mm)以内 平面 轻钢龙骨  大龙骨规格：38*12*1.0</w:t>
            </w:r>
          </w:p>
          <w:p w14:paraId="24BCDD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天棚面层 微孔铝单板（1300×800mm面层材料品质：中高档） 白色氟碳漆涂层</w:t>
            </w:r>
          </w:p>
          <w:p w14:paraId="1754996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7EDCFD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72EE3D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140</w:t>
            </w:r>
          </w:p>
        </w:tc>
      </w:tr>
      <w:tr w14:paraId="11FA1C68">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8CC6B7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7740D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吊顶天棚</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472A4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1.吊顶形式、吊杆规格、高度:石膏板吊顶天棚</w:t>
            </w:r>
          </w:p>
          <w:p w14:paraId="14914C0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2.龙骨材料种类、规格、中距:天棚面层 石膏板（石膏板品质：不低于国内一线品牌）防火等级：B1级  螺接U型轻钢龙骨：大龙骨规格：38*12*1.0</w:t>
            </w:r>
          </w:p>
          <w:p w14:paraId="4CB098D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天棚U型轻钢龙骨架(不上人) </w:t>
            </w:r>
          </w:p>
          <w:p w14:paraId="0C49319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B93FA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52AECC">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120</w:t>
            </w:r>
          </w:p>
        </w:tc>
      </w:tr>
      <w:tr w14:paraId="1D18CF8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F2DCC6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D2F8E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吊顶天棚</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63FDFE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1.名称:防火软膜天花吊顶天棚</w:t>
            </w:r>
          </w:p>
          <w:p w14:paraId="46A482C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2.种类、规格:天棚面层 木芯板基层，uv高清材质A级防火软膜天花板（品质高档  ） 贴在基面板上</w:t>
            </w:r>
          </w:p>
          <w:p w14:paraId="44E508E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E6A1B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92D4D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50</w:t>
            </w:r>
          </w:p>
        </w:tc>
      </w:tr>
      <w:tr w14:paraId="335293B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A05B2A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52632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灯带（槽）</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5B0CC0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1.名称:灯带（槽）</w:t>
            </w:r>
          </w:p>
          <w:p w14:paraId="430B7B0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2.参数:灯带槽</w:t>
            </w:r>
          </w:p>
          <w:p w14:paraId="2D3A67A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845CC3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C0B99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150</w:t>
            </w:r>
          </w:p>
        </w:tc>
      </w:tr>
      <w:tr w14:paraId="06483CA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6DB555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5A0C4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暗门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BE19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1.名称:暗门</w:t>
            </w:r>
          </w:p>
          <w:p w14:paraId="22A4A40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2.规格型号 :1m*2.1m面层为枫木色生态木吸音板</w:t>
            </w:r>
          </w:p>
          <w:p w14:paraId="2E206F6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82D50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16213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4.2</w:t>
            </w:r>
          </w:p>
        </w:tc>
      </w:tr>
      <w:tr w14:paraId="47CC0210">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ADE39A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398B4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大屏钢架面层</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83F5E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1.大屏钢架面层</w:t>
            </w:r>
          </w:p>
          <w:p w14:paraId="478B9B3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2.装饰板墙面 木龙骨基层 刷防火涂料三遍   50mm厚防火吸音垫层  一级防火枫木色生态木吸音板面层(面层材料品质：高档 环保E1级)</w:t>
            </w:r>
          </w:p>
          <w:p w14:paraId="39CD3F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C6A4DD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m2</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0E5F0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100</w:t>
            </w:r>
          </w:p>
        </w:tc>
      </w:tr>
      <w:tr w14:paraId="4ABC696A">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8E97D31">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8BB47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电气系统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D67EB1">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B02793">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5F1240">
            <w:pPr>
              <w:jc w:val="right"/>
              <w:rPr>
                <w:rFonts w:hint="eastAsia" w:ascii="仿宋" w:hAnsi="仿宋" w:eastAsia="仿宋" w:cs="仿宋"/>
                <w:color w:val="auto"/>
                <w:sz w:val="18"/>
                <w:szCs w:val="18"/>
                <w:highlight w:val="none"/>
              </w:rPr>
            </w:pPr>
          </w:p>
        </w:tc>
      </w:tr>
      <w:tr w14:paraId="4DDFE05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84B9EC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D5A5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配电箱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17B4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1.名称:配电箱</w:t>
            </w:r>
          </w:p>
          <w:p w14:paraId="4DA879A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2.规格:配套</w:t>
            </w:r>
          </w:p>
          <w:p w14:paraId="470D280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59EAA6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A0121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772F74E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ADADCC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F877D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9A5D99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1.名称:暗装单极开关</w:t>
            </w:r>
          </w:p>
          <w:p w14:paraId="3A6C581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2.规格:250V 10A</w:t>
            </w:r>
          </w:p>
          <w:p w14:paraId="323A31C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B855FC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D61469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059DC02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2D67EE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113177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8AF828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1.名称:暗装二极开关</w:t>
            </w:r>
          </w:p>
          <w:p w14:paraId="0AED243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2.规格:250V 10A</w:t>
            </w:r>
          </w:p>
          <w:p w14:paraId="6B7760A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AD0EA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5650AA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71E24386">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444292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2E8A7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小电器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00BCDB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1.名称:电源插座</w:t>
            </w:r>
          </w:p>
          <w:p w14:paraId="6703D55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2.型号:五孔</w:t>
            </w:r>
          </w:p>
          <w:p w14:paraId="2C2C1A0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EC0066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0A477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r>
      <w:tr w14:paraId="14489CC5">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505D54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7053F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DDE7C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1.名称:阻燃聚氯乙烯绝缘铜芯线 </w:t>
            </w:r>
          </w:p>
          <w:p w14:paraId="7F97381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2.规格:ZR-BV-2.5</w:t>
            </w:r>
          </w:p>
          <w:p w14:paraId="47C9F50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FFC99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61EEB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2640</w:t>
            </w:r>
          </w:p>
        </w:tc>
      </w:tr>
      <w:tr w14:paraId="23386E5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7BEE48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B452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7941E5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 xml:space="preserve">1.名称:阻燃聚氯乙烯绝缘铜芯线 </w:t>
            </w:r>
          </w:p>
          <w:p w14:paraId="4E94FCF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2.规格:ZR-BV-2.5</w:t>
            </w:r>
          </w:p>
          <w:p w14:paraId="1FAFDFA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7A0AF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D730E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2700</w:t>
            </w:r>
          </w:p>
        </w:tc>
      </w:tr>
      <w:tr w14:paraId="341F0A4E">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52FBB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71201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电力电缆</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63556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1.名称:阻燃电力电缆</w:t>
            </w:r>
          </w:p>
          <w:p w14:paraId="62FF8C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2.规格:ZR-YJV-5X10</w:t>
            </w:r>
          </w:p>
          <w:p w14:paraId="62B7E5C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81E76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9BF51D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180</w:t>
            </w:r>
          </w:p>
        </w:tc>
      </w:tr>
      <w:tr w14:paraId="6FD79932">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B87C34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59B5A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68DAC1">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1.名称:JDG钢管</w:t>
            </w:r>
          </w:p>
          <w:p w14:paraId="38C70D0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2.规格:φ20mm</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53DBA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1916C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800</w:t>
            </w:r>
          </w:p>
        </w:tc>
      </w:tr>
      <w:tr w14:paraId="1EBA2622">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882D11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F30873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配管</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F754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1.名称:JDG钢管</w:t>
            </w:r>
          </w:p>
          <w:p w14:paraId="069C849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2.规格:φ25mm</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A17D5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6B62C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600</w:t>
            </w:r>
          </w:p>
        </w:tc>
      </w:tr>
      <w:tr w14:paraId="22CD19F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0F8628C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422A0E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槽形母线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43C13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1.名称:紫铜排</w:t>
            </w:r>
          </w:p>
          <w:p w14:paraId="41973DC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2.规格:20mm*3mm</w:t>
            </w:r>
          </w:p>
          <w:p w14:paraId="655F9476">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53B56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DAF91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35</w:t>
            </w:r>
          </w:p>
        </w:tc>
      </w:tr>
      <w:tr w14:paraId="52C7390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B9C9E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B2DDE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槽形母线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1830DB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1.名称:紫铜排</w:t>
            </w:r>
          </w:p>
          <w:p w14:paraId="1C0FD48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2.规格:15mm*3mm</w:t>
            </w:r>
          </w:p>
          <w:p w14:paraId="799003D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F13B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m</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7DB5A3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w:t>
            </w:r>
          </w:p>
        </w:tc>
      </w:tr>
      <w:tr w14:paraId="2BE4066A">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DBC56D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DB81A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等电位端子箱、测试板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A204B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1.名称:等电位接地体</w:t>
            </w:r>
          </w:p>
          <w:p w14:paraId="0CC3C23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2.材质:接地电阻值低，耐腐蚀性、抗老化性</w:t>
            </w:r>
          </w:p>
          <w:p w14:paraId="5192B44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16432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0532D8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8FE545B">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074654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08BAA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装饰灯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6BB9A7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1.名称:疏散安全指示灯</w:t>
            </w:r>
          </w:p>
          <w:p w14:paraId="23CF541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2.参数:LED超亮半导体发光管，应急功率不大于3W</w:t>
            </w:r>
          </w:p>
          <w:p w14:paraId="47BEE8B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AA78A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B3F51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r>
      <w:tr w14:paraId="65D7072C">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A58D60B">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B61F4C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FD7395">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41E4B3">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DEF2DA">
            <w:pPr>
              <w:jc w:val="right"/>
              <w:rPr>
                <w:rFonts w:hint="eastAsia" w:ascii="仿宋" w:hAnsi="仿宋" w:eastAsia="仿宋" w:cs="仿宋"/>
                <w:color w:val="auto"/>
                <w:sz w:val="18"/>
                <w:szCs w:val="18"/>
                <w:highlight w:val="none"/>
              </w:rPr>
            </w:pPr>
          </w:p>
        </w:tc>
      </w:tr>
      <w:tr w14:paraId="2D428623">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2807CB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DC51E0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空调器</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2502E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1.名称:多联机室内机</w:t>
            </w:r>
          </w:p>
          <w:p w14:paraId="35412AE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2.参数:制冷量9.0kW ，制热量10.0kW ， 额定功率：0.231kW，静压：50Pa,220V/50Hz</w:t>
            </w:r>
          </w:p>
          <w:p w14:paraId="430172D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DA5211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C08DFB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r>
      <w:tr w14:paraId="10D96C7A">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DCEA6B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0316EA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空调器</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45CB42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1.名称:多联机室外机</w:t>
            </w:r>
          </w:p>
          <w:p w14:paraId="052BEE2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2.参数:制冷量56kw ,制热量63kW,制冷功率：15.76kW，制热功率：15.42kW,风量17000m3/h，电源：3/380V/50Hz</w:t>
            </w:r>
          </w:p>
          <w:p w14:paraId="2EE9646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CED0CF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DBED0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12B5E96">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AD7DDC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E6C27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风口及各种阀</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F6DCF4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1.空调系统配套各种风口、阀门等</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CA4DD5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76184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55977438">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3A40B7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2224B7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冷凝水管、加湿管、配套管线</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48447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1.冷凝水管、加湿管、配套管线</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A838D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73661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0C1A7426">
        <w:tblPrEx>
          <w:tblCellMar>
            <w:top w:w="0" w:type="dxa"/>
            <w:left w:w="108" w:type="dxa"/>
            <w:bottom w:w="0" w:type="dxa"/>
            <w:right w:w="108" w:type="dxa"/>
          </w:tblCellMar>
        </w:tblPrEx>
        <w:trPr>
          <w:trHeight w:val="45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9ABDAE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25F86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联勤值班室及分控中心</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8F3727">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07C231A">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B26B4C">
            <w:pPr>
              <w:jc w:val="right"/>
              <w:rPr>
                <w:rFonts w:hint="eastAsia" w:ascii="仿宋" w:hAnsi="仿宋" w:eastAsia="仿宋" w:cs="仿宋"/>
                <w:color w:val="auto"/>
                <w:sz w:val="18"/>
                <w:szCs w:val="18"/>
                <w:highlight w:val="none"/>
              </w:rPr>
            </w:pPr>
          </w:p>
        </w:tc>
      </w:tr>
      <w:tr w14:paraId="740AFC30">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A99180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EB423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显示设备</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35DF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1.名称:液晶监视显示屏（小岗监控屏）</w:t>
            </w:r>
          </w:p>
          <w:p w14:paraId="69D4EE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2.参数:24”液晶显示屏，输入接口：VGA、DVI、HDMI、BNC</w:t>
            </w:r>
          </w:p>
          <w:p w14:paraId="3A9BDA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1CE07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FEA2C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r>
      <w:tr w14:paraId="61475E8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0A0C9F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43A514">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9E5B8B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1.名称:解码器</w:t>
            </w:r>
          </w:p>
          <w:p w14:paraId="5BF88575">
            <w:pPr>
              <w:widowControl/>
              <w:jc w:val="left"/>
              <w:textAlignment w:val="center"/>
              <w:rPr>
                <w:rFonts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2.参数:MPEG4/H.264/H.265/MJPEG标准网络视频流解码，最大支持≥8个1080P@30fps图像解码输出；100M/1000M自适应以太网接口；输出画面分割数能够支持1/4/6/8/16；输出HDMI接口≥1</w:t>
            </w:r>
          </w:p>
          <w:p w14:paraId="3058BB1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FF96D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B27A2B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r>
      <w:tr w14:paraId="61030395">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0373AB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C17337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服务器显示设备</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E6B22C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1.名称:液晶拼接单元</w:t>
            </w:r>
          </w:p>
          <w:p w14:paraId="68D46C9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2.规格:LCD显示单元为：55“超窄边液晶屏；物理分辨率达到1920×1080，物理拼缝≤1.8mm，响应时间≤8ms，亮度700cd/㎡</w:t>
            </w:r>
          </w:p>
          <w:p w14:paraId="3917E9B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E6C122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DD4AC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w:t>
            </w:r>
          </w:p>
        </w:tc>
      </w:tr>
      <w:tr w14:paraId="168A73E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D6B236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C66062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电视墙</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85CD6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1.名称:电视墙</w:t>
            </w:r>
          </w:p>
          <w:p w14:paraId="4E27A11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2.参数:2*2  55``拼接框架</w:t>
            </w:r>
          </w:p>
          <w:p w14:paraId="163F33D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CF149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2560BF6">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114A0327">
        <w:tblPrEx>
          <w:tblCellMar>
            <w:top w:w="0" w:type="dxa"/>
            <w:left w:w="108" w:type="dxa"/>
            <w:bottom w:w="0" w:type="dxa"/>
            <w:right w:w="108" w:type="dxa"/>
          </w:tblCellMar>
        </w:tblPrEx>
        <w:trPr>
          <w:trHeight w:val="112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5C9A0C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DA65A0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控制器</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DC4B4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1.名称:解码拼接控制器</w:t>
            </w:r>
          </w:p>
          <w:p w14:paraId="1A8EBA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2.参数:MPEG4/H.264/H.265/MJPEG标准网络视频流解码，最大支持≥16个1080P@30fps图像解码输出；100M/1000M自适应以太网接口；输出画面分割数能够支持1/4/6/8/9/16；输出HDMI接口≥4，输入HDMI接口≥2</w:t>
            </w:r>
          </w:p>
          <w:p w14:paraId="253E10F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ED295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D78A65">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5FC41B91">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959EEC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6</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7E8FB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机柜</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A2956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1.名称:二级管理主机</w:t>
            </w:r>
          </w:p>
          <w:p w14:paraId="43CCEC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2.参数:工业级设计，一机双屏输出、CPUi7 9700，内存≥8GB，19"液晶显示屏</w:t>
            </w:r>
          </w:p>
          <w:p w14:paraId="7433911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F386FF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5564D3">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w:t>
            </w:r>
          </w:p>
        </w:tc>
      </w:tr>
      <w:tr w14:paraId="007C59C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72B2B1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3742BE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机柜</w:t>
            </w:r>
            <w:r>
              <w:rPr>
                <w:rFonts w:hint="eastAsia"/>
                <w:color w:val="auto"/>
                <w:sz w:val="24"/>
                <w:szCs w:val="24"/>
                <w:highlight w:val="none"/>
                <w:lang w:val="en-US" w:eastAsia="zh-CN"/>
              </w:rPr>
              <w:t xml:space="preserve"> </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4D13A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1.名称:二级管理主机</w:t>
            </w:r>
          </w:p>
          <w:p w14:paraId="27E7EBA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2.参数:工业级设计，一机双屏输出、i5 4590/4GB/1TB/1G独显，19"液晶显示屏</w:t>
            </w:r>
          </w:p>
          <w:p w14:paraId="795FFE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66A56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0836C4">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25</w:t>
            </w:r>
          </w:p>
        </w:tc>
      </w:tr>
      <w:tr w14:paraId="56E1BBE8">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3396580">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20BDB3E">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操作台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17D367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1.名称:操作台</w:t>
            </w:r>
          </w:p>
          <w:p w14:paraId="259FE5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2.规格:≥3联定制</w:t>
            </w:r>
          </w:p>
          <w:p w14:paraId="6436F697">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587535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FEE6C37">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30</w:t>
            </w:r>
          </w:p>
        </w:tc>
      </w:tr>
      <w:tr w14:paraId="1BBB006E">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D5E04C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9</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185D31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UPS</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A1A655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w:t>
            </w:r>
          </w:p>
          <w:p w14:paraId="7BA6D545">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2.规格:20KVA,输出功率因数0.9，超大LCD触摸宽屏显示，输入电压可变范围：204～242Vac；含电池开关柜、电池连接线等，后备电量1h，可扩展为2h</w:t>
            </w:r>
          </w:p>
          <w:p w14:paraId="069D437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72EA46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EF5C28">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128AD80D">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54EDF4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10</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4B4F3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UPS</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37738C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w:t>
            </w:r>
          </w:p>
          <w:p w14:paraId="3EE5CA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2.规格:15KVA,输出功率因数0.9，超大LCD触摸宽屏显示，输入电压可变范围：204～242Vac；含电池开关柜、电池连接线等，后备电量1h，可扩展为2h</w:t>
            </w:r>
          </w:p>
          <w:p w14:paraId="6303DDF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F390F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9E1C629">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14319ADF">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822069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D4DD2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UPS</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E73DF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w:t>
            </w:r>
          </w:p>
          <w:p w14:paraId="39288EA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2.规格:10KVA,输出功率因数0.9，超大LCD触摸宽屏显示，输入电压可变范围：204～242Vac；含电池开关柜、电池连接线等，后备电量1h，可扩展为2h</w:t>
            </w:r>
          </w:p>
          <w:p w14:paraId="085F11D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E8153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85AC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4A907D8D">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7743F4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E3B7D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UPS</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0F2EF0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1.名称:UPS</w:t>
            </w:r>
          </w:p>
          <w:p w14:paraId="0DB5EF4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2.规格:10KVA,输出功率因数0.9，超大LCD触摸宽屏显示，输入电压可变范围：204～242Vac；含电池开关柜、电池连接线等，后备电量1h，可扩展为2h</w:t>
            </w:r>
          </w:p>
          <w:p w14:paraId="248BA9B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9173BB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0EFFB5F">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r>
      <w:tr w14:paraId="5874D51D">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3347D7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13</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0971E3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配套UPS输出配电箱</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2C55B4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1.名称:配套UPS输出配电箱</w:t>
            </w:r>
          </w:p>
          <w:p w14:paraId="6DCC0E1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2.规格:根据安防设备楼层配电回路配备相关配电箱。</w:t>
            </w:r>
          </w:p>
          <w:p w14:paraId="22C0F06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DBB440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1FB2B7B">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r>
      <w:tr w14:paraId="3BE4B7CF">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53FDF34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7605EFF">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终端</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40982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1.名称:执法记录仪信息采集终端</w:t>
            </w:r>
          </w:p>
          <w:p w14:paraId="1EF4785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2.功能:各监区管控点放置</w:t>
            </w:r>
          </w:p>
          <w:p w14:paraId="68B5436C">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E8D986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台</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F1EC41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7</w:t>
            </w:r>
          </w:p>
        </w:tc>
      </w:tr>
    </w:tbl>
    <w:p w14:paraId="100DCED4">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6D4560A0">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11FE4126">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16、智能安防集成平台</w:t>
            </w:r>
          </w:p>
        </w:tc>
        <w:tc>
          <w:tcPr>
            <w:tcW w:w="1872" w:type="dxa"/>
            <w:gridSpan w:val="2"/>
            <w:tcBorders>
              <w:top w:val="nil"/>
              <w:left w:val="nil"/>
              <w:bottom w:val="nil"/>
              <w:right w:val="nil"/>
            </w:tcBorders>
            <w:shd w:val="clear" w:color="FFFFFF" w:fill="FFFFFF"/>
            <w:noWrap w:val="0"/>
            <w:vAlign w:val="bottom"/>
          </w:tcPr>
          <w:p w14:paraId="276E2A70">
            <w:pPr>
              <w:jc w:val="left"/>
              <w:rPr>
                <w:rFonts w:hint="eastAsia" w:ascii="仿宋" w:hAnsi="仿宋" w:eastAsia="仿宋" w:cs="仿宋"/>
                <w:color w:val="auto"/>
                <w:sz w:val="18"/>
                <w:szCs w:val="18"/>
                <w:highlight w:val="none"/>
              </w:rPr>
            </w:pPr>
          </w:p>
        </w:tc>
      </w:tr>
      <w:tr w14:paraId="49BCB113">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0594300">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A2E6DE6">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9BEAC3B">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588855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530B02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40C3FA77">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6417AADE">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16E88C8">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189153E">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597CF38">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BD13D1B">
            <w:pPr>
              <w:jc w:val="center"/>
              <w:rPr>
                <w:rFonts w:hint="eastAsia" w:ascii="仿宋" w:hAnsi="仿宋" w:eastAsia="仿宋" w:cs="仿宋"/>
                <w:b/>
                <w:bCs/>
                <w:color w:val="auto"/>
                <w:sz w:val="18"/>
                <w:szCs w:val="18"/>
                <w:highlight w:val="none"/>
              </w:rPr>
            </w:pPr>
          </w:p>
        </w:tc>
      </w:tr>
      <w:tr w14:paraId="6E0EC292">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19648C9">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F808607">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6F17747">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ABDB7FF">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B39FB4B">
            <w:pPr>
              <w:jc w:val="center"/>
              <w:rPr>
                <w:rFonts w:hint="eastAsia" w:ascii="仿宋" w:hAnsi="仿宋" w:eastAsia="仿宋" w:cs="仿宋"/>
                <w:b/>
                <w:bCs/>
                <w:color w:val="auto"/>
                <w:sz w:val="18"/>
                <w:szCs w:val="18"/>
                <w:highlight w:val="none"/>
              </w:rPr>
            </w:pPr>
          </w:p>
        </w:tc>
      </w:tr>
      <w:tr w14:paraId="08BE3D81">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6815F997">
            <w:pPr>
              <w:jc w:val="center"/>
              <w:rPr>
                <w:rFonts w:hint="eastAsia" w:ascii="仿宋" w:hAnsi="仿宋" w:eastAsia="仿宋" w:cs="仿宋"/>
                <w:color w:val="auto"/>
                <w:sz w:val="18"/>
                <w:szCs w:val="18"/>
                <w:highlight w:val="none"/>
              </w:rPr>
            </w:pP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F65A0B">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智能安防集成平台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5DA0B75">
            <w:pPr>
              <w:jc w:val="left"/>
              <w:rPr>
                <w:rFonts w:hint="eastAsia" w:ascii="仿宋" w:hAnsi="仿宋" w:eastAsia="仿宋" w:cs="仿宋"/>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C13E034">
            <w:pPr>
              <w:jc w:val="left"/>
              <w:rPr>
                <w:rFonts w:hint="eastAsia" w:ascii="仿宋" w:hAnsi="仿宋" w:eastAsia="仿宋" w:cs="仿宋"/>
                <w:color w:val="auto"/>
                <w:sz w:val="18"/>
                <w:szCs w:val="18"/>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5A7FC17">
            <w:pPr>
              <w:jc w:val="right"/>
              <w:rPr>
                <w:rFonts w:hint="eastAsia" w:ascii="仿宋" w:hAnsi="仿宋" w:eastAsia="仿宋" w:cs="仿宋"/>
                <w:color w:val="auto"/>
                <w:sz w:val="18"/>
                <w:szCs w:val="18"/>
                <w:highlight w:val="none"/>
              </w:rPr>
            </w:pPr>
          </w:p>
        </w:tc>
      </w:tr>
      <w:tr w14:paraId="5EF62FFF">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20457CE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300C736A">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智能安防集成平台</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B7F3E4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1.名称:智能安防集成平台</w:t>
            </w:r>
          </w:p>
          <w:p w14:paraId="1D18259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2.参数:以GIS 平台和联动报警子系统为基础，对安防工程（含各子系统）和信息化工程（含各子系统）进行了高度的集成，通过接口子系统实现了与安防系统、业务应用系统的数据交互。（能够监狱满足业务需求）。</w:t>
            </w:r>
          </w:p>
          <w:p w14:paraId="3BCD217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55EC97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62EC40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A111559">
        <w:tblPrEx>
          <w:tblCellMar>
            <w:top w:w="0" w:type="dxa"/>
            <w:left w:w="108" w:type="dxa"/>
            <w:bottom w:w="0" w:type="dxa"/>
            <w:right w:w="108" w:type="dxa"/>
          </w:tblCellMar>
        </w:tblPrEx>
        <w:trPr>
          <w:trHeight w:val="675"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765569D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3DB9D98">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信息资源库</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AB55A1D">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1.名称:信息资源库</w:t>
            </w:r>
          </w:p>
          <w:p w14:paraId="6A8EEB8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2.参数:主要包括国产数据库建设、监狱信息数据库、数据治理、数据仓库、大数据分析系统等，主要为监狱本地数据库的建设和使用。</w:t>
            </w:r>
          </w:p>
          <w:p w14:paraId="7AAB4EE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3.其他:未尽事宜参见施工图说明及相关规范</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F6B6C1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5F85B51">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296FD10D">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2B54570C">
        <w:tblPrEx>
          <w:tblCellMar>
            <w:top w:w="0" w:type="dxa"/>
            <w:left w:w="108" w:type="dxa"/>
            <w:bottom w:w="0" w:type="dxa"/>
            <w:right w:w="108" w:type="dxa"/>
          </w:tblCellMar>
        </w:tblPrEx>
        <w:trPr>
          <w:trHeight w:val="285" w:hRule="atLeast"/>
          <w:jc w:val="center"/>
        </w:trPr>
        <w:tc>
          <w:tcPr>
            <w:tcW w:w="10503" w:type="dxa"/>
            <w:gridSpan w:val="3"/>
            <w:tcBorders>
              <w:top w:val="nil"/>
              <w:left w:val="nil"/>
              <w:bottom w:val="nil"/>
              <w:right w:val="nil"/>
            </w:tcBorders>
            <w:shd w:val="clear" w:color="FFFFFF" w:fill="FFFFFF"/>
            <w:noWrap w:val="0"/>
            <w:vAlign w:val="bottom"/>
          </w:tcPr>
          <w:p w14:paraId="5092A1AF">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17、大门</w:t>
            </w:r>
          </w:p>
        </w:tc>
        <w:tc>
          <w:tcPr>
            <w:tcW w:w="1872" w:type="dxa"/>
            <w:gridSpan w:val="2"/>
            <w:tcBorders>
              <w:top w:val="nil"/>
              <w:left w:val="nil"/>
              <w:bottom w:val="nil"/>
              <w:right w:val="nil"/>
            </w:tcBorders>
            <w:shd w:val="clear" w:color="FFFFFF" w:fill="FFFFFF"/>
            <w:noWrap w:val="0"/>
            <w:vAlign w:val="bottom"/>
          </w:tcPr>
          <w:p w14:paraId="529ED296">
            <w:pPr>
              <w:jc w:val="left"/>
              <w:rPr>
                <w:rFonts w:hint="eastAsia" w:ascii="仿宋" w:hAnsi="仿宋" w:eastAsia="仿宋" w:cs="仿宋"/>
                <w:color w:val="auto"/>
                <w:sz w:val="18"/>
                <w:szCs w:val="18"/>
                <w:highlight w:val="none"/>
              </w:rPr>
            </w:pPr>
          </w:p>
        </w:tc>
      </w:tr>
      <w:tr w14:paraId="1A91E697">
        <w:tblPrEx>
          <w:tblCellMar>
            <w:top w:w="0" w:type="dxa"/>
            <w:left w:w="108" w:type="dxa"/>
            <w:bottom w:w="0" w:type="dxa"/>
            <w:right w:w="108" w:type="dxa"/>
          </w:tblCellMar>
        </w:tblPrEx>
        <w:trPr>
          <w:trHeight w:val="319" w:hRule="atLeast"/>
          <w:jc w:val="center"/>
        </w:trPr>
        <w:tc>
          <w:tcPr>
            <w:tcW w:w="916"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0368C41">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067B7B1">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项目名称</w:t>
            </w:r>
          </w:p>
        </w:tc>
        <w:tc>
          <w:tcPr>
            <w:tcW w:w="7907"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65246F3">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技术参数及要求</w:t>
            </w:r>
          </w:p>
        </w:tc>
        <w:tc>
          <w:tcPr>
            <w:tcW w:w="75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405D946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单位</w:t>
            </w:r>
          </w:p>
        </w:tc>
        <w:tc>
          <w:tcPr>
            <w:tcW w:w="11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EC566A9">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数量</w:t>
            </w:r>
          </w:p>
        </w:tc>
      </w:tr>
      <w:tr w14:paraId="79EAE98E">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1B77D9F6">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7C9F05E1">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C8EADF5">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09A4859C">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8733D4B">
            <w:pPr>
              <w:jc w:val="center"/>
              <w:rPr>
                <w:rFonts w:hint="eastAsia" w:ascii="仿宋" w:hAnsi="仿宋" w:eastAsia="仿宋" w:cs="仿宋"/>
                <w:b/>
                <w:bCs/>
                <w:color w:val="auto"/>
                <w:sz w:val="18"/>
                <w:szCs w:val="18"/>
                <w:highlight w:val="none"/>
              </w:rPr>
            </w:pPr>
          </w:p>
        </w:tc>
      </w:tr>
      <w:tr w14:paraId="167FDF6E">
        <w:tblPrEx>
          <w:tblCellMar>
            <w:top w:w="0" w:type="dxa"/>
            <w:left w:w="108" w:type="dxa"/>
            <w:bottom w:w="0" w:type="dxa"/>
            <w:right w:w="108" w:type="dxa"/>
          </w:tblCellMar>
        </w:tblPrEx>
        <w:trPr>
          <w:trHeight w:val="319" w:hRule="atLeast"/>
          <w:jc w:val="center"/>
        </w:trPr>
        <w:tc>
          <w:tcPr>
            <w:tcW w:w="916"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78FD3D64">
            <w:pPr>
              <w:jc w:val="center"/>
              <w:rPr>
                <w:rFonts w:hint="eastAsia" w:ascii="仿宋" w:hAnsi="仿宋" w:eastAsia="仿宋" w:cs="仿宋"/>
                <w:b/>
                <w:bCs/>
                <w:color w:val="auto"/>
                <w:sz w:val="18"/>
                <w:szCs w:val="18"/>
                <w:highlight w:val="none"/>
              </w:rPr>
            </w:pPr>
          </w:p>
        </w:tc>
        <w:tc>
          <w:tcPr>
            <w:tcW w:w="1680"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236ABB8F">
            <w:pPr>
              <w:jc w:val="center"/>
              <w:rPr>
                <w:rFonts w:hint="eastAsia" w:ascii="仿宋" w:hAnsi="仿宋" w:eastAsia="仿宋" w:cs="仿宋"/>
                <w:b/>
                <w:bCs/>
                <w:color w:val="auto"/>
                <w:sz w:val="18"/>
                <w:szCs w:val="18"/>
                <w:highlight w:val="none"/>
              </w:rPr>
            </w:pPr>
          </w:p>
        </w:tc>
        <w:tc>
          <w:tcPr>
            <w:tcW w:w="7907"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12FE642B">
            <w:pPr>
              <w:jc w:val="center"/>
              <w:rPr>
                <w:rFonts w:hint="eastAsia" w:ascii="仿宋" w:hAnsi="仿宋" w:eastAsia="仿宋" w:cs="仿宋"/>
                <w:b/>
                <w:bCs/>
                <w:color w:val="auto"/>
                <w:sz w:val="18"/>
                <w:szCs w:val="18"/>
                <w:highlight w:val="none"/>
              </w:rPr>
            </w:pPr>
          </w:p>
        </w:tc>
        <w:tc>
          <w:tcPr>
            <w:tcW w:w="75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97038DC">
            <w:pPr>
              <w:jc w:val="center"/>
              <w:rPr>
                <w:rFonts w:hint="eastAsia" w:ascii="仿宋" w:hAnsi="仿宋" w:eastAsia="仿宋" w:cs="仿宋"/>
                <w:b/>
                <w:bCs/>
                <w:color w:val="auto"/>
                <w:sz w:val="18"/>
                <w:szCs w:val="18"/>
                <w:highlight w:val="none"/>
              </w:rPr>
            </w:pPr>
          </w:p>
        </w:tc>
        <w:tc>
          <w:tcPr>
            <w:tcW w:w="11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68DEFC2">
            <w:pPr>
              <w:jc w:val="center"/>
              <w:rPr>
                <w:rFonts w:hint="eastAsia" w:ascii="仿宋" w:hAnsi="仿宋" w:eastAsia="仿宋" w:cs="仿宋"/>
                <w:b/>
                <w:bCs/>
                <w:color w:val="auto"/>
                <w:sz w:val="18"/>
                <w:szCs w:val="18"/>
                <w:highlight w:val="none"/>
              </w:rPr>
            </w:pPr>
          </w:p>
        </w:tc>
      </w:tr>
      <w:tr w14:paraId="18833793">
        <w:tblPrEx>
          <w:tblCellMar>
            <w:top w:w="0" w:type="dxa"/>
            <w:left w:w="108" w:type="dxa"/>
            <w:bottom w:w="0" w:type="dxa"/>
            <w:right w:w="108" w:type="dxa"/>
          </w:tblCellMar>
        </w:tblPrEx>
        <w:trPr>
          <w:trHeight w:val="767"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B212F2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E331F91">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A门体</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4190FE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1.门体框架应采用Q235-A镀锌矩管、镀锌冷板、镀锌方管、不等边角钢焊接而成</w:t>
            </w:r>
          </w:p>
          <w:p w14:paraId="15776A2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体表面应采用大于1.0mm厚水镀304彩色不锈钢板制作；表面可做立体造型饰板，表面饰板与门体框架铆焊连接，表面饰板在使用中如发生意外损坏可以局部分块更换，黄铜门钉或压型板装饰，门钉数量和安装位置以技术方案效果图体现</w:t>
            </w:r>
          </w:p>
          <w:p w14:paraId="4E34D6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3.表面处理；</w:t>
            </w:r>
          </w:p>
          <w:p w14:paraId="5A49E7FA">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4.门体厚度应≥100mm；</w:t>
            </w:r>
          </w:p>
          <w:p w14:paraId="5B50C956">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5.单扇门体重量≥1200公斤；</w:t>
            </w:r>
          </w:p>
          <w:p w14:paraId="00778F1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6.使用悬挂组件、横梁导轨、滚轮组、支撑组件、双导轨联动传动，上悬挂方式底部处理采用下沉式止摆设计、防摆轮加固设计，采用直径30mm镀硬铬直线导轨；</w:t>
            </w:r>
          </w:p>
          <w:p w14:paraId="0AB0950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7.使用交流变频调速伺服电机配合精密行星摆线转角齿轮减速机、齿条轮组、红外光栅防夹设备；</w:t>
            </w:r>
          </w:p>
          <w:p w14:paraId="5B132F4E">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8.精度:实现了位置，速度和力矩的闭环控制；</w:t>
            </w:r>
          </w:p>
          <w:p w14:paraId="161961C3">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9.转速:高速性能好，一般额定转速能达到2000～3000转；</w:t>
            </w:r>
          </w:p>
          <w:p w14:paraId="57C44C9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10.适应性:抗过载能力强，能承受三倍于额定转矩的负载，对有瞬间负载波动和要求快速起动的场合特别适用；</w:t>
            </w:r>
          </w:p>
          <w:p w14:paraId="631106A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11.稳定:低速运行平稳，低速运行时不会产生类似于步进电机的步进运行现象。适用于有高速响应要求的场合；</w:t>
            </w:r>
          </w:p>
          <w:p w14:paraId="5FFBB619">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12.及时性:电机加减速的动态相应时间短，一般在几十毫秒之内；</w:t>
            </w:r>
          </w:p>
          <w:p w14:paraId="2DBA0DD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13.舒适性:发热和噪音明显降低；</w:t>
            </w:r>
          </w:p>
          <w:p w14:paraId="4B5DC2F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14.全部传动参数均可根据负载状况精细调整，达到稳定流畅运行要求；</w:t>
            </w:r>
          </w:p>
          <w:p w14:paraId="671757B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15.大门应通过国家安全防范报警系统产品质量监督检验中心、公安部安全防范报警系统产品质量监督检验中心检验检测</w:t>
            </w:r>
          </w:p>
          <w:p w14:paraId="0E932BB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16.能够与其他设备联动，包含门的传动系统、控制系统、安装中的所有配件及管线。</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34DA27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16656DE">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r w14:paraId="71E6C4CD">
        <w:tblPrEx>
          <w:tblCellMar>
            <w:top w:w="0" w:type="dxa"/>
            <w:left w:w="108" w:type="dxa"/>
            <w:bottom w:w="0" w:type="dxa"/>
            <w:right w:w="108" w:type="dxa"/>
          </w:tblCellMar>
        </w:tblPrEx>
        <w:trPr>
          <w:trHeight w:val="446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48C2623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7257179">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B门体</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AFABCC">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1.门体框架应采用Q235-A镀锌矩管、镀锌冷板、镀锌方管、不等边角钢焊接而成门体表面应采用环保漆喷涂；</w:t>
            </w:r>
          </w:p>
          <w:p w14:paraId="0E30E41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2.板;门板厚度应＞1.0mm，栅栏间距及样式以技术方案效果图体现；</w:t>
            </w:r>
          </w:p>
          <w:p w14:paraId="72C172E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3.门体厚度应≥100mm；</w:t>
            </w:r>
          </w:p>
          <w:p w14:paraId="20D612C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4.单扇门体重量≥1200公斤；</w:t>
            </w:r>
          </w:p>
          <w:p w14:paraId="47162D1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5.使用交流变频调速伺服电机配合精密行星摆线转角齿轮减速机、齿条轮组、红外光栅防夹设备；</w:t>
            </w:r>
          </w:p>
          <w:p w14:paraId="79DE5442">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6.实现了位置，速度和力矩的闭环控制；</w:t>
            </w:r>
          </w:p>
          <w:p w14:paraId="28FADF6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7.转速:高速性能好，一般额定转速能达到2000～3000转；</w:t>
            </w:r>
          </w:p>
          <w:p w14:paraId="21E09FB8">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8.适应性:抗过载能力强，能承受三倍于额定转矩的负载，对有瞬间负载波动和要求快速起动的场合特别适用；</w:t>
            </w:r>
          </w:p>
          <w:p w14:paraId="33C06A47">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9.稳定:低速运行平稳，低速运行时不会产生类似于步进电机的步进运行现象。适用于有高速响应要求的场合；</w:t>
            </w:r>
          </w:p>
          <w:p w14:paraId="7B98CB60">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10.及时性:电机加减速的动态相应时间短，一般在几十毫秒之内；</w:t>
            </w:r>
          </w:p>
          <w:p w14:paraId="0BF61C54">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11.舒适性:发热和噪音明显降低；</w:t>
            </w:r>
          </w:p>
          <w:p w14:paraId="0E8B62FB">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12.全部传动参数均可根据负载状况精细调整，达到稳定流畅运行要求；</w:t>
            </w:r>
          </w:p>
          <w:p w14:paraId="294F8ADF">
            <w:pPr>
              <w:widowControl/>
              <w:jc w:val="left"/>
              <w:textAlignment w:val="center"/>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t>13.大门应通过国家安全防范报警系统产品质量监督检验中心、公安部安全防范报警系统产品质量监督检验中心检验检测</w:t>
            </w:r>
          </w:p>
          <w:p w14:paraId="56468EC2">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14.能够与其他设备联动，包含门的传动系统、控制系统、安装中的所有配件及管线。</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D8CD4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项</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03068E6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r>
    </w:tbl>
    <w:p w14:paraId="3C2E40EA">
      <w:pPr>
        <w:widowControl/>
        <w:jc w:val="left"/>
        <w:textAlignment w:val="bottom"/>
        <w:rPr>
          <w:rFonts w:hint="eastAsia" w:ascii="仿宋" w:hAnsi="仿宋" w:eastAsia="仿宋" w:cs="仿宋"/>
          <w:color w:val="auto"/>
          <w:kern w:val="0"/>
          <w:sz w:val="18"/>
          <w:szCs w:val="18"/>
          <w:highlight w:val="none"/>
          <w:lang w:bidi="ar"/>
        </w:rPr>
      </w:pPr>
      <w:r>
        <w:rPr>
          <w:rFonts w:hint="eastAsia" w:ascii="仿宋" w:hAnsi="仿宋" w:eastAsia="仿宋" w:cs="仿宋"/>
          <w:color w:val="auto"/>
          <w:kern w:val="0"/>
          <w:sz w:val="18"/>
          <w:szCs w:val="18"/>
          <w:highlight w:val="none"/>
          <w:lang w:bidi="ar"/>
        </w:rPr>
        <w:br w:type="page"/>
      </w:r>
    </w:p>
    <w:tbl>
      <w:tblPr>
        <w:tblStyle w:val="36"/>
        <w:tblW w:w="12375" w:type="dxa"/>
        <w:jc w:val="center"/>
        <w:tblLayout w:type="autofit"/>
        <w:tblCellMar>
          <w:top w:w="0" w:type="dxa"/>
          <w:left w:w="108" w:type="dxa"/>
          <w:bottom w:w="0" w:type="dxa"/>
          <w:right w:w="108" w:type="dxa"/>
        </w:tblCellMar>
      </w:tblPr>
      <w:tblGrid>
        <w:gridCol w:w="916"/>
        <w:gridCol w:w="1680"/>
        <w:gridCol w:w="7907"/>
        <w:gridCol w:w="756"/>
        <w:gridCol w:w="1116"/>
      </w:tblGrid>
      <w:tr w14:paraId="74893B80">
        <w:trPr>
          <w:trHeight w:val="285" w:hRule="atLeast"/>
          <w:jc w:val="center"/>
        </w:trPr>
        <w:tc>
          <w:tcPr>
            <w:tcW w:w="10503" w:type="dxa"/>
            <w:gridSpan w:val="3"/>
            <w:tcBorders>
              <w:top w:val="nil"/>
              <w:left w:val="nil"/>
              <w:bottom w:val="nil"/>
              <w:right w:val="nil"/>
            </w:tcBorders>
            <w:shd w:val="clear" w:color="FFFFFF" w:fill="FFFFFF"/>
            <w:noWrap w:val="0"/>
            <w:vAlign w:val="bottom"/>
          </w:tcPr>
          <w:p w14:paraId="341A6584">
            <w:pPr>
              <w:widowControl/>
              <w:jc w:val="left"/>
              <w:textAlignment w:val="bottom"/>
              <w:rPr>
                <w:rFonts w:hint="eastAsia" w:ascii="仿宋" w:hAnsi="仿宋" w:eastAsia="仿宋" w:cs="仿宋"/>
                <w:color w:val="auto"/>
                <w:sz w:val="18"/>
                <w:szCs w:val="18"/>
                <w:highlight w:val="none"/>
              </w:rPr>
            </w:pPr>
            <w:r>
              <w:rPr>
                <w:rFonts w:hint="eastAsia" w:ascii="仿宋" w:hAnsi="仿宋" w:eastAsia="仿宋" w:cs="仿宋"/>
                <w:b/>
                <w:bCs/>
                <w:color w:val="auto"/>
                <w:kern w:val="0"/>
                <w:sz w:val="28"/>
                <w:szCs w:val="28"/>
                <w:highlight w:val="none"/>
                <w:lang w:bidi="ar"/>
              </w:rPr>
              <w:t>18、暂估项目</w:t>
            </w:r>
          </w:p>
        </w:tc>
        <w:tc>
          <w:tcPr>
            <w:tcW w:w="1872" w:type="dxa"/>
            <w:gridSpan w:val="2"/>
            <w:tcBorders>
              <w:top w:val="nil"/>
              <w:left w:val="nil"/>
              <w:bottom w:val="nil"/>
              <w:right w:val="nil"/>
            </w:tcBorders>
            <w:shd w:val="clear" w:color="FFFFFF" w:fill="FFFFFF"/>
            <w:noWrap w:val="0"/>
            <w:vAlign w:val="bottom"/>
          </w:tcPr>
          <w:p w14:paraId="4165B2B3">
            <w:pPr>
              <w:jc w:val="left"/>
              <w:rPr>
                <w:rFonts w:hint="eastAsia" w:ascii="仿宋" w:hAnsi="仿宋" w:eastAsia="仿宋" w:cs="仿宋"/>
                <w:color w:val="auto"/>
                <w:sz w:val="18"/>
                <w:szCs w:val="18"/>
                <w:highlight w:val="none"/>
              </w:rPr>
            </w:pPr>
          </w:p>
        </w:tc>
      </w:tr>
      <w:tr w14:paraId="58AA70B7">
        <w:tblPrEx>
          <w:tblCellMar>
            <w:top w:w="0" w:type="dxa"/>
            <w:left w:w="108" w:type="dxa"/>
            <w:bottom w:w="0" w:type="dxa"/>
            <w:right w:w="108" w:type="dxa"/>
          </w:tblCellMar>
        </w:tblPrEx>
        <w:trPr>
          <w:trHeight w:val="270" w:hRule="atLeast"/>
          <w:jc w:val="center"/>
        </w:trPr>
        <w:tc>
          <w:tcPr>
            <w:tcW w:w="916" w:type="dxa"/>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14:paraId="3F8CB8C1">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序号</w:t>
            </w:r>
          </w:p>
        </w:tc>
        <w:tc>
          <w:tcPr>
            <w:tcW w:w="1680" w:type="dxa"/>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3E1D418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暂估项目</w:t>
            </w:r>
          </w:p>
        </w:tc>
        <w:tc>
          <w:tcPr>
            <w:tcW w:w="7907" w:type="dxa"/>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25A449C">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主要要求</w:t>
            </w:r>
          </w:p>
        </w:tc>
        <w:tc>
          <w:tcPr>
            <w:tcW w:w="756" w:type="dxa"/>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A5E387">
            <w:pPr>
              <w:widowControl/>
              <w:jc w:val="center"/>
              <w:textAlignment w:val="center"/>
              <w:rPr>
                <w:rFonts w:hint="eastAsia" w:ascii="仿宋" w:hAnsi="仿宋" w:eastAsia="仿宋" w:cs="仿宋"/>
                <w:b/>
                <w:bCs/>
                <w:color w:val="auto"/>
                <w:sz w:val="18"/>
                <w:szCs w:val="18"/>
                <w:highlight w:val="none"/>
              </w:rPr>
            </w:pPr>
            <w:r>
              <w:rPr>
                <w:rFonts w:hint="eastAsia" w:ascii="仿宋" w:hAnsi="仿宋" w:eastAsia="仿宋" w:cs="仿宋"/>
                <w:b/>
                <w:bCs/>
                <w:color w:val="auto"/>
                <w:kern w:val="0"/>
                <w:sz w:val="18"/>
                <w:szCs w:val="18"/>
                <w:highlight w:val="none"/>
                <w:lang w:bidi="ar"/>
              </w:rPr>
              <w:t>金额</w:t>
            </w:r>
          </w:p>
        </w:tc>
        <w:tc>
          <w:tcPr>
            <w:tcW w:w="1116" w:type="dxa"/>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F5B1138">
            <w:pPr>
              <w:jc w:val="center"/>
              <w:rPr>
                <w:rFonts w:hint="eastAsia" w:ascii="仿宋" w:hAnsi="仿宋" w:eastAsia="仿宋" w:cs="仿宋"/>
                <w:b/>
                <w:bCs/>
                <w:color w:val="auto"/>
                <w:sz w:val="18"/>
                <w:szCs w:val="18"/>
                <w:highlight w:val="none"/>
              </w:rPr>
            </w:pPr>
          </w:p>
        </w:tc>
      </w:tr>
      <w:tr w14:paraId="62F596C1">
        <w:tblPrEx>
          <w:tblCellMar>
            <w:top w:w="0" w:type="dxa"/>
            <w:left w:w="108" w:type="dxa"/>
            <w:bottom w:w="0" w:type="dxa"/>
            <w:right w:w="108" w:type="dxa"/>
          </w:tblCellMar>
        </w:tblPrEx>
        <w:trPr>
          <w:trHeight w:val="90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394D8E3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AD18CA5">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罪犯伙房、物流中心（设备已计入，只包含线缆、桥架等辅材）</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1FE9CB60">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罪犯伙房、物流中心弱电系统设计及施工：由于该两栋建筑没有相关图纸，需根据功能需求确定的内部构造，按照监管场所有关规定对弱电系统的综合布线等内容进行现场设计并施工，所需的桥架、线缆、辅材等在此项目中，总价不超过200000元，具体金额以实际发生量为准，该项目以200000元计入在投标价中。</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490559F0">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200000</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6245D34">
            <w:pPr>
              <w:rPr>
                <w:rFonts w:hint="eastAsia" w:ascii="仿宋" w:hAnsi="仿宋" w:eastAsia="仿宋" w:cs="仿宋"/>
                <w:color w:val="auto"/>
                <w:sz w:val="18"/>
                <w:szCs w:val="18"/>
                <w:highlight w:val="none"/>
              </w:rPr>
            </w:pPr>
          </w:p>
        </w:tc>
      </w:tr>
      <w:tr w14:paraId="78B48555">
        <w:tblPrEx>
          <w:tblCellMar>
            <w:top w:w="0" w:type="dxa"/>
            <w:left w:w="108" w:type="dxa"/>
            <w:bottom w:w="0" w:type="dxa"/>
            <w:right w:w="108" w:type="dxa"/>
          </w:tblCellMar>
        </w:tblPrEx>
        <w:trPr>
          <w:trHeight w:val="270" w:hRule="atLeast"/>
          <w:jc w:val="center"/>
        </w:trPr>
        <w:tc>
          <w:tcPr>
            <w:tcW w:w="916"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14:paraId="13AAD5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w:t>
            </w:r>
          </w:p>
        </w:tc>
        <w:tc>
          <w:tcPr>
            <w:tcW w:w="1680"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646486F3">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无线对讲系统</w:t>
            </w:r>
          </w:p>
        </w:tc>
        <w:tc>
          <w:tcPr>
            <w:tcW w:w="7907"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7E7B7F7D">
            <w:pPr>
              <w:widowControl/>
              <w:jc w:val="left"/>
              <w:textAlignment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无线对讲系统施工：由于无线对讲系统的安装位置、方式及型号参数未定，系统所需的设计、施工、布线及硬软件等在此项目中（包括不限于发射塔硬软系统及180部手持式无线对讲终端等内容），总价不超过150000元，具体金额以实际发生量为准，该项目以150000元计入在投标价中。</w:t>
            </w:r>
          </w:p>
        </w:tc>
        <w:tc>
          <w:tcPr>
            <w:tcW w:w="75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2338B9B2">
            <w:pPr>
              <w:widowControl/>
              <w:jc w:val="right"/>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150000</w:t>
            </w:r>
          </w:p>
        </w:tc>
        <w:tc>
          <w:tcPr>
            <w:tcW w:w="11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14:paraId="5ACAC046">
            <w:pPr>
              <w:rPr>
                <w:rFonts w:hint="eastAsia" w:ascii="仿宋" w:hAnsi="仿宋" w:eastAsia="仿宋" w:cs="仿宋"/>
                <w:color w:val="auto"/>
                <w:sz w:val="18"/>
                <w:szCs w:val="18"/>
                <w:highlight w:val="none"/>
              </w:rPr>
            </w:pPr>
          </w:p>
        </w:tc>
      </w:tr>
    </w:tbl>
    <w:p w14:paraId="6BE39A29">
      <w:pPr>
        <w:rPr>
          <w:color w:val="auto"/>
          <w:highlight w:val="none"/>
        </w:rPr>
      </w:pPr>
    </w:p>
    <w:p w14:paraId="60C182D9">
      <w:pPr>
        <w:pStyle w:val="3"/>
        <w:rPr>
          <w:rFonts w:ascii="宋体" w:hAnsi="宋体" w:cs="宋体"/>
          <w:color w:val="auto"/>
          <w:highlight w:val="none"/>
        </w:rPr>
      </w:pPr>
    </w:p>
    <w:p w14:paraId="4AA704CA">
      <w:pPr>
        <w:spacing w:line="440" w:lineRule="exact"/>
        <w:outlineLvl w:val="0"/>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注明：</w:t>
      </w:r>
    </w:p>
    <w:p w14:paraId="206FF761">
      <w:pPr>
        <w:numPr>
          <w:ilvl w:val="0"/>
          <w:numId w:val="0"/>
        </w:numPr>
        <w:spacing w:line="440" w:lineRule="exact"/>
        <w:ind w:firstLine="562" w:firstLineChars="200"/>
        <w:outlineLvl w:val="0"/>
        <w:rPr>
          <w:rFonts w:hint="eastAsia" w:ascii="宋体" w:hAnsi="宋体"/>
          <w:b/>
          <w:color w:val="auto"/>
          <w:sz w:val="44"/>
          <w:szCs w:val="44"/>
          <w:highlight w:val="none"/>
        </w:rPr>
        <w:sectPr>
          <w:pgSz w:w="16838" w:h="11905" w:orient="landscape"/>
          <w:pgMar w:top="1803" w:right="1440" w:bottom="1803" w:left="1440" w:header="850" w:footer="992" w:gutter="0"/>
          <w:cols w:space="0" w:num="1"/>
          <w:titlePg/>
          <w:rtlGutter w:val="0"/>
          <w:docGrid w:type="lines" w:linePitch="319" w:charSpace="0"/>
        </w:sectPr>
      </w:pPr>
      <w:r>
        <w:rPr>
          <w:rFonts w:hint="eastAsia" w:ascii="宋体" w:hAnsi="宋体" w:eastAsia="宋体" w:cs="Times New Roman"/>
          <w:b/>
          <w:color w:val="auto"/>
          <w:sz w:val="28"/>
          <w:szCs w:val="28"/>
          <w:highlight w:val="none"/>
          <w:lang w:val="en-US" w:eastAsia="zh-CN"/>
        </w:rPr>
        <w:t>1、上述内容中加“★”项为主要技术指标。</w:t>
      </w:r>
    </w:p>
    <w:p w14:paraId="4D8C0F0F">
      <w:pPr>
        <w:pStyle w:val="8"/>
        <w:bidi w:val="0"/>
        <w:jc w:val="center"/>
        <w:rPr>
          <w:rFonts w:ascii="宋体" w:hAnsi="宋体"/>
          <w:b/>
          <w:color w:val="auto"/>
          <w:szCs w:val="44"/>
          <w:highlight w:val="none"/>
        </w:rPr>
      </w:pPr>
      <w:r>
        <w:rPr>
          <w:rFonts w:hint="eastAsia" w:ascii="宋体" w:hAnsi="宋体"/>
          <w:color w:val="auto"/>
          <w:highlight w:val="none"/>
        </w:rPr>
        <w:t xml:space="preserve">第六章  </w:t>
      </w:r>
      <w:bookmarkEnd w:id="691"/>
      <w:bookmarkEnd w:id="692"/>
      <w:bookmarkEnd w:id="693"/>
      <w:bookmarkEnd w:id="694"/>
      <w:bookmarkEnd w:id="695"/>
      <w:bookmarkEnd w:id="696"/>
      <w:bookmarkEnd w:id="697"/>
      <w:bookmarkEnd w:id="698"/>
      <w:r>
        <w:rPr>
          <w:rFonts w:hint="eastAsia" w:ascii="宋体" w:hAnsi="宋体"/>
          <w:color w:val="auto"/>
          <w:highlight w:val="none"/>
        </w:rPr>
        <w:t>投标文件格式</w:t>
      </w:r>
      <w:bookmarkEnd w:id="699"/>
      <w:bookmarkEnd w:id="700"/>
      <w:bookmarkEnd w:id="701"/>
      <w:bookmarkEnd w:id="702"/>
      <w:bookmarkEnd w:id="703"/>
      <w:bookmarkEnd w:id="704"/>
      <w:bookmarkEnd w:id="705"/>
      <w:bookmarkEnd w:id="706"/>
      <w:bookmarkEnd w:id="707"/>
      <w:bookmarkEnd w:id="708"/>
      <w:bookmarkEnd w:id="709"/>
    </w:p>
    <w:p w14:paraId="25F1A12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5303C762">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14:paraId="77768BC4">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61A2F8ED">
      <w:pPr>
        <w:spacing w:line="800" w:lineRule="exact"/>
        <w:rPr>
          <w:rFonts w:ascii="宋体" w:hAnsi="宋体"/>
          <w:b/>
          <w:bCs/>
          <w:color w:val="auto"/>
          <w:sz w:val="72"/>
          <w:szCs w:val="72"/>
          <w:highlight w:val="none"/>
        </w:rPr>
      </w:pPr>
    </w:p>
    <w:p w14:paraId="6986F7A3">
      <w:pPr>
        <w:spacing w:line="800" w:lineRule="exact"/>
        <w:rPr>
          <w:rFonts w:ascii="宋体" w:hAnsi="宋体"/>
          <w:b/>
          <w:bCs/>
          <w:color w:val="auto"/>
          <w:sz w:val="72"/>
          <w:szCs w:val="72"/>
          <w:highlight w:val="none"/>
        </w:rPr>
      </w:pPr>
    </w:p>
    <w:p w14:paraId="47017983">
      <w:pPr>
        <w:spacing w:line="800" w:lineRule="exact"/>
        <w:rPr>
          <w:rFonts w:ascii="宋体" w:hAnsi="宋体"/>
          <w:b/>
          <w:bCs/>
          <w:color w:val="auto"/>
          <w:sz w:val="72"/>
          <w:szCs w:val="72"/>
          <w:highlight w:val="none"/>
        </w:rPr>
      </w:pPr>
    </w:p>
    <w:p w14:paraId="4E789415">
      <w:pPr>
        <w:spacing w:line="800" w:lineRule="exact"/>
        <w:rPr>
          <w:rFonts w:ascii="宋体" w:hAnsi="宋体"/>
          <w:b/>
          <w:bCs/>
          <w:color w:val="auto"/>
          <w:sz w:val="72"/>
          <w:szCs w:val="72"/>
          <w:highlight w:val="none"/>
        </w:rPr>
      </w:pPr>
    </w:p>
    <w:p w14:paraId="1A469F59">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143D2625">
      <w:pPr>
        <w:spacing w:line="800" w:lineRule="exact"/>
        <w:ind w:firstLine="2249" w:firstLineChars="700"/>
        <w:rPr>
          <w:rFonts w:ascii="宋体" w:hAnsi="宋体"/>
          <w:b/>
          <w:bCs/>
          <w:color w:val="auto"/>
          <w:sz w:val="32"/>
          <w:szCs w:val="32"/>
          <w:highlight w:val="none"/>
          <w:u w:val="single"/>
        </w:rPr>
      </w:pPr>
    </w:p>
    <w:p w14:paraId="624E1E53">
      <w:pPr>
        <w:spacing w:line="800" w:lineRule="exact"/>
        <w:rPr>
          <w:rFonts w:ascii="宋体" w:hAnsi="宋体"/>
          <w:b/>
          <w:bCs/>
          <w:color w:val="auto"/>
          <w:sz w:val="72"/>
          <w:szCs w:val="72"/>
          <w:highlight w:val="none"/>
        </w:rPr>
      </w:pPr>
    </w:p>
    <w:p w14:paraId="3E2187A4">
      <w:pPr>
        <w:spacing w:line="600" w:lineRule="exact"/>
        <w:jc w:val="left"/>
        <w:rPr>
          <w:rFonts w:ascii="宋体" w:hAnsi="宋体"/>
          <w:b/>
          <w:bCs/>
          <w:color w:val="auto"/>
          <w:sz w:val="72"/>
          <w:szCs w:val="72"/>
          <w:highlight w:val="none"/>
        </w:rPr>
      </w:pPr>
    </w:p>
    <w:p w14:paraId="5575867D">
      <w:pPr>
        <w:spacing w:line="600" w:lineRule="exact"/>
        <w:jc w:val="left"/>
        <w:rPr>
          <w:rFonts w:ascii="宋体" w:hAnsi="宋体"/>
          <w:b/>
          <w:bCs/>
          <w:color w:val="auto"/>
          <w:sz w:val="72"/>
          <w:szCs w:val="72"/>
          <w:highlight w:val="none"/>
        </w:rPr>
      </w:pPr>
    </w:p>
    <w:p w14:paraId="1232B0E1">
      <w:pPr>
        <w:spacing w:line="600" w:lineRule="exact"/>
        <w:jc w:val="left"/>
        <w:rPr>
          <w:rFonts w:ascii="宋体" w:hAnsi="宋体"/>
          <w:b/>
          <w:bCs/>
          <w:color w:val="auto"/>
          <w:sz w:val="72"/>
          <w:szCs w:val="72"/>
          <w:highlight w:val="none"/>
        </w:rPr>
      </w:pPr>
    </w:p>
    <w:p w14:paraId="6CABD3DB">
      <w:pPr>
        <w:spacing w:line="600" w:lineRule="exact"/>
        <w:jc w:val="left"/>
        <w:rPr>
          <w:rFonts w:ascii="宋体" w:hAnsi="宋体"/>
          <w:b/>
          <w:bCs/>
          <w:color w:val="auto"/>
          <w:sz w:val="72"/>
          <w:szCs w:val="72"/>
          <w:highlight w:val="none"/>
        </w:rPr>
      </w:pPr>
    </w:p>
    <w:p w14:paraId="2B037AA6">
      <w:pPr>
        <w:spacing w:line="600" w:lineRule="exact"/>
        <w:jc w:val="left"/>
        <w:rPr>
          <w:rFonts w:ascii="宋体" w:hAnsi="宋体"/>
          <w:b/>
          <w:bCs/>
          <w:color w:val="auto"/>
          <w:sz w:val="72"/>
          <w:szCs w:val="72"/>
          <w:highlight w:val="none"/>
        </w:rPr>
      </w:pPr>
    </w:p>
    <w:p w14:paraId="6A95ECF0">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40E49255">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09D16544">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0D4BA38E">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3E68B69D">
      <w:pPr>
        <w:rPr>
          <w:rFonts w:ascii="宋体" w:hAnsi="宋体"/>
          <w:color w:val="auto"/>
          <w:highlight w:val="none"/>
        </w:rPr>
      </w:pPr>
    </w:p>
    <w:p w14:paraId="7755C1FF">
      <w:pPr>
        <w:jc w:val="center"/>
        <w:rPr>
          <w:rFonts w:ascii="宋体" w:hAnsi="宋体"/>
          <w:color w:val="auto"/>
          <w:sz w:val="44"/>
          <w:szCs w:val="44"/>
          <w:highlight w:val="none"/>
        </w:rPr>
      </w:pPr>
      <w:bookmarkStart w:id="710" w:name="_Toc338840501"/>
      <w:bookmarkStart w:id="711" w:name="_Toc338840462"/>
      <w:bookmarkStart w:id="712" w:name="_Toc346523422"/>
      <w:bookmarkStart w:id="713" w:name="_Toc338840253"/>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10"/>
      <w:bookmarkEnd w:id="711"/>
      <w:bookmarkEnd w:id="712"/>
      <w:bookmarkEnd w:id="713"/>
    </w:p>
    <w:p w14:paraId="27C498CD">
      <w:pPr>
        <w:rPr>
          <w:rFonts w:ascii="宋体" w:hAnsi="宋体"/>
          <w:color w:val="auto"/>
          <w:highlight w:val="none"/>
        </w:rPr>
      </w:pPr>
    </w:p>
    <w:p w14:paraId="595B02DB">
      <w:pPr>
        <w:rPr>
          <w:rFonts w:hint="eastAsia" w:ascii="宋体" w:hAnsi="宋体" w:cs="宋体"/>
          <w:color w:val="auto"/>
          <w:sz w:val="32"/>
          <w:szCs w:val="32"/>
          <w:highlight w:val="none"/>
        </w:rPr>
      </w:pPr>
      <w:r>
        <w:rPr>
          <w:rFonts w:hint="eastAsia" w:ascii="宋体" w:hAnsi="宋体" w:cs="宋体"/>
          <w:color w:val="auto"/>
          <w:sz w:val="32"/>
          <w:szCs w:val="32"/>
          <w:highlight w:val="none"/>
        </w:rPr>
        <w:t>一、投标函</w:t>
      </w:r>
    </w:p>
    <w:p w14:paraId="1384845F">
      <w:pPr>
        <w:rPr>
          <w:rFonts w:hint="eastAsia" w:ascii="宋体" w:hAnsi="宋体" w:cs="宋体"/>
          <w:color w:val="auto"/>
          <w:sz w:val="32"/>
          <w:szCs w:val="32"/>
          <w:highlight w:val="none"/>
        </w:rPr>
      </w:pPr>
      <w:r>
        <w:rPr>
          <w:rFonts w:hint="eastAsia" w:ascii="宋体" w:hAnsi="宋体" w:cs="宋体"/>
          <w:color w:val="auto"/>
          <w:sz w:val="32"/>
          <w:szCs w:val="32"/>
          <w:highlight w:val="none"/>
        </w:rPr>
        <w:t>二、法定代表人资格证明或授权委托书</w:t>
      </w:r>
    </w:p>
    <w:p w14:paraId="456CCC8B">
      <w:pPr>
        <w:rPr>
          <w:rFonts w:hint="eastAsia" w:ascii="宋体" w:hAnsi="宋体" w:cs="宋体"/>
          <w:color w:val="auto"/>
          <w:sz w:val="32"/>
          <w:szCs w:val="32"/>
          <w:highlight w:val="none"/>
        </w:rPr>
      </w:pPr>
      <w:r>
        <w:rPr>
          <w:rFonts w:hint="eastAsia" w:ascii="宋体" w:hAnsi="宋体" w:cs="宋体"/>
          <w:color w:val="auto"/>
          <w:sz w:val="32"/>
          <w:szCs w:val="32"/>
          <w:highlight w:val="none"/>
        </w:rPr>
        <w:t>三、供应商基本情况和资格证明材料</w:t>
      </w:r>
    </w:p>
    <w:p w14:paraId="6825FCD1">
      <w:pPr>
        <w:rPr>
          <w:rFonts w:hint="eastAsia" w:ascii="宋体" w:hAnsi="宋体" w:cs="宋体"/>
          <w:color w:val="auto"/>
          <w:sz w:val="32"/>
          <w:szCs w:val="32"/>
          <w:highlight w:val="none"/>
        </w:rPr>
      </w:pPr>
      <w:r>
        <w:rPr>
          <w:rFonts w:hint="eastAsia" w:ascii="宋体" w:hAnsi="宋体" w:cs="宋体"/>
          <w:color w:val="auto"/>
          <w:sz w:val="32"/>
          <w:szCs w:val="32"/>
          <w:highlight w:val="none"/>
        </w:rPr>
        <w:t>四、投标内容及报价明细表</w:t>
      </w:r>
    </w:p>
    <w:p w14:paraId="4207666B">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五、</w:t>
      </w:r>
      <w:r>
        <w:rPr>
          <w:rFonts w:hint="eastAsia" w:ascii="宋体" w:hAnsi="宋体" w:cs="宋体"/>
          <w:color w:val="auto"/>
          <w:sz w:val="32"/>
          <w:szCs w:val="32"/>
          <w:highlight w:val="none"/>
          <w:lang w:val="en-US" w:eastAsia="zh-CN"/>
        </w:rPr>
        <w:t>技术及商务偏差表</w:t>
      </w:r>
    </w:p>
    <w:p w14:paraId="4C3537F6">
      <w:pP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企业业绩</w:t>
      </w:r>
    </w:p>
    <w:p w14:paraId="4D4E48E2">
      <w:pP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七</w:t>
      </w:r>
      <w:r>
        <w:rPr>
          <w:rFonts w:hint="eastAsia" w:ascii="宋体" w:hAnsi="宋体" w:cs="宋体"/>
          <w:color w:val="auto"/>
          <w:sz w:val="32"/>
          <w:szCs w:val="32"/>
          <w:highlight w:val="none"/>
        </w:rPr>
        <w:t>、企业实力</w:t>
      </w:r>
    </w:p>
    <w:p w14:paraId="17A70112">
      <w:pP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八</w:t>
      </w:r>
      <w:r>
        <w:rPr>
          <w:rFonts w:hint="eastAsia" w:ascii="宋体" w:hAnsi="宋体" w:cs="宋体"/>
          <w:color w:val="auto"/>
          <w:sz w:val="32"/>
          <w:szCs w:val="32"/>
          <w:highlight w:val="none"/>
        </w:rPr>
        <w:t>、售后服务方案</w:t>
      </w:r>
    </w:p>
    <w:p w14:paraId="241E49FC">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九</w:t>
      </w:r>
      <w:r>
        <w:rPr>
          <w:rFonts w:hint="eastAsia" w:ascii="宋体" w:hAnsi="宋体" w:cs="宋体"/>
          <w:color w:val="auto"/>
          <w:sz w:val="32"/>
          <w:szCs w:val="32"/>
          <w:highlight w:val="none"/>
        </w:rPr>
        <w:t>、</w:t>
      </w:r>
      <w:r>
        <w:rPr>
          <w:rFonts w:hint="eastAsia" w:ascii="宋体" w:hAnsi="宋体" w:cs="宋体"/>
          <w:color w:val="auto"/>
          <w:sz w:val="32"/>
          <w:szCs w:val="32"/>
          <w:highlight w:val="none"/>
          <w:lang w:val="en-US" w:eastAsia="zh-CN"/>
        </w:rPr>
        <w:t>优先采购</w:t>
      </w:r>
    </w:p>
    <w:p w14:paraId="29BBECB7">
      <w:pPr>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十</w:t>
      </w:r>
      <w:r>
        <w:rPr>
          <w:rFonts w:hint="eastAsia" w:ascii="宋体" w:hAnsi="宋体" w:cs="宋体"/>
          <w:color w:val="auto"/>
          <w:sz w:val="32"/>
          <w:szCs w:val="32"/>
          <w:highlight w:val="none"/>
        </w:rPr>
        <w:t>、技术人员力量</w:t>
      </w:r>
    </w:p>
    <w:p w14:paraId="208B347A">
      <w:pPr>
        <w:rPr>
          <w:rFonts w:hint="eastAsia" w:ascii="宋体" w:hAnsi="宋体" w:cs="宋体"/>
          <w:color w:val="auto"/>
          <w:sz w:val="32"/>
          <w:szCs w:val="32"/>
          <w:highlight w:val="none"/>
        </w:rPr>
      </w:pPr>
      <w:r>
        <w:rPr>
          <w:rFonts w:hint="eastAsia" w:ascii="宋体" w:hAnsi="宋体" w:cs="宋体"/>
          <w:color w:val="auto"/>
          <w:sz w:val="32"/>
          <w:szCs w:val="32"/>
          <w:highlight w:val="none"/>
        </w:rPr>
        <w:t>十</w:t>
      </w:r>
      <w:r>
        <w:rPr>
          <w:rFonts w:hint="eastAsia" w:ascii="宋体" w:hAnsi="宋体" w:cs="宋体"/>
          <w:color w:val="auto"/>
          <w:sz w:val="32"/>
          <w:szCs w:val="32"/>
          <w:highlight w:val="none"/>
          <w:lang w:val="en-US" w:eastAsia="zh-CN"/>
        </w:rPr>
        <w:t>一</w:t>
      </w:r>
      <w:r>
        <w:rPr>
          <w:rFonts w:hint="eastAsia" w:ascii="宋体" w:hAnsi="宋体" w:cs="宋体"/>
          <w:color w:val="auto"/>
          <w:sz w:val="32"/>
          <w:szCs w:val="32"/>
          <w:highlight w:val="none"/>
        </w:rPr>
        <w:t>、</w:t>
      </w:r>
      <w:r>
        <w:rPr>
          <w:rFonts w:hint="eastAsia" w:ascii="宋体" w:hAnsi="宋体" w:cs="宋体"/>
          <w:color w:val="auto"/>
          <w:sz w:val="32"/>
          <w:szCs w:val="32"/>
          <w:highlight w:val="none"/>
          <w:lang w:eastAsia="zh-CN"/>
        </w:rPr>
        <w:t>项目负责人</w:t>
      </w:r>
      <w:r>
        <w:rPr>
          <w:rFonts w:hint="eastAsia" w:ascii="宋体" w:hAnsi="宋体" w:cs="宋体"/>
          <w:color w:val="auto"/>
          <w:sz w:val="32"/>
          <w:szCs w:val="32"/>
          <w:highlight w:val="none"/>
        </w:rPr>
        <w:t>经验</w:t>
      </w:r>
    </w:p>
    <w:p w14:paraId="5965821E">
      <w:pPr>
        <w:rPr>
          <w:rFonts w:hint="eastAsia" w:ascii="宋体" w:hAnsi="宋体" w:cs="宋体"/>
          <w:color w:val="auto"/>
          <w:sz w:val="32"/>
          <w:szCs w:val="32"/>
          <w:highlight w:val="none"/>
        </w:rPr>
      </w:pPr>
      <w:r>
        <w:rPr>
          <w:rFonts w:hint="eastAsia" w:ascii="宋体" w:hAnsi="宋体" w:cs="宋体"/>
          <w:color w:val="auto"/>
          <w:sz w:val="32"/>
          <w:szCs w:val="32"/>
          <w:highlight w:val="none"/>
        </w:rPr>
        <w:t>十</w:t>
      </w:r>
      <w:r>
        <w:rPr>
          <w:rFonts w:hint="eastAsia" w:ascii="宋体" w:hAnsi="宋体" w:cs="宋体"/>
          <w:color w:val="auto"/>
          <w:sz w:val="32"/>
          <w:szCs w:val="32"/>
          <w:highlight w:val="none"/>
          <w:lang w:val="en-US" w:eastAsia="zh-CN"/>
        </w:rPr>
        <w:t>二</w:t>
      </w:r>
      <w:r>
        <w:rPr>
          <w:rFonts w:hint="eastAsia" w:ascii="宋体" w:hAnsi="宋体" w:cs="宋体"/>
          <w:color w:val="auto"/>
          <w:sz w:val="32"/>
          <w:szCs w:val="32"/>
          <w:highlight w:val="none"/>
        </w:rPr>
        <w:t>、项目实施方案</w:t>
      </w:r>
    </w:p>
    <w:p w14:paraId="5A5E9639">
      <w:pPr>
        <w:rPr>
          <w:rFonts w:hint="eastAsia" w:ascii="宋体" w:hAnsi="宋体" w:cs="宋体"/>
          <w:color w:val="auto"/>
          <w:sz w:val="32"/>
          <w:szCs w:val="32"/>
          <w:highlight w:val="none"/>
        </w:rPr>
      </w:pPr>
      <w:r>
        <w:rPr>
          <w:rFonts w:hint="eastAsia" w:ascii="宋体" w:hAnsi="宋体" w:cs="宋体"/>
          <w:color w:val="auto"/>
          <w:sz w:val="32"/>
          <w:szCs w:val="32"/>
          <w:highlight w:val="none"/>
        </w:rPr>
        <w:t>十</w:t>
      </w:r>
      <w:r>
        <w:rPr>
          <w:rFonts w:hint="eastAsia" w:ascii="宋体" w:hAnsi="宋体" w:cs="宋体"/>
          <w:color w:val="auto"/>
          <w:sz w:val="32"/>
          <w:szCs w:val="32"/>
          <w:highlight w:val="none"/>
          <w:lang w:val="en-US" w:eastAsia="zh-CN"/>
        </w:rPr>
        <w:t>三</w:t>
      </w:r>
      <w:r>
        <w:rPr>
          <w:rFonts w:hint="eastAsia" w:ascii="宋体" w:hAnsi="宋体" w:cs="宋体"/>
          <w:color w:val="auto"/>
          <w:sz w:val="32"/>
          <w:szCs w:val="32"/>
          <w:highlight w:val="none"/>
        </w:rPr>
        <w:t>、备品备件及附送工具清单</w:t>
      </w:r>
    </w:p>
    <w:p w14:paraId="754E457D">
      <w:pPr>
        <w:pStyle w:val="2"/>
        <w:rPr>
          <w:rFonts w:hint="eastAsia" w:ascii="宋体" w:hAnsi="宋体" w:cs="宋体"/>
          <w:color w:val="auto"/>
          <w:sz w:val="32"/>
          <w:szCs w:val="32"/>
          <w:highlight w:val="none"/>
        </w:rPr>
      </w:pPr>
      <w:r>
        <w:rPr>
          <w:rFonts w:hint="eastAsia" w:ascii="宋体" w:hAnsi="宋体" w:cs="宋体"/>
          <w:color w:val="auto"/>
          <w:sz w:val="32"/>
          <w:szCs w:val="32"/>
          <w:highlight w:val="none"/>
          <w:lang w:val="en-US" w:eastAsia="zh-CN"/>
        </w:rPr>
        <w:t>十四、</w:t>
      </w:r>
      <w:r>
        <w:rPr>
          <w:rFonts w:hint="eastAsia" w:ascii="宋体" w:hAnsi="宋体" w:cs="宋体"/>
          <w:color w:val="auto"/>
          <w:sz w:val="32"/>
          <w:szCs w:val="32"/>
          <w:highlight w:val="none"/>
        </w:rPr>
        <w:t>相关证明材料</w:t>
      </w:r>
    </w:p>
    <w:p w14:paraId="7C97DFFC">
      <w:pPr>
        <w:pStyle w:val="2"/>
        <w:ind w:firstLine="960" w:firstLineChars="30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（一） 承诺函</w:t>
      </w:r>
    </w:p>
    <w:p w14:paraId="3882C869">
      <w:pPr>
        <w:rPr>
          <w:rFonts w:ascii="宋体" w:hAnsi="宋体"/>
          <w:color w:val="auto"/>
          <w:sz w:val="32"/>
          <w:szCs w:val="32"/>
          <w:highlight w:val="none"/>
        </w:rPr>
      </w:pPr>
    </w:p>
    <w:p w14:paraId="61E80FF1">
      <w:pPr>
        <w:topLinePunct/>
        <w:spacing w:line="440" w:lineRule="exact"/>
        <w:jc w:val="center"/>
        <w:rPr>
          <w:rFonts w:ascii="宋体" w:hAnsi="宋体" w:cs="仿宋_GB2312"/>
          <w:b/>
          <w:bCs/>
          <w:color w:val="auto"/>
          <w:sz w:val="44"/>
          <w:szCs w:val="44"/>
          <w:highlight w:val="none"/>
        </w:rPr>
      </w:pPr>
      <w:r>
        <w:rPr>
          <w:rFonts w:ascii="宋体" w:hAnsi="宋体"/>
          <w:color w:val="auto"/>
          <w:kern w:val="44"/>
          <w:sz w:val="44"/>
          <w:szCs w:val="44"/>
          <w:highlight w:val="none"/>
        </w:rPr>
        <w:br w:type="page"/>
      </w:r>
      <w:bookmarkStart w:id="714" w:name="_Toc338840463"/>
      <w:bookmarkStart w:id="715" w:name="_Toc338840254"/>
      <w:bookmarkStart w:id="716" w:name="_Toc338840502"/>
      <w:r>
        <w:rPr>
          <w:rFonts w:hint="eastAsia" w:ascii="宋体" w:hAnsi="宋体" w:cs="仿宋_GB2312"/>
          <w:b/>
          <w:bCs/>
          <w:color w:val="auto"/>
          <w:sz w:val="44"/>
          <w:szCs w:val="44"/>
          <w:highlight w:val="none"/>
        </w:rPr>
        <w:t>一　　投 标 函</w:t>
      </w:r>
      <w:bookmarkEnd w:id="714"/>
      <w:bookmarkEnd w:id="715"/>
      <w:bookmarkEnd w:id="716"/>
    </w:p>
    <w:p w14:paraId="1B2EA58D">
      <w:pPr>
        <w:topLinePunct/>
        <w:spacing w:line="440" w:lineRule="exact"/>
        <w:rPr>
          <w:rFonts w:ascii="宋体" w:hAnsi="宋体" w:cs="仿宋_GB2312"/>
          <w:color w:val="auto"/>
          <w:sz w:val="32"/>
          <w:szCs w:val="32"/>
          <w:highlight w:val="none"/>
        </w:rPr>
      </w:pPr>
    </w:p>
    <w:p w14:paraId="6369EF9B">
      <w:pPr>
        <w:topLinePunct/>
        <w:rPr>
          <w:rFonts w:ascii="宋体" w:hAnsi="宋体" w:cs="宋体"/>
          <w:color w:val="auto"/>
          <w:sz w:val="32"/>
          <w:szCs w:val="32"/>
          <w:highlight w:val="none"/>
        </w:rPr>
      </w:pPr>
      <w:bookmarkStart w:id="717" w:name="_Toc288115087"/>
      <w:bookmarkStart w:id="718" w:name="_Toc288115062"/>
      <w:r>
        <w:rPr>
          <w:rFonts w:hint="eastAsia" w:ascii="宋体" w:hAnsi="宋体" w:cs="宋体"/>
          <w:color w:val="auto"/>
          <w:sz w:val="32"/>
          <w:szCs w:val="32"/>
          <w:highlight w:val="none"/>
        </w:rPr>
        <w:t>致：开封市政府采购中心</w:t>
      </w:r>
    </w:p>
    <w:p w14:paraId="5D862AEF">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我方已仔细研究了</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）招标文件的全部内容，愿按照招标文件中的条款和要求提供招标产品和服务，并承诺以下内容：</w:t>
      </w:r>
    </w:p>
    <w:p w14:paraId="20317A0C">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元</w:t>
      </w:r>
      <w:r>
        <w:rPr>
          <w:rFonts w:hint="eastAsia" w:ascii="宋体" w:hAnsi="宋体" w:cs="宋体"/>
          <w:color w:val="auto"/>
          <w:sz w:val="32"/>
          <w:szCs w:val="32"/>
          <w:highlight w:val="none"/>
        </w:rPr>
        <w:t>）。</w:t>
      </w:r>
    </w:p>
    <w:p w14:paraId="6AC8EB1B">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完成项目全部工作。</w:t>
      </w:r>
    </w:p>
    <w:p w14:paraId="1A2FC432">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0D1B15FE">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308D90D0">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128C45C4">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年</w:t>
      </w:r>
      <w:r>
        <w:rPr>
          <w:rFonts w:hint="eastAsia" w:ascii="宋体" w:hAnsi="宋体" w:cs="宋体"/>
          <w:color w:val="auto"/>
          <w:sz w:val="32"/>
          <w:szCs w:val="32"/>
          <w:highlight w:val="none"/>
        </w:rPr>
        <w:t>。</w:t>
      </w:r>
    </w:p>
    <w:p w14:paraId="056D5BB8">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lang w:eastAsia="zh-CN"/>
        </w:rPr>
        <w:t>项目负责人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；证书编号：</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614DCE51">
      <w:pPr>
        <w:numPr>
          <w:ilvl w:val="0"/>
          <w:numId w:val="53"/>
        </w:numPr>
        <w:topLinePunct/>
        <w:ind w:firstLine="419" w:firstLineChars="131"/>
        <w:rPr>
          <w:rFonts w:ascii="宋体" w:hAnsi="宋体" w:cs="宋体"/>
          <w:color w:val="auto"/>
          <w:sz w:val="32"/>
          <w:szCs w:val="32"/>
          <w:highlight w:val="none"/>
        </w:rPr>
      </w:pPr>
      <w:r>
        <w:rPr>
          <w:rFonts w:hint="eastAsia" w:ascii="宋体" w:hAnsi="宋体" w:cs="宋体"/>
          <w:color w:val="auto"/>
          <w:sz w:val="32"/>
          <w:szCs w:val="32"/>
          <w:highlight w:val="none"/>
        </w:rPr>
        <w:t>我方的澄清、说明、补充或</w:t>
      </w:r>
      <w:r>
        <w:rPr>
          <w:rFonts w:hint="eastAsia" w:ascii="宋体" w:hAnsi="宋体" w:cs="仿宋_GB2312"/>
          <w:color w:val="auto"/>
          <w:sz w:val="32"/>
          <w:szCs w:val="32"/>
          <w:highlight w:val="none"/>
        </w:rPr>
        <w:t>变更内容为投标文件有效组成部分。投标文件正文内容与本函不一致的，以本函为准。</w:t>
      </w:r>
    </w:p>
    <w:p w14:paraId="47CAFCCC">
      <w:pPr>
        <w:numPr>
          <w:ilvl w:val="0"/>
          <w:numId w:val="53"/>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如对招标文件有不明确及误解，且没有在规定时间前按要求向贵方提出，在开标时间以后我方不再有对招标文件提出质疑的权利，并自行承担由此造成的全部责任及后果。</w:t>
      </w:r>
    </w:p>
    <w:p w14:paraId="2904AB49">
      <w:pPr>
        <w:numPr>
          <w:ilvl w:val="0"/>
          <w:numId w:val="53"/>
        </w:numPr>
        <w:topLinePunct/>
        <w:ind w:firstLine="419" w:firstLineChars="131"/>
        <w:rPr>
          <w:rFonts w:ascii="宋体" w:hAnsi="宋体" w:cs="仿宋_GB2312"/>
          <w:color w:val="auto"/>
          <w:sz w:val="32"/>
          <w:szCs w:val="32"/>
          <w:highlight w:val="none"/>
        </w:rPr>
      </w:pPr>
      <w:r>
        <w:rPr>
          <w:rFonts w:hint="eastAsia" w:ascii="宋体" w:hAnsi="宋体" w:cs="仿宋_GB2312"/>
          <w:color w:val="auto"/>
          <w:sz w:val="32"/>
          <w:szCs w:val="32"/>
          <w:highlight w:val="none"/>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14:paraId="52046297">
      <w:pPr>
        <w:numPr>
          <w:ilvl w:val="0"/>
          <w:numId w:val="53"/>
        </w:numPr>
        <w:topLinePunct/>
        <w:ind w:firstLine="419" w:firstLineChars="131"/>
        <w:rPr>
          <w:rFonts w:ascii="宋体" w:hAnsi="宋体" w:cs="宋体"/>
          <w:color w:val="auto"/>
          <w:sz w:val="32"/>
          <w:szCs w:val="32"/>
          <w:highlight w:val="none"/>
        </w:rPr>
      </w:pPr>
      <w:r>
        <w:rPr>
          <w:rFonts w:ascii="宋体" w:hAnsi="宋体" w:cs="宋体"/>
          <w:color w:val="auto"/>
          <w:sz w:val="32"/>
          <w:szCs w:val="32"/>
          <w:highlight w:val="none"/>
        </w:rPr>
        <w:t>……</w:t>
      </w:r>
    </w:p>
    <w:p w14:paraId="4254AAC0">
      <w:pPr>
        <w:topLinePunct/>
        <w:ind w:firstLine="640" w:firstLineChars="200"/>
        <w:rPr>
          <w:rFonts w:ascii="宋体" w:hAnsi="宋体" w:cs="宋体"/>
          <w:color w:val="auto"/>
          <w:sz w:val="32"/>
          <w:szCs w:val="32"/>
          <w:highlight w:val="none"/>
        </w:rPr>
      </w:pPr>
    </w:p>
    <w:p w14:paraId="7C3EE6E4">
      <w:pPr>
        <w:topLinePunct/>
        <w:rPr>
          <w:rFonts w:ascii="宋体" w:hAnsi="宋体" w:cs="宋体"/>
          <w:color w:val="auto"/>
          <w:sz w:val="32"/>
          <w:szCs w:val="32"/>
          <w:highlight w:val="none"/>
        </w:rPr>
      </w:pPr>
    </w:p>
    <w:p w14:paraId="740086AA">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2997A6A4">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4B756B69">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20B6487A">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343A4706">
      <w:pPr>
        <w:rPr>
          <w:rFonts w:ascii="宋体" w:hAnsi="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bookmarkStart w:id="719" w:name="_Toc338840504"/>
      <w:bookmarkStart w:id="720" w:name="_Toc338840465"/>
      <w:bookmarkStart w:id="721" w:name="_Toc338840256"/>
      <w:r>
        <w:rPr>
          <w:rFonts w:hint="eastAsia" w:ascii="宋体" w:hAnsi="宋体"/>
          <w:color w:val="auto"/>
          <w:sz w:val="44"/>
          <w:szCs w:val="44"/>
          <w:highlight w:val="none"/>
        </w:rPr>
        <w:t xml:space="preserve">  </w:t>
      </w:r>
      <w:r>
        <w:rPr>
          <w:rFonts w:hint="eastAsia" w:ascii="宋体" w:hAnsi="宋体"/>
          <w:b/>
          <w:color w:val="auto"/>
          <w:kern w:val="44"/>
          <w:sz w:val="44"/>
          <w:szCs w:val="44"/>
          <w:highlight w:val="none"/>
        </w:rPr>
        <w:t>二　法定代表人（负责人）资格证明</w:t>
      </w:r>
      <w:bookmarkEnd w:id="719"/>
      <w:bookmarkEnd w:id="720"/>
      <w:bookmarkEnd w:id="721"/>
    </w:p>
    <w:p w14:paraId="0DFD0395">
      <w:pPr>
        <w:jc w:val="center"/>
        <w:rPr>
          <w:rFonts w:ascii="宋体" w:hAnsi="宋体"/>
          <w:color w:val="auto"/>
          <w:kern w:val="0"/>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法定代表人投标时提供</w:t>
      </w:r>
      <w:r>
        <w:rPr>
          <w:rFonts w:ascii="宋体" w:hAnsi="宋体"/>
          <w:color w:val="auto"/>
          <w:kern w:val="0"/>
          <w:szCs w:val="21"/>
          <w:highlight w:val="none"/>
        </w:rPr>
        <w:t>）</w:t>
      </w:r>
    </w:p>
    <w:p w14:paraId="2223CC8D">
      <w:pPr>
        <w:jc w:val="center"/>
        <w:rPr>
          <w:rFonts w:ascii="宋体" w:hAnsi="宋体"/>
          <w:bCs/>
          <w:color w:val="auto"/>
          <w:sz w:val="32"/>
          <w:szCs w:val="32"/>
          <w:highlight w:val="none"/>
        </w:rPr>
      </w:pPr>
    </w:p>
    <w:p w14:paraId="2A656DE2">
      <w:pPr>
        <w:ind w:firstLine="640" w:firstLineChars="200"/>
        <w:rPr>
          <w:rFonts w:ascii="宋体" w:hAnsi="宋体"/>
          <w:color w:val="auto"/>
          <w:sz w:val="32"/>
          <w:szCs w:val="32"/>
          <w:highlight w:val="none"/>
          <w:u w:val="single"/>
        </w:rPr>
      </w:pPr>
      <w:bookmarkStart w:id="722" w:name="_Toc288114460"/>
      <w:r>
        <w:rPr>
          <w:rFonts w:hint="eastAsia" w:ascii="宋体" w:hAnsi="宋体"/>
          <w:color w:val="auto"/>
          <w:sz w:val="32"/>
          <w:szCs w:val="32"/>
          <w:highlight w:val="none"/>
        </w:rPr>
        <w:t>供应商名称：</w:t>
      </w:r>
      <w:bookmarkEnd w:id="722"/>
      <w:r>
        <w:rPr>
          <w:rFonts w:hint="eastAsia" w:ascii="宋体" w:hAnsi="宋体"/>
          <w:color w:val="auto"/>
          <w:sz w:val="32"/>
          <w:szCs w:val="32"/>
          <w:highlight w:val="none"/>
          <w:u w:val="single"/>
        </w:rPr>
        <w:t xml:space="preserve">                            </w:t>
      </w:r>
    </w:p>
    <w:p w14:paraId="44573973">
      <w:pPr>
        <w:ind w:firstLine="640" w:firstLineChars="200"/>
        <w:rPr>
          <w:rFonts w:ascii="宋体" w:hAnsi="宋体"/>
          <w:color w:val="auto"/>
          <w:sz w:val="32"/>
          <w:szCs w:val="32"/>
          <w:highlight w:val="none"/>
        </w:rPr>
      </w:pPr>
      <w:r>
        <w:rPr>
          <w:rFonts w:ascii="宋体" w:hAnsi="宋体"/>
          <w:color w:val="auto"/>
          <w:sz w:val="32"/>
          <w:szCs w:val="32"/>
          <w:highlight w:val="none"/>
        </w:rPr>
        <w:t>单位性质：</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623A1F74">
      <w:pPr>
        <w:ind w:firstLine="640" w:firstLineChars="200"/>
        <w:rPr>
          <w:rFonts w:ascii="宋体" w:hAnsi="宋体"/>
          <w:color w:val="auto"/>
          <w:sz w:val="32"/>
          <w:szCs w:val="32"/>
          <w:highlight w:val="none"/>
        </w:rPr>
      </w:pPr>
      <w:r>
        <w:rPr>
          <w:rFonts w:ascii="宋体" w:hAnsi="宋体"/>
          <w:color w:val="auto"/>
          <w:sz w:val="32"/>
          <w:szCs w:val="32"/>
          <w:highlight w:val="none"/>
        </w:rPr>
        <w:t>地址：</w:t>
      </w:r>
      <w:r>
        <w:rPr>
          <w:rFonts w:ascii="宋体" w:hAnsi="宋体"/>
          <w:color w:val="auto"/>
          <w:sz w:val="32"/>
          <w:szCs w:val="32"/>
          <w:highlight w:val="none"/>
          <w:u w:val="single"/>
        </w:rPr>
        <w:t xml:space="preserve">                                   </w:t>
      </w:r>
    </w:p>
    <w:p w14:paraId="070B1581">
      <w:pPr>
        <w:ind w:firstLine="640" w:firstLineChars="200"/>
        <w:rPr>
          <w:rFonts w:ascii="宋体" w:hAnsi="宋体"/>
          <w:color w:val="auto"/>
          <w:sz w:val="32"/>
          <w:szCs w:val="32"/>
          <w:highlight w:val="none"/>
        </w:rPr>
      </w:pPr>
      <w:r>
        <w:rPr>
          <w:rFonts w:ascii="宋体" w:hAnsi="宋体"/>
          <w:color w:val="auto"/>
          <w:sz w:val="32"/>
          <w:szCs w:val="32"/>
          <w:highlight w:val="none"/>
        </w:rPr>
        <w:t>成立时间：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年</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月</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日</w:t>
      </w:r>
    </w:p>
    <w:p w14:paraId="1C7A84A2">
      <w:pPr>
        <w:ind w:firstLine="640" w:firstLineChars="200"/>
        <w:rPr>
          <w:rFonts w:ascii="宋体" w:hAnsi="宋体"/>
          <w:color w:val="auto"/>
          <w:sz w:val="32"/>
          <w:szCs w:val="32"/>
          <w:highlight w:val="none"/>
        </w:rPr>
      </w:pPr>
      <w:r>
        <w:rPr>
          <w:rFonts w:ascii="宋体" w:hAnsi="宋体"/>
          <w:color w:val="auto"/>
          <w:sz w:val="32"/>
          <w:szCs w:val="32"/>
          <w:highlight w:val="none"/>
        </w:rPr>
        <w:t>经营期限：</w:t>
      </w:r>
      <w:r>
        <w:rPr>
          <w:rFonts w:ascii="宋体" w:hAnsi="宋体"/>
          <w:color w:val="auto"/>
          <w:sz w:val="32"/>
          <w:szCs w:val="32"/>
          <w:highlight w:val="none"/>
          <w:u w:val="single"/>
        </w:rPr>
        <w:t xml:space="preserve">                               </w:t>
      </w:r>
    </w:p>
    <w:p w14:paraId="043FA0AB">
      <w:pPr>
        <w:ind w:firstLine="640" w:firstLineChars="200"/>
        <w:rPr>
          <w:rFonts w:ascii="宋体" w:hAnsi="宋体"/>
          <w:color w:val="auto"/>
          <w:sz w:val="32"/>
          <w:szCs w:val="32"/>
          <w:highlight w:val="none"/>
        </w:rPr>
      </w:pPr>
      <w:bookmarkStart w:id="723" w:name="_Toc288114465"/>
      <w:r>
        <w:rPr>
          <w:rFonts w:hint="eastAsia" w:ascii="宋体" w:hAnsi="宋体"/>
          <w:color w:val="auto"/>
          <w:sz w:val="32"/>
          <w:szCs w:val="32"/>
          <w:highlight w:val="none"/>
        </w:rPr>
        <w:t>姓名：</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性别：</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年龄：</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职务：</w:t>
      </w:r>
      <w:bookmarkEnd w:id="723"/>
      <w:r>
        <w:rPr>
          <w:rFonts w:hint="eastAsia" w:ascii="宋体" w:hAnsi="宋体"/>
          <w:color w:val="auto"/>
          <w:sz w:val="32"/>
          <w:szCs w:val="32"/>
          <w:highlight w:val="none"/>
          <w:u w:val="single"/>
        </w:rPr>
        <w:t xml:space="preserve">      </w:t>
      </w:r>
      <w:bookmarkStart w:id="724" w:name="_Toc288114466"/>
      <w:r>
        <w:rPr>
          <w:rFonts w:hint="eastAsia" w:ascii="宋体" w:hAnsi="宋体"/>
          <w:color w:val="auto"/>
          <w:sz w:val="32"/>
          <w:szCs w:val="32"/>
          <w:highlight w:val="none"/>
        </w:rPr>
        <w:t>（身份证号：</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（投标单位名称）的法定代表人（单位负责人）。</w:t>
      </w:r>
      <w:bookmarkEnd w:id="724"/>
    </w:p>
    <w:p w14:paraId="21124BEB">
      <w:pPr>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    </w:t>
      </w:r>
      <w:bookmarkStart w:id="725" w:name="_Toc288114467"/>
      <w:r>
        <w:rPr>
          <w:rFonts w:hint="eastAsia" w:ascii="宋体" w:hAnsi="宋体"/>
          <w:color w:val="auto"/>
          <w:sz w:val="32"/>
          <w:szCs w:val="32"/>
          <w:highlight w:val="none"/>
        </w:rPr>
        <w:t>特此证明。</w:t>
      </w:r>
      <w:bookmarkEnd w:id="725"/>
    </w:p>
    <w:p w14:paraId="0992C398">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97A2631">
      <w:pPr>
        <w:rPr>
          <w:rFonts w:ascii="宋体" w:hAnsi="宋体"/>
          <w:color w:val="auto"/>
          <w:sz w:val="32"/>
          <w:szCs w:val="32"/>
          <w:highlight w:val="none"/>
        </w:rPr>
      </w:pPr>
    </w:p>
    <w:p w14:paraId="2EA297EC">
      <w:pPr>
        <w:rPr>
          <w:rFonts w:ascii="宋体" w:hAnsi="宋体"/>
          <w:color w:val="auto"/>
          <w:sz w:val="32"/>
          <w:szCs w:val="32"/>
          <w:highlight w:val="none"/>
        </w:rPr>
      </w:pPr>
    </w:p>
    <w:p w14:paraId="27C8912C">
      <w:pPr>
        <w:rPr>
          <w:rFonts w:ascii="宋体" w:hAnsi="宋体"/>
          <w:color w:val="auto"/>
          <w:sz w:val="32"/>
          <w:szCs w:val="32"/>
          <w:highlight w:val="none"/>
        </w:rPr>
      </w:pPr>
    </w:p>
    <w:p w14:paraId="40B9FAE5">
      <w:pPr>
        <w:rPr>
          <w:rFonts w:ascii="宋体" w:hAnsi="宋体"/>
          <w:color w:val="auto"/>
          <w:sz w:val="32"/>
          <w:szCs w:val="32"/>
          <w:highlight w:val="none"/>
        </w:rPr>
      </w:pPr>
    </w:p>
    <w:p w14:paraId="4682D5C2">
      <w:pPr>
        <w:autoSpaceDE w:val="0"/>
        <w:autoSpaceDN w:val="0"/>
        <w:adjustRightInd w:val="0"/>
        <w:jc w:val="left"/>
        <w:rPr>
          <w:rFonts w:ascii="宋体" w:hAnsi="宋体" w:cs="宋体"/>
          <w:color w:val="auto"/>
          <w:kern w:val="0"/>
          <w:sz w:val="24"/>
          <w:highlight w:val="none"/>
        </w:rPr>
      </w:pPr>
    </w:p>
    <w:p w14:paraId="0114AA00">
      <w:pPr>
        <w:rPr>
          <w:rFonts w:ascii="宋体" w:hAnsi="宋体"/>
          <w:color w:val="auto"/>
          <w:sz w:val="32"/>
          <w:szCs w:val="32"/>
          <w:highlight w:val="none"/>
        </w:rPr>
      </w:pPr>
      <w:r>
        <w:rPr>
          <w:rFonts w:hint="eastAsia" w:ascii="宋体" w:hAnsi="宋体"/>
          <w:color w:val="auto"/>
          <w:sz w:val="32"/>
          <w:szCs w:val="32"/>
          <w:highlight w:val="none"/>
        </w:rPr>
        <w:t xml:space="preserve">    </w:t>
      </w:r>
      <w:bookmarkStart w:id="726" w:name="_Toc288114468"/>
      <w:r>
        <w:rPr>
          <w:rFonts w:hint="eastAsia" w:ascii="宋体" w:hAnsi="宋体"/>
          <w:color w:val="auto"/>
          <w:sz w:val="32"/>
          <w:szCs w:val="32"/>
          <w:highlight w:val="none"/>
        </w:rPr>
        <w:t xml:space="preserve">          投标单位（盖单位章）：</w:t>
      </w:r>
      <w:r>
        <w:rPr>
          <w:rFonts w:hint="eastAsia" w:ascii="宋体" w:hAnsi="宋体"/>
          <w:color w:val="auto"/>
          <w:sz w:val="32"/>
          <w:szCs w:val="32"/>
          <w:highlight w:val="none"/>
          <w:u w:val="single"/>
        </w:rPr>
        <w:t xml:space="preserve">           </w:t>
      </w:r>
      <w:bookmarkEnd w:id="726"/>
      <w:r>
        <w:rPr>
          <w:rFonts w:hint="eastAsia" w:ascii="宋体" w:hAnsi="宋体"/>
          <w:color w:val="auto"/>
          <w:sz w:val="32"/>
          <w:szCs w:val="32"/>
          <w:highlight w:val="none"/>
        </w:rPr>
        <w:t xml:space="preserve">    </w:t>
      </w:r>
    </w:p>
    <w:p w14:paraId="7F9C43AD">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27"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27"/>
      <w:bookmarkStart w:id="728" w:name="_Toc289238793"/>
      <w:bookmarkStart w:id="729" w:name="_Toc289182822"/>
      <w:bookmarkStart w:id="730" w:name="_Toc338840257"/>
      <w:bookmarkStart w:id="731" w:name="_Toc338840505"/>
      <w:bookmarkStart w:id="732" w:name="_Toc289096748"/>
      <w:bookmarkStart w:id="733" w:name="_Toc288748133"/>
      <w:bookmarkStart w:id="734" w:name="_Toc338840466"/>
      <w:bookmarkStart w:id="735" w:name="_Toc289241541"/>
      <w:bookmarkStart w:id="736" w:name="_Toc289182444"/>
      <w:bookmarkStart w:id="737" w:name="_Toc289241364"/>
    </w:p>
    <w:p w14:paraId="0A6EA300">
      <w:pPr>
        <w:jc w:val="center"/>
        <w:rPr>
          <w:rFonts w:ascii="宋体" w:hAnsi="宋体"/>
          <w:color w:val="auto"/>
          <w:sz w:val="32"/>
          <w:szCs w:val="32"/>
          <w:highlight w:val="none"/>
        </w:rPr>
      </w:pPr>
      <w:r>
        <w:rPr>
          <w:rFonts w:ascii="宋体" w:hAnsi="宋体"/>
          <w:color w:val="auto"/>
          <w:sz w:val="32"/>
          <w:szCs w:val="32"/>
          <w:highlight w:val="none"/>
        </w:rPr>
        <w:br w:type="page"/>
      </w:r>
      <w:r>
        <w:rPr>
          <w:rFonts w:hint="eastAsia" w:ascii="宋体" w:hAnsi="宋体"/>
          <w:b/>
          <w:bCs/>
          <w:color w:val="auto"/>
          <w:kern w:val="44"/>
          <w:sz w:val="44"/>
          <w:szCs w:val="44"/>
          <w:highlight w:val="none"/>
        </w:rPr>
        <w:t>二　授权委托书</w:t>
      </w:r>
      <w:bookmarkEnd w:id="728"/>
      <w:bookmarkEnd w:id="729"/>
      <w:bookmarkEnd w:id="730"/>
      <w:bookmarkEnd w:id="731"/>
      <w:bookmarkEnd w:id="732"/>
      <w:bookmarkEnd w:id="733"/>
      <w:bookmarkEnd w:id="734"/>
      <w:bookmarkEnd w:id="735"/>
      <w:bookmarkEnd w:id="736"/>
      <w:bookmarkEnd w:id="737"/>
    </w:p>
    <w:p w14:paraId="0CFDE0AC">
      <w:pPr>
        <w:topLinePunct/>
        <w:spacing w:line="440" w:lineRule="exact"/>
        <w:jc w:val="center"/>
        <w:rPr>
          <w:rFonts w:ascii="宋体" w:hAnsi="宋体"/>
          <w:color w:val="auto"/>
          <w:sz w:val="32"/>
          <w:szCs w:val="32"/>
          <w:highlight w:val="none"/>
        </w:rPr>
      </w:pPr>
      <w:r>
        <w:rPr>
          <w:rFonts w:ascii="宋体" w:hAnsi="宋体"/>
          <w:color w:val="auto"/>
          <w:kern w:val="0"/>
          <w:szCs w:val="21"/>
          <w:highlight w:val="none"/>
        </w:rPr>
        <w:t>（</w:t>
      </w:r>
      <w:r>
        <w:rPr>
          <w:rFonts w:hint="eastAsia" w:ascii="宋体" w:hAnsi="宋体"/>
          <w:color w:val="auto"/>
          <w:kern w:val="0"/>
          <w:szCs w:val="21"/>
          <w:highlight w:val="none"/>
        </w:rPr>
        <w:t>法定代表人委托其他人员投标时提供</w:t>
      </w:r>
      <w:r>
        <w:rPr>
          <w:rFonts w:ascii="宋体" w:hAnsi="宋体"/>
          <w:color w:val="auto"/>
          <w:kern w:val="0"/>
          <w:szCs w:val="21"/>
          <w:highlight w:val="none"/>
        </w:rPr>
        <w:t>）</w:t>
      </w:r>
    </w:p>
    <w:p w14:paraId="25FC15F6">
      <w:pPr>
        <w:topLinePunct/>
        <w:spacing w:line="440" w:lineRule="exact"/>
        <w:rPr>
          <w:rFonts w:ascii="宋体" w:hAnsi="宋体"/>
          <w:color w:val="auto"/>
          <w:sz w:val="32"/>
          <w:szCs w:val="32"/>
          <w:highlight w:val="none"/>
        </w:rPr>
      </w:pPr>
    </w:p>
    <w:p w14:paraId="5DFC96B5">
      <w:pPr>
        <w:spacing w:line="600" w:lineRule="exact"/>
        <w:ind w:firstLine="525"/>
        <w:jc w:val="left"/>
        <w:rPr>
          <w:rFonts w:ascii="宋体" w:hAnsi="宋体"/>
          <w:color w:val="auto"/>
          <w:sz w:val="32"/>
          <w:szCs w:val="32"/>
          <w:highlight w:val="none"/>
        </w:rPr>
      </w:pPr>
      <w:bookmarkStart w:id="738" w:name="_Toc338840258"/>
      <w:bookmarkStart w:id="739" w:name="_Toc338840467"/>
      <w:bookmarkStart w:id="740" w:name="_Toc338840506"/>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（投标单位名称）的法定代表人（负责人）。现委托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（姓名）作为我方代理人。代理人根据授权，以我方名义签署、澄清、说明、补正、递交、撤回、修改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）投标文件、签订合同和处理有关事宜，其法律后果由我方承担。</w:t>
      </w:r>
    </w:p>
    <w:p w14:paraId="006E6DAF">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委托期限：</w:t>
      </w:r>
      <w:r>
        <w:rPr>
          <w:rFonts w:hint="eastAsia" w:ascii="宋体" w:hAnsi="宋体"/>
          <w:color w:val="auto"/>
          <w:sz w:val="32"/>
          <w:szCs w:val="32"/>
          <w:highlight w:val="none"/>
          <w:u w:val="single"/>
        </w:rPr>
        <w:t>　　　　　　　</w:t>
      </w:r>
      <w:r>
        <w:rPr>
          <w:rFonts w:hint="eastAsia" w:ascii="宋体" w:hAnsi="宋体"/>
          <w:color w:val="auto"/>
          <w:sz w:val="32"/>
          <w:szCs w:val="32"/>
          <w:highlight w:val="none"/>
        </w:rPr>
        <w:t>。</w:t>
      </w:r>
    </w:p>
    <w:p w14:paraId="5A5F4A7D">
      <w:pPr>
        <w:spacing w:line="600" w:lineRule="exact"/>
        <w:ind w:firstLine="525"/>
        <w:jc w:val="left"/>
        <w:rPr>
          <w:rFonts w:ascii="宋体" w:hAnsi="宋体"/>
          <w:color w:val="auto"/>
          <w:sz w:val="32"/>
          <w:szCs w:val="32"/>
          <w:highlight w:val="none"/>
        </w:rPr>
      </w:pPr>
      <w:r>
        <w:rPr>
          <w:rFonts w:hint="eastAsia" w:ascii="宋体" w:hAnsi="宋体"/>
          <w:color w:val="auto"/>
          <w:sz w:val="32"/>
          <w:szCs w:val="32"/>
          <w:highlight w:val="none"/>
        </w:rPr>
        <w:t>代理人无转委托权。</w:t>
      </w:r>
    </w:p>
    <w:p w14:paraId="03B86140">
      <w:pPr>
        <w:spacing w:line="600" w:lineRule="exact"/>
        <w:ind w:firstLine="525"/>
        <w:jc w:val="left"/>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167376BD">
      <w:pPr>
        <w:spacing w:line="600" w:lineRule="exact"/>
        <w:ind w:firstLine="525"/>
        <w:jc w:val="left"/>
        <w:rPr>
          <w:rFonts w:ascii="宋体" w:hAnsi="宋体"/>
          <w:color w:val="auto"/>
          <w:sz w:val="32"/>
          <w:szCs w:val="32"/>
          <w:highlight w:val="none"/>
        </w:rPr>
      </w:pPr>
    </w:p>
    <w:p w14:paraId="30B333E3">
      <w:pPr>
        <w:spacing w:line="600" w:lineRule="exact"/>
        <w:jc w:val="left"/>
        <w:rPr>
          <w:rFonts w:ascii="宋体" w:hAnsi="宋体"/>
          <w:color w:val="auto"/>
          <w:sz w:val="32"/>
          <w:szCs w:val="32"/>
          <w:highlight w:val="none"/>
        </w:rPr>
      </w:pPr>
    </w:p>
    <w:p w14:paraId="3106E709">
      <w:pPr>
        <w:spacing w:line="600" w:lineRule="exact"/>
        <w:ind w:firstLine="525"/>
        <w:jc w:val="left"/>
        <w:rPr>
          <w:rFonts w:ascii="宋体" w:hAnsi="宋体"/>
          <w:color w:val="auto"/>
          <w:sz w:val="32"/>
          <w:szCs w:val="32"/>
          <w:highlight w:val="none"/>
        </w:rPr>
      </w:pPr>
    </w:p>
    <w:p w14:paraId="17850D28">
      <w:pPr>
        <w:spacing w:line="600" w:lineRule="exact"/>
        <w:ind w:firstLine="1324" w:firstLineChars="414"/>
        <w:jc w:val="left"/>
        <w:rPr>
          <w:rFonts w:ascii="宋体" w:hAnsi="宋体"/>
          <w:color w:val="auto"/>
          <w:sz w:val="32"/>
          <w:szCs w:val="32"/>
          <w:highlight w:val="none"/>
          <w:u w:val="single"/>
        </w:rPr>
      </w:pPr>
      <w:r>
        <w:rPr>
          <w:rFonts w:hint="eastAsia" w:ascii="宋体" w:hAnsi="宋体"/>
          <w:color w:val="auto"/>
          <w:sz w:val="32"/>
          <w:szCs w:val="32"/>
          <w:highlight w:val="none"/>
        </w:rPr>
        <w:t>供应商（盖单位章）：</w:t>
      </w:r>
      <w:r>
        <w:rPr>
          <w:rFonts w:hint="eastAsia" w:ascii="宋体" w:hAnsi="宋体"/>
          <w:color w:val="auto"/>
          <w:sz w:val="32"/>
          <w:szCs w:val="32"/>
          <w:highlight w:val="none"/>
          <w:u w:val="single"/>
        </w:rPr>
        <w:t>　　    　　　   　　　</w:t>
      </w:r>
    </w:p>
    <w:p w14:paraId="556A317D">
      <w:pPr>
        <w:spacing w:line="600" w:lineRule="exact"/>
        <w:ind w:firstLine="1324" w:firstLineChars="414"/>
        <w:jc w:val="left"/>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EF04825">
      <w:pPr>
        <w:spacing w:line="600" w:lineRule="exact"/>
        <w:ind w:firstLine="525"/>
        <w:jc w:val="left"/>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5FF2DD80">
      <w:pPr>
        <w:spacing w:line="600" w:lineRule="exact"/>
        <w:ind w:firstLine="5324" w:firstLineChars="1664"/>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5CA34CFD">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17"/>
      <w:bookmarkEnd w:id="718"/>
      <w:bookmarkEnd w:id="738"/>
      <w:bookmarkEnd w:id="739"/>
      <w:bookmarkEnd w:id="740"/>
      <w:bookmarkStart w:id="741" w:name="_Toc289238787"/>
      <w:bookmarkStart w:id="742" w:name="_Toc338840470"/>
      <w:bookmarkStart w:id="743" w:name="_Toc288748127"/>
      <w:bookmarkStart w:id="744" w:name="_Toc338840509"/>
      <w:bookmarkStart w:id="745" w:name="_Toc289241535"/>
      <w:bookmarkStart w:id="746" w:name="_Toc289182816"/>
      <w:bookmarkStart w:id="747" w:name="_Toc289241358"/>
      <w:bookmarkStart w:id="748" w:name="_Toc338840261"/>
      <w:bookmarkStart w:id="749" w:name="_Toc289182438"/>
      <w:bookmarkStart w:id="750" w:name="_Toc289096742"/>
      <w:r>
        <w:rPr>
          <w:rFonts w:hint="eastAsia" w:ascii="宋体" w:hAnsi="宋体" w:cs="宋体"/>
          <w:b/>
          <w:color w:val="auto"/>
          <w:kern w:val="44"/>
          <w:sz w:val="44"/>
          <w:szCs w:val="44"/>
          <w:highlight w:val="none"/>
        </w:rPr>
        <w:t>供应商基本情况和资格证明材料</w:t>
      </w:r>
    </w:p>
    <w:p w14:paraId="46B02EAF">
      <w:pPr>
        <w:widowControl/>
        <w:spacing w:line="480" w:lineRule="atLeast"/>
        <w:jc w:val="left"/>
        <w:rPr>
          <w:rFonts w:ascii="宋体" w:hAnsi="宋体" w:cs="宋体"/>
          <w:color w:val="auto"/>
          <w:kern w:val="0"/>
          <w:sz w:val="32"/>
          <w:szCs w:val="32"/>
          <w:highlight w:val="none"/>
        </w:rPr>
      </w:pPr>
    </w:p>
    <w:p w14:paraId="72EE3BB8">
      <w:pPr>
        <w:topLinePunct/>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（一）、供应商基本情况表</w:t>
      </w:r>
    </w:p>
    <w:tbl>
      <w:tblPr>
        <w:tblStyle w:val="3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25A08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22E1EFF8">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6DE0F82E">
            <w:pPr>
              <w:topLinePunct/>
              <w:spacing w:line="440" w:lineRule="exact"/>
              <w:jc w:val="center"/>
              <w:rPr>
                <w:rFonts w:ascii="宋体" w:hAnsi="宋体" w:cs="宋体"/>
                <w:color w:val="auto"/>
                <w:sz w:val="32"/>
                <w:szCs w:val="32"/>
                <w:highlight w:val="none"/>
              </w:rPr>
            </w:pPr>
          </w:p>
        </w:tc>
      </w:tr>
      <w:tr w14:paraId="2257FA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EF85A6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6996927F">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830656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509EEC20">
            <w:pPr>
              <w:topLinePunct/>
              <w:spacing w:line="440" w:lineRule="exact"/>
              <w:jc w:val="center"/>
              <w:rPr>
                <w:rFonts w:ascii="宋体" w:hAnsi="宋体" w:cs="宋体"/>
                <w:color w:val="auto"/>
                <w:sz w:val="32"/>
                <w:szCs w:val="32"/>
                <w:highlight w:val="none"/>
              </w:rPr>
            </w:pPr>
          </w:p>
        </w:tc>
      </w:tr>
      <w:tr w14:paraId="0A681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3EC2E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06AD171">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246DC7A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BC9B28A">
            <w:pPr>
              <w:topLinePunct/>
              <w:spacing w:line="440" w:lineRule="exact"/>
              <w:jc w:val="center"/>
              <w:rPr>
                <w:rFonts w:ascii="宋体" w:hAnsi="宋体" w:cs="宋体"/>
                <w:color w:val="auto"/>
                <w:sz w:val="32"/>
                <w:szCs w:val="32"/>
                <w:highlight w:val="none"/>
              </w:rPr>
            </w:pPr>
          </w:p>
        </w:tc>
      </w:tr>
      <w:tr w14:paraId="0800E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0FA005C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52611093">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080A4A80">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A3E7F3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039A5458">
            <w:pPr>
              <w:topLinePunct/>
              <w:spacing w:line="440" w:lineRule="exact"/>
              <w:jc w:val="center"/>
              <w:rPr>
                <w:rFonts w:ascii="宋体" w:hAnsi="宋体" w:cs="宋体"/>
                <w:color w:val="auto"/>
                <w:sz w:val="32"/>
                <w:szCs w:val="32"/>
                <w:highlight w:val="none"/>
              </w:rPr>
            </w:pPr>
          </w:p>
        </w:tc>
      </w:tr>
      <w:tr w14:paraId="0348E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2A6B58B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7E8F7DA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FAFF8B5">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CB706F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78721F06">
            <w:pPr>
              <w:topLinePunct/>
              <w:spacing w:line="440" w:lineRule="exact"/>
              <w:jc w:val="center"/>
              <w:rPr>
                <w:rFonts w:ascii="宋体" w:hAnsi="宋体" w:cs="宋体"/>
                <w:color w:val="auto"/>
                <w:sz w:val="32"/>
                <w:szCs w:val="32"/>
                <w:highlight w:val="none"/>
              </w:rPr>
            </w:pPr>
          </w:p>
        </w:tc>
      </w:tr>
      <w:tr w14:paraId="6FB0E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1338827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F22B1C4">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02FE3A6B">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55DB67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2B4CE0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0A0DF6CE">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588E52C">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0E1EF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554D1383">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2571154">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E3C1457">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519EF5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592D7E5">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3198C156">
            <w:pPr>
              <w:topLinePunct/>
              <w:spacing w:line="440" w:lineRule="exact"/>
              <w:rPr>
                <w:rFonts w:ascii="宋体" w:hAnsi="宋体" w:cs="宋体"/>
                <w:color w:val="auto"/>
                <w:sz w:val="32"/>
                <w:szCs w:val="32"/>
                <w:highlight w:val="none"/>
              </w:rPr>
            </w:pPr>
          </w:p>
        </w:tc>
      </w:tr>
      <w:tr w14:paraId="283345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43FC4D3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6BC23091">
            <w:pPr>
              <w:topLinePunct/>
              <w:spacing w:line="440" w:lineRule="exact"/>
              <w:jc w:val="center"/>
              <w:rPr>
                <w:rFonts w:ascii="宋体" w:hAnsi="宋体" w:cs="宋体"/>
                <w:color w:val="auto"/>
                <w:sz w:val="32"/>
                <w:szCs w:val="32"/>
                <w:highlight w:val="none"/>
              </w:rPr>
            </w:pPr>
          </w:p>
        </w:tc>
      </w:tr>
    </w:tbl>
    <w:p w14:paraId="457E7C59">
      <w:pPr>
        <w:tabs>
          <w:tab w:val="left" w:pos="8280"/>
        </w:tabs>
        <w:spacing w:line="480" w:lineRule="exact"/>
        <w:ind w:right="6"/>
        <w:rPr>
          <w:rFonts w:ascii="宋体" w:hAnsi="宋体" w:cs="宋体"/>
          <w:b/>
          <w:color w:val="auto"/>
          <w:sz w:val="32"/>
          <w:szCs w:val="32"/>
          <w:highlight w:val="none"/>
        </w:rPr>
      </w:pPr>
    </w:p>
    <w:p w14:paraId="47454782">
      <w:pPr>
        <w:numPr>
          <w:ilvl w:val="0"/>
          <w:numId w:val="54"/>
        </w:numPr>
        <w:jc w:val="center"/>
        <w:rPr>
          <w:rFonts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32"/>
          <w:szCs w:val="32"/>
          <w:highlight w:val="none"/>
        </w:rPr>
        <w:t>资格证明材料</w:t>
      </w:r>
    </w:p>
    <w:p w14:paraId="320CC563">
      <w:pPr>
        <w:ind w:left="479" w:leftChars="228" w:firstLine="160" w:firstLineChars="50"/>
        <w:rPr>
          <w:rFonts w:ascii="宋体" w:hAnsi="宋体"/>
          <w:color w:val="auto"/>
          <w:sz w:val="32"/>
          <w:szCs w:val="32"/>
          <w:highlight w:val="none"/>
        </w:rPr>
      </w:pPr>
    </w:p>
    <w:p w14:paraId="5B9C068C">
      <w:pPr>
        <w:pStyle w:val="5"/>
        <w:ind w:left="0" w:leftChars="0" w:firstLine="640" w:firstLineChars="200"/>
        <w:rPr>
          <w:color w:val="auto"/>
          <w:highlight w:val="none"/>
        </w:rPr>
      </w:pPr>
      <w:r>
        <w:rPr>
          <w:rFonts w:hint="eastAsia" w:ascii="宋体" w:hAnsi="宋体"/>
          <w:color w:val="auto"/>
          <w:sz w:val="32"/>
          <w:szCs w:val="32"/>
          <w:highlight w:val="none"/>
        </w:rPr>
        <w:t>说明：</w:t>
      </w:r>
    </w:p>
    <w:p w14:paraId="6F4FA70B">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97AECE3">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2707D7DE">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745CBB84">
      <w:pPr>
        <w:pStyle w:val="34"/>
        <w:spacing w:line="300" w:lineRule="atLeast"/>
        <w:jc w:val="center"/>
        <w:rPr>
          <w:color w:val="auto"/>
          <w:sz w:val="32"/>
          <w:szCs w:val="32"/>
          <w:highlight w:val="none"/>
        </w:rPr>
      </w:pPr>
      <w:r>
        <w:rPr>
          <w:rFonts w:hint="eastAsia"/>
          <w:color w:val="auto"/>
          <w:sz w:val="32"/>
          <w:szCs w:val="32"/>
          <w:highlight w:val="none"/>
        </w:rPr>
        <w:br w:type="page"/>
      </w:r>
    </w:p>
    <w:p w14:paraId="01C04461">
      <w:pPr>
        <w:pStyle w:val="34"/>
        <w:spacing w:line="300" w:lineRule="atLeast"/>
        <w:jc w:val="center"/>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02A3B23">
      <w:pPr>
        <w:spacing w:before="156" w:beforeLines="50" w:after="156" w:afterLines="50" w:line="480" w:lineRule="auto"/>
        <w:rPr>
          <w:rFonts w:ascii="宋体" w:hAnsi="宋体"/>
          <w:color w:val="auto"/>
          <w:sz w:val="32"/>
          <w:szCs w:val="32"/>
          <w:highlight w:val="none"/>
        </w:rPr>
      </w:pPr>
    </w:p>
    <w:p w14:paraId="1BF7D7CF">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49A01B0E">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7FB6EA2F">
      <w:pPr>
        <w:spacing w:before="156" w:beforeLines="50" w:after="156" w:afterLines="50" w:line="480" w:lineRule="auto"/>
        <w:rPr>
          <w:rFonts w:ascii="宋体" w:hAnsi="宋体"/>
          <w:color w:val="auto"/>
          <w:sz w:val="32"/>
          <w:szCs w:val="32"/>
          <w:highlight w:val="none"/>
        </w:rPr>
      </w:pPr>
    </w:p>
    <w:p w14:paraId="65224E7F">
      <w:pPr>
        <w:spacing w:before="156" w:beforeLines="50" w:after="156" w:afterLines="50" w:line="480" w:lineRule="auto"/>
        <w:rPr>
          <w:rFonts w:ascii="宋体" w:hAnsi="宋体"/>
          <w:color w:val="auto"/>
          <w:sz w:val="32"/>
          <w:szCs w:val="32"/>
          <w:highlight w:val="none"/>
        </w:rPr>
      </w:pPr>
    </w:p>
    <w:p w14:paraId="55FDA3A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2D4B2B30">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1EE40CC9">
      <w:pPr>
        <w:spacing w:before="156" w:beforeLines="50" w:after="156" w:afterLines="50" w:line="480" w:lineRule="auto"/>
        <w:rPr>
          <w:rFonts w:ascii="宋体" w:hAnsi="宋体"/>
          <w:color w:val="auto"/>
          <w:sz w:val="32"/>
          <w:szCs w:val="32"/>
          <w:highlight w:val="none"/>
        </w:rPr>
      </w:pPr>
    </w:p>
    <w:p w14:paraId="106C5BFC">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62AD9966">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2DD75875">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A7AC025">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5376867D">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548590D0">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4E6B0E9D">
      <w:pPr>
        <w:pStyle w:val="34"/>
        <w:spacing w:line="300" w:lineRule="atLeast"/>
        <w:ind w:firstLine="642"/>
        <w:rPr>
          <w:rFonts w:cs="Times New Roman"/>
          <w:color w:val="auto"/>
          <w:kern w:val="44"/>
          <w:sz w:val="32"/>
          <w:szCs w:val="32"/>
          <w:highlight w:val="none"/>
        </w:rPr>
      </w:pPr>
    </w:p>
    <w:p w14:paraId="19BBE7A7">
      <w:pPr>
        <w:pStyle w:val="34"/>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5C152C8C">
      <w:pPr>
        <w:pStyle w:val="34"/>
        <w:spacing w:line="300" w:lineRule="atLeast"/>
        <w:ind w:right="1365" w:rightChars="650" w:firstLine="642"/>
        <w:jc w:val="right"/>
        <w:rPr>
          <w:color w:val="auto"/>
          <w:sz w:val="32"/>
          <w:szCs w:val="32"/>
          <w:highlight w:val="none"/>
        </w:rPr>
        <w:sectPr>
          <w:pgSz w:w="11905" w:h="16838"/>
          <w:pgMar w:top="1440" w:right="1803" w:bottom="1440" w:left="1803" w:header="850" w:footer="992" w:gutter="0"/>
          <w:cols w:space="0" w:num="1"/>
          <w:titlePg/>
          <w:rtlGutter w:val="0"/>
          <w:docGrid w:type="lines" w:linePitch="319" w:charSpace="0"/>
        </w:sectPr>
      </w:pPr>
      <w:r>
        <w:rPr>
          <w:rFonts w:hint="eastAsia" w:cs="Times New Roman"/>
          <w:color w:val="auto"/>
          <w:kern w:val="44"/>
          <w:sz w:val="32"/>
          <w:szCs w:val="32"/>
          <w:highlight w:val="none"/>
        </w:rPr>
        <w:t>年  月  日</w:t>
      </w:r>
    </w:p>
    <w:p w14:paraId="49C16C75">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41"/>
      <w:bookmarkEnd w:id="742"/>
      <w:bookmarkEnd w:id="743"/>
      <w:bookmarkEnd w:id="744"/>
      <w:bookmarkEnd w:id="745"/>
      <w:bookmarkEnd w:id="746"/>
      <w:bookmarkEnd w:id="747"/>
      <w:bookmarkEnd w:id="748"/>
      <w:bookmarkEnd w:id="749"/>
      <w:bookmarkEnd w:id="750"/>
    </w:p>
    <w:tbl>
      <w:tblPr>
        <w:tblStyle w:val="36"/>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645"/>
        <w:gridCol w:w="1260"/>
        <w:gridCol w:w="2955"/>
        <w:gridCol w:w="900"/>
        <w:gridCol w:w="720"/>
        <w:gridCol w:w="1185"/>
        <w:gridCol w:w="720"/>
      </w:tblGrid>
      <w:tr w14:paraId="381F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31F3638B">
            <w:pPr>
              <w:jc w:val="center"/>
              <w:rPr>
                <w:rFonts w:ascii="宋体" w:hAnsi="宋体"/>
                <w:color w:val="auto"/>
                <w:highlight w:val="none"/>
              </w:rPr>
            </w:pPr>
          </w:p>
        </w:tc>
        <w:tc>
          <w:tcPr>
            <w:tcW w:w="4142" w:type="dxa"/>
            <w:gridSpan w:val="3"/>
            <w:vAlign w:val="center"/>
          </w:tcPr>
          <w:p w14:paraId="4137C442">
            <w:pPr>
              <w:spacing w:line="320" w:lineRule="exact"/>
              <w:jc w:val="center"/>
              <w:rPr>
                <w:rFonts w:ascii="宋体" w:hAnsi="宋体"/>
                <w:color w:val="auto"/>
                <w:highlight w:val="none"/>
              </w:rPr>
            </w:pPr>
            <w:r>
              <w:rPr>
                <w:rFonts w:hint="eastAsia" w:ascii="宋体" w:hAnsi="宋体"/>
                <w:color w:val="auto"/>
                <w:highlight w:val="none"/>
              </w:rPr>
              <w:t>招标内容</w:t>
            </w:r>
          </w:p>
          <w:p w14:paraId="4E319A4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8"/>
            <w:vAlign w:val="center"/>
          </w:tcPr>
          <w:p w14:paraId="62B5449B">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14D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3F9FB3BB">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ECF8201">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51A7653E">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074975C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66218F8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645" w:type="dxa"/>
            <w:vAlign w:val="center"/>
          </w:tcPr>
          <w:p w14:paraId="53269858">
            <w:pPr>
              <w:spacing w:line="400" w:lineRule="exact"/>
              <w:jc w:val="center"/>
              <w:rPr>
                <w:rFonts w:ascii="宋体" w:hAnsi="宋体" w:cs="chs_boot"/>
                <w:color w:val="auto"/>
                <w:highlight w:val="none"/>
              </w:rPr>
            </w:pPr>
            <w:r>
              <w:rPr>
                <w:rFonts w:hint="eastAsia" w:ascii="宋体" w:hAnsi="宋体"/>
                <w:color w:val="auto"/>
                <w:highlight w:val="none"/>
              </w:rPr>
              <w:t>品牌</w:t>
            </w:r>
          </w:p>
        </w:tc>
        <w:tc>
          <w:tcPr>
            <w:tcW w:w="1260" w:type="dxa"/>
            <w:vAlign w:val="center"/>
          </w:tcPr>
          <w:p w14:paraId="7C32DBA3">
            <w:pPr>
              <w:spacing w:line="400" w:lineRule="exact"/>
              <w:jc w:val="center"/>
              <w:rPr>
                <w:rFonts w:ascii="宋体" w:hAnsi="宋体" w:cs="chs_boot"/>
                <w:color w:val="auto"/>
                <w:highlight w:val="none"/>
              </w:rPr>
            </w:pPr>
            <w:r>
              <w:rPr>
                <w:rFonts w:hint="eastAsia" w:ascii="宋体" w:hAnsi="宋体"/>
                <w:color w:val="auto"/>
                <w:highlight w:val="none"/>
              </w:rPr>
              <w:t>生产企业</w:t>
            </w:r>
          </w:p>
        </w:tc>
        <w:tc>
          <w:tcPr>
            <w:tcW w:w="2955" w:type="dxa"/>
            <w:vAlign w:val="center"/>
          </w:tcPr>
          <w:p w14:paraId="734964DB">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900" w:type="dxa"/>
            <w:vAlign w:val="center"/>
          </w:tcPr>
          <w:p w14:paraId="312C9F04">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353656E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720" w:type="dxa"/>
            <w:vAlign w:val="center"/>
          </w:tcPr>
          <w:p w14:paraId="0979AC26">
            <w:pPr>
              <w:spacing w:line="400" w:lineRule="exact"/>
              <w:jc w:val="center"/>
              <w:rPr>
                <w:rFonts w:ascii="宋体" w:hAnsi="宋体"/>
                <w:color w:val="auto"/>
                <w:highlight w:val="none"/>
              </w:rPr>
            </w:pPr>
            <w:r>
              <w:rPr>
                <w:rFonts w:hint="eastAsia" w:ascii="宋体" w:hAnsi="宋体"/>
                <w:color w:val="auto"/>
                <w:highlight w:val="none"/>
              </w:rPr>
              <w:t>单价</w:t>
            </w:r>
          </w:p>
        </w:tc>
        <w:tc>
          <w:tcPr>
            <w:tcW w:w="1185" w:type="dxa"/>
            <w:vAlign w:val="center"/>
          </w:tcPr>
          <w:p w14:paraId="1793D85C">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720" w:type="dxa"/>
            <w:vAlign w:val="center"/>
          </w:tcPr>
          <w:p w14:paraId="4D369D95">
            <w:pPr>
              <w:spacing w:line="400" w:lineRule="exact"/>
              <w:jc w:val="center"/>
              <w:rPr>
                <w:rFonts w:ascii="宋体" w:hAnsi="宋体"/>
                <w:color w:val="auto"/>
                <w:highlight w:val="none"/>
              </w:rPr>
            </w:pPr>
            <w:r>
              <w:rPr>
                <w:rFonts w:hint="eastAsia" w:ascii="宋体" w:hAnsi="宋体"/>
                <w:color w:val="auto"/>
                <w:highlight w:val="none"/>
              </w:rPr>
              <w:t>备注</w:t>
            </w:r>
          </w:p>
        </w:tc>
      </w:tr>
      <w:tr w14:paraId="6D5F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70A85BF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5C96B0D7">
            <w:pPr>
              <w:spacing w:line="400" w:lineRule="exact"/>
              <w:jc w:val="center"/>
              <w:rPr>
                <w:rFonts w:ascii="宋体" w:hAnsi="宋体"/>
                <w:color w:val="auto"/>
                <w:sz w:val="28"/>
                <w:highlight w:val="none"/>
              </w:rPr>
            </w:pPr>
          </w:p>
        </w:tc>
        <w:tc>
          <w:tcPr>
            <w:tcW w:w="2520" w:type="dxa"/>
          </w:tcPr>
          <w:p w14:paraId="4245F497">
            <w:pPr>
              <w:spacing w:line="400" w:lineRule="exact"/>
              <w:jc w:val="center"/>
              <w:rPr>
                <w:rFonts w:ascii="宋体" w:hAnsi="宋体"/>
                <w:color w:val="auto"/>
                <w:sz w:val="28"/>
                <w:highlight w:val="none"/>
              </w:rPr>
            </w:pPr>
          </w:p>
        </w:tc>
        <w:tc>
          <w:tcPr>
            <w:tcW w:w="901" w:type="dxa"/>
          </w:tcPr>
          <w:p w14:paraId="1F52C403">
            <w:pPr>
              <w:spacing w:line="400" w:lineRule="exact"/>
              <w:jc w:val="center"/>
              <w:rPr>
                <w:rFonts w:ascii="宋体" w:hAnsi="宋体"/>
                <w:color w:val="auto"/>
                <w:sz w:val="28"/>
                <w:highlight w:val="none"/>
              </w:rPr>
            </w:pPr>
          </w:p>
        </w:tc>
        <w:tc>
          <w:tcPr>
            <w:tcW w:w="720" w:type="dxa"/>
          </w:tcPr>
          <w:p w14:paraId="24D37E43">
            <w:pPr>
              <w:spacing w:line="400" w:lineRule="exact"/>
              <w:jc w:val="center"/>
              <w:rPr>
                <w:rFonts w:ascii="宋体" w:hAnsi="宋体"/>
                <w:color w:val="auto"/>
                <w:sz w:val="28"/>
                <w:highlight w:val="none"/>
              </w:rPr>
            </w:pPr>
          </w:p>
        </w:tc>
        <w:tc>
          <w:tcPr>
            <w:tcW w:w="645" w:type="dxa"/>
          </w:tcPr>
          <w:p w14:paraId="0DF1D53E">
            <w:pPr>
              <w:spacing w:line="400" w:lineRule="exact"/>
              <w:jc w:val="center"/>
              <w:rPr>
                <w:rFonts w:ascii="宋体" w:hAnsi="宋体"/>
                <w:color w:val="auto"/>
                <w:sz w:val="28"/>
                <w:highlight w:val="none"/>
              </w:rPr>
            </w:pPr>
          </w:p>
        </w:tc>
        <w:tc>
          <w:tcPr>
            <w:tcW w:w="1260" w:type="dxa"/>
          </w:tcPr>
          <w:p w14:paraId="034D471C">
            <w:pPr>
              <w:spacing w:line="400" w:lineRule="exact"/>
              <w:jc w:val="center"/>
              <w:rPr>
                <w:rFonts w:ascii="宋体" w:hAnsi="宋体"/>
                <w:color w:val="auto"/>
                <w:sz w:val="28"/>
                <w:highlight w:val="none"/>
              </w:rPr>
            </w:pPr>
          </w:p>
        </w:tc>
        <w:tc>
          <w:tcPr>
            <w:tcW w:w="2955" w:type="dxa"/>
          </w:tcPr>
          <w:p w14:paraId="0BE1425F">
            <w:pPr>
              <w:spacing w:line="400" w:lineRule="exact"/>
              <w:jc w:val="center"/>
              <w:rPr>
                <w:rFonts w:ascii="宋体" w:hAnsi="宋体"/>
                <w:color w:val="auto"/>
                <w:sz w:val="28"/>
                <w:highlight w:val="none"/>
              </w:rPr>
            </w:pPr>
          </w:p>
        </w:tc>
        <w:tc>
          <w:tcPr>
            <w:tcW w:w="900" w:type="dxa"/>
          </w:tcPr>
          <w:p w14:paraId="2AC0A509">
            <w:pPr>
              <w:spacing w:line="400" w:lineRule="exact"/>
              <w:jc w:val="center"/>
              <w:rPr>
                <w:rFonts w:ascii="宋体" w:hAnsi="宋体"/>
                <w:color w:val="auto"/>
                <w:sz w:val="28"/>
                <w:highlight w:val="none"/>
              </w:rPr>
            </w:pPr>
          </w:p>
        </w:tc>
        <w:tc>
          <w:tcPr>
            <w:tcW w:w="720" w:type="dxa"/>
          </w:tcPr>
          <w:p w14:paraId="40C50AEC">
            <w:pPr>
              <w:spacing w:line="400" w:lineRule="exact"/>
              <w:jc w:val="center"/>
              <w:rPr>
                <w:rFonts w:ascii="宋体" w:hAnsi="宋体"/>
                <w:color w:val="auto"/>
                <w:sz w:val="28"/>
                <w:highlight w:val="none"/>
              </w:rPr>
            </w:pPr>
          </w:p>
        </w:tc>
        <w:tc>
          <w:tcPr>
            <w:tcW w:w="1185" w:type="dxa"/>
          </w:tcPr>
          <w:p w14:paraId="4E7AAB3D">
            <w:pPr>
              <w:spacing w:line="400" w:lineRule="exact"/>
              <w:jc w:val="center"/>
              <w:rPr>
                <w:rFonts w:ascii="宋体" w:hAnsi="宋体"/>
                <w:color w:val="auto"/>
                <w:sz w:val="28"/>
                <w:highlight w:val="none"/>
              </w:rPr>
            </w:pPr>
          </w:p>
        </w:tc>
        <w:tc>
          <w:tcPr>
            <w:tcW w:w="720" w:type="dxa"/>
          </w:tcPr>
          <w:p w14:paraId="009CD22E">
            <w:pPr>
              <w:spacing w:line="400" w:lineRule="exact"/>
              <w:jc w:val="center"/>
              <w:rPr>
                <w:rFonts w:ascii="宋体" w:hAnsi="宋体"/>
                <w:color w:val="auto"/>
                <w:sz w:val="28"/>
                <w:highlight w:val="none"/>
              </w:rPr>
            </w:pPr>
          </w:p>
        </w:tc>
      </w:tr>
      <w:tr w14:paraId="4276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1BEA9D4A">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39CC7852">
            <w:pPr>
              <w:spacing w:line="400" w:lineRule="exact"/>
              <w:jc w:val="center"/>
              <w:rPr>
                <w:rFonts w:ascii="宋体" w:hAnsi="宋体"/>
                <w:color w:val="auto"/>
                <w:sz w:val="28"/>
                <w:highlight w:val="none"/>
              </w:rPr>
            </w:pPr>
          </w:p>
        </w:tc>
        <w:tc>
          <w:tcPr>
            <w:tcW w:w="2520" w:type="dxa"/>
          </w:tcPr>
          <w:p w14:paraId="275F0266">
            <w:pPr>
              <w:spacing w:line="400" w:lineRule="exact"/>
              <w:jc w:val="center"/>
              <w:rPr>
                <w:rFonts w:ascii="宋体" w:hAnsi="宋体"/>
                <w:color w:val="auto"/>
                <w:sz w:val="28"/>
                <w:highlight w:val="none"/>
              </w:rPr>
            </w:pPr>
          </w:p>
        </w:tc>
        <w:tc>
          <w:tcPr>
            <w:tcW w:w="901" w:type="dxa"/>
          </w:tcPr>
          <w:p w14:paraId="3D884B0E">
            <w:pPr>
              <w:spacing w:line="400" w:lineRule="exact"/>
              <w:jc w:val="center"/>
              <w:rPr>
                <w:rFonts w:ascii="宋体" w:hAnsi="宋体"/>
                <w:color w:val="auto"/>
                <w:sz w:val="28"/>
                <w:highlight w:val="none"/>
              </w:rPr>
            </w:pPr>
          </w:p>
        </w:tc>
        <w:tc>
          <w:tcPr>
            <w:tcW w:w="720" w:type="dxa"/>
          </w:tcPr>
          <w:p w14:paraId="202C0E18">
            <w:pPr>
              <w:spacing w:line="400" w:lineRule="exact"/>
              <w:jc w:val="center"/>
              <w:rPr>
                <w:rFonts w:ascii="宋体" w:hAnsi="宋体"/>
                <w:color w:val="auto"/>
                <w:sz w:val="28"/>
                <w:highlight w:val="none"/>
              </w:rPr>
            </w:pPr>
          </w:p>
        </w:tc>
        <w:tc>
          <w:tcPr>
            <w:tcW w:w="645" w:type="dxa"/>
          </w:tcPr>
          <w:p w14:paraId="73208FC5">
            <w:pPr>
              <w:spacing w:line="400" w:lineRule="exact"/>
              <w:jc w:val="center"/>
              <w:rPr>
                <w:rFonts w:ascii="宋体" w:hAnsi="宋体"/>
                <w:color w:val="auto"/>
                <w:sz w:val="28"/>
                <w:highlight w:val="none"/>
              </w:rPr>
            </w:pPr>
          </w:p>
        </w:tc>
        <w:tc>
          <w:tcPr>
            <w:tcW w:w="1260" w:type="dxa"/>
          </w:tcPr>
          <w:p w14:paraId="1D3E2FF9">
            <w:pPr>
              <w:spacing w:line="400" w:lineRule="exact"/>
              <w:jc w:val="center"/>
              <w:rPr>
                <w:rFonts w:ascii="宋体" w:hAnsi="宋体"/>
                <w:color w:val="auto"/>
                <w:sz w:val="28"/>
                <w:highlight w:val="none"/>
              </w:rPr>
            </w:pPr>
          </w:p>
        </w:tc>
        <w:tc>
          <w:tcPr>
            <w:tcW w:w="2955" w:type="dxa"/>
          </w:tcPr>
          <w:p w14:paraId="139323A3">
            <w:pPr>
              <w:spacing w:line="400" w:lineRule="exact"/>
              <w:jc w:val="center"/>
              <w:rPr>
                <w:rFonts w:ascii="宋体" w:hAnsi="宋体"/>
                <w:color w:val="auto"/>
                <w:sz w:val="28"/>
                <w:highlight w:val="none"/>
              </w:rPr>
            </w:pPr>
          </w:p>
        </w:tc>
        <w:tc>
          <w:tcPr>
            <w:tcW w:w="900" w:type="dxa"/>
          </w:tcPr>
          <w:p w14:paraId="19855227">
            <w:pPr>
              <w:spacing w:line="400" w:lineRule="exact"/>
              <w:jc w:val="center"/>
              <w:rPr>
                <w:rFonts w:ascii="宋体" w:hAnsi="宋体"/>
                <w:color w:val="auto"/>
                <w:sz w:val="28"/>
                <w:highlight w:val="none"/>
              </w:rPr>
            </w:pPr>
          </w:p>
        </w:tc>
        <w:tc>
          <w:tcPr>
            <w:tcW w:w="720" w:type="dxa"/>
          </w:tcPr>
          <w:p w14:paraId="56009233">
            <w:pPr>
              <w:spacing w:line="400" w:lineRule="exact"/>
              <w:jc w:val="center"/>
              <w:rPr>
                <w:rFonts w:ascii="宋体" w:hAnsi="宋体"/>
                <w:color w:val="auto"/>
                <w:sz w:val="28"/>
                <w:highlight w:val="none"/>
              </w:rPr>
            </w:pPr>
          </w:p>
        </w:tc>
        <w:tc>
          <w:tcPr>
            <w:tcW w:w="1185" w:type="dxa"/>
          </w:tcPr>
          <w:p w14:paraId="4A6744C5">
            <w:pPr>
              <w:spacing w:line="400" w:lineRule="exact"/>
              <w:jc w:val="center"/>
              <w:rPr>
                <w:rFonts w:ascii="宋体" w:hAnsi="宋体"/>
                <w:color w:val="auto"/>
                <w:sz w:val="28"/>
                <w:highlight w:val="none"/>
              </w:rPr>
            </w:pPr>
          </w:p>
        </w:tc>
        <w:tc>
          <w:tcPr>
            <w:tcW w:w="720" w:type="dxa"/>
          </w:tcPr>
          <w:p w14:paraId="1D1582E1">
            <w:pPr>
              <w:spacing w:line="400" w:lineRule="exact"/>
              <w:jc w:val="center"/>
              <w:rPr>
                <w:rFonts w:ascii="宋体" w:hAnsi="宋体"/>
                <w:color w:val="auto"/>
                <w:sz w:val="28"/>
                <w:highlight w:val="none"/>
              </w:rPr>
            </w:pPr>
          </w:p>
        </w:tc>
      </w:tr>
      <w:tr w14:paraId="4DA2A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52109E46">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4F3F4960">
            <w:pPr>
              <w:spacing w:line="400" w:lineRule="exact"/>
              <w:jc w:val="center"/>
              <w:rPr>
                <w:rFonts w:ascii="宋体" w:hAnsi="宋体"/>
                <w:color w:val="auto"/>
                <w:sz w:val="28"/>
                <w:highlight w:val="none"/>
              </w:rPr>
            </w:pPr>
          </w:p>
        </w:tc>
        <w:tc>
          <w:tcPr>
            <w:tcW w:w="2520" w:type="dxa"/>
          </w:tcPr>
          <w:p w14:paraId="3A901E75">
            <w:pPr>
              <w:spacing w:line="400" w:lineRule="exact"/>
              <w:jc w:val="center"/>
              <w:rPr>
                <w:rFonts w:ascii="宋体" w:hAnsi="宋体"/>
                <w:color w:val="auto"/>
                <w:sz w:val="28"/>
                <w:highlight w:val="none"/>
              </w:rPr>
            </w:pPr>
          </w:p>
        </w:tc>
        <w:tc>
          <w:tcPr>
            <w:tcW w:w="901" w:type="dxa"/>
          </w:tcPr>
          <w:p w14:paraId="05F177E1">
            <w:pPr>
              <w:spacing w:line="400" w:lineRule="exact"/>
              <w:jc w:val="center"/>
              <w:rPr>
                <w:rFonts w:ascii="宋体" w:hAnsi="宋体"/>
                <w:color w:val="auto"/>
                <w:sz w:val="28"/>
                <w:highlight w:val="none"/>
              </w:rPr>
            </w:pPr>
          </w:p>
        </w:tc>
        <w:tc>
          <w:tcPr>
            <w:tcW w:w="720" w:type="dxa"/>
          </w:tcPr>
          <w:p w14:paraId="4D923B80">
            <w:pPr>
              <w:spacing w:line="400" w:lineRule="exact"/>
              <w:jc w:val="center"/>
              <w:rPr>
                <w:rFonts w:ascii="宋体" w:hAnsi="宋体"/>
                <w:color w:val="auto"/>
                <w:sz w:val="28"/>
                <w:highlight w:val="none"/>
              </w:rPr>
            </w:pPr>
          </w:p>
        </w:tc>
        <w:tc>
          <w:tcPr>
            <w:tcW w:w="645" w:type="dxa"/>
          </w:tcPr>
          <w:p w14:paraId="3DE93944">
            <w:pPr>
              <w:spacing w:line="400" w:lineRule="exact"/>
              <w:jc w:val="center"/>
              <w:rPr>
                <w:rFonts w:ascii="宋体" w:hAnsi="宋体"/>
                <w:color w:val="auto"/>
                <w:sz w:val="28"/>
                <w:highlight w:val="none"/>
              </w:rPr>
            </w:pPr>
          </w:p>
        </w:tc>
        <w:tc>
          <w:tcPr>
            <w:tcW w:w="1260" w:type="dxa"/>
          </w:tcPr>
          <w:p w14:paraId="4485C3C2">
            <w:pPr>
              <w:spacing w:line="400" w:lineRule="exact"/>
              <w:jc w:val="center"/>
              <w:rPr>
                <w:rFonts w:ascii="宋体" w:hAnsi="宋体"/>
                <w:color w:val="auto"/>
                <w:sz w:val="28"/>
                <w:highlight w:val="none"/>
              </w:rPr>
            </w:pPr>
          </w:p>
        </w:tc>
        <w:tc>
          <w:tcPr>
            <w:tcW w:w="2955" w:type="dxa"/>
          </w:tcPr>
          <w:p w14:paraId="045D413B">
            <w:pPr>
              <w:spacing w:line="400" w:lineRule="exact"/>
              <w:jc w:val="center"/>
              <w:rPr>
                <w:rFonts w:ascii="宋体" w:hAnsi="宋体"/>
                <w:color w:val="auto"/>
                <w:sz w:val="28"/>
                <w:highlight w:val="none"/>
              </w:rPr>
            </w:pPr>
          </w:p>
        </w:tc>
        <w:tc>
          <w:tcPr>
            <w:tcW w:w="900" w:type="dxa"/>
          </w:tcPr>
          <w:p w14:paraId="7E8DE3A3">
            <w:pPr>
              <w:spacing w:line="400" w:lineRule="exact"/>
              <w:jc w:val="center"/>
              <w:rPr>
                <w:rFonts w:ascii="宋体" w:hAnsi="宋体"/>
                <w:color w:val="auto"/>
                <w:sz w:val="28"/>
                <w:highlight w:val="none"/>
              </w:rPr>
            </w:pPr>
          </w:p>
        </w:tc>
        <w:tc>
          <w:tcPr>
            <w:tcW w:w="720" w:type="dxa"/>
          </w:tcPr>
          <w:p w14:paraId="76937E4C">
            <w:pPr>
              <w:spacing w:line="400" w:lineRule="exact"/>
              <w:jc w:val="center"/>
              <w:rPr>
                <w:rFonts w:ascii="宋体" w:hAnsi="宋体"/>
                <w:color w:val="auto"/>
                <w:sz w:val="28"/>
                <w:highlight w:val="none"/>
              </w:rPr>
            </w:pPr>
          </w:p>
        </w:tc>
        <w:tc>
          <w:tcPr>
            <w:tcW w:w="1185" w:type="dxa"/>
          </w:tcPr>
          <w:p w14:paraId="3DC0A3C4">
            <w:pPr>
              <w:spacing w:line="400" w:lineRule="exact"/>
              <w:jc w:val="center"/>
              <w:rPr>
                <w:rFonts w:ascii="宋体" w:hAnsi="宋体"/>
                <w:color w:val="auto"/>
                <w:sz w:val="28"/>
                <w:highlight w:val="none"/>
              </w:rPr>
            </w:pPr>
          </w:p>
        </w:tc>
        <w:tc>
          <w:tcPr>
            <w:tcW w:w="720" w:type="dxa"/>
          </w:tcPr>
          <w:p w14:paraId="03DFE489">
            <w:pPr>
              <w:spacing w:line="400" w:lineRule="exact"/>
              <w:jc w:val="center"/>
              <w:rPr>
                <w:rFonts w:ascii="宋体" w:hAnsi="宋体"/>
                <w:color w:val="auto"/>
                <w:sz w:val="28"/>
                <w:highlight w:val="none"/>
              </w:rPr>
            </w:pPr>
          </w:p>
        </w:tc>
      </w:tr>
      <w:tr w14:paraId="29B9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59D8461B">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4D9E0482">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8"/>
            <w:vAlign w:val="center"/>
          </w:tcPr>
          <w:p w14:paraId="33D9302D">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2A7B06F2">
      <w:pPr>
        <w:spacing w:line="340" w:lineRule="exact"/>
        <w:ind w:left="-315" w:leftChars="-150" w:right="-525" w:rightChars="-250" w:firstLine="422" w:firstLineChars="200"/>
        <w:rPr>
          <w:rFonts w:ascii="宋体" w:hAnsi="宋体" w:cs="宋体"/>
          <w:b/>
          <w:color w:val="auto"/>
          <w:szCs w:val="21"/>
          <w:highlight w:val="none"/>
        </w:rPr>
      </w:pPr>
      <w:bookmarkStart w:id="751" w:name="_Toc288115089"/>
      <w:bookmarkStart w:id="752" w:name="_Toc288115064"/>
      <w:bookmarkStart w:id="753" w:name="_Toc289241359"/>
      <w:bookmarkStart w:id="754" w:name="_Toc288748128"/>
      <w:bookmarkStart w:id="755" w:name="_Toc289182817"/>
      <w:bookmarkStart w:id="756" w:name="_Toc289241536"/>
      <w:bookmarkStart w:id="757" w:name="_Toc289096743"/>
      <w:bookmarkStart w:id="758" w:name="_Toc289238788"/>
      <w:bookmarkStart w:id="759" w:name="_Toc289182439"/>
    </w:p>
    <w:p w14:paraId="750D66D7">
      <w:pPr>
        <w:spacing w:line="340" w:lineRule="exact"/>
        <w:ind w:left="235" w:leftChars="103" w:right="-525" w:rightChars="-250" w:hanging="19" w:hangingChars="9"/>
        <w:rPr>
          <w:rFonts w:ascii="宋体" w:hAnsi="宋体" w:cs="宋体"/>
          <w:b/>
          <w:color w:val="auto"/>
          <w:szCs w:val="21"/>
          <w:highlight w:val="none"/>
        </w:rPr>
      </w:pPr>
      <w:r>
        <w:rPr>
          <w:rFonts w:hint="eastAsia" w:ascii="宋体" w:hAnsi="宋体" w:cs="宋体"/>
          <w:b/>
          <w:color w:val="auto"/>
          <w:szCs w:val="21"/>
          <w:highlight w:val="none"/>
        </w:rPr>
        <w:t>注：1、投标内容应满足采购需求或更有利于采购人。对品牌、生产企业、型号、技术参数、性能、配置等应详细列明。</w:t>
      </w:r>
    </w:p>
    <w:p w14:paraId="38CDD7F9">
      <w:pPr>
        <w:spacing w:line="340" w:lineRule="exact"/>
        <w:ind w:left="235" w:leftChars="103" w:right="-525" w:rightChars="-250" w:hanging="19" w:hangingChars="9"/>
        <w:rPr>
          <w:rFonts w:ascii="宋体" w:hAnsi="宋体" w:cs="宋体"/>
          <w:b/>
          <w:color w:val="auto"/>
          <w:szCs w:val="21"/>
          <w:highlight w:val="none"/>
        </w:rPr>
      </w:pPr>
      <w:r>
        <w:rPr>
          <w:rFonts w:hint="eastAsia" w:ascii="宋体" w:hAnsi="宋体" w:cs="宋体"/>
          <w:b/>
          <w:color w:val="auto"/>
          <w:szCs w:val="21"/>
          <w:highlight w:val="none"/>
        </w:rPr>
        <w:t>2、技术支持资料：对应每一投标产品，在本表后提供生产商关于投标产品的官网公布资料、说明书、彩页、检验报告等资料。（供应商承担技术支持资料缺少、错误或虚假等可能造成的不得分、无效投标等风险。）</w:t>
      </w:r>
    </w:p>
    <w:p w14:paraId="3CDCD982">
      <w:pPr>
        <w:spacing w:line="340" w:lineRule="exact"/>
        <w:ind w:left="235" w:leftChars="103" w:right="-525" w:rightChars="-250" w:hanging="19" w:hangingChars="9"/>
        <w:rPr>
          <w:rFonts w:hint="eastAsia" w:ascii="宋体" w:hAnsi="宋体"/>
          <w:b/>
          <w:bCs/>
          <w:color w:val="auto"/>
          <w:kern w:val="44"/>
          <w:sz w:val="32"/>
          <w:szCs w:val="32"/>
          <w:highlight w:val="none"/>
        </w:rPr>
        <w:sectPr>
          <w:footerReference r:id="rId10" w:type="default"/>
          <w:pgSz w:w="16838" w:h="11905" w:orient="landscape"/>
          <w:pgMar w:top="1803" w:right="1440" w:bottom="1803" w:left="1440" w:header="850" w:footer="992" w:gutter="0"/>
          <w:cols w:space="0" w:num="1"/>
          <w:titlePg/>
          <w:rtlGutter w:val="0"/>
          <w:docGrid w:type="lines" w:linePitch="319" w:charSpace="0"/>
        </w:sectPr>
      </w:pPr>
      <w:r>
        <w:rPr>
          <w:rFonts w:hint="eastAsia" w:ascii="宋体" w:hAnsi="宋体" w:cs="宋体"/>
          <w:b/>
          <w:color w:val="auto"/>
          <w:szCs w:val="21"/>
          <w:highlight w:val="none"/>
        </w:rPr>
        <w:t>3、所有投标产品均为小微企业（或监狱企业、残疾人福利性单位）生产，并在每一投标产品的“备注”栏内注明小微企业情况，有符合要求的《中小企业声明函》，评标时给予价格扣除。</w:t>
      </w:r>
      <w:bookmarkEnd w:id="751"/>
      <w:bookmarkEnd w:id="752"/>
      <w:bookmarkStart w:id="760" w:name="_Toc338840262"/>
      <w:bookmarkStart w:id="761" w:name="_Toc338840471"/>
      <w:bookmarkStart w:id="762" w:name="_Toc338840510"/>
      <w:r>
        <w:rPr>
          <w:rFonts w:hint="eastAsia" w:ascii="宋体" w:hAnsi="宋体"/>
          <w:b/>
          <w:bCs/>
          <w:color w:val="auto"/>
          <w:kern w:val="44"/>
          <w:sz w:val="32"/>
          <w:szCs w:val="32"/>
          <w:highlight w:val="none"/>
        </w:rPr>
        <w:br w:type="page"/>
      </w:r>
    </w:p>
    <w:p w14:paraId="644BF1B3">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bookmarkEnd w:id="753"/>
      <w:bookmarkEnd w:id="754"/>
      <w:bookmarkEnd w:id="755"/>
      <w:bookmarkEnd w:id="756"/>
      <w:bookmarkEnd w:id="757"/>
      <w:bookmarkEnd w:id="758"/>
      <w:bookmarkEnd w:id="759"/>
      <w:bookmarkEnd w:id="760"/>
      <w:bookmarkEnd w:id="761"/>
      <w:bookmarkEnd w:id="762"/>
    </w:p>
    <w:p w14:paraId="0F2194B0">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089"/>
        <w:gridCol w:w="2700"/>
        <w:gridCol w:w="2520"/>
        <w:gridCol w:w="1980"/>
      </w:tblGrid>
      <w:tr w14:paraId="3622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0E67FE4B">
            <w:pPr>
              <w:spacing w:line="440" w:lineRule="exact"/>
              <w:jc w:val="center"/>
              <w:rPr>
                <w:rFonts w:ascii="宋体" w:hAnsi="宋体"/>
                <w:color w:val="auto"/>
                <w:sz w:val="24"/>
                <w:highlight w:val="none"/>
              </w:rPr>
            </w:pPr>
            <w:r>
              <w:rPr>
                <w:rFonts w:hint="eastAsia" w:ascii="宋体" w:hAnsi="宋体"/>
                <w:color w:val="auto"/>
                <w:sz w:val="24"/>
                <w:highlight w:val="none"/>
              </w:rPr>
              <w:t>序号</w:t>
            </w:r>
          </w:p>
        </w:tc>
        <w:tc>
          <w:tcPr>
            <w:tcW w:w="1089" w:type="dxa"/>
            <w:vAlign w:val="center"/>
          </w:tcPr>
          <w:p w14:paraId="057746F3">
            <w:pPr>
              <w:jc w:val="center"/>
              <w:rPr>
                <w:rFonts w:ascii="宋体" w:hAnsi="宋体"/>
                <w:color w:val="auto"/>
                <w:sz w:val="24"/>
                <w:highlight w:val="none"/>
              </w:rPr>
            </w:pPr>
            <w:r>
              <w:rPr>
                <w:rFonts w:hint="eastAsia" w:ascii="宋体" w:hAnsi="宋体"/>
                <w:color w:val="auto"/>
                <w:sz w:val="24"/>
                <w:highlight w:val="none"/>
              </w:rPr>
              <w:t>名称</w:t>
            </w:r>
          </w:p>
        </w:tc>
        <w:tc>
          <w:tcPr>
            <w:tcW w:w="2700" w:type="dxa"/>
            <w:vAlign w:val="center"/>
          </w:tcPr>
          <w:p w14:paraId="623A53F0">
            <w:pPr>
              <w:jc w:val="center"/>
              <w:rPr>
                <w:rFonts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3783293">
            <w:pPr>
              <w:jc w:val="center"/>
              <w:rPr>
                <w:rFonts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1FF540A4">
            <w:pPr>
              <w:jc w:val="center"/>
              <w:rPr>
                <w:rFonts w:ascii="宋体" w:hAnsi="宋体"/>
                <w:color w:val="auto"/>
                <w:sz w:val="24"/>
                <w:highlight w:val="none"/>
              </w:rPr>
            </w:pPr>
            <w:r>
              <w:rPr>
                <w:rFonts w:hint="eastAsia" w:ascii="宋体" w:hAnsi="宋体"/>
                <w:color w:val="auto"/>
                <w:sz w:val="24"/>
                <w:highlight w:val="none"/>
              </w:rPr>
              <w:t>偏差说明</w:t>
            </w:r>
          </w:p>
        </w:tc>
      </w:tr>
      <w:tr w14:paraId="070F3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536623CD">
            <w:pPr>
              <w:rPr>
                <w:rFonts w:ascii="宋体" w:hAnsi="宋体"/>
                <w:color w:val="auto"/>
                <w:highlight w:val="none"/>
              </w:rPr>
            </w:pPr>
          </w:p>
        </w:tc>
        <w:tc>
          <w:tcPr>
            <w:tcW w:w="1089" w:type="dxa"/>
          </w:tcPr>
          <w:p w14:paraId="0F5A07BA">
            <w:pPr>
              <w:rPr>
                <w:rFonts w:ascii="宋体" w:hAnsi="宋体"/>
                <w:color w:val="auto"/>
                <w:highlight w:val="none"/>
              </w:rPr>
            </w:pPr>
          </w:p>
        </w:tc>
        <w:tc>
          <w:tcPr>
            <w:tcW w:w="2700" w:type="dxa"/>
          </w:tcPr>
          <w:p w14:paraId="05959583">
            <w:pPr>
              <w:rPr>
                <w:rFonts w:ascii="宋体" w:hAnsi="宋体"/>
                <w:color w:val="auto"/>
                <w:highlight w:val="none"/>
              </w:rPr>
            </w:pPr>
          </w:p>
        </w:tc>
        <w:tc>
          <w:tcPr>
            <w:tcW w:w="2520" w:type="dxa"/>
          </w:tcPr>
          <w:p w14:paraId="60A8F5A5">
            <w:pPr>
              <w:rPr>
                <w:rFonts w:ascii="宋体" w:hAnsi="宋体"/>
                <w:color w:val="auto"/>
                <w:highlight w:val="none"/>
              </w:rPr>
            </w:pPr>
          </w:p>
        </w:tc>
        <w:tc>
          <w:tcPr>
            <w:tcW w:w="1980" w:type="dxa"/>
          </w:tcPr>
          <w:p w14:paraId="556AE16B">
            <w:pPr>
              <w:rPr>
                <w:rFonts w:ascii="宋体" w:hAnsi="宋体"/>
                <w:color w:val="auto"/>
                <w:highlight w:val="none"/>
              </w:rPr>
            </w:pPr>
          </w:p>
        </w:tc>
      </w:tr>
      <w:tr w14:paraId="6512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746CC4E5">
            <w:pPr>
              <w:rPr>
                <w:rFonts w:ascii="宋体" w:hAnsi="宋体"/>
                <w:color w:val="auto"/>
                <w:highlight w:val="none"/>
              </w:rPr>
            </w:pPr>
          </w:p>
        </w:tc>
        <w:tc>
          <w:tcPr>
            <w:tcW w:w="1089" w:type="dxa"/>
          </w:tcPr>
          <w:p w14:paraId="54DF5347">
            <w:pPr>
              <w:rPr>
                <w:rFonts w:ascii="宋体" w:hAnsi="宋体"/>
                <w:color w:val="auto"/>
                <w:highlight w:val="none"/>
              </w:rPr>
            </w:pPr>
          </w:p>
        </w:tc>
        <w:tc>
          <w:tcPr>
            <w:tcW w:w="2700" w:type="dxa"/>
          </w:tcPr>
          <w:p w14:paraId="4DD09E68">
            <w:pPr>
              <w:rPr>
                <w:rFonts w:ascii="宋体" w:hAnsi="宋体"/>
                <w:color w:val="auto"/>
                <w:highlight w:val="none"/>
              </w:rPr>
            </w:pPr>
          </w:p>
        </w:tc>
        <w:tc>
          <w:tcPr>
            <w:tcW w:w="2520" w:type="dxa"/>
          </w:tcPr>
          <w:p w14:paraId="5AA7C03E">
            <w:pPr>
              <w:rPr>
                <w:rFonts w:ascii="宋体" w:hAnsi="宋体"/>
                <w:color w:val="auto"/>
                <w:highlight w:val="none"/>
              </w:rPr>
            </w:pPr>
          </w:p>
        </w:tc>
        <w:tc>
          <w:tcPr>
            <w:tcW w:w="1980" w:type="dxa"/>
          </w:tcPr>
          <w:p w14:paraId="133C3665">
            <w:pPr>
              <w:rPr>
                <w:rFonts w:ascii="宋体" w:hAnsi="宋体"/>
                <w:color w:val="auto"/>
                <w:highlight w:val="none"/>
              </w:rPr>
            </w:pPr>
          </w:p>
        </w:tc>
      </w:tr>
      <w:tr w14:paraId="1357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15C930E7">
            <w:pPr>
              <w:rPr>
                <w:rFonts w:ascii="宋体" w:hAnsi="宋体"/>
                <w:color w:val="auto"/>
                <w:highlight w:val="none"/>
              </w:rPr>
            </w:pPr>
          </w:p>
        </w:tc>
        <w:tc>
          <w:tcPr>
            <w:tcW w:w="1089" w:type="dxa"/>
          </w:tcPr>
          <w:p w14:paraId="341D37FE">
            <w:pPr>
              <w:rPr>
                <w:rFonts w:ascii="宋体" w:hAnsi="宋体"/>
                <w:color w:val="auto"/>
                <w:highlight w:val="none"/>
              </w:rPr>
            </w:pPr>
          </w:p>
        </w:tc>
        <w:tc>
          <w:tcPr>
            <w:tcW w:w="2700" w:type="dxa"/>
          </w:tcPr>
          <w:p w14:paraId="3D04F0C2">
            <w:pPr>
              <w:rPr>
                <w:rFonts w:ascii="宋体" w:hAnsi="宋体"/>
                <w:color w:val="auto"/>
                <w:highlight w:val="none"/>
              </w:rPr>
            </w:pPr>
          </w:p>
        </w:tc>
        <w:tc>
          <w:tcPr>
            <w:tcW w:w="2520" w:type="dxa"/>
          </w:tcPr>
          <w:p w14:paraId="4D96FE8E">
            <w:pPr>
              <w:rPr>
                <w:rFonts w:ascii="宋体" w:hAnsi="宋体"/>
                <w:color w:val="auto"/>
                <w:highlight w:val="none"/>
              </w:rPr>
            </w:pPr>
          </w:p>
        </w:tc>
        <w:tc>
          <w:tcPr>
            <w:tcW w:w="1980" w:type="dxa"/>
          </w:tcPr>
          <w:p w14:paraId="5D83C968">
            <w:pPr>
              <w:rPr>
                <w:rFonts w:ascii="宋体" w:hAnsi="宋体"/>
                <w:color w:val="auto"/>
                <w:highlight w:val="none"/>
              </w:rPr>
            </w:pPr>
          </w:p>
        </w:tc>
      </w:tr>
      <w:tr w14:paraId="6B3C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2F1D5569">
            <w:pPr>
              <w:rPr>
                <w:rFonts w:ascii="宋体" w:hAnsi="宋体"/>
                <w:color w:val="auto"/>
                <w:highlight w:val="none"/>
              </w:rPr>
            </w:pPr>
          </w:p>
        </w:tc>
        <w:tc>
          <w:tcPr>
            <w:tcW w:w="1089" w:type="dxa"/>
          </w:tcPr>
          <w:p w14:paraId="186A2F0A">
            <w:pPr>
              <w:rPr>
                <w:rFonts w:ascii="宋体" w:hAnsi="宋体"/>
                <w:color w:val="auto"/>
                <w:highlight w:val="none"/>
              </w:rPr>
            </w:pPr>
          </w:p>
        </w:tc>
        <w:tc>
          <w:tcPr>
            <w:tcW w:w="2700" w:type="dxa"/>
          </w:tcPr>
          <w:p w14:paraId="73921D63">
            <w:pPr>
              <w:rPr>
                <w:rFonts w:ascii="宋体" w:hAnsi="宋体"/>
                <w:color w:val="auto"/>
                <w:highlight w:val="none"/>
              </w:rPr>
            </w:pPr>
          </w:p>
        </w:tc>
        <w:tc>
          <w:tcPr>
            <w:tcW w:w="2520" w:type="dxa"/>
          </w:tcPr>
          <w:p w14:paraId="2D5EF5E8">
            <w:pPr>
              <w:rPr>
                <w:rFonts w:ascii="宋体" w:hAnsi="宋体"/>
                <w:color w:val="auto"/>
                <w:highlight w:val="none"/>
              </w:rPr>
            </w:pPr>
          </w:p>
        </w:tc>
        <w:tc>
          <w:tcPr>
            <w:tcW w:w="1980" w:type="dxa"/>
          </w:tcPr>
          <w:p w14:paraId="6E03D7B4">
            <w:pPr>
              <w:rPr>
                <w:rFonts w:ascii="宋体" w:hAnsi="宋体"/>
                <w:color w:val="auto"/>
                <w:highlight w:val="none"/>
              </w:rPr>
            </w:pPr>
          </w:p>
        </w:tc>
      </w:tr>
      <w:tr w14:paraId="3768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57F9577">
            <w:pPr>
              <w:rPr>
                <w:rFonts w:ascii="宋体" w:hAnsi="宋体"/>
                <w:color w:val="auto"/>
                <w:highlight w:val="none"/>
              </w:rPr>
            </w:pPr>
          </w:p>
        </w:tc>
        <w:tc>
          <w:tcPr>
            <w:tcW w:w="1089" w:type="dxa"/>
          </w:tcPr>
          <w:p w14:paraId="26470FC9">
            <w:pPr>
              <w:rPr>
                <w:rFonts w:ascii="宋体" w:hAnsi="宋体"/>
                <w:color w:val="auto"/>
                <w:highlight w:val="none"/>
              </w:rPr>
            </w:pPr>
          </w:p>
        </w:tc>
        <w:tc>
          <w:tcPr>
            <w:tcW w:w="2700" w:type="dxa"/>
          </w:tcPr>
          <w:p w14:paraId="770AA2F9">
            <w:pPr>
              <w:rPr>
                <w:rFonts w:ascii="宋体" w:hAnsi="宋体"/>
                <w:color w:val="auto"/>
                <w:highlight w:val="none"/>
              </w:rPr>
            </w:pPr>
          </w:p>
        </w:tc>
        <w:tc>
          <w:tcPr>
            <w:tcW w:w="2520" w:type="dxa"/>
          </w:tcPr>
          <w:p w14:paraId="488A196B">
            <w:pPr>
              <w:rPr>
                <w:rFonts w:ascii="宋体" w:hAnsi="宋体"/>
                <w:color w:val="auto"/>
                <w:highlight w:val="none"/>
              </w:rPr>
            </w:pPr>
          </w:p>
        </w:tc>
        <w:tc>
          <w:tcPr>
            <w:tcW w:w="1980" w:type="dxa"/>
          </w:tcPr>
          <w:p w14:paraId="3372D857">
            <w:pPr>
              <w:rPr>
                <w:rFonts w:ascii="宋体" w:hAnsi="宋体"/>
                <w:color w:val="auto"/>
                <w:highlight w:val="none"/>
              </w:rPr>
            </w:pPr>
          </w:p>
        </w:tc>
      </w:tr>
      <w:tr w14:paraId="182C3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2E2E5F">
            <w:pPr>
              <w:rPr>
                <w:rFonts w:ascii="宋体" w:hAnsi="宋体"/>
                <w:color w:val="auto"/>
                <w:highlight w:val="none"/>
              </w:rPr>
            </w:pPr>
          </w:p>
        </w:tc>
        <w:tc>
          <w:tcPr>
            <w:tcW w:w="1089" w:type="dxa"/>
          </w:tcPr>
          <w:p w14:paraId="7CEB0427">
            <w:pPr>
              <w:rPr>
                <w:rFonts w:ascii="宋体" w:hAnsi="宋体"/>
                <w:color w:val="auto"/>
                <w:highlight w:val="none"/>
              </w:rPr>
            </w:pPr>
          </w:p>
        </w:tc>
        <w:tc>
          <w:tcPr>
            <w:tcW w:w="2700" w:type="dxa"/>
          </w:tcPr>
          <w:p w14:paraId="608EF410">
            <w:pPr>
              <w:rPr>
                <w:rFonts w:ascii="宋体" w:hAnsi="宋体"/>
                <w:color w:val="auto"/>
                <w:highlight w:val="none"/>
              </w:rPr>
            </w:pPr>
          </w:p>
        </w:tc>
        <w:tc>
          <w:tcPr>
            <w:tcW w:w="2520" w:type="dxa"/>
          </w:tcPr>
          <w:p w14:paraId="13954AD7">
            <w:pPr>
              <w:rPr>
                <w:rFonts w:ascii="宋体" w:hAnsi="宋体"/>
                <w:color w:val="auto"/>
                <w:highlight w:val="none"/>
              </w:rPr>
            </w:pPr>
          </w:p>
        </w:tc>
        <w:tc>
          <w:tcPr>
            <w:tcW w:w="1980" w:type="dxa"/>
          </w:tcPr>
          <w:p w14:paraId="34389D76">
            <w:pPr>
              <w:rPr>
                <w:rFonts w:ascii="宋体" w:hAnsi="宋体"/>
                <w:color w:val="auto"/>
                <w:highlight w:val="none"/>
              </w:rPr>
            </w:pPr>
          </w:p>
        </w:tc>
      </w:tr>
      <w:tr w14:paraId="6B85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7508896">
            <w:pPr>
              <w:rPr>
                <w:rFonts w:ascii="宋体" w:hAnsi="宋体"/>
                <w:color w:val="auto"/>
                <w:highlight w:val="none"/>
              </w:rPr>
            </w:pPr>
          </w:p>
        </w:tc>
        <w:tc>
          <w:tcPr>
            <w:tcW w:w="1089" w:type="dxa"/>
          </w:tcPr>
          <w:p w14:paraId="100AE61C">
            <w:pPr>
              <w:rPr>
                <w:rFonts w:ascii="宋体" w:hAnsi="宋体"/>
                <w:color w:val="auto"/>
                <w:highlight w:val="none"/>
              </w:rPr>
            </w:pPr>
          </w:p>
        </w:tc>
        <w:tc>
          <w:tcPr>
            <w:tcW w:w="2700" w:type="dxa"/>
          </w:tcPr>
          <w:p w14:paraId="4F5147AF">
            <w:pPr>
              <w:rPr>
                <w:rFonts w:ascii="宋体" w:hAnsi="宋体"/>
                <w:color w:val="auto"/>
                <w:highlight w:val="none"/>
              </w:rPr>
            </w:pPr>
          </w:p>
        </w:tc>
        <w:tc>
          <w:tcPr>
            <w:tcW w:w="2520" w:type="dxa"/>
          </w:tcPr>
          <w:p w14:paraId="2B988F90">
            <w:pPr>
              <w:rPr>
                <w:rFonts w:ascii="宋体" w:hAnsi="宋体"/>
                <w:color w:val="auto"/>
                <w:highlight w:val="none"/>
              </w:rPr>
            </w:pPr>
          </w:p>
        </w:tc>
        <w:tc>
          <w:tcPr>
            <w:tcW w:w="1980" w:type="dxa"/>
          </w:tcPr>
          <w:p w14:paraId="068AE840">
            <w:pPr>
              <w:rPr>
                <w:rFonts w:ascii="宋体" w:hAnsi="宋体"/>
                <w:color w:val="auto"/>
                <w:highlight w:val="none"/>
              </w:rPr>
            </w:pPr>
          </w:p>
        </w:tc>
      </w:tr>
    </w:tbl>
    <w:p w14:paraId="58386FE2">
      <w:pPr>
        <w:rPr>
          <w:rFonts w:ascii="宋体" w:hAnsi="宋体"/>
          <w:color w:val="auto"/>
          <w:sz w:val="28"/>
          <w:highlight w:val="none"/>
        </w:rPr>
      </w:pPr>
    </w:p>
    <w:p w14:paraId="5D4B2F44">
      <w:pPr>
        <w:pStyle w:val="3"/>
        <w:rPr>
          <w:rFonts w:ascii="宋体" w:hAnsi="宋体"/>
          <w:color w:val="auto"/>
          <w:sz w:val="32"/>
          <w:szCs w:val="32"/>
          <w:highlight w:val="none"/>
        </w:rPr>
      </w:pPr>
      <w:bookmarkStart w:id="763" w:name="_Toc338840512"/>
      <w:bookmarkStart w:id="764" w:name="_Toc289241361"/>
      <w:bookmarkStart w:id="765" w:name="_Toc289182441"/>
      <w:bookmarkStart w:id="766" w:name="_Toc289241538"/>
      <w:bookmarkStart w:id="767" w:name="_Toc338840473"/>
      <w:bookmarkStart w:id="768" w:name="_Toc289096745"/>
      <w:bookmarkStart w:id="769" w:name="_Toc338840264"/>
      <w:bookmarkStart w:id="770" w:name="_Toc288748130"/>
      <w:bookmarkStart w:id="771" w:name="_Toc289182819"/>
      <w:bookmarkStart w:id="772" w:name="_Toc289238790"/>
      <w:r>
        <w:rPr>
          <w:rFonts w:hint="eastAsia" w:ascii="宋体" w:hAnsi="宋体" w:cs="宋体"/>
          <w:color w:val="auto"/>
          <w:sz w:val="32"/>
          <w:szCs w:val="32"/>
          <w:highlight w:val="none"/>
        </w:rPr>
        <w:t>注：1、投标文件内容与招标文件技术、商务要求有偏差时，</w:t>
      </w:r>
      <w:r>
        <w:rPr>
          <w:rFonts w:hint="eastAsia" w:ascii="宋体" w:hAnsi="宋体"/>
          <w:color w:val="auto"/>
          <w:sz w:val="32"/>
          <w:szCs w:val="32"/>
          <w:highlight w:val="none"/>
        </w:rPr>
        <w:t>应在上表中分别列明，填写偏差说明（注明正偏差或负偏差情况），</w:t>
      </w:r>
      <w:r>
        <w:rPr>
          <w:rFonts w:ascii="宋体" w:hAnsi="宋体"/>
          <w:color w:val="auto"/>
          <w:sz w:val="32"/>
          <w:szCs w:val="32"/>
          <w:highlight w:val="none"/>
        </w:rPr>
        <w:t>保证除列出的偏差外</w:t>
      </w:r>
      <w:r>
        <w:rPr>
          <w:rFonts w:hint="eastAsia" w:ascii="宋体" w:hAnsi="宋体"/>
          <w:color w:val="auto"/>
          <w:sz w:val="32"/>
          <w:szCs w:val="32"/>
          <w:highlight w:val="none"/>
        </w:rPr>
        <w:t>无其他偏差</w:t>
      </w:r>
      <w:r>
        <w:rPr>
          <w:rFonts w:ascii="宋体" w:hAnsi="宋体"/>
          <w:color w:val="auto"/>
          <w:sz w:val="32"/>
          <w:szCs w:val="32"/>
          <w:highlight w:val="none"/>
        </w:rPr>
        <w:t>。</w:t>
      </w:r>
    </w:p>
    <w:p w14:paraId="331B1272">
      <w:pPr>
        <w:ind w:firstLine="640" w:firstLineChars="200"/>
        <w:rPr>
          <w:rFonts w:ascii="宋体" w:hAnsi="宋体"/>
          <w:color w:val="auto"/>
          <w:sz w:val="32"/>
          <w:szCs w:val="32"/>
          <w:highlight w:val="none"/>
        </w:rPr>
      </w:pPr>
      <w:r>
        <w:rPr>
          <w:rFonts w:hint="eastAsia" w:ascii="宋体" w:hAnsi="宋体"/>
          <w:color w:val="auto"/>
          <w:sz w:val="32"/>
          <w:szCs w:val="32"/>
          <w:highlight w:val="none"/>
        </w:rPr>
        <w:t>2、无偏差时可不填列具体内容，只在“偏差说明”栏内注明“无偏差”。</w:t>
      </w:r>
    </w:p>
    <w:p w14:paraId="36E2774E">
      <w:pPr>
        <w:pStyle w:val="2"/>
        <w:ind w:firstLine="640" w:firstLineChars="200"/>
        <w:jc w:val="center"/>
        <w:rPr>
          <w:rFonts w:hint="eastAsia" w:ascii="宋体" w:hAnsi="宋体" w:eastAsia="宋体" w:cs="Times New Roman"/>
          <w:b/>
          <w:bCs/>
          <w:color w:val="auto"/>
          <w:kern w:val="44"/>
          <w:sz w:val="44"/>
          <w:szCs w:val="44"/>
          <w:highlight w:val="none"/>
          <w:lang w:val="en-US" w:eastAsia="zh-CN" w:bidi="ar-SA"/>
        </w:rPr>
      </w:pPr>
      <w:r>
        <w:rPr>
          <w:rFonts w:ascii="宋体" w:hAnsi="宋体"/>
          <w:color w:val="auto"/>
          <w:sz w:val="32"/>
          <w:szCs w:val="32"/>
          <w:highlight w:val="none"/>
        </w:rPr>
        <w:br w:type="page"/>
      </w:r>
      <w:bookmarkEnd w:id="763"/>
      <w:bookmarkEnd w:id="764"/>
      <w:bookmarkEnd w:id="765"/>
      <w:bookmarkEnd w:id="766"/>
      <w:bookmarkEnd w:id="767"/>
      <w:bookmarkEnd w:id="768"/>
      <w:bookmarkEnd w:id="769"/>
      <w:bookmarkEnd w:id="770"/>
      <w:bookmarkEnd w:id="771"/>
      <w:bookmarkEnd w:id="772"/>
      <w:r>
        <w:rPr>
          <w:rFonts w:hint="eastAsia" w:ascii="宋体" w:hAnsi="宋体" w:eastAsia="宋体" w:cs="Times New Roman"/>
          <w:b/>
          <w:bCs/>
          <w:color w:val="auto"/>
          <w:kern w:val="44"/>
          <w:sz w:val="44"/>
          <w:szCs w:val="44"/>
          <w:highlight w:val="none"/>
          <w:lang w:val="en-US" w:eastAsia="zh-CN" w:bidi="ar-SA"/>
        </w:rPr>
        <w:t xml:space="preserve"> 六 企业业绩</w:t>
      </w:r>
    </w:p>
    <w:p w14:paraId="24A82DFC">
      <w:pPr>
        <w:pStyle w:val="2"/>
        <w:jc w:val="center"/>
        <w:rPr>
          <w:rFonts w:hint="eastAsia" w:ascii="宋体" w:hAnsi="宋体"/>
          <w:color w:val="auto"/>
          <w:sz w:val="32"/>
          <w:szCs w:val="32"/>
          <w:highlight w:val="none"/>
          <w:lang w:val="en-US" w:eastAsia="zh-CN"/>
        </w:rPr>
      </w:pPr>
    </w:p>
    <w:p w14:paraId="6CD28F94">
      <w:pPr>
        <w:pStyle w:val="3"/>
        <w:jc w:val="center"/>
        <w:rPr>
          <w:rFonts w:hint="eastAsia" w:ascii="宋体" w:hAnsi="宋体"/>
          <w:color w:val="auto"/>
          <w:sz w:val="32"/>
          <w:szCs w:val="32"/>
          <w:highlight w:val="none"/>
          <w:lang w:val="en-US" w:eastAsia="zh-CN"/>
        </w:rPr>
      </w:pP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七  企业实力</w:t>
      </w:r>
    </w:p>
    <w:p w14:paraId="529476D4">
      <w:pPr>
        <w:pStyle w:val="4"/>
        <w:jc w:val="center"/>
        <w:rPr>
          <w:rFonts w:hint="eastAsia" w:ascii="宋体" w:hAnsi="宋体"/>
          <w:color w:val="auto"/>
          <w:sz w:val="32"/>
          <w:szCs w:val="32"/>
          <w:highlight w:val="none"/>
          <w:lang w:val="en-US" w:eastAsia="zh-CN"/>
        </w:rPr>
      </w:pPr>
    </w:p>
    <w:p w14:paraId="3F0B3C31">
      <w:pPr>
        <w:pStyle w:val="5"/>
        <w:ind w:left="0" w:leftChars="0" w:firstLine="0" w:firstLineChars="0"/>
        <w:jc w:val="both"/>
        <w:rPr>
          <w:rFonts w:hint="eastAsia" w:ascii="宋体" w:hAnsi="宋体"/>
          <w:color w:val="auto"/>
          <w:sz w:val="32"/>
          <w:szCs w:val="32"/>
          <w:highlight w:val="none"/>
          <w:lang w:val="en-US" w:eastAsia="zh-CN"/>
        </w:rPr>
      </w:pP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 xml:space="preserve">           八 售后服务方案</w:t>
      </w:r>
    </w:p>
    <w:p w14:paraId="086E74B7">
      <w:pPr>
        <w:jc w:val="center"/>
        <w:rPr>
          <w:rFonts w:hint="eastAsia" w:ascii="宋体" w:hAnsi="宋体"/>
          <w:color w:val="auto"/>
          <w:sz w:val="32"/>
          <w:szCs w:val="32"/>
          <w:highlight w:val="none"/>
          <w:lang w:val="en-US" w:eastAsia="zh-CN"/>
        </w:rPr>
      </w:pPr>
    </w:p>
    <w:p w14:paraId="15F61908">
      <w:pPr>
        <w:pStyle w:val="2"/>
        <w:jc w:val="center"/>
        <w:rPr>
          <w:rFonts w:hint="eastAsia" w:ascii="宋体" w:hAnsi="宋体"/>
          <w:color w:val="auto"/>
          <w:sz w:val="32"/>
          <w:szCs w:val="32"/>
          <w:highlight w:val="none"/>
          <w:lang w:val="en-US" w:eastAsia="zh-CN"/>
        </w:rPr>
      </w:pP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九 优先采购</w:t>
      </w: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十  技术人员力量</w:t>
      </w:r>
    </w:p>
    <w:p w14:paraId="034BD828">
      <w:pPr>
        <w:pStyle w:val="3"/>
        <w:jc w:val="center"/>
        <w:rPr>
          <w:rFonts w:hint="eastAsia" w:ascii="宋体" w:hAnsi="宋体"/>
          <w:color w:val="auto"/>
          <w:sz w:val="32"/>
          <w:szCs w:val="32"/>
          <w:highlight w:val="none"/>
          <w:lang w:val="en-US" w:eastAsia="zh-CN"/>
        </w:rPr>
      </w:pPr>
    </w:p>
    <w:p w14:paraId="2EE01286">
      <w:pPr>
        <w:pStyle w:val="4"/>
        <w:jc w:val="center"/>
        <w:rPr>
          <w:rFonts w:hint="eastAsia" w:ascii="宋体" w:hAnsi="宋体"/>
          <w:color w:val="auto"/>
          <w:sz w:val="32"/>
          <w:szCs w:val="32"/>
          <w:highlight w:val="none"/>
          <w:lang w:val="en-US" w:eastAsia="zh-CN"/>
        </w:rPr>
      </w:pP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十</w:t>
      </w:r>
      <w:r>
        <w:rPr>
          <w:rFonts w:hint="eastAsia" w:ascii="宋体" w:hAnsi="宋体" w:cs="Times New Roman"/>
          <w:b/>
          <w:bCs/>
          <w:color w:val="auto"/>
          <w:kern w:val="44"/>
          <w:sz w:val="44"/>
          <w:szCs w:val="44"/>
          <w:highlight w:val="none"/>
          <w:lang w:val="en-US" w:eastAsia="zh-CN" w:bidi="ar-SA"/>
        </w:rPr>
        <w:t xml:space="preserve">一 </w:t>
      </w:r>
      <w:r>
        <w:rPr>
          <w:rFonts w:hint="eastAsia" w:ascii="宋体" w:hAnsi="宋体" w:eastAsia="宋体" w:cs="Times New Roman"/>
          <w:b/>
          <w:bCs/>
          <w:color w:val="auto"/>
          <w:kern w:val="44"/>
          <w:sz w:val="44"/>
          <w:szCs w:val="44"/>
          <w:highlight w:val="none"/>
          <w:lang w:val="en-US" w:eastAsia="zh-CN" w:bidi="ar-SA"/>
        </w:rPr>
        <w:t xml:space="preserve"> </w:t>
      </w:r>
      <w:r>
        <w:rPr>
          <w:rFonts w:hint="eastAsia" w:ascii="宋体" w:hAnsi="宋体" w:cs="Times New Roman"/>
          <w:b/>
          <w:bCs/>
          <w:color w:val="auto"/>
          <w:kern w:val="44"/>
          <w:sz w:val="44"/>
          <w:szCs w:val="44"/>
          <w:highlight w:val="none"/>
          <w:lang w:val="en-US" w:eastAsia="zh-CN" w:bidi="ar-SA"/>
        </w:rPr>
        <w:t>项目负责人</w:t>
      </w:r>
      <w:r>
        <w:rPr>
          <w:rFonts w:hint="eastAsia" w:ascii="宋体" w:hAnsi="宋体" w:eastAsia="宋体" w:cs="Times New Roman"/>
          <w:b/>
          <w:bCs/>
          <w:color w:val="auto"/>
          <w:kern w:val="44"/>
          <w:sz w:val="44"/>
          <w:szCs w:val="44"/>
          <w:highlight w:val="none"/>
          <w:lang w:val="en-US" w:eastAsia="zh-CN" w:bidi="ar-SA"/>
        </w:rPr>
        <w:t>经验</w:t>
      </w:r>
    </w:p>
    <w:p w14:paraId="6EFAF7AC">
      <w:pPr>
        <w:pStyle w:val="5"/>
        <w:jc w:val="center"/>
        <w:rPr>
          <w:rFonts w:hint="eastAsia" w:ascii="宋体" w:hAnsi="宋体"/>
          <w:color w:val="auto"/>
          <w:sz w:val="32"/>
          <w:szCs w:val="32"/>
          <w:highlight w:val="none"/>
          <w:lang w:val="en-US" w:eastAsia="zh-CN"/>
        </w:rPr>
      </w:pPr>
    </w:p>
    <w:p w14:paraId="5E2B6ABB">
      <w:pPr>
        <w:jc w:val="center"/>
        <w:rPr>
          <w:rFonts w:hint="default" w:ascii="宋体" w:hAnsi="宋体" w:eastAsia="宋体" w:cs="Times New Roman"/>
          <w:b/>
          <w:bCs/>
          <w:color w:val="auto"/>
          <w:kern w:val="44"/>
          <w:sz w:val="44"/>
          <w:szCs w:val="44"/>
          <w:highlight w:val="none"/>
          <w:lang w:val="en-US" w:eastAsia="zh-CN" w:bidi="ar-SA"/>
        </w:rPr>
      </w:pPr>
      <w:r>
        <w:rPr>
          <w:rFonts w:hint="eastAsia" w:ascii="宋体" w:hAnsi="宋体" w:eastAsia="宋体" w:cs="Times New Roman"/>
          <w:b/>
          <w:bCs/>
          <w:color w:val="auto"/>
          <w:kern w:val="44"/>
          <w:sz w:val="44"/>
          <w:szCs w:val="44"/>
          <w:highlight w:val="none"/>
          <w:lang w:val="en-US" w:eastAsia="zh-CN" w:bidi="ar-SA"/>
        </w:rPr>
        <w:br w:type="page"/>
      </w:r>
      <w:r>
        <w:rPr>
          <w:rFonts w:hint="eastAsia" w:ascii="宋体" w:hAnsi="宋体" w:eastAsia="宋体" w:cs="Times New Roman"/>
          <w:b/>
          <w:bCs/>
          <w:color w:val="auto"/>
          <w:kern w:val="44"/>
          <w:sz w:val="44"/>
          <w:szCs w:val="44"/>
          <w:highlight w:val="none"/>
          <w:lang w:val="en-US" w:eastAsia="zh-CN" w:bidi="ar-SA"/>
        </w:rPr>
        <w:t>十二 项目实施方案</w:t>
      </w:r>
    </w:p>
    <w:p w14:paraId="0A4276C1">
      <w:pPr>
        <w:jc w:val="center"/>
        <w:rPr>
          <w:rFonts w:ascii="宋体" w:hAnsi="宋体"/>
          <w:color w:val="auto"/>
          <w:sz w:val="32"/>
          <w:szCs w:val="32"/>
          <w:highlight w:val="none"/>
        </w:rPr>
      </w:pPr>
    </w:p>
    <w:p w14:paraId="49EAC3ED">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1、</w:t>
      </w:r>
      <w:r>
        <w:rPr>
          <w:rFonts w:hint="eastAsia" w:ascii="宋体" w:hAnsi="宋体"/>
          <w:color w:val="auto"/>
          <w:sz w:val="32"/>
          <w:szCs w:val="32"/>
          <w:highlight w:val="none"/>
        </w:rPr>
        <w:t>项目总体安排</w:t>
      </w:r>
    </w:p>
    <w:p w14:paraId="3D276596">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t>施工内容</w:t>
      </w:r>
    </w:p>
    <w:p w14:paraId="7FE4E38B">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3、</w:t>
      </w:r>
      <w:r>
        <w:rPr>
          <w:rFonts w:hint="eastAsia" w:ascii="宋体" w:hAnsi="宋体"/>
          <w:color w:val="auto"/>
          <w:sz w:val="32"/>
          <w:szCs w:val="32"/>
          <w:highlight w:val="none"/>
        </w:rPr>
        <w:t>拟投入人员</w:t>
      </w:r>
    </w:p>
    <w:p w14:paraId="46B2CEA0">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4、</w:t>
      </w:r>
      <w:r>
        <w:rPr>
          <w:rFonts w:hint="eastAsia" w:ascii="宋体" w:hAnsi="宋体"/>
          <w:color w:val="auto"/>
          <w:sz w:val="32"/>
          <w:szCs w:val="32"/>
          <w:highlight w:val="none"/>
        </w:rPr>
        <w:t>拟投入器械</w:t>
      </w:r>
    </w:p>
    <w:p w14:paraId="3D2A5794">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t>设备原材料管理措施</w:t>
      </w:r>
    </w:p>
    <w:p w14:paraId="1DE69623">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6、</w:t>
      </w:r>
      <w:r>
        <w:rPr>
          <w:rFonts w:hint="eastAsia" w:ascii="宋体" w:hAnsi="宋体"/>
          <w:color w:val="auto"/>
          <w:sz w:val="32"/>
          <w:szCs w:val="32"/>
          <w:highlight w:val="none"/>
        </w:rPr>
        <w:t>成品和半成品保护管理措施</w:t>
      </w:r>
    </w:p>
    <w:p w14:paraId="04214C7D">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7、</w:t>
      </w:r>
      <w:r>
        <w:rPr>
          <w:rFonts w:hint="eastAsia" w:ascii="宋体" w:hAnsi="宋体"/>
          <w:color w:val="auto"/>
          <w:sz w:val="32"/>
          <w:szCs w:val="32"/>
          <w:highlight w:val="none"/>
        </w:rPr>
        <w:t>安装调试方案</w:t>
      </w:r>
    </w:p>
    <w:p w14:paraId="697E8147">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8、</w:t>
      </w:r>
      <w:r>
        <w:rPr>
          <w:rFonts w:hint="eastAsia" w:ascii="宋体" w:hAnsi="宋体"/>
          <w:color w:val="auto"/>
          <w:sz w:val="32"/>
          <w:szCs w:val="32"/>
          <w:highlight w:val="none"/>
        </w:rPr>
        <w:t>项目验收方案</w:t>
      </w:r>
    </w:p>
    <w:p w14:paraId="358BBBDA">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9、</w:t>
      </w:r>
      <w:r>
        <w:rPr>
          <w:rFonts w:hint="eastAsia" w:ascii="宋体" w:hAnsi="宋体"/>
          <w:color w:val="auto"/>
          <w:sz w:val="32"/>
          <w:szCs w:val="32"/>
          <w:highlight w:val="none"/>
        </w:rPr>
        <w:t>项目实施进度计划</w:t>
      </w:r>
    </w:p>
    <w:p w14:paraId="66107F32">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10、</w:t>
      </w:r>
      <w:r>
        <w:rPr>
          <w:rFonts w:hint="eastAsia" w:ascii="宋体" w:hAnsi="宋体"/>
          <w:color w:val="auto"/>
          <w:sz w:val="32"/>
          <w:szCs w:val="32"/>
          <w:highlight w:val="none"/>
        </w:rPr>
        <w:t>项目质量保障措施</w:t>
      </w:r>
    </w:p>
    <w:p w14:paraId="33E4C906">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11、</w:t>
      </w:r>
      <w:r>
        <w:rPr>
          <w:rFonts w:hint="eastAsia" w:ascii="宋体" w:hAnsi="宋体"/>
          <w:color w:val="auto"/>
          <w:sz w:val="32"/>
          <w:szCs w:val="32"/>
          <w:highlight w:val="none"/>
        </w:rPr>
        <w:t>安全文明施工保障措施</w:t>
      </w:r>
    </w:p>
    <w:p w14:paraId="464CF7D1">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12、</w:t>
      </w:r>
      <w:r>
        <w:rPr>
          <w:rFonts w:hint="eastAsia" w:ascii="宋体" w:hAnsi="宋体"/>
          <w:color w:val="auto"/>
          <w:sz w:val="32"/>
          <w:szCs w:val="32"/>
          <w:highlight w:val="none"/>
        </w:rPr>
        <w:t>环保施工保障措施</w:t>
      </w:r>
    </w:p>
    <w:p w14:paraId="61B012E6">
      <w:pPr>
        <w:jc w:val="both"/>
        <w:rPr>
          <w:rFonts w:hint="eastAsia" w:ascii="宋体" w:hAnsi="宋体"/>
          <w:color w:val="auto"/>
          <w:sz w:val="32"/>
          <w:szCs w:val="32"/>
          <w:highlight w:val="none"/>
        </w:rPr>
      </w:pPr>
      <w:r>
        <w:rPr>
          <w:rFonts w:hint="eastAsia" w:ascii="宋体" w:hAnsi="宋体"/>
          <w:color w:val="auto"/>
          <w:sz w:val="32"/>
          <w:szCs w:val="32"/>
          <w:highlight w:val="none"/>
          <w:lang w:val="en-US" w:eastAsia="zh-CN"/>
        </w:rPr>
        <w:t>13、</w:t>
      </w:r>
      <w:r>
        <w:rPr>
          <w:rFonts w:hint="eastAsia" w:ascii="宋体" w:hAnsi="宋体"/>
          <w:color w:val="auto"/>
          <w:sz w:val="32"/>
          <w:szCs w:val="32"/>
          <w:highlight w:val="none"/>
        </w:rPr>
        <w:t>突发事件应急预案</w:t>
      </w:r>
    </w:p>
    <w:p w14:paraId="4BDCA61E">
      <w:pPr>
        <w:pStyle w:val="2"/>
        <w:rPr>
          <w:rFonts w:hint="default" w:eastAsia="宋体"/>
          <w:color w:val="auto"/>
          <w:highlight w:val="none"/>
          <w:lang w:val="en-US" w:eastAsia="zh-CN"/>
        </w:rPr>
      </w:pPr>
      <w:r>
        <w:rPr>
          <w:rFonts w:hint="eastAsia" w:ascii="宋体" w:hAnsi="宋体"/>
          <w:color w:val="auto"/>
          <w:sz w:val="32"/>
          <w:szCs w:val="32"/>
          <w:highlight w:val="none"/>
          <w:lang w:val="en-US" w:eastAsia="zh-CN"/>
        </w:rPr>
        <w:t>14、......</w:t>
      </w:r>
    </w:p>
    <w:p w14:paraId="4B768CB0">
      <w:pPr>
        <w:jc w:val="center"/>
        <w:rPr>
          <w:rFonts w:hint="eastAsia" w:ascii="宋体" w:hAnsi="宋体"/>
          <w:b/>
          <w:color w:val="auto"/>
          <w:sz w:val="32"/>
          <w:szCs w:val="32"/>
          <w:highlight w:val="none"/>
        </w:rPr>
      </w:pPr>
      <w:r>
        <w:rPr>
          <w:rFonts w:ascii="宋体" w:hAnsi="宋体"/>
          <w:color w:val="auto"/>
          <w:sz w:val="32"/>
          <w:szCs w:val="32"/>
          <w:highlight w:val="none"/>
        </w:rPr>
        <w:br w:type="page"/>
      </w:r>
      <w:r>
        <w:rPr>
          <w:rFonts w:hint="eastAsia" w:ascii="宋体" w:hAnsi="宋体" w:cs="宋体"/>
          <w:b/>
          <w:color w:val="auto"/>
          <w:kern w:val="44"/>
          <w:sz w:val="44"/>
          <w:szCs w:val="44"/>
          <w:highlight w:val="none"/>
          <w:lang w:val="en-US" w:eastAsia="zh-CN"/>
        </w:rPr>
        <w:t>十三</w:t>
      </w:r>
      <w:r>
        <w:rPr>
          <w:rFonts w:hint="eastAsia" w:ascii="宋体" w:hAnsi="宋体" w:cs="宋体"/>
          <w:b/>
          <w:color w:val="auto"/>
          <w:kern w:val="44"/>
          <w:sz w:val="44"/>
          <w:szCs w:val="44"/>
          <w:highlight w:val="none"/>
        </w:rPr>
        <w:t>　备品备件及附送工具清单</w:t>
      </w:r>
    </w:p>
    <w:p w14:paraId="695332D5">
      <w:pPr>
        <w:rPr>
          <w:rFonts w:hint="eastAsia" w:ascii="宋体" w:hAnsi="宋体"/>
          <w:color w:val="auto"/>
          <w:highlight w:val="none"/>
        </w:rPr>
      </w:pPr>
      <w:r>
        <w:rPr>
          <w:rFonts w:hint="eastAsia" w:ascii="宋体" w:hAnsi="宋体"/>
          <w:color w:val="auto"/>
          <w:highlight w:val="none"/>
        </w:rPr>
        <w:t>　　　　　　　　　　　　　</w:t>
      </w:r>
    </w:p>
    <w:p w14:paraId="26D32DBA">
      <w:pPr>
        <w:widowControl/>
        <w:spacing w:line="240" w:lineRule="atLeast"/>
        <w:jc w:val="left"/>
        <w:rPr>
          <w:rFonts w:hint="eastAsia" w:ascii="宋体" w:hAnsi="宋体" w:cs="宋体"/>
          <w:color w:val="auto"/>
          <w:kern w:val="0"/>
          <w:sz w:val="32"/>
          <w:szCs w:val="32"/>
          <w:highlight w:val="none"/>
        </w:rPr>
      </w:pPr>
    </w:p>
    <w:p w14:paraId="1F1D76F1">
      <w:pPr>
        <w:widowControl/>
        <w:rPr>
          <w:rFonts w:hint="eastAsia"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A0DC1D0">
      <w:pPr>
        <w:widowControl/>
        <w:ind w:firstLine="640" w:firstLineChars="200"/>
        <w:rPr>
          <w:rFonts w:hint="eastAsia" w:ascii="宋体" w:hAnsi="宋体"/>
          <w:color w:val="auto"/>
          <w:kern w:val="0"/>
          <w:sz w:val="32"/>
          <w:szCs w:val="32"/>
          <w:highlight w:val="none"/>
        </w:rPr>
      </w:pPr>
    </w:p>
    <w:p w14:paraId="061081A2">
      <w:pPr>
        <w:ind w:firstLine="640" w:firstLineChars="200"/>
        <w:rPr>
          <w:rFonts w:hint="eastAsia" w:ascii="宋体" w:hAnsi="宋体"/>
          <w:color w:val="auto"/>
          <w:sz w:val="32"/>
          <w:szCs w:val="32"/>
          <w:highlight w:val="none"/>
        </w:rPr>
      </w:pPr>
    </w:p>
    <w:p w14:paraId="1A9B780D">
      <w:pPr>
        <w:jc w:val="center"/>
        <w:rPr>
          <w:rFonts w:hint="eastAsia" w:ascii="宋体" w:hAnsi="宋体" w:cs="宋体"/>
          <w:b/>
          <w:color w:val="auto"/>
          <w:kern w:val="44"/>
          <w:sz w:val="32"/>
          <w:szCs w:val="32"/>
          <w:highlight w:val="none"/>
        </w:rPr>
      </w:pPr>
      <w:r>
        <w:rPr>
          <w:rFonts w:hint="eastAsia" w:ascii="宋体" w:hAnsi="宋体"/>
          <w:b/>
          <w:bCs/>
          <w:color w:val="auto"/>
          <w:kern w:val="44"/>
          <w:sz w:val="44"/>
          <w:szCs w:val="44"/>
          <w:highlight w:val="none"/>
          <w:lang w:val="en-US" w:eastAsia="zh-CN"/>
        </w:rPr>
        <w:br w:type="page"/>
      </w:r>
      <w:r>
        <w:rPr>
          <w:rFonts w:hint="eastAsia" w:ascii="宋体" w:hAnsi="宋体"/>
          <w:b/>
          <w:bCs/>
          <w:color w:val="auto"/>
          <w:kern w:val="44"/>
          <w:sz w:val="44"/>
          <w:szCs w:val="44"/>
          <w:highlight w:val="none"/>
          <w:lang w:val="en-US" w:eastAsia="zh-CN"/>
        </w:rPr>
        <w:t xml:space="preserve">十四  </w:t>
      </w:r>
      <w:r>
        <w:rPr>
          <w:rFonts w:hint="eastAsia" w:ascii="宋体" w:hAnsi="宋体"/>
          <w:b/>
          <w:color w:val="auto"/>
          <w:kern w:val="44"/>
          <w:sz w:val="44"/>
          <w:szCs w:val="44"/>
          <w:highlight w:val="none"/>
        </w:rPr>
        <w:t>相关证明材料</w:t>
      </w:r>
    </w:p>
    <w:p w14:paraId="67ADC7DE">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3DDCE4AB">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3B4BE1E5">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1D07A515">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若为货物类采购项目，其全部标的（产品）应均为中型、小型、微型企业生产，并在声明函中分别列明与“投标内容及报价明细表”中对应的每一标的（产品）及其生产制造商情况]，作为资格审查内容。</w:t>
      </w:r>
    </w:p>
    <w:p w14:paraId="5DCCFF5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14:paraId="1E4FA472">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141F33EA">
      <w:pPr>
        <w:spacing w:before="120" w:beforeLines="50" w:after="120" w:afterLines="50"/>
        <w:ind w:firstLine="630" w:firstLineChars="196"/>
        <w:rPr>
          <w:rFonts w:hint="eastAsia"/>
          <w:b/>
          <w:color w:val="auto"/>
          <w:kern w:val="44"/>
          <w:sz w:val="32"/>
          <w:szCs w:val="32"/>
          <w:highlight w:val="none"/>
        </w:rPr>
      </w:pPr>
    </w:p>
    <w:p w14:paraId="5D76B222">
      <w:pPr>
        <w:spacing w:before="120" w:beforeLines="50" w:after="120" w:afterLines="50"/>
        <w:ind w:firstLine="630" w:firstLineChars="196"/>
        <w:rPr>
          <w:rFonts w:hint="eastAsia"/>
          <w:b/>
          <w:color w:val="auto"/>
          <w:kern w:val="44"/>
          <w:sz w:val="32"/>
          <w:szCs w:val="32"/>
          <w:highlight w:val="none"/>
        </w:rPr>
      </w:pPr>
    </w:p>
    <w:p w14:paraId="043DA0D7">
      <w:pPr>
        <w:spacing w:before="120" w:beforeLines="50" w:after="120" w:afterLines="50"/>
        <w:ind w:firstLine="630" w:firstLineChars="196"/>
        <w:rPr>
          <w:rFonts w:hint="eastAsia"/>
          <w:b/>
          <w:color w:val="auto"/>
          <w:kern w:val="44"/>
          <w:sz w:val="32"/>
          <w:szCs w:val="32"/>
          <w:highlight w:val="none"/>
        </w:rPr>
      </w:pPr>
    </w:p>
    <w:p w14:paraId="543B5F19">
      <w:pPr>
        <w:spacing w:before="120" w:beforeLines="50" w:after="120" w:afterLines="50"/>
        <w:ind w:firstLine="630" w:firstLineChars="196"/>
        <w:rPr>
          <w:rFonts w:hint="eastAsia"/>
          <w:b/>
          <w:color w:val="auto"/>
          <w:kern w:val="44"/>
          <w:sz w:val="32"/>
          <w:szCs w:val="32"/>
          <w:highlight w:val="none"/>
        </w:rPr>
      </w:pPr>
    </w:p>
    <w:p w14:paraId="6A4D9192">
      <w:pPr>
        <w:spacing w:before="120" w:beforeLines="50" w:after="120" w:afterLines="50"/>
        <w:ind w:firstLine="630" w:firstLineChars="196"/>
        <w:rPr>
          <w:rFonts w:hint="eastAsia"/>
          <w:b/>
          <w:color w:val="auto"/>
          <w:kern w:val="44"/>
          <w:sz w:val="32"/>
          <w:szCs w:val="32"/>
          <w:highlight w:val="none"/>
        </w:rPr>
      </w:pPr>
    </w:p>
    <w:p w14:paraId="0EE70A44">
      <w:pPr>
        <w:spacing w:before="120" w:beforeLines="50" w:after="120" w:afterLines="50"/>
        <w:ind w:firstLine="630" w:firstLineChars="196"/>
        <w:rPr>
          <w:rFonts w:hint="eastAsia"/>
          <w:b/>
          <w:color w:val="auto"/>
          <w:kern w:val="44"/>
          <w:sz w:val="32"/>
          <w:szCs w:val="32"/>
          <w:highlight w:val="none"/>
        </w:rPr>
      </w:pPr>
    </w:p>
    <w:p w14:paraId="667E74F8">
      <w:pPr>
        <w:jc w:val="center"/>
        <w:rPr>
          <w:rFonts w:hint="eastAsia" w:ascii="宋体" w:hAnsi="宋体"/>
          <w:color w:val="auto"/>
          <w:sz w:val="28"/>
          <w:highlight w:val="none"/>
          <w:u w:val="single"/>
        </w:rPr>
      </w:pPr>
      <w:r>
        <w:rPr>
          <w:rFonts w:hint="eastAsia"/>
          <w:b/>
          <w:color w:val="auto"/>
          <w:kern w:val="44"/>
          <w:sz w:val="32"/>
          <w:szCs w:val="32"/>
          <w:highlight w:val="none"/>
          <w:lang w:val="en-US" w:eastAsia="zh-CN"/>
        </w:rPr>
        <w:t xml:space="preserve">（一） </w:t>
      </w:r>
      <w:r>
        <w:rPr>
          <w:rFonts w:hint="eastAsia" w:ascii="宋体" w:hAnsi="宋体" w:cs="宋体"/>
          <w:b/>
          <w:bCs/>
          <w:color w:val="auto"/>
          <w:sz w:val="40"/>
          <w:szCs w:val="40"/>
          <w:highlight w:val="none"/>
          <w:lang w:val="en-US" w:eastAsia="zh-CN"/>
        </w:rPr>
        <w:t>承诺函</w:t>
      </w:r>
    </w:p>
    <w:p w14:paraId="39467EEE">
      <w:pPr>
        <w:pStyle w:val="2"/>
        <w:jc w:val="both"/>
        <w:rPr>
          <w:rFonts w:hint="eastAsia" w:ascii="宋体" w:hAnsi="宋体" w:eastAsia="宋体" w:cs="Times New Roman"/>
          <w:b w:val="0"/>
          <w:bCs w:val="0"/>
          <w:color w:val="auto"/>
          <w:kern w:val="44"/>
          <w:sz w:val="32"/>
          <w:szCs w:val="32"/>
          <w:highlight w:val="none"/>
          <w:lang w:val="en-US" w:eastAsia="zh-CN" w:bidi="ar-SA"/>
        </w:rPr>
      </w:pPr>
    </w:p>
    <w:p w14:paraId="3E2FA1D0">
      <w:pPr>
        <w:pStyle w:val="2"/>
        <w:spacing w:line="360" w:lineRule="auto"/>
        <w:jc w:val="both"/>
        <w:rPr>
          <w:rFonts w:hint="eastAsia" w:ascii="宋体" w:hAnsi="宋体" w:eastAsia="宋体" w:cs="Times New Roman"/>
          <w:b w:val="0"/>
          <w:bCs w:val="0"/>
          <w:color w:val="auto"/>
          <w:kern w:val="44"/>
          <w:sz w:val="32"/>
          <w:szCs w:val="32"/>
          <w:highlight w:val="none"/>
          <w:lang w:val="en-US" w:eastAsia="zh-CN" w:bidi="ar-SA"/>
        </w:rPr>
      </w:pPr>
      <w:r>
        <w:rPr>
          <w:rFonts w:hint="eastAsia" w:ascii="宋体" w:hAnsi="宋体" w:eastAsia="宋体" w:cs="Times New Roman"/>
          <w:b w:val="0"/>
          <w:bCs w:val="0"/>
          <w:color w:val="auto"/>
          <w:kern w:val="44"/>
          <w:sz w:val="32"/>
          <w:szCs w:val="32"/>
          <w:highlight w:val="none"/>
          <w:lang w:val="en-US" w:eastAsia="zh-CN" w:bidi="ar-SA"/>
        </w:rPr>
        <w:t>致：开封市监狱</w:t>
      </w:r>
    </w:p>
    <w:p w14:paraId="40E6F22D">
      <w:pPr>
        <w:pStyle w:val="2"/>
        <w:spacing w:line="360" w:lineRule="auto"/>
        <w:ind w:firstLine="640" w:firstLineChars="200"/>
        <w:jc w:val="both"/>
        <w:rPr>
          <w:rFonts w:hint="eastAsia" w:ascii="宋体" w:hAnsi="宋体" w:eastAsia="宋体" w:cs="Times New Roman"/>
          <w:b w:val="0"/>
          <w:bCs w:val="0"/>
          <w:color w:val="auto"/>
          <w:kern w:val="44"/>
          <w:sz w:val="32"/>
          <w:szCs w:val="32"/>
          <w:highlight w:val="none"/>
          <w:lang w:val="en-US" w:eastAsia="zh-CN" w:bidi="ar-SA"/>
        </w:rPr>
      </w:pPr>
      <w:r>
        <w:rPr>
          <w:rFonts w:hint="eastAsia" w:ascii="宋体" w:hAnsi="宋体" w:eastAsia="宋体" w:cs="Times New Roman"/>
          <w:b w:val="0"/>
          <w:bCs w:val="0"/>
          <w:color w:val="auto"/>
          <w:kern w:val="44"/>
          <w:sz w:val="32"/>
          <w:szCs w:val="32"/>
          <w:highlight w:val="none"/>
          <w:lang w:val="en-US" w:eastAsia="zh-CN" w:bidi="ar-SA"/>
        </w:rPr>
        <w:t>我单位承诺：本项目采购需求中的产品涉及信息安全产品、政府强制采购产品、国家强制性认证产品、网络关键设备和网络安全专用产品的，我单位投标产品均获得相关认证证书（网络关键设备和网络安全专用产品获得认证证书或检测报告），并在供货、验收等环节按照上述承诺提供产品。如未按照上述承诺或有关规定提供产品，我单位无偿更换，并承担由此造成的所有责任。</w:t>
      </w:r>
    </w:p>
    <w:p w14:paraId="5A0D4CC4">
      <w:pPr>
        <w:pStyle w:val="3"/>
        <w:spacing w:line="360" w:lineRule="auto"/>
        <w:ind w:firstLine="640"/>
        <w:rPr>
          <w:rFonts w:hint="default" w:ascii="宋体" w:hAnsi="宋体" w:eastAsia="宋体" w:cs="Times New Roman"/>
          <w:b w:val="0"/>
          <w:bCs w:val="0"/>
          <w:color w:val="auto"/>
          <w:kern w:val="44"/>
          <w:sz w:val="32"/>
          <w:szCs w:val="32"/>
          <w:highlight w:val="none"/>
          <w:lang w:val="en-US" w:eastAsia="zh-CN" w:bidi="ar-SA"/>
        </w:rPr>
      </w:pPr>
      <w:r>
        <w:rPr>
          <w:rFonts w:hint="eastAsia" w:ascii="宋体" w:hAnsi="宋体" w:eastAsia="宋体" w:cs="Times New Roman"/>
          <w:b w:val="0"/>
          <w:bCs w:val="0"/>
          <w:color w:val="auto"/>
          <w:kern w:val="44"/>
          <w:sz w:val="32"/>
          <w:szCs w:val="32"/>
          <w:highlight w:val="none"/>
          <w:lang w:val="en-US" w:eastAsia="zh-CN" w:bidi="ar-SA"/>
        </w:rPr>
        <w:t>（在本承诺函后附上述所列产品对应的认证证书或检测报告原件扫描件。）</w:t>
      </w:r>
    </w:p>
    <w:p w14:paraId="654B991A">
      <w:pPr>
        <w:pStyle w:val="5"/>
        <w:rPr>
          <w:rFonts w:hint="default"/>
          <w:color w:val="auto"/>
          <w:highlight w:val="none"/>
          <w:lang w:val="en-US" w:eastAsia="zh-CN"/>
        </w:rPr>
      </w:pPr>
    </w:p>
    <w:p w14:paraId="55FF4E23">
      <w:pPr>
        <w:rPr>
          <w:rFonts w:hint="default"/>
          <w:color w:val="auto"/>
          <w:highlight w:val="none"/>
          <w:lang w:val="en-US" w:eastAsia="zh-CN"/>
        </w:rPr>
      </w:pPr>
    </w:p>
    <w:p w14:paraId="7689F96F">
      <w:pPr>
        <w:pStyle w:val="3"/>
        <w:ind w:firstLine="4480" w:firstLineChars="1400"/>
        <w:rPr>
          <w:rFonts w:hint="eastAsia" w:ascii="宋体" w:hAnsi="宋体" w:eastAsia="宋体" w:cs="Times New Roman"/>
          <w:b w:val="0"/>
          <w:bCs w:val="0"/>
          <w:color w:val="auto"/>
          <w:kern w:val="44"/>
          <w:sz w:val="32"/>
          <w:szCs w:val="32"/>
          <w:highlight w:val="none"/>
          <w:lang w:val="en-US" w:eastAsia="zh-CN" w:bidi="ar-SA"/>
        </w:rPr>
      </w:pPr>
      <w:r>
        <w:rPr>
          <w:rFonts w:hint="eastAsia" w:ascii="宋体" w:hAnsi="宋体" w:eastAsia="宋体" w:cs="Times New Roman"/>
          <w:b w:val="0"/>
          <w:bCs w:val="0"/>
          <w:color w:val="auto"/>
          <w:kern w:val="44"/>
          <w:sz w:val="32"/>
          <w:szCs w:val="32"/>
          <w:highlight w:val="none"/>
          <w:lang w:val="en-US" w:eastAsia="zh-CN" w:bidi="ar-SA"/>
        </w:rPr>
        <w:t>承诺人：</w:t>
      </w:r>
    </w:p>
    <w:p w14:paraId="2FB6F329">
      <w:pPr>
        <w:spacing w:before="159" w:beforeLines="50" w:after="159" w:afterLines="50" w:line="440" w:lineRule="exact"/>
        <w:ind w:firstLine="4800" w:firstLineChars="1500"/>
        <w:jc w:val="left"/>
        <w:rPr>
          <w:rFonts w:hint="eastAsia" w:ascii="宋体" w:hAnsi="宋体" w:eastAsia="宋体" w:cs="Times New Roman"/>
          <w:b w:val="0"/>
          <w:bCs w:val="0"/>
          <w:color w:val="auto"/>
          <w:kern w:val="44"/>
          <w:sz w:val="32"/>
          <w:szCs w:val="32"/>
          <w:highlight w:val="none"/>
          <w:lang w:val="en-US" w:eastAsia="zh-CN" w:bidi="ar-SA"/>
        </w:rPr>
      </w:pPr>
      <w:r>
        <w:rPr>
          <w:rFonts w:hint="eastAsia" w:ascii="宋体" w:hAnsi="宋体" w:eastAsia="宋体" w:cs="Times New Roman"/>
          <w:b w:val="0"/>
          <w:bCs w:val="0"/>
          <w:color w:val="auto"/>
          <w:kern w:val="44"/>
          <w:sz w:val="32"/>
          <w:szCs w:val="32"/>
          <w:highlight w:val="none"/>
          <w:lang w:val="en-US" w:eastAsia="zh-CN" w:bidi="ar-SA"/>
        </w:rPr>
        <w:t>年   月   日</w:t>
      </w:r>
    </w:p>
    <w:p w14:paraId="07492C95">
      <w:pPr>
        <w:spacing w:before="120" w:beforeLines="50" w:after="120" w:afterLines="50"/>
        <w:ind w:firstLine="627" w:firstLineChars="196"/>
        <w:rPr>
          <w:rFonts w:ascii="宋体" w:hAnsi="宋体"/>
          <w:b/>
          <w:color w:val="auto"/>
          <w:kern w:val="44"/>
          <w:sz w:val="32"/>
          <w:szCs w:val="32"/>
          <w:highlight w:val="none"/>
        </w:rPr>
      </w:pPr>
      <w:r>
        <w:rPr>
          <w:rFonts w:hint="eastAsia" w:ascii="宋体" w:hAnsi="宋体" w:eastAsia="宋体" w:cs="Times New Roman"/>
          <w:b w:val="0"/>
          <w:bCs w:val="0"/>
          <w:color w:val="auto"/>
          <w:kern w:val="44"/>
          <w:sz w:val="32"/>
          <w:szCs w:val="32"/>
          <w:highlight w:val="none"/>
          <w:lang w:val="en-US" w:eastAsia="zh-CN" w:bidi="ar-SA"/>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757A29B8">
      <w:pPr>
        <w:pStyle w:val="8"/>
        <w:spacing w:after="340" w:line="240" w:lineRule="auto"/>
        <w:jc w:val="center"/>
        <w:rPr>
          <w:rFonts w:ascii="宋体" w:hAnsi="宋体" w:eastAsia="Calibri"/>
          <w:bCs w:val="0"/>
          <w:color w:val="auto"/>
          <w:kern w:val="2"/>
          <w:sz w:val="36"/>
          <w:szCs w:val="36"/>
          <w:highlight w:val="none"/>
        </w:rPr>
      </w:pPr>
      <w:bookmarkStart w:id="773" w:name="_Toc13823"/>
      <w:bookmarkStart w:id="774" w:name="_Toc28641"/>
      <w:r>
        <w:rPr>
          <w:rFonts w:hint="eastAsia" w:ascii="宋体" w:hAnsi="宋体" w:eastAsia="Calibri"/>
          <w:bCs w:val="0"/>
          <w:color w:val="auto"/>
          <w:kern w:val="2"/>
          <w:sz w:val="36"/>
          <w:szCs w:val="36"/>
          <w:highlight w:val="none"/>
        </w:rPr>
        <w:t>中小企业声明函（货物）</w:t>
      </w:r>
      <w:bookmarkEnd w:id="773"/>
      <w:bookmarkEnd w:id="774"/>
    </w:p>
    <w:p w14:paraId="5DC6FED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6750531E">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4B4C78F2">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3DAC1BE3">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4E0D8513">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51EFEB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2561F7CB">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02FECFC9">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19DAEF15">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注：1、本采购标的（产品）对应的中小企业划分标准所属行业为：</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工业</w:t>
      </w:r>
      <w:r>
        <w:rPr>
          <w:rFonts w:hint="eastAsia" w:ascii="宋体" w:hAnsi="宋体"/>
          <w:b/>
          <w:color w:val="auto"/>
          <w:sz w:val="24"/>
          <w:highlight w:val="none"/>
          <w:u w:val="single"/>
        </w:rPr>
        <w:t xml:space="preserve">  </w:t>
      </w:r>
      <w:r>
        <w:rPr>
          <w:rFonts w:hint="eastAsia" w:ascii="宋体" w:hAnsi="宋体"/>
          <w:b/>
          <w:color w:val="auto"/>
          <w:sz w:val="24"/>
          <w:highlight w:val="none"/>
        </w:rPr>
        <w:t>行业。供应商应按该行业，对照《中小企业划型标准规定》判定标的（产品）生产制造商是否属于中小微企业。</w:t>
      </w:r>
      <w:bookmarkStart w:id="775" w:name="_Hlk163032363"/>
      <w:r>
        <w:rPr>
          <w:rFonts w:hint="eastAsia" w:ascii="宋体" w:hAnsi="宋体"/>
          <w:b/>
          <w:color w:val="auto"/>
          <w:sz w:val="24"/>
          <w:highlight w:val="none"/>
        </w:rPr>
        <w:t>在本声明函中分别列明与“投标内容及报价明细表”中对应的每一标的（产品）及其生产制造商情况</w:t>
      </w:r>
      <w:bookmarkEnd w:id="775"/>
      <w:r>
        <w:rPr>
          <w:rFonts w:hint="eastAsia" w:ascii="宋体" w:hAnsi="宋体"/>
          <w:b/>
          <w:color w:val="auto"/>
          <w:sz w:val="24"/>
          <w:highlight w:val="none"/>
        </w:rPr>
        <w:t>。</w:t>
      </w:r>
    </w:p>
    <w:p w14:paraId="2B7D7EED">
      <w:pPr>
        <w:spacing w:before="120" w:beforeLines="50" w:after="120" w:afterLines="50" w:line="400" w:lineRule="exact"/>
        <w:ind w:right="-92" w:rightChars="-44"/>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5C5F6DD8">
      <w:pPr>
        <w:spacing w:before="120" w:beforeLines="50" w:after="120" w:afterLines="50" w:line="400" w:lineRule="exact"/>
        <w:ind w:right="-92" w:rightChars="-44"/>
        <w:rPr>
          <w:rFonts w:ascii="宋体" w:hAnsi="宋体"/>
          <w:b/>
          <w:color w:val="auto"/>
          <w:sz w:val="24"/>
          <w:highlight w:val="none"/>
        </w:rPr>
        <w:sectPr>
          <w:pgSz w:w="11905" w:h="16838"/>
          <w:pgMar w:top="1440" w:right="1803" w:bottom="1440" w:left="1803" w:header="850" w:footer="992" w:gutter="0"/>
          <w:cols w:space="0" w:num="1"/>
          <w:titlePg/>
          <w:rtlGutter w:val="0"/>
          <w:docGrid w:type="lines" w:linePitch="319" w:charSpace="0"/>
        </w:sectPr>
      </w:pPr>
      <w:r>
        <w:rPr>
          <w:rFonts w:hint="eastAsia" w:ascii="宋体" w:hAnsi="宋体"/>
          <w:b/>
          <w:color w:val="auto"/>
          <w:sz w:val="24"/>
          <w:highlight w:val="none"/>
        </w:rPr>
        <w:t>3、中标人的本声明函随中标结果同时公布，接受其他供应商和社会监督。</w:t>
      </w:r>
    </w:p>
    <w:p w14:paraId="09314164">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14:paraId="74FFA4E7">
      <w:pPr>
        <w:spacing w:line="588" w:lineRule="exact"/>
        <w:rPr>
          <w:rFonts w:ascii="宋体" w:hAnsi="宋体"/>
          <w:color w:val="auto"/>
          <w:spacing w:val="6"/>
          <w:sz w:val="30"/>
          <w:szCs w:val="30"/>
          <w:highlight w:val="none"/>
        </w:rPr>
      </w:pPr>
    </w:p>
    <w:p w14:paraId="2D3E0F9F">
      <w:pPr>
        <w:spacing w:line="588" w:lineRule="exact"/>
        <w:jc w:val="center"/>
        <w:rPr>
          <w:rFonts w:ascii="宋体" w:hAnsi="宋体"/>
          <w:b/>
          <w:color w:val="auto"/>
          <w:spacing w:val="6"/>
          <w:sz w:val="32"/>
          <w:szCs w:val="32"/>
          <w:highlight w:val="none"/>
        </w:rPr>
      </w:pPr>
      <w:bookmarkStart w:id="776" w:name="OLE_LINK13"/>
      <w:bookmarkStart w:id="777" w:name="OLE_LINK14"/>
      <w:r>
        <w:rPr>
          <w:rFonts w:hint="eastAsia" w:ascii="宋体" w:hAnsi="宋体"/>
          <w:b/>
          <w:color w:val="auto"/>
          <w:spacing w:val="6"/>
          <w:sz w:val="32"/>
          <w:szCs w:val="32"/>
          <w:highlight w:val="none"/>
        </w:rPr>
        <w:t>残疾人福利性单位声明函</w:t>
      </w:r>
      <w:bookmarkEnd w:id="776"/>
      <w:bookmarkEnd w:id="777"/>
    </w:p>
    <w:p w14:paraId="259EF28E">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26F070A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D60AB3C">
      <w:pPr>
        <w:tabs>
          <w:tab w:val="left" w:pos="4860"/>
        </w:tabs>
        <w:spacing w:line="588" w:lineRule="exact"/>
        <w:ind w:right="1560" w:firstLine="3432" w:firstLineChars="1100"/>
        <w:rPr>
          <w:rFonts w:ascii="宋体" w:hAnsi="宋体"/>
          <w:color w:val="auto"/>
          <w:spacing w:val="6"/>
          <w:sz w:val="30"/>
          <w:szCs w:val="30"/>
          <w:highlight w:val="none"/>
        </w:rPr>
      </w:pPr>
    </w:p>
    <w:p w14:paraId="30DBC3D4">
      <w:pPr>
        <w:tabs>
          <w:tab w:val="left" w:pos="4860"/>
        </w:tabs>
        <w:spacing w:line="588" w:lineRule="exact"/>
        <w:ind w:right="1560" w:firstLine="3432" w:firstLineChars="1100"/>
        <w:rPr>
          <w:rFonts w:ascii="宋体" w:hAnsi="宋体"/>
          <w:color w:val="auto"/>
          <w:spacing w:val="6"/>
          <w:sz w:val="30"/>
          <w:szCs w:val="30"/>
          <w:highlight w:val="none"/>
        </w:rPr>
      </w:pPr>
    </w:p>
    <w:p w14:paraId="0EC23067">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1F71A005">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3B6CCED6">
      <w:pPr>
        <w:spacing w:line="440" w:lineRule="exact"/>
        <w:ind w:firstLine="506" w:firstLineChars="200"/>
        <w:rPr>
          <w:rFonts w:ascii="宋体" w:hAnsi="宋体"/>
          <w:b/>
          <w:bCs/>
          <w:color w:val="auto"/>
          <w:spacing w:val="6"/>
          <w:sz w:val="24"/>
          <w:highlight w:val="none"/>
        </w:rPr>
      </w:pPr>
    </w:p>
    <w:p w14:paraId="1BE7DB81">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6B53DB05">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1D2C3DC1">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2B21FD17">
      <w:pPr>
        <w:spacing w:line="588" w:lineRule="exact"/>
        <w:rPr>
          <w:rFonts w:ascii="宋体" w:hAnsi="宋体"/>
          <w:color w:val="auto"/>
          <w:spacing w:val="6"/>
          <w:sz w:val="30"/>
          <w:szCs w:val="30"/>
          <w:highlight w:val="none"/>
        </w:rPr>
      </w:pPr>
    </w:p>
    <w:p w14:paraId="25DAB986">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45D5DD69">
      <w:pPr>
        <w:spacing w:line="340" w:lineRule="exact"/>
        <w:ind w:firstLine="560" w:firstLineChars="200"/>
        <w:rPr>
          <w:rFonts w:ascii="宋体" w:hAnsi="宋体"/>
          <w:color w:val="auto"/>
          <w:sz w:val="28"/>
          <w:szCs w:val="28"/>
          <w:highlight w:val="none"/>
        </w:rPr>
      </w:pPr>
    </w:p>
    <w:p w14:paraId="71C1A00E">
      <w:pPr>
        <w:spacing w:line="340" w:lineRule="exact"/>
        <w:ind w:firstLine="560" w:firstLineChars="200"/>
        <w:rPr>
          <w:rFonts w:ascii="宋体" w:hAnsi="宋体"/>
          <w:color w:val="auto"/>
          <w:sz w:val="28"/>
          <w:szCs w:val="28"/>
          <w:highlight w:val="none"/>
        </w:rPr>
      </w:pPr>
    </w:p>
    <w:p w14:paraId="0475A267">
      <w:pPr>
        <w:spacing w:line="340" w:lineRule="exact"/>
        <w:ind w:firstLine="560" w:firstLineChars="200"/>
        <w:rPr>
          <w:rFonts w:ascii="宋体" w:hAnsi="宋体"/>
          <w:color w:val="auto"/>
          <w:sz w:val="28"/>
          <w:szCs w:val="28"/>
          <w:highlight w:val="none"/>
        </w:rPr>
      </w:pPr>
    </w:p>
    <w:p w14:paraId="63454A53">
      <w:pPr>
        <w:spacing w:line="340" w:lineRule="exact"/>
        <w:ind w:firstLine="560" w:firstLineChars="200"/>
        <w:rPr>
          <w:rFonts w:ascii="宋体" w:hAnsi="宋体"/>
          <w:color w:val="auto"/>
          <w:sz w:val="28"/>
          <w:szCs w:val="28"/>
          <w:highlight w:val="none"/>
        </w:rPr>
      </w:pPr>
    </w:p>
    <w:p w14:paraId="452C2B81">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403EADDE">
      <w:pPr>
        <w:spacing w:line="480" w:lineRule="exact"/>
        <w:jc w:val="center"/>
        <w:rPr>
          <w:rFonts w:ascii="宋体" w:hAnsi="宋体" w:cs="仿宋_GB2312"/>
          <w:b/>
          <w:color w:val="auto"/>
          <w:sz w:val="44"/>
          <w:szCs w:val="44"/>
          <w:highlight w:val="none"/>
        </w:rPr>
      </w:pPr>
    </w:p>
    <w:p w14:paraId="0B960613">
      <w:pPr>
        <w:spacing w:line="480" w:lineRule="exact"/>
        <w:jc w:val="center"/>
        <w:rPr>
          <w:rFonts w:ascii="宋体" w:hAnsi="宋体" w:cs="仿宋_GB2312"/>
          <w:b/>
          <w:color w:val="auto"/>
          <w:sz w:val="44"/>
          <w:szCs w:val="44"/>
          <w:highlight w:val="none"/>
        </w:rPr>
      </w:pPr>
    </w:p>
    <w:p w14:paraId="1F596D33">
      <w:pPr>
        <w:spacing w:line="480" w:lineRule="exact"/>
        <w:jc w:val="center"/>
        <w:rPr>
          <w:rFonts w:ascii="宋体" w:hAnsi="宋体" w:cs="仿宋_GB2312"/>
          <w:b/>
          <w:color w:val="auto"/>
          <w:sz w:val="44"/>
          <w:szCs w:val="44"/>
          <w:highlight w:val="none"/>
        </w:rPr>
      </w:pPr>
    </w:p>
    <w:p w14:paraId="4BF3F6A1">
      <w:pPr>
        <w:spacing w:line="480" w:lineRule="exact"/>
        <w:jc w:val="center"/>
        <w:rPr>
          <w:rFonts w:ascii="宋体" w:hAnsi="宋体" w:cs="仿宋_GB2312"/>
          <w:b/>
          <w:color w:val="auto"/>
          <w:sz w:val="44"/>
          <w:szCs w:val="44"/>
          <w:highlight w:val="none"/>
        </w:rPr>
      </w:pPr>
    </w:p>
    <w:p w14:paraId="5DC91743">
      <w:pPr>
        <w:spacing w:line="480" w:lineRule="exact"/>
        <w:jc w:val="center"/>
        <w:rPr>
          <w:rFonts w:ascii="宋体" w:hAnsi="宋体" w:cs="仿宋_GB2312"/>
          <w:b/>
          <w:color w:val="auto"/>
          <w:sz w:val="44"/>
          <w:szCs w:val="44"/>
          <w:highlight w:val="none"/>
        </w:rPr>
      </w:pPr>
    </w:p>
    <w:p w14:paraId="0BE1363A">
      <w:pPr>
        <w:spacing w:line="480" w:lineRule="exact"/>
        <w:jc w:val="center"/>
        <w:rPr>
          <w:rFonts w:ascii="宋体" w:hAnsi="宋体" w:cs="仿宋_GB2312"/>
          <w:b/>
          <w:color w:val="auto"/>
          <w:sz w:val="44"/>
          <w:szCs w:val="44"/>
          <w:highlight w:val="none"/>
        </w:rPr>
      </w:pPr>
    </w:p>
    <w:p w14:paraId="6AC58312">
      <w:pPr>
        <w:spacing w:line="480" w:lineRule="exact"/>
        <w:jc w:val="center"/>
        <w:rPr>
          <w:rFonts w:ascii="宋体" w:hAnsi="宋体" w:cs="仿宋_GB2312"/>
          <w:b/>
          <w:color w:val="auto"/>
          <w:sz w:val="44"/>
          <w:szCs w:val="44"/>
          <w:highlight w:val="none"/>
        </w:rPr>
      </w:pPr>
    </w:p>
    <w:p w14:paraId="028370A7">
      <w:pPr>
        <w:spacing w:line="480" w:lineRule="exact"/>
        <w:jc w:val="center"/>
        <w:rPr>
          <w:rFonts w:ascii="宋体" w:hAnsi="宋体" w:cs="仿宋_GB2312"/>
          <w:b/>
          <w:color w:val="auto"/>
          <w:sz w:val="44"/>
          <w:szCs w:val="44"/>
          <w:highlight w:val="none"/>
        </w:rPr>
      </w:pPr>
    </w:p>
    <w:p w14:paraId="339A0634">
      <w:pPr>
        <w:spacing w:line="480" w:lineRule="exact"/>
        <w:jc w:val="center"/>
        <w:rPr>
          <w:rFonts w:ascii="宋体" w:hAnsi="宋体" w:cs="仿宋_GB2312"/>
          <w:b/>
          <w:color w:val="auto"/>
          <w:sz w:val="44"/>
          <w:szCs w:val="44"/>
          <w:highlight w:val="none"/>
        </w:rPr>
      </w:pPr>
    </w:p>
    <w:p w14:paraId="6B3AD8CB">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0C4AA574">
      <w:pPr>
        <w:widowControl/>
        <w:spacing w:line="400" w:lineRule="exact"/>
        <w:jc w:val="left"/>
        <w:rPr>
          <w:rFonts w:ascii="宋体" w:hAnsi="宋体" w:cs="宋体"/>
          <w:bCs/>
          <w:color w:val="auto"/>
          <w:kern w:val="0"/>
          <w:sz w:val="32"/>
          <w:szCs w:val="32"/>
          <w:highlight w:val="none"/>
        </w:rPr>
      </w:pPr>
    </w:p>
    <w:p w14:paraId="222A34B3">
      <w:pPr>
        <w:widowControl/>
        <w:jc w:val="left"/>
        <w:rPr>
          <w:rFonts w:ascii="仿宋_GB2312" w:eastAsia="仿宋_GB2312"/>
          <w:color w:val="auto"/>
          <w:sz w:val="32"/>
          <w:szCs w:val="32"/>
          <w:highlight w:val="none"/>
        </w:rPr>
      </w:pPr>
    </w:p>
    <w:sectPr>
      <w:footerReference r:id="rId11" w:type="default"/>
      <w:pgSz w:w="11905" w:h="16838"/>
      <w:pgMar w:top="1440" w:right="1803" w:bottom="1440" w:left="1803" w:header="850" w:footer="992" w:gutter="0"/>
      <w:cols w:space="0" w:num="1"/>
      <w:titlePg/>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hs_boot">
    <w:altName w:val="宋体"/>
    <w:panose1 w:val="00000000000000000000"/>
    <w:charset w:val="00"/>
    <w:family w:val="swiss"/>
    <w:pitch w:val="default"/>
    <w:sig w:usb0="00000000" w:usb1="00000000" w:usb2="00000016" w:usb3="00000000" w:csb0="001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3F166">
    <w:pPr>
      <w:pStyle w:val="25"/>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288AE">
    <w:pPr>
      <w:pStyle w:val="25"/>
      <w:jc w:val="center"/>
    </w:pPr>
    <w:r>
      <w:rPr>
        <w:rFonts w:hint="eastAsia"/>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4292184"/>
    </w:sdtPr>
    <w:sdtContent>
      <w:p w14:paraId="3AEC6AFA">
        <w:pPr>
          <w:pStyle w:val="25"/>
          <w:jc w:val="center"/>
        </w:pPr>
        <w:r>
          <w:fldChar w:fldCharType="begin"/>
        </w:r>
        <w:r>
          <w:instrText xml:space="preserve">PAGE   \* MERGEFORMAT</w:instrText>
        </w:r>
        <w:r>
          <w:fldChar w:fldCharType="separate"/>
        </w:r>
        <w:r>
          <w:rPr>
            <w:lang w:val="zh-CN"/>
          </w:rPr>
          <w:t>2</w:t>
        </w:r>
        <w:r>
          <w:fldChar w:fldCharType="end"/>
        </w:r>
      </w:p>
    </w:sdtContent>
  </w:sdt>
  <w:p w14:paraId="0CF7F8C5">
    <w:pPr>
      <w:pStyle w:val="2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3F338">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3FB8F6E1">
                          <w:pPr>
                            <w:pStyle w:val="25"/>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4vdRNAAAAACAQAADwAAAAAAAAABACAAAAAi&#10;AAAAZHJzL2Rvd25yZXYueG1sUEsBAhQAFAAAAAgAh07iQJE1aD4SAgAACgQAAA4AAAAAAAAAAQAg&#10;AAAAHwEAAGRycy9lMm9Eb2MueG1sUEsFBgAAAAAGAAYAWQEAAKMFAAAAAA==&#10;">
              <v:fill on="f" focussize="0,0"/>
              <v:stroke on="f"/>
              <v:imagedata o:title=""/>
              <o:lock v:ext="edit" aspectratio="f"/>
              <v:textbox inset="0mm,0mm,0mm,0mm" style="mso-fit-shape-to-text:t;">
                <w:txbxContent>
                  <w:p w14:paraId="3FB8F6E1">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615ED">
    <w:pPr>
      <w:pStyle w:val="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476912423"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38F4D62C">
                          <w:pPr>
                            <w:pStyle w:val="25"/>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 id="文本框 14"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AFV/dnEwIAAAwEAAAOAAAAAAAAAAEA&#10;IAAAAB8BAABkcnMvZTJvRG9jLnhtbFBLBQYAAAAABgAGAFkBAACkBQAAAAA=&#10;">
              <v:fill on="f" focussize="0,0"/>
              <v:stroke on="f"/>
              <v:imagedata o:title=""/>
              <o:lock v:ext="edit" aspectratio="f"/>
              <v:textbox inset="0mm,0mm,0mm,0mm" style="mso-fit-shape-to-text:t;">
                <w:txbxContent>
                  <w:p w14:paraId="38F4D62C">
                    <w:pPr>
                      <w:pStyle w:val="25"/>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8BA58">
    <w:pPr>
      <w:pStyle w:val="2"/>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65DA684F">
                          <w:pPr>
                            <w:pStyle w:val="25"/>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14:paraId="65DA684F">
                    <w:pPr>
                      <w:pStyle w:val="25"/>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8ED6F">
    <w:pPr>
      <w:pStyle w:val="26"/>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ADEAA">
    <w:pPr>
      <w:pStyle w:val="2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ECC6B">
    <w:pPr>
      <w:pStyle w:val="26"/>
      <w:rPr>
        <w:rFonts w:ascii="仿宋_GB2312" w:eastAsia="仿宋_GB2312"/>
      </w:rPr>
    </w:pPr>
    <w:r>
      <w:rPr>
        <w:rFonts w:hint="eastAsia" w:ascii="仿宋_GB2312" w:eastAsia="仿宋_GB2312"/>
      </w:rPr>
      <w:t>开封市政府采购中心政府采购招标文件</w:t>
    </w:r>
  </w:p>
  <w:p w14:paraId="4AACCD59">
    <w:pPr>
      <w:pStyle w:val="2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993D3DE8"/>
    <w:multiLevelType w:val="singleLevel"/>
    <w:tmpl w:val="993D3DE8"/>
    <w:lvl w:ilvl="0" w:tentative="0">
      <w:start w:val="1"/>
      <w:numFmt w:val="decimal"/>
      <w:suff w:val="nothing"/>
      <w:lvlText w:val="%1、"/>
      <w:lvlJc w:val="left"/>
      <w:rPr>
        <w:rFonts w:hint="default"/>
        <w:color w:val="auto"/>
      </w:rPr>
    </w:lvl>
  </w:abstractNum>
  <w:abstractNum w:abstractNumId="3">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4">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5">
    <w:nsid w:val="00000001"/>
    <w:multiLevelType w:val="singleLevel"/>
    <w:tmpl w:val="00000001"/>
    <w:lvl w:ilvl="0" w:tentative="0">
      <w:start w:val="1"/>
      <w:numFmt w:val="decimal"/>
      <w:lvlText w:val="(%1)"/>
      <w:lvlJc w:val="left"/>
      <w:pPr>
        <w:ind w:left="425" w:hanging="425"/>
      </w:pPr>
      <w:rPr>
        <w:rFonts w:hint="default"/>
      </w:rPr>
    </w:lvl>
  </w:abstractNum>
  <w:abstractNum w:abstractNumId="6">
    <w:nsid w:val="00000002"/>
    <w:multiLevelType w:val="singleLevel"/>
    <w:tmpl w:val="00000002"/>
    <w:lvl w:ilvl="0" w:tentative="0">
      <w:start w:val="1"/>
      <w:numFmt w:val="decimal"/>
      <w:lvlText w:val="(%1)"/>
      <w:lvlJc w:val="left"/>
      <w:pPr>
        <w:ind w:left="425" w:hanging="425"/>
      </w:pPr>
      <w:rPr>
        <w:rFonts w:hint="default"/>
      </w:rPr>
    </w:lvl>
  </w:abstractNum>
  <w:abstractNum w:abstractNumId="7">
    <w:nsid w:val="00000003"/>
    <w:multiLevelType w:val="multilevel"/>
    <w:tmpl w:val="00000003"/>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0000004"/>
    <w:multiLevelType w:val="singleLevel"/>
    <w:tmpl w:val="00000004"/>
    <w:lvl w:ilvl="0" w:tentative="0">
      <w:start w:val="1"/>
      <w:numFmt w:val="bullet"/>
      <w:lvlText w:val=""/>
      <w:lvlJc w:val="left"/>
      <w:pPr>
        <w:ind w:left="420" w:hanging="420"/>
      </w:pPr>
      <w:rPr>
        <w:rFonts w:hint="default" w:ascii="Wingdings" w:hAnsi="Wingdings"/>
      </w:rPr>
    </w:lvl>
  </w:abstractNum>
  <w:abstractNum w:abstractNumId="9">
    <w:nsid w:val="00000006"/>
    <w:multiLevelType w:val="multilevel"/>
    <w:tmpl w:val="00000006"/>
    <w:lvl w:ilvl="0" w:tentative="0">
      <w:start w:val="1"/>
      <w:numFmt w:val="decimal"/>
      <w:suff w:val="nothing"/>
      <w:lvlText w:val="%1、"/>
      <w:lvlJc w:val="left"/>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00000007"/>
    <w:multiLevelType w:val="singleLevel"/>
    <w:tmpl w:val="00000007"/>
    <w:lvl w:ilvl="0" w:tentative="0">
      <w:start w:val="1"/>
      <w:numFmt w:val="bullet"/>
      <w:lvlText w:val=""/>
      <w:lvlJc w:val="left"/>
      <w:pPr>
        <w:ind w:left="420" w:hanging="420"/>
      </w:pPr>
      <w:rPr>
        <w:rFonts w:hint="default" w:ascii="Wingdings" w:hAnsi="Wingdings"/>
      </w:rPr>
    </w:lvl>
  </w:abstractNum>
  <w:abstractNum w:abstractNumId="11">
    <w:nsid w:val="00000009"/>
    <w:multiLevelType w:val="singleLevel"/>
    <w:tmpl w:val="00000009"/>
    <w:lvl w:ilvl="0" w:tentative="0">
      <w:start w:val="1"/>
      <w:numFmt w:val="bullet"/>
      <w:lvlText w:val=""/>
      <w:lvlJc w:val="left"/>
      <w:pPr>
        <w:ind w:left="420" w:hanging="420"/>
      </w:pPr>
      <w:rPr>
        <w:rFonts w:hint="default" w:ascii="Wingdings" w:hAnsi="Wingdings"/>
      </w:rPr>
    </w:lvl>
  </w:abstractNum>
  <w:abstractNum w:abstractNumId="12">
    <w:nsid w:val="0000000A"/>
    <w:multiLevelType w:val="singleLevel"/>
    <w:tmpl w:val="0000000A"/>
    <w:lvl w:ilvl="0" w:tentative="0">
      <w:start w:val="1"/>
      <w:numFmt w:val="bullet"/>
      <w:lvlText w:val=""/>
      <w:lvlJc w:val="left"/>
      <w:pPr>
        <w:ind w:left="420" w:hanging="420"/>
      </w:pPr>
      <w:rPr>
        <w:rFonts w:hint="default" w:ascii="Wingdings" w:hAnsi="Wingdings"/>
      </w:rPr>
    </w:lvl>
  </w:abstractNum>
  <w:abstractNum w:abstractNumId="13">
    <w:nsid w:val="0000000C"/>
    <w:multiLevelType w:val="singleLevel"/>
    <w:tmpl w:val="0000000C"/>
    <w:lvl w:ilvl="0" w:tentative="0">
      <w:start w:val="1"/>
      <w:numFmt w:val="decimal"/>
      <w:lvlText w:val="(%1)"/>
      <w:lvlJc w:val="left"/>
      <w:pPr>
        <w:ind w:left="425" w:hanging="425"/>
      </w:pPr>
      <w:rPr>
        <w:rFonts w:hint="default"/>
      </w:rPr>
    </w:lvl>
  </w:abstractNum>
  <w:abstractNum w:abstractNumId="14">
    <w:nsid w:val="0000000E"/>
    <w:multiLevelType w:val="singleLevel"/>
    <w:tmpl w:val="0000000E"/>
    <w:lvl w:ilvl="0" w:tentative="0">
      <w:start w:val="1"/>
      <w:numFmt w:val="decimal"/>
      <w:lvlText w:val="(%1)"/>
      <w:lvlJc w:val="left"/>
      <w:pPr>
        <w:ind w:left="425" w:hanging="425"/>
      </w:pPr>
      <w:rPr>
        <w:rFonts w:hint="default"/>
      </w:rPr>
    </w:lvl>
  </w:abstractNum>
  <w:abstractNum w:abstractNumId="15">
    <w:nsid w:val="0000000F"/>
    <w:multiLevelType w:val="singleLevel"/>
    <w:tmpl w:val="0000000F"/>
    <w:lvl w:ilvl="0" w:tentative="0">
      <w:start w:val="1"/>
      <w:numFmt w:val="bullet"/>
      <w:lvlText w:val=""/>
      <w:lvlJc w:val="left"/>
      <w:pPr>
        <w:ind w:left="420" w:hanging="420"/>
      </w:pPr>
      <w:rPr>
        <w:rFonts w:hint="default" w:ascii="Wingdings" w:hAnsi="Wingdings"/>
      </w:rPr>
    </w:lvl>
  </w:abstractNum>
  <w:abstractNum w:abstractNumId="16">
    <w:nsid w:val="00000011"/>
    <w:multiLevelType w:val="singleLevel"/>
    <w:tmpl w:val="00000011"/>
    <w:lvl w:ilvl="0" w:tentative="0">
      <w:start w:val="1"/>
      <w:numFmt w:val="bullet"/>
      <w:lvlText w:val=""/>
      <w:lvlJc w:val="left"/>
      <w:pPr>
        <w:ind w:left="420" w:hanging="420"/>
      </w:pPr>
      <w:rPr>
        <w:rFonts w:hint="default" w:ascii="Wingdings" w:hAnsi="Wingdings"/>
      </w:rPr>
    </w:lvl>
  </w:abstractNum>
  <w:abstractNum w:abstractNumId="17">
    <w:nsid w:val="00000012"/>
    <w:multiLevelType w:val="singleLevel"/>
    <w:tmpl w:val="00000012"/>
    <w:lvl w:ilvl="0" w:tentative="0">
      <w:start w:val="2"/>
      <w:numFmt w:val="decimal"/>
      <w:suff w:val="nothing"/>
      <w:lvlText w:val="%1、"/>
      <w:lvlJc w:val="left"/>
    </w:lvl>
  </w:abstractNum>
  <w:abstractNum w:abstractNumId="18">
    <w:nsid w:val="00000014"/>
    <w:multiLevelType w:val="singleLevel"/>
    <w:tmpl w:val="00000014"/>
    <w:lvl w:ilvl="0" w:tentative="0">
      <w:start w:val="1"/>
      <w:numFmt w:val="bullet"/>
      <w:lvlText w:val=""/>
      <w:lvlJc w:val="left"/>
      <w:pPr>
        <w:ind w:left="420" w:hanging="420"/>
      </w:pPr>
      <w:rPr>
        <w:rFonts w:hint="default" w:ascii="Wingdings" w:hAnsi="Wingdings"/>
      </w:rPr>
    </w:lvl>
  </w:abstractNum>
  <w:abstractNum w:abstractNumId="19">
    <w:nsid w:val="00000015"/>
    <w:multiLevelType w:val="multilevel"/>
    <w:tmpl w:val="00000015"/>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00000016"/>
    <w:multiLevelType w:val="singleLevel"/>
    <w:tmpl w:val="00000016"/>
    <w:lvl w:ilvl="0" w:tentative="0">
      <w:start w:val="1"/>
      <w:numFmt w:val="bullet"/>
      <w:lvlText w:val=""/>
      <w:lvlJc w:val="left"/>
      <w:pPr>
        <w:ind w:left="420" w:hanging="420"/>
      </w:pPr>
      <w:rPr>
        <w:rFonts w:hint="default" w:ascii="Wingdings" w:hAnsi="Wingdings"/>
      </w:rPr>
    </w:lvl>
  </w:abstractNum>
  <w:abstractNum w:abstractNumId="21">
    <w:nsid w:val="00000017"/>
    <w:multiLevelType w:val="singleLevel"/>
    <w:tmpl w:val="00000017"/>
    <w:lvl w:ilvl="0" w:tentative="0">
      <w:start w:val="1"/>
      <w:numFmt w:val="bullet"/>
      <w:lvlText w:val=""/>
      <w:lvlJc w:val="left"/>
      <w:pPr>
        <w:ind w:left="420" w:hanging="420"/>
      </w:pPr>
      <w:rPr>
        <w:rFonts w:hint="default" w:ascii="Wingdings" w:hAnsi="Wingdings"/>
      </w:rPr>
    </w:lvl>
  </w:abstractNum>
  <w:abstractNum w:abstractNumId="22">
    <w:nsid w:val="00000018"/>
    <w:multiLevelType w:val="singleLevel"/>
    <w:tmpl w:val="00000018"/>
    <w:lvl w:ilvl="0" w:tentative="0">
      <w:start w:val="1"/>
      <w:numFmt w:val="decimal"/>
      <w:suff w:val="nothing"/>
      <w:lvlText w:val="%1、"/>
      <w:lvlJc w:val="left"/>
    </w:lvl>
  </w:abstractNum>
  <w:abstractNum w:abstractNumId="23">
    <w:nsid w:val="00000019"/>
    <w:multiLevelType w:val="singleLevel"/>
    <w:tmpl w:val="00000019"/>
    <w:lvl w:ilvl="0" w:tentative="0">
      <w:start w:val="1"/>
      <w:numFmt w:val="bullet"/>
      <w:lvlText w:val=""/>
      <w:lvlJc w:val="left"/>
      <w:pPr>
        <w:ind w:left="420" w:hanging="420"/>
      </w:pPr>
      <w:rPr>
        <w:rFonts w:hint="default" w:ascii="Wingdings" w:hAnsi="Wingdings"/>
      </w:rPr>
    </w:lvl>
  </w:abstractNum>
  <w:abstractNum w:abstractNumId="24">
    <w:nsid w:val="0000001A"/>
    <w:multiLevelType w:val="singleLevel"/>
    <w:tmpl w:val="0000001A"/>
    <w:lvl w:ilvl="0" w:tentative="0">
      <w:start w:val="1"/>
      <w:numFmt w:val="decimal"/>
      <w:lvlText w:val="(%1)"/>
      <w:lvlJc w:val="left"/>
      <w:pPr>
        <w:ind w:left="425" w:hanging="425"/>
      </w:pPr>
      <w:rPr>
        <w:rFonts w:hint="default"/>
      </w:rPr>
    </w:lvl>
  </w:abstractNum>
  <w:abstractNum w:abstractNumId="25">
    <w:nsid w:val="0000001B"/>
    <w:multiLevelType w:val="singleLevel"/>
    <w:tmpl w:val="0000001B"/>
    <w:lvl w:ilvl="0" w:tentative="0">
      <w:start w:val="1"/>
      <w:numFmt w:val="decimal"/>
      <w:lvlText w:val="(%1)"/>
      <w:lvlJc w:val="left"/>
      <w:pPr>
        <w:ind w:left="425" w:hanging="425"/>
      </w:pPr>
      <w:rPr>
        <w:rFonts w:hint="default"/>
      </w:rPr>
    </w:lvl>
  </w:abstractNum>
  <w:abstractNum w:abstractNumId="26">
    <w:nsid w:val="0000001D"/>
    <w:multiLevelType w:val="multilevel"/>
    <w:tmpl w:val="0000001D"/>
    <w:lvl w:ilvl="0" w:tentative="0">
      <w:start w:val="1"/>
      <w:numFmt w:val="decimalEnclosedCircle"/>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0000001E"/>
    <w:multiLevelType w:val="multilevel"/>
    <w:tmpl w:val="0000001E"/>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8">
    <w:nsid w:val="00000020"/>
    <w:multiLevelType w:val="multilevel"/>
    <w:tmpl w:val="00000020"/>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29">
    <w:nsid w:val="00000021"/>
    <w:multiLevelType w:val="singleLevel"/>
    <w:tmpl w:val="00000021"/>
    <w:lvl w:ilvl="0" w:tentative="0">
      <w:start w:val="1"/>
      <w:numFmt w:val="bullet"/>
      <w:lvlText w:val=""/>
      <w:lvlJc w:val="left"/>
      <w:pPr>
        <w:ind w:left="420" w:hanging="420"/>
      </w:pPr>
      <w:rPr>
        <w:rFonts w:hint="default" w:ascii="Wingdings" w:hAnsi="Wingdings"/>
      </w:rPr>
    </w:lvl>
  </w:abstractNum>
  <w:abstractNum w:abstractNumId="30">
    <w:nsid w:val="00000022"/>
    <w:multiLevelType w:val="multilevel"/>
    <w:tmpl w:val="00000022"/>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00000023"/>
    <w:multiLevelType w:val="singleLevel"/>
    <w:tmpl w:val="00000023"/>
    <w:lvl w:ilvl="0" w:tentative="0">
      <w:start w:val="1"/>
      <w:numFmt w:val="bullet"/>
      <w:lvlText w:val=""/>
      <w:lvlJc w:val="left"/>
      <w:pPr>
        <w:ind w:left="420" w:hanging="420"/>
      </w:pPr>
      <w:rPr>
        <w:rFonts w:hint="default" w:ascii="Wingdings" w:hAnsi="Wingdings"/>
      </w:rPr>
    </w:lvl>
  </w:abstractNum>
  <w:abstractNum w:abstractNumId="32">
    <w:nsid w:val="00000025"/>
    <w:multiLevelType w:val="singleLevel"/>
    <w:tmpl w:val="00000025"/>
    <w:lvl w:ilvl="0" w:tentative="0">
      <w:start w:val="1"/>
      <w:numFmt w:val="decimal"/>
      <w:lvlText w:val="%1)"/>
      <w:lvlJc w:val="left"/>
      <w:pPr>
        <w:ind w:left="425" w:hanging="425"/>
      </w:pPr>
      <w:rPr>
        <w:rFonts w:hint="default"/>
      </w:rPr>
    </w:lvl>
  </w:abstractNum>
  <w:abstractNum w:abstractNumId="33">
    <w:nsid w:val="00000026"/>
    <w:multiLevelType w:val="singleLevel"/>
    <w:tmpl w:val="00000026"/>
    <w:lvl w:ilvl="0" w:tentative="0">
      <w:start w:val="2"/>
      <w:numFmt w:val="decimal"/>
      <w:suff w:val="nothing"/>
      <w:lvlText w:val="%1、"/>
      <w:lvlJc w:val="left"/>
    </w:lvl>
  </w:abstractNum>
  <w:abstractNum w:abstractNumId="34">
    <w:nsid w:val="00000028"/>
    <w:multiLevelType w:val="multilevel"/>
    <w:tmpl w:val="00000028"/>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29"/>
    <w:multiLevelType w:val="multilevel"/>
    <w:tmpl w:val="00000029"/>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6">
    <w:nsid w:val="0000002A"/>
    <w:multiLevelType w:val="multilevel"/>
    <w:tmpl w:val="0000002A"/>
    <w:lvl w:ilvl="0" w:tentative="0">
      <w:start w:val="1"/>
      <w:numFmt w:val="bullet"/>
      <w:lvlText w:val=""/>
      <w:lvlJc w:val="left"/>
      <w:pPr>
        <w:ind w:left="900" w:hanging="420"/>
      </w:pPr>
      <w:rPr>
        <w:rFonts w:hint="default" w:ascii="Wingdings" w:hAnsi="Wingdings"/>
      </w:rPr>
    </w:lvl>
    <w:lvl w:ilvl="1" w:tentative="0">
      <w:start w:val="0"/>
      <w:numFmt w:val="bullet"/>
      <w:lvlText w:val="◆"/>
      <w:lvlJc w:val="left"/>
      <w:pPr>
        <w:ind w:left="1260" w:hanging="360"/>
      </w:pPr>
      <w:rPr>
        <w:rFonts w:hint="eastAsia" w:ascii="仿宋" w:hAnsi="仿宋" w:eastAsia="仿宋" w:cs="Times New Roman"/>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7">
    <w:nsid w:val="0000002B"/>
    <w:multiLevelType w:val="multilevel"/>
    <w:tmpl w:val="0000002B"/>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8">
    <w:nsid w:val="0000002C"/>
    <w:multiLevelType w:val="singleLevel"/>
    <w:tmpl w:val="0000002C"/>
    <w:lvl w:ilvl="0" w:tentative="0">
      <w:start w:val="1"/>
      <w:numFmt w:val="decimal"/>
      <w:suff w:val="nothing"/>
      <w:lvlText w:val="%1、"/>
      <w:lvlJc w:val="left"/>
    </w:lvl>
  </w:abstractNum>
  <w:abstractNum w:abstractNumId="39">
    <w:nsid w:val="0000002D"/>
    <w:multiLevelType w:val="singleLevel"/>
    <w:tmpl w:val="0000002D"/>
    <w:lvl w:ilvl="0" w:tentative="0">
      <w:start w:val="1"/>
      <w:numFmt w:val="bullet"/>
      <w:lvlText w:val=""/>
      <w:lvlJc w:val="left"/>
      <w:pPr>
        <w:ind w:left="420" w:hanging="420"/>
      </w:pPr>
      <w:rPr>
        <w:rFonts w:hint="default" w:ascii="Wingdings" w:hAnsi="Wingdings"/>
      </w:rPr>
    </w:lvl>
  </w:abstractNum>
  <w:abstractNum w:abstractNumId="40">
    <w:nsid w:val="0000002F"/>
    <w:multiLevelType w:val="multilevel"/>
    <w:tmpl w:val="0000002F"/>
    <w:lvl w:ilvl="0" w:tentative="0">
      <w:start w:val="1"/>
      <w:numFmt w:val="decimal"/>
      <w:pStyle w:val="12"/>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00000031"/>
    <w:multiLevelType w:val="singleLevel"/>
    <w:tmpl w:val="00000031"/>
    <w:lvl w:ilvl="0" w:tentative="0">
      <w:start w:val="1"/>
      <w:numFmt w:val="bullet"/>
      <w:lvlText w:val=""/>
      <w:lvlJc w:val="left"/>
      <w:pPr>
        <w:ind w:left="420" w:hanging="420"/>
      </w:pPr>
      <w:rPr>
        <w:rFonts w:hint="default" w:ascii="Wingdings" w:hAnsi="Wingdings"/>
      </w:rPr>
    </w:lvl>
  </w:abstractNum>
  <w:abstractNum w:abstractNumId="42">
    <w:nsid w:val="00000032"/>
    <w:multiLevelType w:val="singleLevel"/>
    <w:tmpl w:val="00000032"/>
    <w:lvl w:ilvl="0" w:tentative="0">
      <w:start w:val="1"/>
      <w:numFmt w:val="decimal"/>
      <w:suff w:val="nothing"/>
      <w:lvlText w:val="（%1）"/>
      <w:lvlJc w:val="left"/>
    </w:lvl>
  </w:abstractNum>
  <w:abstractNum w:abstractNumId="43">
    <w:nsid w:val="00000033"/>
    <w:multiLevelType w:val="multilevel"/>
    <w:tmpl w:val="00000033"/>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00000035"/>
    <w:multiLevelType w:val="multilevel"/>
    <w:tmpl w:val="00000035"/>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5">
    <w:nsid w:val="00000038"/>
    <w:multiLevelType w:val="multilevel"/>
    <w:tmpl w:val="00000038"/>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6">
    <w:nsid w:val="00000039"/>
    <w:multiLevelType w:val="multilevel"/>
    <w:tmpl w:val="00000039"/>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7">
    <w:nsid w:val="0000003A"/>
    <w:multiLevelType w:val="multilevel"/>
    <w:tmpl w:val="0000003A"/>
    <w:lvl w:ilvl="0" w:tentative="0">
      <w:start w:val="1"/>
      <w:numFmt w:val="bullet"/>
      <w:lvlText w:val=""/>
      <w:lvlJc w:val="left"/>
      <w:pPr>
        <w:tabs>
          <w:tab w:val="left" w:pos="900"/>
        </w:tabs>
        <w:ind w:left="900" w:hanging="420"/>
      </w:pPr>
      <w:rPr>
        <w:rFonts w:hint="default" w:ascii="Wingdings" w:hAnsi="Wingdings"/>
        <w:lang w:eastAsia="zh-CN"/>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48">
    <w:nsid w:val="0000003B"/>
    <w:multiLevelType w:val="multilevel"/>
    <w:tmpl w:val="0000003B"/>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9">
    <w:nsid w:val="0000003C"/>
    <w:multiLevelType w:val="singleLevel"/>
    <w:tmpl w:val="0000003C"/>
    <w:lvl w:ilvl="0" w:tentative="0">
      <w:start w:val="1"/>
      <w:numFmt w:val="decimal"/>
      <w:lvlText w:val="(%1)"/>
      <w:lvlJc w:val="left"/>
      <w:pPr>
        <w:ind w:left="425" w:hanging="425"/>
      </w:pPr>
      <w:rPr>
        <w:rFonts w:hint="default"/>
      </w:rPr>
    </w:lvl>
  </w:abstractNum>
  <w:abstractNum w:abstractNumId="50">
    <w:nsid w:val="0000003E"/>
    <w:multiLevelType w:val="multilevel"/>
    <w:tmpl w:val="0000003E"/>
    <w:lvl w:ilvl="0" w:tentative="0">
      <w:start w:val="1"/>
      <w:numFmt w:val="decimalEnclosedCircle"/>
      <w:lvlText w:val="%1"/>
      <w:lvlJc w:val="left"/>
      <w:pPr>
        <w:ind w:left="84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29C65DBA"/>
    <w:multiLevelType w:val="multilevel"/>
    <w:tmpl w:val="29C65DBA"/>
    <w:lvl w:ilvl="0" w:tentative="0">
      <w:start w:val="2"/>
      <w:numFmt w:val="japaneseCounting"/>
      <w:lvlText w:val="（%1）"/>
      <w:lvlJc w:val="left"/>
      <w:pPr>
        <w:tabs>
          <w:tab w:val="left" w:pos="1080"/>
        </w:tabs>
        <w:ind w:left="1080" w:hanging="10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53">
    <w:nsid w:val="6C9CC367"/>
    <w:multiLevelType w:val="singleLevel"/>
    <w:tmpl w:val="6C9CC367"/>
    <w:lvl w:ilvl="0" w:tentative="0">
      <w:start w:val="1"/>
      <w:numFmt w:val="decimal"/>
      <w:suff w:val="nothing"/>
      <w:lvlText w:val="%1、"/>
      <w:lvlJc w:val="left"/>
    </w:lvl>
  </w:abstractNum>
  <w:num w:numId="1">
    <w:abstractNumId w:val="40"/>
  </w:num>
  <w:num w:numId="2">
    <w:abstractNumId w:val="1"/>
  </w:num>
  <w:num w:numId="3">
    <w:abstractNumId w:val="3"/>
  </w:num>
  <w:num w:numId="4">
    <w:abstractNumId w:val="4"/>
  </w:num>
  <w:num w:numId="5">
    <w:abstractNumId w:val="2"/>
  </w:num>
  <w:num w:numId="6">
    <w:abstractNumId w:val="53"/>
  </w:num>
  <w:num w:numId="7">
    <w:abstractNumId w:val="52"/>
  </w:num>
  <w:num w:numId="8">
    <w:abstractNumId w:val="36"/>
  </w:num>
  <w:num w:numId="9">
    <w:abstractNumId w:val="25"/>
  </w:num>
  <w:num w:numId="10">
    <w:abstractNumId w:val="20"/>
  </w:num>
  <w:num w:numId="11">
    <w:abstractNumId w:val="10"/>
  </w:num>
  <w:num w:numId="12">
    <w:abstractNumId w:val="6"/>
  </w:num>
  <w:num w:numId="13">
    <w:abstractNumId w:val="44"/>
  </w:num>
  <w:num w:numId="14">
    <w:abstractNumId w:val="33"/>
  </w:num>
  <w:num w:numId="15">
    <w:abstractNumId w:val="16"/>
  </w:num>
  <w:num w:numId="16">
    <w:abstractNumId w:val="35"/>
  </w:num>
  <w:num w:numId="17">
    <w:abstractNumId w:val="37"/>
  </w:num>
  <w:num w:numId="18">
    <w:abstractNumId w:val="14"/>
  </w:num>
  <w:num w:numId="19">
    <w:abstractNumId w:val="17"/>
  </w:num>
  <w:num w:numId="20">
    <w:abstractNumId w:val="38"/>
  </w:num>
  <w:num w:numId="21">
    <w:abstractNumId w:val="15"/>
  </w:num>
  <w:num w:numId="22">
    <w:abstractNumId w:val="9"/>
  </w:num>
  <w:num w:numId="23">
    <w:abstractNumId w:val="29"/>
  </w:num>
  <w:num w:numId="24">
    <w:abstractNumId w:val="12"/>
  </w:num>
  <w:num w:numId="25">
    <w:abstractNumId w:val="31"/>
  </w:num>
  <w:num w:numId="26">
    <w:abstractNumId w:val="21"/>
  </w:num>
  <w:num w:numId="27">
    <w:abstractNumId w:val="39"/>
  </w:num>
  <w:num w:numId="28">
    <w:abstractNumId w:val="41"/>
  </w:num>
  <w:num w:numId="29">
    <w:abstractNumId w:val="42"/>
  </w:num>
  <w:num w:numId="30">
    <w:abstractNumId w:val="23"/>
  </w:num>
  <w:num w:numId="31">
    <w:abstractNumId w:val="18"/>
  </w:num>
  <w:num w:numId="32">
    <w:abstractNumId w:val="8"/>
  </w:num>
  <w:num w:numId="33">
    <w:abstractNumId w:val="34"/>
  </w:num>
  <w:num w:numId="34">
    <w:abstractNumId w:val="43"/>
  </w:num>
  <w:num w:numId="35">
    <w:abstractNumId w:val="19"/>
  </w:num>
  <w:num w:numId="36">
    <w:abstractNumId w:val="30"/>
  </w:num>
  <w:num w:numId="37">
    <w:abstractNumId w:val="48"/>
  </w:num>
  <w:num w:numId="38">
    <w:abstractNumId w:val="26"/>
  </w:num>
  <w:num w:numId="39">
    <w:abstractNumId w:val="50"/>
  </w:num>
  <w:num w:numId="40">
    <w:abstractNumId w:val="46"/>
  </w:num>
  <w:num w:numId="41">
    <w:abstractNumId w:val="45"/>
  </w:num>
  <w:num w:numId="42">
    <w:abstractNumId w:val="7"/>
  </w:num>
  <w:num w:numId="43">
    <w:abstractNumId w:val="28"/>
  </w:num>
  <w:num w:numId="44">
    <w:abstractNumId w:val="49"/>
  </w:num>
  <w:num w:numId="45">
    <w:abstractNumId w:val="5"/>
  </w:num>
  <w:num w:numId="46">
    <w:abstractNumId w:val="47"/>
  </w:num>
  <w:num w:numId="47">
    <w:abstractNumId w:val="32"/>
  </w:num>
  <w:num w:numId="48">
    <w:abstractNumId w:val="24"/>
  </w:num>
  <w:num w:numId="49">
    <w:abstractNumId w:val="22"/>
  </w:num>
  <w:num w:numId="50">
    <w:abstractNumId w:val="13"/>
  </w:num>
  <w:num w:numId="51">
    <w:abstractNumId w:val="11"/>
  </w:num>
  <w:num w:numId="52">
    <w:abstractNumId w:val="27"/>
  </w:num>
  <w:num w:numId="53">
    <w:abstractNumId w:val="0"/>
  </w:num>
  <w:num w:numId="5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2ZmQ4NGZlNjY1MDJmNDlkMWEyZjEzZjdhM2U5MjM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178"/>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BE6AF9"/>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454F1"/>
    <w:rsid w:val="05006D7B"/>
    <w:rsid w:val="0506170D"/>
    <w:rsid w:val="05087233"/>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AA653C"/>
    <w:rsid w:val="05C00040"/>
    <w:rsid w:val="05C00DA5"/>
    <w:rsid w:val="05D62085"/>
    <w:rsid w:val="05DD06BF"/>
    <w:rsid w:val="05E14A95"/>
    <w:rsid w:val="05EF595D"/>
    <w:rsid w:val="05F803CD"/>
    <w:rsid w:val="05FA6F1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620693"/>
    <w:rsid w:val="0975488B"/>
    <w:rsid w:val="097E6E31"/>
    <w:rsid w:val="0983540E"/>
    <w:rsid w:val="0986119A"/>
    <w:rsid w:val="09AE292C"/>
    <w:rsid w:val="09B278E2"/>
    <w:rsid w:val="09CE5380"/>
    <w:rsid w:val="09DB4A17"/>
    <w:rsid w:val="09EB2C7F"/>
    <w:rsid w:val="09F76085"/>
    <w:rsid w:val="09FF6B32"/>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B44B0"/>
    <w:rsid w:val="0BD51A4F"/>
    <w:rsid w:val="0BE054A7"/>
    <w:rsid w:val="0BF04736"/>
    <w:rsid w:val="0BF16E09"/>
    <w:rsid w:val="0BF91214"/>
    <w:rsid w:val="0BFB0479"/>
    <w:rsid w:val="0C02432C"/>
    <w:rsid w:val="0C1465FD"/>
    <w:rsid w:val="0C180307"/>
    <w:rsid w:val="0C1F4542"/>
    <w:rsid w:val="0C220839"/>
    <w:rsid w:val="0C2564DE"/>
    <w:rsid w:val="0C2D4BF7"/>
    <w:rsid w:val="0C2D7F94"/>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184733"/>
    <w:rsid w:val="0F2672BB"/>
    <w:rsid w:val="0F2D1010"/>
    <w:rsid w:val="0F3A43F7"/>
    <w:rsid w:val="0F3E4809"/>
    <w:rsid w:val="0F473A14"/>
    <w:rsid w:val="0F4B64AC"/>
    <w:rsid w:val="0F4E7E69"/>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E5667A"/>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657EF"/>
    <w:rsid w:val="148B30F7"/>
    <w:rsid w:val="148D1503"/>
    <w:rsid w:val="148D37AA"/>
    <w:rsid w:val="14962D01"/>
    <w:rsid w:val="14A7513C"/>
    <w:rsid w:val="14C11485"/>
    <w:rsid w:val="14C30F94"/>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C752AE"/>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672B7C"/>
    <w:rsid w:val="18707E15"/>
    <w:rsid w:val="188643B8"/>
    <w:rsid w:val="188A1021"/>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625391"/>
    <w:rsid w:val="1A711ED2"/>
    <w:rsid w:val="1A71207C"/>
    <w:rsid w:val="1A7D0DA6"/>
    <w:rsid w:val="1AA05880"/>
    <w:rsid w:val="1AED2CFB"/>
    <w:rsid w:val="1AF5550B"/>
    <w:rsid w:val="1AFC1190"/>
    <w:rsid w:val="1B0510F1"/>
    <w:rsid w:val="1B0644E6"/>
    <w:rsid w:val="1B2D1349"/>
    <w:rsid w:val="1B2F1017"/>
    <w:rsid w:val="1B5E59A7"/>
    <w:rsid w:val="1B652F97"/>
    <w:rsid w:val="1B72386C"/>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9C38FA"/>
    <w:rsid w:val="1FC1749E"/>
    <w:rsid w:val="1FC21D84"/>
    <w:rsid w:val="1FC429AC"/>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B736F3"/>
    <w:rsid w:val="20CE2199"/>
    <w:rsid w:val="20D01EB7"/>
    <w:rsid w:val="20D22ECB"/>
    <w:rsid w:val="20F22122"/>
    <w:rsid w:val="20F557A1"/>
    <w:rsid w:val="20FE424D"/>
    <w:rsid w:val="210303E4"/>
    <w:rsid w:val="21240098"/>
    <w:rsid w:val="21244F9D"/>
    <w:rsid w:val="213749DC"/>
    <w:rsid w:val="213F4C31"/>
    <w:rsid w:val="21416D41"/>
    <w:rsid w:val="2142426F"/>
    <w:rsid w:val="21431371"/>
    <w:rsid w:val="214A2426"/>
    <w:rsid w:val="214C33EF"/>
    <w:rsid w:val="215525E8"/>
    <w:rsid w:val="2156204B"/>
    <w:rsid w:val="215C4E9A"/>
    <w:rsid w:val="216457A9"/>
    <w:rsid w:val="217C1192"/>
    <w:rsid w:val="219537A4"/>
    <w:rsid w:val="21962AAA"/>
    <w:rsid w:val="219A6D4B"/>
    <w:rsid w:val="21AB495F"/>
    <w:rsid w:val="21C43C75"/>
    <w:rsid w:val="21C97EEF"/>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6773C3"/>
    <w:rsid w:val="236E0751"/>
    <w:rsid w:val="2375458A"/>
    <w:rsid w:val="2378337E"/>
    <w:rsid w:val="239D405B"/>
    <w:rsid w:val="239D5ED0"/>
    <w:rsid w:val="23B3034A"/>
    <w:rsid w:val="23B32618"/>
    <w:rsid w:val="23B64E06"/>
    <w:rsid w:val="23D40C4E"/>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5FC1723"/>
    <w:rsid w:val="260C7B9A"/>
    <w:rsid w:val="2615143E"/>
    <w:rsid w:val="262B6A8F"/>
    <w:rsid w:val="262F4A23"/>
    <w:rsid w:val="263A387F"/>
    <w:rsid w:val="263A491A"/>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752839"/>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C628DB"/>
    <w:rsid w:val="2BD15D21"/>
    <w:rsid w:val="2BD50067"/>
    <w:rsid w:val="2BD63337"/>
    <w:rsid w:val="2BE55033"/>
    <w:rsid w:val="2BF043F9"/>
    <w:rsid w:val="2BF2576A"/>
    <w:rsid w:val="2BFB2D9E"/>
    <w:rsid w:val="2C0A417D"/>
    <w:rsid w:val="2C0B4465"/>
    <w:rsid w:val="2C1B755F"/>
    <w:rsid w:val="2C2E0A7D"/>
    <w:rsid w:val="2C330EDB"/>
    <w:rsid w:val="2C3A1B18"/>
    <w:rsid w:val="2C574478"/>
    <w:rsid w:val="2C5C119F"/>
    <w:rsid w:val="2C5F157F"/>
    <w:rsid w:val="2C651983"/>
    <w:rsid w:val="2C66214F"/>
    <w:rsid w:val="2C7C7A3B"/>
    <w:rsid w:val="2C8330C3"/>
    <w:rsid w:val="2C8903AA"/>
    <w:rsid w:val="2C8C5944"/>
    <w:rsid w:val="2C8D7546"/>
    <w:rsid w:val="2C9C61E9"/>
    <w:rsid w:val="2C9D6F5C"/>
    <w:rsid w:val="2CA31736"/>
    <w:rsid w:val="2CB750DB"/>
    <w:rsid w:val="2CBD363E"/>
    <w:rsid w:val="2CC24314"/>
    <w:rsid w:val="2CC31AA1"/>
    <w:rsid w:val="2CCA7E8A"/>
    <w:rsid w:val="2CCE59C2"/>
    <w:rsid w:val="2CD71115"/>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607D4"/>
    <w:rsid w:val="2F4702A4"/>
    <w:rsid w:val="2F5073FF"/>
    <w:rsid w:val="2F535D43"/>
    <w:rsid w:val="2F652FB2"/>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532BFB"/>
    <w:rsid w:val="32543208"/>
    <w:rsid w:val="32582E60"/>
    <w:rsid w:val="32623251"/>
    <w:rsid w:val="32770E1D"/>
    <w:rsid w:val="327C6702"/>
    <w:rsid w:val="32802295"/>
    <w:rsid w:val="3283435E"/>
    <w:rsid w:val="328754F4"/>
    <w:rsid w:val="32970E77"/>
    <w:rsid w:val="329E2C41"/>
    <w:rsid w:val="32A963D1"/>
    <w:rsid w:val="32AB3732"/>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E1B9C"/>
    <w:rsid w:val="354268E3"/>
    <w:rsid w:val="354C1621"/>
    <w:rsid w:val="354D3607"/>
    <w:rsid w:val="35513745"/>
    <w:rsid w:val="35521CDA"/>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7B14EE"/>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C26CA9"/>
    <w:rsid w:val="39D32C64"/>
    <w:rsid w:val="39F134B3"/>
    <w:rsid w:val="3A041E9E"/>
    <w:rsid w:val="3A047516"/>
    <w:rsid w:val="3A051129"/>
    <w:rsid w:val="3A0B3F2D"/>
    <w:rsid w:val="3A1F6829"/>
    <w:rsid w:val="3A26548A"/>
    <w:rsid w:val="3A287497"/>
    <w:rsid w:val="3A296D28"/>
    <w:rsid w:val="3A384A7C"/>
    <w:rsid w:val="3A3A6426"/>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C6484"/>
    <w:rsid w:val="3D2008B6"/>
    <w:rsid w:val="3D2D072D"/>
    <w:rsid w:val="3D38472D"/>
    <w:rsid w:val="3D4445A5"/>
    <w:rsid w:val="3D463A9A"/>
    <w:rsid w:val="3D60664C"/>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B4912"/>
    <w:rsid w:val="3E6F7351"/>
    <w:rsid w:val="3E70175E"/>
    <w:rsid w:val="3E73608E"/>
    <w:rsid w:val="3E74386C"/>
    <w:rsid w:val="3E766047"/>
    <w:rsid w:val="3E872BA6"/>
    <w:rsid w:val="3EA01CAF"/>
    <w:rsid w:val="3EA868C2"/>
    <w:rsid w:val="3EBF1103"/>
    <w:rsid w:val="3ED731F7"/>
    <w:rsid w:val="3EDC1B47"/>
    <w:rsid w:val="3EEC0950"/>
    <w:rsid w:val="3EED62EC"/>
    <w:rsid w:val="3EFA69B7"/>
    <w:rsid w:val="3EFB138B"/>
    <w:rsid w:val="3EFE4C27"/>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27AEC"/>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90850"/>
    <w:rsid w:val="424B2350"/>
    <w:rsid w:val="42541790"/>
    <w:rsid w:val="426D50E1"/>
    <w:rsid w:val="42870F07"/>
    <w:rsid w:val="429064A2"/>
    <w:rsid w:val="429F20A7"/>
    <w:rsid w:val="42B13CAF"/>
    <w:rsid w:val="42B84ABA"/>
    <w:rsid w:val="42C1615C"/>
    <w:rsid w:val="42C43F3A"/>
    <w:rsid w:val="42C837D2"/>
    <w:rsid w:val="431E7646"/>
    <w:rsid w:val="43331167"/>
    <w:rsid w:val="43376BDC"/>
    <w:rsid w:val="43380329"/>
    <w:rsid w:val="433A5FD6"/>
    <w:rsid w:val="433B3283"/>
    <w:rsid w:val="43470D71"/>
    <w:rsid w:val="434927BA"/>
    <w:rsid w:val="43A46436"/>
    <w:rsid w:val="43BA59BD"/>
    <w:rsid w:val="43C63B0B"/>
    <w:rsid w:val="43DF729C"/>
    <w:rsid w:val="43EA39CC"/>
    <w:rsid w:val="44031929"/>
    <w:rsid w:val="44386DC7"/>
    <w:rsid w:val="444B0AB7"/>
    <w:rsid w:val="44546674"/>
    <w:rsid w:val="446A779D"/>
    <w:rsid w:val="446B06FF"/>
    <w:rsid w:val="44843DC2"/>
    <w:rsid w:val="448C0529"/>
    <w:rsid w:val="448D5A66"/>
    <w:rsid w:val="44A410C8"/>
    <w:rsid w:val="44A616A1"/>
    <w:rsid w:val="44AA25B1"/>
    <w:rsid w:val="44B35568"/>
    <w:rsid w:val="44CA5540"/>
    <w:rsid w:val="44E26451"/>
    <w:rsid w:val="44E61C88"/>
    <w:rsid w:val="44F81AEE"/>
    <w:rsid w:val="44FA76E5"/>
    <w:rsid w:val="450A088A"/>
    <w:rsid w:val="451323E3"/>
    <w:rsid w:val="45356B84"/>
    <w:rsid w:val="454B5917"/>
    <w:rsid w:val="454D7D6F"/>
    <w:rsid w:val="455603DA"/>
    <w:rsid w:val="4562080B"/>
    <w:rsid w:val="457A48DC"/>
    <w:rsid w:val="457F0578"/>
    <w:rsid w:val="458F65D9"/>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E795D"/>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67CF3"/>
    <w:rsid w:val="498D1081"/>
    <w:rsid w:val="49A017E2"/>
    <w:rsid w:val="49A5127B"/>
    <w:rsid w:val="49A93BB4"/>
    <w:rsid w:val="49B434C4"/>
    <w:rsid w:val="49BB6429"/>
    <w:rsid w:val="49CA5E32"/>
    <w:rsid w:val="49F52A74"/>
    <w:rsid w:val="49FE0A9E"/>
    <w:rsid w:val="4A0A1718"/>
    <w:rsid w:val="4A0B5B9B"/>
    <w:rsid w:val="4A0B5CB6"/>
    <w:rsid w:val="4A0F2B90"/>
    <w:rsid w:val="4A155E19"/>
    <w:rsid w:val="4A175819"/>
    <w:rsid w:val="4A186210"/>
    <w:rsid w:val="4A3622A4"/>
    <w:rsid w:val="4A4200BE"/>
    <w:rsid w:val="4A595408"/>
    <w:rsid w:val="4A5D78CD"/>
    <w:rsid w:val="4A6B71F5"/>
    <w:rsid w:val="4A6D53AC"/>
    <w:rsid w:val="4A7B678A"/>
    <w:rsid w:val="4A873D23"/>
    <w:rsid w:val="4A953BED"/>
    <w:rsid w:val="4AC4127E"/>
    <w:rsid w:val="4AC665FA"/>
    <w:rsid w:val="4AD109E2"/>
    <w:rsid w:val="4AD52A4C"/>
    <w:rsid w:val="4AD85F80"/>
    <w:rsid w:val="4AF018C8"/>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17531"/>
    <w:rsid w:val="4DFE254E"/>
    <w:rsid w:val="4E0263E8"/>
    <w:rsid w:val="4E03137F"/>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598C"/>
    <w:rsid w:val="50B67F4C"/>
    <w:rsid w:val="50C20F92"/>
    <w:rsid w:val="50C406E4"/>
    <w:rsid w:val="50C86E43"/>
    <w:rsid w:val="50D1743D"/>
    <w:rsid w:val="50D542AA"/>
    <w:rsid w:val="50DE3161"/>
    <w:rsid w:val="50E347CC"/>
    <w:rsid w:val="50E37292"/>
    <w:rsid w:val="50E579F5"/>
    <w:rsid w:val="50EF2A50"/>
    <w:rsid w:val="50F47C38"/>
    <w:rsid w:val="50F97BE1"/>
    <w:rsid w:val="510F05CE"/>
    <w:rsid w:val="511E12FF"/>
    <w:rsid w:val="5157604D"/>
    <w:rsid w:val="515A3289"/>
    <w:rsid w:val="515D758B"/>
    <w:rsid w:val="51676DFF"/>
    <w:rsid w:val="51682F45"/>
    <w:rsid w:val="5178039D"/>
    <w:rsid w:val="51870AAC"/>
    <w:rsid w:val="51915487"/>
    <w:rsid w:val="51932FAD"/>
    <w:rsid w:val="51B03B5F"/>
    <w:rsid w:val="51B46176"/>
    <w:rsid w:val="51DA4DD6"/>
    <w:rsid w:val="51E41A5B"/>
    <w:rsid w:val="51F4103D"/>
    <w:rsid w:val="52170C48"/>
    <w:rsid w:val="52271947"/>
    <w:rsid w:val="522C2F95"/>
    <w:rsid w:val="52412887"/>
    <w:rsid w:val="52657A5E"/>
    <w:rsid w:val="526861E8"/>
    <w:rsid w:val="526A522E"/>
    <w:rsid w:val="527C6403"/>
    <w:rsid w:val="527D0E27"/>
    <w:rsid w:val="528F264B"/>
    <w:rsid w:val="52972F71"/>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61C2F"/>
    <w:rsid w:val="576B5C93"/>
    <w:rsid w:val="577C0F04"/>
    <w:rsid w:val="577F432C"/>
    <w:rsid w:val="57833F8D"/>
    <w:rsid w:val="5785381A"/>
    <w:rsid w:val="57B40731"/>
    <w:rsid w:val="57BD0238"/>
    <w:rsid w:val="57CA583D"/>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C9758F"/>
    <w:rsid w:val="5BD364CA"/>
    <w:rsid w:val="5BD62312"/>
    <w:rsid w:val="5BEA4A79"/>
    <w:rsid w:val="5BEA61EE"/>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05758"/>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97B9D"/>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3C4C84"/>
    <w:rsid w:val="5F4A65CE"/>
    <w:rsid w:val="5F5475FA"/>
    <w:rsid w:val="5F567D9F"/>
    <w:rsid w:val="5F650A27"/>
    <w:rsid w:val="5F785718"/>
    <w:rsid w:val="5F794626"/>
    <w:rsid w:val="5F840C68"/>
    <w:rsid w:val="5F8779E8"/>
    <w:rsid w:val="5F8C3EEF"/>
    <w:rsid w:val="5FC32D89"/>
    <w:rsid w:val="5FC50612"/>
    <w:rsid w:val="5FC722E8"/>
    <w:rsid w:val="5FEA370B"/>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A7CF5"/>
    <w:rsid w:val="61511ED9"/>
    <w:rsid w:val="6170523F"/>
    <w:rsid w:val="61743F0C"/>
    <w:rsid w:val="617550F8"/>
    <w:rsid w:val="61893C1F"/>
    <w:rsid w:val="61985951"/>
    <w:rsid w:val="619E79D2"/>
    <w:rsid w:val="61A134C4"/>
    <w:rsid w:val="61A94127"/>
    <w:rsid w:val="61AB4343"/>
    <w:rsid w:val="61B55943"/>
    <w:rsid w:val="61DE554E"/>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3259C"/>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02DC6"/>
    <w:rsid w:val="642F6192"/>
    <w:rsid w:val="644005A9"/>
    <w:rsid w:val="64432A21"/>
    <w:rsid w:val="645B0332"/>
    <w:rsid w:val="646B37CD"/>
    <w:rsid w:val="648226C8"/>
    <w:rsid w:val="64963088"/>
    <w:rsid w:val="649C6ACA"/>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33339"/>
    <w:rsid w:val="68680898"/>
    <w:rsid w:val="68685893"/>
    <w:rsid w:val="686F00CC"/>
    <w:rsid w:val="68762BDA"/>
    <w:rsid w:val="68770F26"/>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2A09"/>
    <w:rsid w:val="696D3650"/>
    <w:rsid w:val="69783CF9"/>
    <w:rsid w:val="698B79BC"/>
    <w:rsid w:val="698C4311"/>
    <w:rsid w:val="698C7C1D"/>
    <w:rsid w:val="69937975"/>
    <w:rsid w:val="69B7215C"/>
    <w:rsid w:val="69D73FE1"/>
    <w:rsid w:val="69E72ABB"/>
    <w:rsid w:val="69F309C8"/>
    <w:rsid w:val="69FC5BA7"/>
    <w:rsid w:val="6A0015C5"/>
    <w:rsid w:val="6A114ABE"/>
    <w:rsid w:val="6A1330E9"/>
    <w:rsid w:val="6A4B0118"/>
    <w:rsid w:val="6A60610D"/>
    <w:rsid w:val="6A6207B2"/>
    <w:rsid w:val="6A706DE0"/>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9A41D1"/>
    <w:rsid w:val="6EA436DE"/>
    <w:rsid w:val="6EC85C7C"/>
    <w:rsid w:val="6ECE01AD"/>
    <w:rsid w:val="6ED352DA"/>
    <w:rsid w:val="6ED77105"/>
    <w:rsid w:val="6EED5F9B"/>
    <w:rsid w:val="6EF929BB"/>
    <w:rsid w:val="6EFA06B8"/>
    <w:rsid w:val="6EFC1D3A"/>
    <w:rsid w:val="6F1B0514"/>
    <w:rsid w:val="6F1D7A2C"/>
    <w:rsid w:val="6F2F0361"/>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E2E66"/>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3F546E"/>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9130E1"/>
    <w:rsid w:val="72927344"/>
    <w:rsid w:val="7295156C"/>
    <w:rsid w:val="729D2580"/>
    <w:rsid w:val="72A67B87"/>
    <w:rsid w:val="72B4208D"/>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D82307"/>
    <w:rsid w:val="74DD2099"/>
    <w:rsid w:val="74EB19F9"/>
    <w:rsid w:val="74FA3218"/>
    <w:rsid w:val="75014144"/>
    <w:rsid w:val="750712FE"/>
    <w:rsid w:val="75086702"/>
    <w:rsid w:val="75137C89"/>
    <w:rsid w:val="753078C7"/>
    <w:rsid w:val="753164B5"/>
    <w:rsid w:val="7537210A"/>
    <w:rsid w:val="753D0242"/>
    <w:rsid w:val="75405EF4"/>
    <w:rsid w:val="754364E4"/>
    <w:rsid w:val="75591E6C"/>
    <w:rsid w:val="755F74C6"/>
    <w:rsid w:val="75653843"/>
    <w:rsid w:val="75666F53"/>
    <w:rsid w:val="756A393F"/>
    <w:rsid w:val="756D6C3E"/>
    <w:rsid w:val="757836DE"/>
    <w:rsid w:val="758E6C35"/>
    <w:rsid w:val="759A2644"/>
    <w:rsid w:val="75A53176"/>
    <w:rsid w:val="75B3143C"/>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94F71"/>
    <w:rsid w:val="76EA5F76"/>
    <w:rsid w:val="76F118C6"/>
    <w:rsid w:val="77040325"/>
    <w:rsid w:val="77040389"/>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32070"/>
    <w:rsid w:val="79053EE1"/>
    <w:rsid w:val="79117683"/>
    <w:rsid w:val="7915055D"/>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E91D0C"/>
    <w:rsid w:val="7AF145FC"/>
    <w:rsid w:val="7AF719DB"/>
    <w:rsid w:val="7B0E669F"/>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8F68E3"/>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761C62"/>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01C6"/>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heading 1"/>
    <w:basedOn w:val="1"/>
    <w:next w:val="1"/>
    <w:link w:val="44"/>
    <w:autoRedefine/>
    <w:qFormat/>
    <w:uiPriority w:val="0"/>
    <w:pPr>
      <w:keepNext/>
      <w:keepLines/>
      <w:spacing w:before="340" w:after="330" w:line="576" w:lineRule="auto"/>
      <w:outlineLvl w:val="0"/>
    </w:pPr>
    <w:rPr>
      <w:b/>
      <w:bCs/>
      <w:kern w:val="44"/>
      <w:sz w:val="44"/>
      <w:szCs w:val="44"/>
    </w:rPr>
  </w:style>
  <w:style w:type="paragraph" w:styleId="9">
    <w:name w:val="heading 2"/>
    <w:basedOn w:val="1"/>
    <w:next w:val="1"/>
    <w:link w:val="45"/>
    <w:autoRedefine/>
    <w:qFormat/>
    <w:uiPriority w:val="0"/>
    <w:pPr>
      <w:keepNext/>
      <w:keepLines/>
      <w:spacing w:before="260" w:after="260" w:line="415" w:lineRule="auto"/>
      <w:outlineLvl w:val="1"/>
    </w:pPr>
    <w:rPr>
      <w:rFonts w:ascii="Arial" w:hAnsi="Arial" w:eastAsia="黑体"/>
      <w:b/>
      <w:bCs/>
      <w:sz w:val="32"/>
      <w:szCs w:val="32"/>
    </w:rPr>
  </w:style>
  <w:style w:type="paragraph" w:styleId="10">
    <w:name w:val="heading 3"/>
    <w:basedOn w:val="1"/>
    <w:next w:val="1"/>
    <w:autoRedefine/>
    <w:qFormat/>
    <w:uiPriority w:val="0"/>
    <w:pPr>
      <w:keepNext/>
      <w:keepLines/>
      <w:spacing w:before="260" w:after="260" w:line="415" w:lineRule="auto"/>
      <w:outlineLvl w:val="2"/>
    </w:pPr>
    <w:rPr>
      <w:b/>
      <w:bCs/>
      <w:sz w:val="32"/>
      <w:szCs w:val="32"/>
    </w:rPr>
  </w:style>
  <w:style w:type="paragraph" w:styleId="11">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paragraph" w:styleId="12">
    <w:name w:val="heading 5"/>
    <w:basedOn w:val="1"/>
    <w:next w:val="1"/>
    <w:qFormat/>
    <w:uiPriority w:val="0"/>
    <w:pPr>
      <w:numPr>
        <w:ilvl w:val="0"/>
        <w:numId w:val="1"/>
      </w:numPr>
      <w:outlineLvl w:val="4"/>
    </w:pPr>
    <w:rPr>
      <w:rFonts w:ascii="Times New Roman" w:hAnsi="Times New Roman" w:eastAsia="宋体" w:cs="Times New Roman"/>
    </w:rPr>
  </w:style>
  <w:style w:type="paragraph" w:styleId="13">
    <w:name w:val="heading 6"/>
    <w:basedOn w:val="1"/>
    <w:next w:val="1"/>
    <w:qFormat/>
    <w:uiPriority w:val="0"/>
    <w:pPr>
      <w:spacing w:line="360" w:lineRule="auto"/>
      <w:outlineLvl w:val="5"/>
    </w:pPr>
    <w:rPr>
      <w:rFonts w:ascii="宋体" w:hAnsi="宋体" w:eastAsia="宋体" w:cs="Times New Roman"/>
      <w:b/>
      <w:kern w:val="0"/>
      <w:sz w:val="22"/>
      <w:szCs w:val="22"/>
    </w:rPr>
  </w:style>
  <w:style w:type="paragraph" w:styleId="14">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7">
    <w:name w:val="Default Paragraph Font"/>
    <w:autoRedefine/>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47"/>
    <w:autoRedefine/>
    <w:qFormat/>
    <w:uiPriority w:val="0"/>
    <w:pPr>
      <w:spacing w:after="120"/>
    </w:pPr>
  </w:style>
  <w:style w:type="paragraph" w:customStyle="1" w:styleId="3">
    <w:name w:val="Default"/>
    <w:next w:val="4"/>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
    <w:name w:val="大标题"/>
    <w:basedOn w:val="1"/>
    <w:next w:val="5"/>
    <w:autoRedefine/>
    <w:qFormat/>
    <w:uiPriority w:val="0"/>
    <w:pPr>
      <w:jc w:val="center"/>
    </w:pPr>
    <w:rPr>
      <w:rFonts w:ascii="Arial" w:hAnsi="Arial"/>
      <w:b/>
    </w:rPr>
  </w:style>
  <w:style w:type="paragraph" w:styleId="5">
    <w:name w:val="Body Text First Indent 2"/>
    <w:basedOn w:val="6"/>
    <w:next w:val="1"/>
    <w:autoRedefine/>
    <w:qFormat/>
    <w:uiPriority w:val="99"/>
    <w:pPr>
      <w:ind w:firstLine="420"/>
    </w:pPr>
    <w:rPr>
      <w:sz w:val="24"/>
    </w:rPr>
  </w:style>
  <w:style w:type="paragraph" w:styleId="6">
    <w:name w:val="Body Text Indent"/>
    <w:basedOn w:val="1"/>
    <w:next w:val="7"/>
    <w:autoRedefine/>
    <w:unhideWhenUsed/>
    <w:qFormat/>
    <w:uiPriority w:val="99"/>
    <w:pPr>
      <w:spacing w:after="120"/>
      <w:ind w:left="420" w:leftChars="200"/>
    </w:pPr>
    <w:rPr>
      <w:kern w:val="0"/>
      <w:sz w:val="20"/>
    </w:rPr>
  </w:style>
  <w:style w:type="paragraph" w:styleId="7">
    <w:name w:val="envelope return"/>
    <w:basedOn w:val="1"/>
    <w:autoRedefine/>
    <w:qFormat/>
    <w:uiPriority w:val="0"/>
    <w:pPr>
      <w:snapToGrid w:val="0"/>
    </w:pPr>
    <w:rPr>
      <w:rFonts w:ascii="Arial" w:hAnsi="Arial"/>
    </w:rPr>
  </w:style>
  <w:style w:type="paragraph" w:styleId="15">
    <w:name w:val="toc 7"/>
    <w:basedOn w:val="1"/>
    <w:next w:val="1"/>
    <w:autoRedefine/>
    <w:semiHidden/>
    <w:qFormat/>
    <w:uiPriority w:val="0"/>
    <w:pPr>
      <w:ind w:left="1260"/>
      <w:jc w:val="left"/>
    </w:pPr>
    <w:rPr>
      <w:sz w:val="18"/>
      <w:szCs w:val="18"/>
    </w:rPr>
  </w:style>
  <w:style w:type="paragraph" w:styleId="16">
    <w:name w:val="Normal Indent"/>
    <w:basedOn w:val="1"/>
    <w:autoRedefine/>
    <w:qFormat/>
    <w:uiPriority w:val="0"/>
    <w:pPr>
      <w:ind w:firstLine="420"/>
    </w:pPr>
    <w:rPr>
      <w:szCs w:val="20"/>
    </w:rPr>
  </w:style>
  <w:style w:type="paragraph" w:styleId="17">
    <w:name w:val="annotation text"/>
    <w:basedOn w:val="1"/>
    <w:link w:val="46"/>
    <w:autoRedefine/>
    <w:semiHidden/>
    <w:qFormat/>
    <w:uiPriority w:val="0"/>
    <w:pPr>
      <w:jc w:val="left"/>
    </w:pPr>
  </w:style>
  <w:style w:type="paragraph" w:styleId="18">
    <w:name w:val="Body Text 3"/>
    <w:basedOn w:val="1"/>
    <w:autoRedefine/>
    <w:qFormat/>
    <w:uiPriority w:val="0"/>
    <w:rPr>
      <w:rFonts w:ascii="宋体"/>
      <w:sz w:val="24"/>
      <w:szCs w:val="20"/>
    </w:rPr>
  </w:style>
  <w:style w:type="paragraph" w:styleId="19">
    <w:name w:val="toc 5"/>
    <w:basedOn w:val="1"/>
    <w:next w:val="1"/>
    <w:autoRedefine/>
    <w:semiHidden/>
    <w:qFormat/>
    <w:uiPriority w:val="0"/>
    <w:pPr>
      <w:ind w:left="840"/>
      <w:jc w:val="left"/>
    </w:pPr>
    <w:rPr>
      <w:sz w:val="18"/>
      <w:szCs w:val="18"/>
    </w:rPr>
  </w:style>
  <w:style w:type="paragraph" w:styleId="20">
    <w:name w:val="toc 3"/>
    <w:basedOn w:val="1"/>
    <w:next w:val="1"/>
    <w:autoRedefine/>
    <w:qFormat/>
    <w:uiPriority w:val="0"/>
    <w:pPr>
      <w:ind w:left="420"/>
      <w:jc w:val="left"/>
    </w:pPr>
    <w:rPr>
      <w:i/>
      <w:iCs/>
      <w:sz w:val="20"/>
      <w:szCs w:val="20"/>
    </w:rPr>
  </w:style>
  <w:style w:type="paragraph" w:styleId="21">
    <w:name w:val="Plain Text"/>
    <w:basedOn w:val="1"/>
    <w:autoRedefine/>
    <w:qFormat/>
    <w:uiPriority w:val="0"/>
    <w:rPr>
      <w:rFonts w:ascii="Courier New" w:hAnsi="Courier New"/>
      <w:szCs w:val="20"/>
    </w:rPr>
  </w:style>
  <w:style w:type="paragraph" w:styleId="22">
    <w:name w:val="toc 8"/>
    <w:basedOn w:val="1"/>
    <w:next w:val="1"/>
    <w:autoRedefine/>
    <w:semiHidden/>
    <w:qFormat/>
    <w:uiPriority w:val="0"/>
    <w:pPr>
      <w:ind w:left="1470"/>
      <w:jc w:val="left"/>
    </w:pPr>
    <w:rPr>
      <w:sz w:val="18"/>
      <w:szCs w:val="18"/>
    </w:rPr>
  </w:style>
  <w:style w:type="paragraph" w:styleId="23">
    <w:name w:val="Date"/>
    <w:basedOn w:val="1"/>
    <w:next w:val="1"/>
    <w:autoRedefine/>
    <w:qFormat/>
    <w:uiPriority w:val="0"/>
    <w:pPr>
      <w:ind w:left="100" w:leftChars="2500"/>
    </w:pPr>
  </w:style>
  <w:style w:type="paragraph" w:styleId="24">
    <w:name w:val="Balloon Text"/>
    <w:basedOn w:val="1"/>
    <w:autoRedefine/>
    <w:semiHidden/>
    <w:qFormat/>
    <w:uiPriority w:val="0"/>
    <w:rPr>
      <w:sz w:val="18"/>
      <w:szCs w:val="18"/>
    </w:rPr>
  </w:style>
  <w:style w:type="paragraph" w:styleId="25">
    <w:name w:val="footer"/>
    <w:basedOn w:val="1"/>
    <w:link w:val="55"/>
    <w:autoRedefine/>
    <w:qFormat/>
    <w:uiPriority w:val="99"/>
    <w:pPr>
      <w:tabs>
        <w:tab w:val="center" w:pos="4153"/>
        <w:tab w:val="right" w:pos="8306"/>
      </w:tabs>
      <w:snapToGrid w:val="0"/>
      <w:jc w:val="left"/>
    </w:pPr>
    <w:rPr>
      <w:sz w:val="18"/>
      <w:szCs w:val="18"/>
    </w:rPr>
  </w:style>
  <w:style w:type="paragraph" w:styleId="26">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0"/>
    <w:pPr>
      <w:spacing w:before="120" w:after="120"/>
      <w:jc w:val="left"/>
    </w:pPr>
    <w:rPr>
      <w:b/>
      <w:bCs/>
      <w:caps/>
      <w:sz w:val="20"/>
      <w:szCs w:val="20"/>
    </w:rPr>
  </w:style>
  <w:style w:type="paragraph" w:styleId="28">
    <w:name w:val="toc 4"/>
    <w:basedOn w:val="1"/>
    <w:next w:val="1"/>
    <w:autoRedefine/>
    <w:semiHidden/>
    <w:qFormat/>
    <w:uiPriority w:val="0"/>
    <w:pPr>
      <w:ind w:left="630"/>
      <w:jc w:val="left"/>
    </w:pPr>
    <w:rPr>
      <w:sz w:val="18"/>
      <w:szCs w:val="18"/>
    </w:rPr>
  </w:style>
  <w:style w:type="paragraph" w:styleId="29">
    <w:name w:val="toc 6"/>
    <w:basedOn w:val="1"/>
    <w:next w:val="1"/>
    <w:autoRedefine/>
    <w:semiHidden/>
    <w:qFormat/>
    <w:uiPriority w:val="0"/>
    <w:pPr>
      <w:ind w:left="1050"/>
      <w:jc w:val="left"/>
    </w:pPr>
    <w:rPr>
      <w:sz w:val="18"/>
      <w:szCs w:val="18"/>
    </w:rPr>
  </w:style>
  <w:style w:type="paragraph" w:styleId="30">
    <w:name w:val="toc 2"/>
    <w:basedOn w:val="1"/>
    <w:next w:val="1"/>
    <w:autoRedefine/>
    <w:qFormat/>
    <w:uiPriority w:val="0"/>
    <w:pPr>
      <w:ind w:left="210"/>
      <w:jc w:val="left"/>
    </w:pPr>
    <w:rPr>
      <w:smallCaps/>
      <w:sz w:val="20"/>
      <w:szCs w:val="20"/>
    </w:rPr>
  </w:style>
  <w:style w:type="paragraph" w:styleId="31">
    <w:name w:val="toc 9"/>
    <w:basedOn w:val="1"/>
    <w:next w:val="1"/>
    <w:autoRedefine/>
    <w:semiHidden/>
    <w:qFormat/>
    <w:uiPriority w:val="0"/>
    <w:pPr>
      <w:ind w:left="1680"/>
      <w:jc w:val="left"/>
    </w:pPr>
    <w:rPr>
      <w:sz w:val="18"/>
      <w:szCs w:val="18"/>
    </w:rPr>
  </w:style>
  <w:style w:type="paragraph" w:styleId="32">
    <w:name w:val="Body Text 2"/>
    <w:basedOn w:val="1"/>
    <w:autoRedefine/>
    <w:qFormat/>
    <w:uiPriority w:val="0"/>
    <w:pPr>
      <w:spacing w:line="240" w:lineRule="exact"/>
    </w:pPr>
    <w:rPr>
      <w:rFonts w:eastAsia="仿宋_GB2312"/>
    </w:rPr>
  </w:style>
  <w:style w:type="paragraph" w:styleId="33">
    <w:name w:val="HTML Preformatted"/>
    <w:basedOn w:val="1"/>
    <w:link w:val="48"/>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5">
    <w:name w:val="annotation subject"/>
    <w:basedOn w:val="17"/>
    <w:next w:val="17"/>
    <w:autoRedefine/>
    <w:semiHidden/>
    <w:qFormat/>
    <w:uiPriority w:val="0"/>
    <w:rPr>
      <w:b/>
      <w:bCs/>
    </w:rPr>
  </w:style>
  <w:style w:type="character" w:styleId="38">
    <w:name w:val="page number"/>
    <w:autoRedefine/>
    <w:qFormat/>
    <w:uiPriority w:val="0"/>
  </w:style>
  <w:style w:type="character" w:styleId="39">
    <w:name w:val="FollowedHyperlink"/>
    <w:autoRedefine/>
    <w:qFormat/>
    <w:uiPriority w:val="0"/>
    <w:rPr>
      <w:color w:val="000000"/>
      <w:u w:val="none"/>
    </w:rPr>
  </w:style>
  <w:style w:type="character" w:styleId="40">
    <w:name w:val="line number"/>
    <w:autoRedefine/>
    <w:qFormat/>
    <w:uiPriority w:val="0"/>
  </w:style>
  <w:style w:type="character" w:styleId="41">
    <w:name w:val="Hyperlink"/>
    <w:autoRedefine/>
    <w:qFormat/>
    <w:uiPriority w:val="0"/>
    <w:rPr>
      <w:color w:val="000000"/>
      <w:u w:val="none"/>
    </w:rPr>
  </w:style>
  <w:style w:type="character" w:styleId="42">
    <w:name w:val="annotation reference"/>
    <w:autoRedefine/>
    <w:semiHidden/>
    <w:qFormat/>
    <w:uiPriority w:val="0"/>
    <w:rPr>
      <w:sz w:val="21"/>
      <w:szCs w:val="21"/>
    </w:rPr>
  </w:style>
  <w:style w:type="paragraph" w:customStyle="1" w:styleId="43">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4">
    <w:name w:val="标题 1 字符"/>
    <w:link w:val="8"/>
    <w:autoRedefine/>
    <w:qFormat/>
    <w:uiPriority w:val="0"/>
    <w:rPr>
      <w:rFonts w:eastAsia="宋体"/>
      <w:b/>
      <w:bCs/>
      <w:kern w:val="44"/>
      <w:sz w:val="44"/>
      <w:szCs w:val="44"/>
      <w:lang w:val="en-US" w:eastAsia="zh-CN" w:bidi="ar-SA"/>
    </w:rPr>
  </w:style>
  <w:style w:type="character" w:customStyle="1" w:styleId="45">
    <w:name w:val="标题 2 字符"/>
    <w:link w:val="9"/>
    <w:autoRedefine/>
    <w:qFormat/>
    <w:uiPriority w:val="0"/>
    <w:rPr>
      <w:rFonts w:ascii="Arial" w:hAnsi="Arial" w:eastAsia="黑体"/>
      <w:b/>
      <w:bCs/>
      <w:kern w:val="2"/>
      <w:sz w:val="32"/>
      <w:szCs w:val="32"/>
      <w:lang w:val="en-US" w:eastAsia="zh-CN" w:bidi="ar-SA"/>
    </w:rPr>
  </w:style>
  <w:style w:type="character" w:customStyle="1" w:styleId="46">
    <w:name w:val="批注文字 字符"/>
    <w:link w:val="17"/>
    <w:autoRedefine/>
    <w:qFormat/>
    <w:uiPriority w:val="0"/>
    <w:rPr>
      <w:rFonts w:eastAsia="宋体"/>
      <w:kern w:val="2"/>
      <w:sz w:val="21"/>
      <w:szCs w:val="24"/>
      <w:lang w:val="en-US" w:eastAsia="zh-CN" w:bidi="ar-SA"/>
    </w:rPr>
  </w:style>
  <w:style w:type="character" w:customStyle="1" w:styleId="47">
    <w:name w:val="正文文本 字符"/>
    <w:link w:val="2"/>
    <w:autoRedefine/>
    <w:qFormat/>
    <w:uiPriority w:val="0"/>
    <w:rPr>
      <w:kern w:val="2"/>
      <w:sz w:val="21"/>
      <w:szCs w:val="24"/>
    </w:rPr>
  </w:style>
  <w:style w:type="character" w:customStyle="1" w:styleId="48">
    <w:name w:val="HTML 预设格式 字符"/>
    <w:link w:val="33"/>
    <w:autoRedefine/>
    <w:qFormat/>
    <w:uiPriority w:val="99"/>
    <w:rPr>
      <w:rFonts w:ascii="宋体" w:hAnsi="宋体" w:cs="宋体"/>
      <w:sz w:val="24"/>
      <w:szCs w:val="24"/>
    </w:rPr>
  </w:style>
  <w:style w:type="character" w:customStyle="1" w:styleId="49">
    <w:name w:val="Char Char Char"/>
    <w:autoRedefine/>
    <w:qFormat/>
    <w:locked/>
    <w:uiPriority w:val="0"/>
    <w:rPr>
      <w:rFonts w:eastAsia="宋体"/>
      <w:b/>
      <w:bCs/>
      <w:kern w:val="44"/>
      <w:sz w:val="44"/>
      <w:szCs w:val="44"/>
      <w:lang w:val="en-US" w:eastAsia="zh-CN" w:bidi="ar-SA"/>
    </w:rPr>
  </w:style>
  <w:style w:type="character" w:customStyle="1" w:styleId="50">
    <w:name w:val="hover16"/>
    <w:autoRedefine/>
    <w:qFormat/>
    <w:uiPriority w:val="0"/>
  </w:style>
  <w:style w:type="character" w:customStyle="1" w:styleId="51">
    <w:name w:val="明显强调1"/>
    <w:autoRedefine/>
    <w:qFormat/>
    <w:uiPriority w:val="0"/>
    <w:rPr>
      <w:rFonts w:eastAsia="仿宋_GB2312"/>
      <w:bCs/>
      <w:iCs/>
      <w:color w:val="auto"/>
      <w:sz w:val="32"/>
    </w:rPr>
  </w:style>
  <w:style w:type="paragraph" w:customStyle="1" w:styleId="52">
    <w:name w:val="cjk"/>
    <w:basedOn w:val="1"/>
    <w:autoRedefine/>
    <w:qFormat/>
    <w:uiPriority w:val="0"/>
    <w:pPr>
      <w:widowControl/>
      <w:spacing w:line="480" w:lineRule="auto"/>
      <w:jc w:val="left"/>
    </w:pPr>
    <w:rPr>
      <w:rFonts w:ascii="宋体" w:hAnsi="宋体" w:cs="宋体"/>
      <w:kern w:val="0"/>
      <w:sz w:val="24"/>
    </w:rPr>
  </w:style>
  <w:style w:type="paragraph" w:styleId="53">
    <w:name w:val="List Paragraph"/>
    <w:basedOn w:val="1"/>
    <w:autoRedefine/>
    <w:qFormat/>
    <w:uiPriority w:val="1"/>
    <w:pPr>
      <w:ind w:left="205" w:right="169" w:firstLine="655"/>
    </w:pPr>
    <w:rPr>
      <w:rFonts w:ascii="仿宋" w:hAnsi="仿宋" w:eastAsia="仿宋" w:cs="仿宋"/>
      <w:u w:val="single" w:color="000000"/>
      <w:lang w:val="zh-CN" w:bidi="zh-CN"/>
    </w:rPr>
  </w:style>
  <w:style w:type="paragraph" w:customStyle="1" w:styleId="54">
    <w:name w:val="样式 标题 2 + Times New Roman 四号 非加粗 段前: 5 磅 段后: 0 磅 行距: 固定值 20..."/>
    <w:basedOn w:val="9"/>
    <w:autoRedefine/>
    <w:qFormat/>
    <w:uiPriority w:val="0"/>
    <w:pPr>
      <w:spacing w:before="100" w:after="0" w:line="400" w:lineRule="exact"/>
    </w:pPr>
    <w:rPr>
      <w:rFonts w:ascii="Times New Roman" w:hAnsi="Times New Roman" w:cs="宋体"/>
      <w:b w:val="0"/>
      <w:bCs w:val="0"/>
      <w:sz w:val="28"/>
      <w:szCs w:val="20"/>
    </w:rPr>
  </w:style>
  <w:style w:type="character" w:customStyle="1" w:styleId="55">
    <w:name w:val="页脚 字符"/>
    <w:basedOn w:val="37"/>
    <w:link w:val="25"/>
    <w:autoRedefine/>
    <w:qFormat/>
    <w:uiPriority w:val="99"/>
    <w:rPr>
      <w:kern w:val="2"/>
      <w:sz w:val="18"/>
      <w:szCs w:val="18"/>
    </w:rPr>
  </w:style>
  <w:style w:type="character" w:customStyle="1" w:styleId="56">
    <w:name w:val="font41"/>
    <w:basedOn w:val="37"/>
    <w:qFormat/>
    <w:uiPriority w:val="0"/>
    <w:rPr>
      <w:rFonts w:hint="eastAsia" w:ascii="宋体" w:hAnsi="宋体" w:eastAsia="宋体" w:cs="宋体"/>
      <w:color w:val="C00000"/>
      <w:sz w:val="18"/>
      <w:szCs w:val="18"/>
      <w:u w:val="none"/>
    </w:rPr>
  </w:style>
  <w:style w:type="paragraph" w:customStyle="1" w:styleId="57">
    <w:name w:val="列出段落1"/>
    <w:basedOn w:val="1"/>
    <w:qFormat/>
    <w:uiPriority w:val="0"/>
    <w:pPr>
      <w:ind w:firstLine="420"/>
    </w:pPr>
    <w:rPr>
      <w:rFonts w:ascii="Times New Roman" w:hAnsi="Times New Roman" w:eastAsia="宋体" w:cs="Times New Roman"/>
    </w:rPr>
  </w:style>
  <w:style w:type="paragraph" w:customStyle="1" w:styleId="58">
    <w:name w:val="表格文字"/>
    <w:qFormat/>
    <w:uiPriority w:val="0"/>
    <w:pPr>
      <w:jc w:val="center"/>
    </w:pPr>
    <w:rPr>
      <w:rFonts w:ascii="Times New Roman" w:hAnsi="Times New Roman" w:eastAsia="仿宋" w:cs="Times New Roman"/>
      <w:kern w:val="2"/>
      <w:sz w:val="21"/>
      <w:szCs w:val="22"/>
      <w:lang w:val="en-US" w:eastAsia="zh-CN" w:bidi="ar-SA"/>
    </w:rPr>
  </w:style>
  <w:style w:type="paragraph" w:customStyle="1" w:styleId="59">
    <w:name w:val="*正文"/>
    <w:basedOn w:val="60"/>
    <w:qFormat/>
    <w:uiPriority w:val="0"/>
    <w:pPr>
      <w:ind w:firstLine="480"/>
    </w:pPr>
    <w:rPr>
      <w:rFonts w:ascii="Times New Roman" w:hAnsi="Times New Roman" w:eastAsia="宋体" w:cs="Times New Roman"/>
    </w:rPr>
  </w:style>
  <w:style w:type="paragraph" w:customStyle="1" w:styleId="60">
    <w:name w:val="样式 首行缩进:  0 字符"/>
    <w:basedOn w:val="1"/>
    <w:qFormat/>
    <w:uiPriority w:val="0"/>
    <w:rPr>
      <w:rFonts w:ascii="Times New Roman" w:hAnsi="Times New Roman" w:eastAsia="宋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40.png"/><Relationship Id="rId54" Type="http://schemas.openxmlformats.org/officeDocument/2006/relationships/image" Target="media/image39.png"/><Relationship Id="rId53" Type="http://schemas.openxmlformats.org/officeDocument/2006/relationships/image" Target="media/image38.png"/><Relationship Id="rId52" Type="http://schemas.openxmlformats.org/officeDocument/2006/relationships/image" Target="media/image37.png"/><Relationship Id="rId51" Type="http://schemas.openxmlformats.org/officeDocument/2006/relationships/image" Target="media/image36.png"/><Relationship Id="rId50" Type="http://schemas.openxmlformats.org/officeDocument/2006/relationships/image" Target="media/image35.emf"/><Relationship Id="rId5" Type="http://schemas.openxmlformats.org/officeDocument/2006/relationships/footer" Target="footer1.xml"/><Relationship Id="rId49" Type="http://schemas.openxmlformats.org/officeDocument/2006/relationships/oleObject" Target="embeddings/oleObject3.bin"/><Relationship Id="rId48" Type="http://schemas.openxmlformats.org/officeDocument/2006/relationships/image" Target="media/image34.png"/><Relationship Id="rId47" Type="http://schemas.openxmlformats.org/officeDocument/2006/relationships/image" Target="media/image33.png"/><Relationship Id="rId46" Type="http://schemas.openxmlformats.org/officeDocument/2006/relationships/image" Target="media/image32.pn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header" Target="header2.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jpeg"/><Relationship Id="rId36" Type="http://schemas.openxmlformats.org/officeDocument/2006/relationships/image" Target="media/image22.png"/><Relationship Id="rId35" Type="http://schemas.openxmlformats.org/officeDocument/2006/relationships/image" Target="media/image21.emf"/><Relationship Id="rId34" Type="http://schemas.openxmlformats.org/officeDocument/2006/relationships/image" Target="media/image20.png"/><Relationship Id="rId33" Type="http://schemas.openxmlformats.org/officeDocument/2006/relationships/image" Target="media/image19.jpe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header" Target="head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emf"/><Relationship Id="rId26" Type="http://schemas.openxmlformats.org/officeDocument/2006/relationships/oleObject" Target="embeddings/oleObject2.bin"/><Relationship Id="rId25" Type="http://schemas.openxmlformats.org/officeDocument/2006/relationships/image" Target="media/image12.jpeg"/><Relationship Id="rId24" Type="http://schemas.openxmlformats.org/officeDocument/2006/relationships/image" Target="media/image11.jpe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jpe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emf"/><Relationship Id="rId15" Type="http://schemas.openxmlformats.org/officeDocument/2006/relationships/oleObject" Target="embeddings/oleObject1.bin"/><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302</Pages>
  <Words>153153</Words>
  <Characters>166817</Characters>
  <Lines>257</Lines>
  <Paragraphs>72</Paragraphs>
  <TotalTime>0</TotalTime>
  <ScaleCrop>false</ScaleCrop>
  <LinksUpToDate>false</LinksUpToDate>
  <CharactersWithSpaces>169820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2024-09-27T05:26:37Z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67D84351400B4B1FA48F430EC0EADC41_13</vt:lpwstr>
  </property>
</Properties>
</file>