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D844E0">
      <w:pPr>
        <w:pStyle w:val="4"/>
        <w:jc w:val="center"/>
        <w:rPr>
          <w:rFonts w:hint="eastAsia" w:ascii="宋体" w:hAnsi="宋体" w:eastAsia="宋体" w:cs="宋体"/>
          <w:color w:val="auto"/>
          <w:sz w:val="44"/>
          <w:szCs w:val="44"/>
          <w:highlight w:val="none"/>
          <w:lang w:eastAsia="zh-CN"/>
        </w:rPr>
      </w:pPr>
      <w:bookmarkStart w:id="387" w:name="_GoBack"/>
      <w:bookmarkEnd w:id="387"/>
      <w:r>
        <w:rPr>
          <w:rFonts w:hint="eastAsia" w:ascii="宋体" w:hAnsi="宋体" w:eastAsia="宋体" w:cs="宋体"/>
          <w:color w:val="auto"/>
          <w:sz w:val="44"/>
          <w:szCs w:val="44"/>
          <w:highlight w:val="none"/>
          <w:lang w:eastAsia="zh-CN"/>
        </w:rPr>
        <w:t>开封市人力资源和社会保障局全市2025年工伤预防普惠制宣传培训项目</w:t>
      </w:r>
    </w:p>
    <w:p w14:paraId="5BD72582">
      <w:pPr>
        <w:pStyle w:val="4"/>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招标文件</w:t>
      </w:r>
    </w:p>
    <w:p w14:paraId="67C6C7C9">
      <w:pPr>
        <w:pStyle w:val="4"/>
        <w:jc w:val="center"/>
        <w:rPr>
          <w:rFonts w:hint="default" w:ascii="宋体" w:hAnsi="宋体" w:eastAsia="黑体" w:cs="黑体"/>
          <w:color w:val="auto"/>
          <w:kern w:val="0"/>
          <w:sz w:val="44"/>
          <w:szCs w:val="44"/>
          <w:highlight w:val="none"/>
          <w:lang w:val="en-US" w:eastAsia="zh-CN"/>
        </w:rPr>
      </w:pPr>
      <w:r>
        <w:rPr>
          <w:rFonts w:hint="eastAsia" w:ascii="宋体" w:hAnsi="宋体"/>
          <w:color w:val="auto"/>
          <w:sz w:val="28"/>
          <w:szCs w:val="28"/>
          <w:highlight w:val="none"/>
        </w:rPr>
        <w:t>项目编号：汴财招标采购-2025-</w:t>
      </w:r>
      <w:r>
        <w:rPr>
          <w:rFonts w:hint="eastAsia" w:ascii="宋体" w:hAnsi="宋体"/>
          <w:color w:val="auto"/>
          <w:sz w:val="28"/>
          <w:szCs w:val="28"/>
          <w:highlight w:val="none"/>
          <w:lang w:val="en-US" w:eastAsia="zh-CN"/>
        </w:rPr>
        <w:t>66</w:t>
      </w:r>
    </w:p>
    <w:p w14:paraId="4FEB68DF">
      <w:pPr>
        <w:autoSpaceDE w:val="0"/>
        <w:autoSpaceDN w:val="0"/>
        <w:adjustRightInd w:val="0"/>
        <w:jc w:val="center"/>
        <w:rPr>
          <w:rFonts w:hint="eastAsia" w:ascii="宋体" w:hAnsi="宋体" w:cs="黑体"/>
          <w:color w:val="auto"/>
          <w:kern w:val="0"/>
          <w:sz w:val="44"/>
          <w:szCs w:val="44"/>
          <w:highlight w:val="none"/>
        </w:rPr>
      </w:pPr>
      <w:r>
        <w:rPr>
          <w:rFonts w:hint="eastAsia" w:ascii="宋体" w:hAnsi="宋体" w:cs="宋体"/>
          <w:b/>
          <w:color w:val="auto"/>
          <w:spacing w:val="60"/>
          <w:sz w:val="84"/>
          <w:szCs w:val="84"/>
          <w:highlight w:val="none"/>
        </w:rPr>
        <w:pict>
          <v:shape id="_x0000_i1025" o:spt="75" alt="7a7e014a7c2bc584b4c2d1210d9f8a2" type="#_x0000_t75" style="height:251.55pt;width:270.2pt;" filled="f" o:preferrelative="t" stroked="f" coordsize="21600,21600">
            <v:path/>
            <v:fill on="f" focussize="0,0"/>
            <v:stroke on="f"/>
            <v:imagedata r:id="rId11" o:title=""/>
            <o:lock v:ext="edit" aspectratio="t"/>
            <w10:wrap type="none"/>
            <w10:anchorlock/>
          </v:shape>
        </w:pict>
      </w:r>
    </w:p>
    <w:p w14:paraId="152320B6">
      <w:pPr>
        <w:autoSpaceDE w:val="0"/>
        <w:autoSpaceDN w:val="0"/>
        <w:adjustRightInd w:val="0"/>
        <w:jc w:val="center"/>
        <w:rPr>
          <w:rFonts w:hint="eastAsia" w:ascii="宋体" w:hAnsi="宋体" w:cs="黑体"/>
          <w:color w:val="auto"/>
          <w:kern w:val="0"/>
          <w:sz w:val="44"/>
          <w:szCs w:val="44"/>
          <w:highlight w:val="none"/>
        </w:rPr>
      </w:pPr>
    </w:p>
    <w:p w14:paraId="7FAA9698">
      <w:pPr>
        <w:autoSpaceDE w:val="0"/>
        <w:autoSpaceDN w:val="0"/>
        <w:adjustRightInd w:val="0"/>
        <w:jc w:val="center"/>
        <w:rPr>
          <w:rFonts w:hint="eastAsia" w:hAnsi="宋体" w:cs="黑体"/>
          <w:b/>
          <w:color w:val="auto"/>
          <w:sz w:val="32"/>
          <w:szCs w:val="32"/>
          <w:highlight w:val="none"/>
        </w:rPr>
      </w:pPr>
    </w:p>
    <w:p w14:paraId="7530A4E1">
      <w:pPr>
        <w:keepNext w:val="0"/>
        <w:keepLines w:val="0"/>
        <w:pageBreakBefore w:val="0"/>
        <w:widowControl w:val="0"/>
        <w:kinsoku/>
        <w:wordWrap/>
        <w:overflowPunct/>
        <w:topLinePunct w:val="0"/>
        <w:autoSpaceDE w:val="0"/>
        <w:autoSpaceDN w:val="0"/>
        <w:bidi w:val="0"/>
        <w:adjustRightInd/>
        <w:snapToGrid/>
        <w:spacing w:line="339" w:lineRule="auto"/>
        <w:ind w:right="0"/>
        <w:jc w:val="center"/>
        <w:textAlignment w:val="auto"/>
        <w:rPr>
          <w:rFonts w:hint="eastAsia" w:eastAsia="宋体"/>
          <w:b/>
          <w:color w:val="000000"/>
          <w:sz w:val="32"/>
          <w:szCs w:val="24"/>
          <w:highlight w:val="none"/>
          <w:lang w:eastAsia="zh-CN"/>
        </w:rPr>
      </w:pPr>
      <w:r>
        <w:rPr>
          <w:rFonts w:hint="eastAsia"/>
          <w:b/>
          <w:color w:val="000000"/>
          <w:sz w:val="32"/>
          <w:szCs w:val="24"/>
          <w:highlight w:val="none"/>
          <w:lang w:val="en-US" w:eastAsia="zh-CN"/>
        </w:rPr>
        <w:t>采购</w:t>
      </w:r>
      <w:r>
        <w:rPr>
          <w:rFonts w:hint="eastAsia"/>
          <w:b/>
          <w:color w:val="000000"/>
          <w:sz w:val="32"/>
          <w:szCs w:val="24"/>
          <w:highlight w:val="none"/>
        </w:rPr>
        <w:t>人：</w:t>
      </w:r>
      <w:r>
        <w:rPr>
          <w:rFonts w:hint="eastAsia"/>
          <w:b/>
          <w:color w:val="000000"/>
          <w:sz w:val="32"/>
          <w:szCs w:val="24"/>
          <w:highlight w:val="none"/>
          <w:lang w:eastAsia="zh-CN"/>
        </w:rPr>
        <w:t>开封市人力资源和社会保障局</w:t>
      </w:r>
    </w:p>
    <w:p w14:paraId="62375E97">
      <w:pPr>
        <w:spacing w:line="540" w:lineRule="exact"/>
        <w:jc w:val="center"/>
        <w:rPr>
          <w:rFonts w:hint="eastAsia"/>
          <w:b/>
          <w:color w:val="000000"/>
          <w:sz w:val="32"/>
          <w:szCs w:val="32"/>
          <w:highlight w:val="none"/>
          <w:lang w:eastAsia="zh-CN"/>
        </w:rPr>
      </w:pPr>
      <w:r>
        <w:rPr>
          <w:rFonts w:hint="eastAsia"/>
          <w:b/>
          <w:color w:val="000000"/>
          <w:sz w:val="32"/>
          <w:szCs w:val="32"/>
          <w:highlight w:val="none"/>
        </w:rPr>
        <w:t>招标代理机构：</w:t>
      </w:r>
      <w:r>
        <w:rPr>
          <w:rFonts w:hint="eastAsia"/>
          <w:b/>
          <w:color w:val="000000"/>
          <w:sz w:val="32"/>
          <w:szCs w:val="32"/>
          <w:highlight w:val="none"/>
          <w:lang w:eastAsia="zh-CN"/>
        </w:rPr>
        <w:t>方大国际工程咨询股份有限公司</w:t>
      </w:r>
    </w:p>
    <w:p w14:paraId="50E23333">
      <w:pPr>
        <w:spacing w:line="540" w:lineRule="exact"/>
        <w:jc w:val="center"/>
        <w:rPr>
          <w:color w:val="auto"/>
          <w:highlight w:val="none"/>
        </w:rPr>
      </w:pPr>
      <w:r>
        <w:rPr>
          <w:rFonts w:hint="eastAsia" w:ascii="宋体" w:hAnsi="宋体" w:cs="黑体"/>
          <w:b/>
          <w:color w:val="auto"/>
          <w:kern w:val="0"/>
          <w:sz w:val="32"/>
          <w:szCs w:val="32"/>
          <w:highlight w:val="none"/>
        </w:rPr>
        <w:t>二零二五年</w:t>
      </w:r>
      <w:r>
        <w:rPr>
          <w:rFonts w:hint="eastAsia" w:ascii="宋体" w:hAnsi="宋体" w:cs="黑体"/>
          <w:b/>
          <w:color w:val="auto"/>
          <w:kern w:val="0"/>
          <w:sz w:val="32"/>
          <w:szCs w:val="32"/>
          <w:highlight w:val="none"/>
          <w:lang w:val="en-US" w:eastAsia="zh-CN"/>
        </w:rPr>
        <w:t>十</w:t>
      </w:r>
      <w:r>
        <w:rPr>
          <w:rFonts w:hint="eastAsia" w:ascii="宋体" w:hAnsi="宋体" w:cs="黑体"/>
          <w:b/>
          <w:color w:val="auto"/>
          <w:kern w:val="0"/>
          <w:sz w:val="32"/>
          <w:szCs w:val="32"/>
          <w:highlight w:val="none"/>
        </w:rPr>
        <w:t>月</w:t>
      </w:r>
    </w:p>
    <w:p w14:paraId="10D308D1">
      <w:pPr>
        <w:jc w:val="center"/>
        <w:rPr>
          <w:rFonts w:hint="eastAsia" w:ascii="宋体" w:hAnsi="宋体"/>
          <w:color w:val="auto"/>
          <w:highlight w:val="none"/>
        </w:rPr>
      </w:pPr>
    </w:p>
    <w:p w14:paraId="59840EA0">
      <w:pPr>
        <w:jc w:val="center"/>
        <w:rPr>
          <w:rFonts w:hint="eastAsia" w:ascii="宋体" w:hAnsi="宋体"/>
          <w:color w:val="auto"/>
          <w:sz w:val="32"/>
          <w:szCs w:val="40"/>
          <w:highlight w:val="none"/>
          <w:lang w:val="en-US" w:eastAsia="zh-CN"/>
        </w:rPr>
      </w:pPr>
      <w:r>
        <w:rPr>
          <w:rFonts w:ascii="宋体" w:hAnsi="宋体"/>
          <w:color w:val="auto"/>
          <w:highlight w:val="none"/>
        </w:rPr>
        <w:br w:type="page"/>
      </w:r>
      <w:r>
        <w:rPr>
          <w:rFonts w:hint="eastAsia" w:ascii="宋体" w:hAnsi="宋体"/>
          <w:color w:val="auto"/>
          <w:sz w:val="32"/>
          <w:szCs w:val="40"/>
          <w:highlight w:val="none"/>
          <w:lang w:val="en-US" w:eastAsia="zh-CN"/>
        </w:rPr>
        <w:t>编制与委托</w:t>
      </w:r>
    </w:p>
    <w:p w14:paraId="52F8B913">
      <w:pPr>
        <w:pStyle w:val="2"/>
        <w:rPr>
          <w:rFonts w:hint="default"/>
          <w:highlight w:val="none"/>
          <w:lang w:val="en-US" w:eastAsia="zh-CN"/>
        </w:rPr>
      </w:pPr>
      <w:r>
        <w:rPr>
          <w:rFonts w:hint="default"/>
          <w:highlight w:val="none"/>
          <w:lang w:val="en-US" w:eastAsia="zh-CN"/>
        </w:rPr>
        <w:pict>
          <v:shape id="_x0000_i1026" o:spt="75" alt="委托与编制_00" type="#_x0000_t75" style="height:586.55pt;width:414.95pt;" filled="f" o:preferrelative="t" stroked="f" coordsize="21600,21600">
            <v:path/>
            <v:fill on="f" focussize="0,0"/>
            <v:stroke on="f"/>
            <v:imagedata r:id="rId12" o:title="委托与编制_00"/>
            <o:lock v:ext="edit" aspectratio="t"/>
            <w10:wrap type="none"/>
            <w10:anchorlock/>
          </v:shape>
        </w:pict>
      </w:r>
    </w:p>
    <w:p w14:paraId="5F4BB05F">
      <w:pPr>
        <w:jc w:val="center"/>
        <w:rPr>
          <w:rFonts w:ascii="宋体" w:hAnsi="宋体"/>
          <w:color w:val="auto"/>
          <w:sz w:val="32"/>
          <w:szCs w:val="40"/>
          <w:highlight w:val="none"/>
        </w:rPr>
      </w:pPr>
    </w:p>
    <w:p w14:paraId="7B66E5E4">
      <w:pPr>
        <w:jc w:val="center"/>
        <w:rPr>
          <w:rFonts w:ascii="宋体" w:hAnsi="宋体"/>
          <w:color w:val="auto"/>
          <w:sz w:val="32"/>
          <w:szCs w:val="40"/>
          <w:highlight w:val="none"/>
        </w:rPr>
      </w:pPr>
    </w:p>
    <w:p w14:paraId="7E6A2BD2">
      <w:pPr>
        <w:jc w:val="center"/>
        <w:rPr>
          <w:rFonts w:ascii="宋体" w:hAnsi="宋体"/>
          <w:color w:val="auto"/>
          <w:sz w:val="32"/>
          <w:szCs w:val="40"/>
          <w:highlight w:val="none"/>
        </w:rPr>
      </w:pPr>
    </w:p>
    <w:p w14:paraId="4920ED3B">
      <w:pPr>
        <w:jc w:val="center"/>
        <w:rPr>
          <w:rFonts w:ascii="宋体" w:hAnsi="宋体"/>
          <w:color w:val="auto"/>
          <w:sz w:val="32"/>
          <w:szCs w:val="40"/>
          <w:highlight w:val="none"/>
        </w:rPr>
      </w:pPr>
    </w:p>
    <w:p w14:paraId="0B05F2E0">
      <w:pPr>
        <w:jc w:val="center"/>
        <w:rPr>
          <w:color w:val="auto"/>
          <w:sz w:val="32"/>
          <w:szCs w:val="40"/>
          <w:highlight w:val="none"/>
        </w:rPr>
      </w:pPr>
      <w:r>
        <w:rPr>
          <w:rFonts w:ascii="宋体" w:hAnsi="宋体"/>
          <w:color w:val="auto"/>
          <w:sz w:val="32"/>
          <w:szCs w:val="40"/>
          <w:highlight w:val="none"/>
        </w:rPr>
        <w:t>目</w:t>
      </w:r>
      <w:r>
        <w:rPr>
          <w:rFonts w:hint="eastAsia" w:ascii="宋体" w:hAnsi="宋体"/>
          <w:color w:val="auto"/>
          <w:sz w:val="32"/>
          <w:szCs w:val="40"/>
          <w:highlight w:val="none"/>
        </w:rPr>
        <w:t xml:space="preserve"> </w:t>
      </w:r>
      <w:r>
        <w:rPr>
          <w:rFonts w:ascii="宋体" w:hAnsi="宋体"/>
          <w:color w:val="auto"/>
          <w:sz w:val="32"/>
          <w:szCs w:val="40"/>
          <w:highlight w:val="none"/>
        </w:rPr>
        <w:t>录</w:t>
      </w:r>
      <w:r>
        <w:rPr>
          <w:rFonts w:hint="eastAsia" w:ascii="宋体" w:hAnsi="宋体"/>
          <w:color w:val="auto"/>
          <w:sz w:val="32"/>
          <w:szCs w:val="40"/>
          <w:highlight w:val="none"/>
        </w:rPr>
        <w:t xml:space="preserve">  </w:t>
      </w:r>
    </w:p>
    <w:p w14:paraId="7E4330A5">
      <w:pPr>
        <w:pStyle w:val="20"/>
        <w:tabs>
          <w:tab w:val="right" w:leader="dot" w:pos="8307"/>
        </w:tabs>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第一章 </w:t>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"_Toc237" </w:instrText>
      </w:r>
      <w:r>
        <w:rPr>
          <w:color w:val="auto"/>
          <w:highlight w:val="none"/>
        </w:rPr>
        <w:fldChar w:fldCharType="separate"/>
      </w:r>
      <w:r>
        <w:rPr>
          <w:rFonts w:hint="eastAsia" w:ascii="宋体" w:hAnsi="宋体" w:cs="宋体"/>
          <w:bCs/>
          <w:color w:val="auto"/>
          <w:sz w:val="28"/>
          <w:szCs w:val="28"/>
          <w:highlight w:val="none"/>
        </w:rPr>
        <w:t>公开招标公告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72AE2FC3">
      <w:pPr>
        <w:pStyle w:val="20"/>
        <w:tabs>
          <w:tab w:val="right" w:leader="dot" w:pos="8307"/>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"_Toc16934" </w:instrText>
      </w:r>
      <w:r>
        <w:rPr>
          <w:color w:val="auto"/>
          <w:highlight w:val="none"/>
        </w:rPr>
        <w:fldChar w:fldCharType="separate"/>
      </w:r>
      <w:r>
        <w:rPr>
          <w:rFonts w:hint="eastAsia" w:ascii="宋体" w:hAnsi="宋体" w:cs="宋体"/>
          <w:color w:val="auto"/>
          <w:sz w:val="28"/>
          <w:szCs w:val="28"/>
          <w:highlight w:val="none"/>
        </w:rPr>
        <w:t>第二章 投标人须知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_Toc16934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F6B3591">
      <w:pPr>
        <w:pStyle w:val="20"/>
        <w:tabs>
          <w:tab w:val="right" w:leader="dot" w:pos="8307"/>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"_Toc26611" </w:instrText>
      </w:r>
      <w:r>
        <w:rPr>
          <w:color w:val="auto"/>
          <w:highlight w:val="none"/>
        </w:rPr>
        <w:fldChar w:fldCharType="separate"/>
      </w:r>
      <w:r>
        <w:rPr>
          <w:rFonts w:hint="eastAsia" w:ascii="宋体" w:hAnsi="宋体" w:cs="宋体"/>
          <w:color w:val="auto"/>
          <w:sz w:val="28"/>
          <w:szCs w:val="28"/>
          <w:highlight w:val="none"/>
        </w:rPr>
        <w:t>第三章 采购需求及要求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_Toc26611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EF2BA8A">
      <w:pPr>
        <w:pStyle w:val="20"/>
        <w:tabs>
          <w:tab w:val="right" w:leader="dot" w:pos="8307"/>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"_Toc11792" </w:instrText>
      </w:r>
      <w:r>
        <w:rPr>
          <w:color w:val="auto"/>
          <w:highlight w:val="none"/>
        </w:rPr>
        <w:fldChar w:fldCharType="separate"/>
      </w:r>
      <w:r>
        <w:rPr>
          <w:rFonts w:hint="eastAsia" w:ascii="宋体" w:hAnsi="宋体" w:cs="宋体"/>
          <w:color w:val="auto"/>
          <w:sz w:val="28"/>
          <w:szCs w:val="28"/>
          <w:highlight w:val="none"/>
        </w:rPr>
        <w:t>第四章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_Toc11792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70EB292E">
      <w:pPr>
        <w:pStyle w:val="20"/>
        <w:tabs>
          <w:tab w:val="right" w:leader="dot" w:pos="8307"/>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"_Toc4850" </w:instrText>
      </w:r>
      <w:r>
        <w:rPr>
          <w:color w:val="auto"/>
          <w:highlight w:val="none"/>
        </w:rPr>
        <w:fldChar w:fldCharType="separate"/>
      </w:r>
      <w:r>
        <w:rPr>
          <w:rFonts w:hint="eastAsia" w:ascii="宋体" w:hAnsi="宋体" w:cs="宋体"/>
          <w:color w:val="auto"/>
          <w:sz w:val="28"/>
          <w:szCs w:val="28"/>
          <w:highlight w:val="none"/>
        </w:rPr>
        <w:t>第五章 合  同</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_Toc4850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897BD07">
      <w:pPr>
        <w:pStyle w:val="20"/>
        <w:tabs>
          <w:tab w:val="right" w:leader="dot" w:pos="8307"/>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"_Toc4355" </w:instrText>
      </w:r>
      <w:r>
        <w:rPr>
          <w:color w:val="auto"/>
          <w:highlight w:val="none"/>
        </w:rPr>
        <w:fldChar w:fldCharType="separate"/>
      </w:r>
      <w:r>
        <w:rPr>
          <w:rFonts w:hint="eastAsia" w:ascii="宋体" w:hAnsi="宋体" w:cs="宋体"/>
          <w:color w:val="auto"/>
          <w:sz w:val="28"/>
          <w:szCs w:val="28"/>
          <w:highlight w:val="none"/>
        </w:rPr>
        <w:t>第六章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_Toc4355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30</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403B7E00">
      <w:pPr>
        <w:tabs>
          <w:tab w:val="right" w:leader="dot" w:pos="8307"/>
        </w:tabs>
        <w:spacing w:line="360" w:lineRule="auto"/>
        <w:rPr>
          <w:color w:val="auto"/>
          <w:highlight w:val="none"/>
        </w:rPr>
      </w:pPr>
      <w:r>
        <w:rPr>
          <w:rFonts w:hint="eastAsia" w:ascii="宋体" w:hAnsi="宋体" w:cs="宋体"/>
          <w:color w:val="auto"/>
          <w:sz w:val="28"/>
          <w:szCs w:val="28"/>
          <w:highlight w:val="none"/>
        </w:rPr>
        <w:fldChar w:fldCharType="end"/>
      </w:r>
    </w:p>
    <w:p w14:paraId="455D9247">
      <w:pPr>
        <w:pStyle w:val="13"/>
        <w:spacing w:line="960" w:lineRule="auto"/>
        <w:rPr>
          <w:rStyle w:val="77"/>
          <w:rFonts w:hint="eastAsia" w:ascii="宋体" w:hAnsi="宋体"/>
          <w:color w:val="auto"/>
          <w:sz w:val="44"/>
          <w:szCs w:val="44"/>
          <w:highlight w:val="none"/>
        </w:rPr>
      </w:pPr>
      <w:r>
        <w:rPr>
          <w:rStyle w:val="77"/>
          <w:rFonts w:hint="eastAsia" w:ascii="宋体" w:hAnsi="宋体"/>
          <w:color w:val="auto"/>
          <w:sz w:val="44"/>
          <w:szCs w:val="44"/>
          <w:highlight w:val="none"/>
        </w:rPr>
        <w:t xml:space="preserve"> </w:t>
      </w:r>
    </w:p>
    <w:p w14:paraId="31C18430">
      <w:pPr>
        <w:pStyle w:val="13"/>
        <w:spacing w:line="960" w:lineRule="auto"/>
        <w:rPr>
          <w:color w:val="auto"/>
          <w:highlight w:val="none"/>
        </w:rPr>
      </w:pPr>
      <w:r>
        <w:rPr>
          <w:rFonts w:hint="eastAsia" w:ascii="宋体" w:hAnsi="宋体"/>
          <w:color w:val="auto"/>
          <w:highlight w:val="none"/>
        </w:rPr>
        <w:t xml:space="preserve"> </w:t>
      </w:r>
    </w:p>
    <w:p w14:paraId="67F8E978">
      <w:pPr>
        <w:rPr>
          <w:rFonts w:hint="eastAsia" w:ascii="宋体" w:hAnsi="宋体"/>
          <w:color w:val="auto"/>
          <w:highlight w:val="none"/>
        </w:rPr>
      </w:pPr>
      <w:r>
        <w:rPr>
          <w:rFonts w:hint="eastAsia" w:ascii="宋体" w:hAnsi="宋体"/>
          <w:color w:val="auto"/>
          <w:highlight w:val="none"/>
        </w:rPr>
        <w:t xml:space="preserve"> </w:t>
      </w:r>
    </w:p>
    <w:p w14:paraId="53219E19">
      <w:pPr>
        <w:widowControl/>
        <w:shd w:val="clear" w:color="auto" w:fill="FFFFFF"/>
        <w:spacing w:line="360" w:lineRule="auto"/>
        <w:rPr>
          <w:rFonts w:hint="eastAsia" w:ascii="宋体" w:hAnsi="宋体"/>
          <w:color w:val="auto"/>
          <w:kern w:val="0"/>
          <w:sz w:val="32"/>
          <w:highlight w:val="none"/>
        </w:rPr>
        <w:sectPr>
          <w:footerReference r:id="rId3" w:type="default"/>
          <w:pgSz w:w="11907" w:h="16839"/>
          <w:pgMar w:top="1440" w:right="1800" w:bottom="1440" w:left="1800" w:header="0" w:footer="991" w:gutter="0"/>
          <w:cols w:space="720" w:num="1"/>
        </w:sectPr>
      </w:pPr>
      <w:bookmarkStart w:id="0" w:name="_Toc389812637"/>
      <w:bookmarkEnd w:id="0"/>
      <w:bookmarkStart w:id="1" w:name="_Hlt188420684"/>
      <w:bookmarkEnd w:id="1"/>
    </w:p>
    <w:p w14:paraId="375C5FF6">
      <w:pPr>
        <w:jc w:val="center"/>
        <w:rPr>
          <w:b/>
          <w:bCs/>
          <w:color w:val="auto"/>
          <w:sz w:val="32"/>
          <w:szCs w:val="40"/>
          <w:highlight w:val="none"/>
        </w:rPr>
      </w:pPr>
      <w:r>
        <w:rPr>
          <w:rFonts w:hint="eastAsia"/>
          <w:b/>
          <w:bCs/>
          <w:color w:val="auto"/>
          <w:sz w:val="32"/>
          <w:szCs w:val="40"/>
          <w:highlight w:val="none"/>
        </w:rPr>
        <w:t>第一章</w:t>
      </w:r>
    </w:p>
    <w:p w14:paraId="6DDA393B">
      <w:pPr>
        <w:jc w:val="center"/>
        <w:outlineLvl w:val="0"/>
        <w:rPr>
          <w:rFonts w:hint="eastAsia" w:eastAsia="宋体"/>
          <w:b/>
          <w:bCs/>
          <w:color w:val="auto"/>
          <w:sz w:val="28"/>
          <w:szCs w:val="36"/>
          <w:highlight w:val="none"/>
          <w:lang w:eastAsia="zh-CN"/>
        </w:rPr>
      </w:pPr>
      <w:bookmarkStart w:id="2" w:name="_Toc237"/>
      <w:r>
        <w:rPr>
          <w:rFonts w:hint="eastAsia"/>
          <w:b/>
          <w:bCs/>
          <w:color w:val="auto"/>
          <w:sz w:val="28"/>
          <w:szCs w:val="36"/>
          <w:highlight w:val="none"/>
          <w:lang w:eastAsia="zh-CN"/>
        </w:rPr>
        <w:t>开封市人力资源和社会保障局全市2025年工伤预防普惠制宣传培训项目</w:t>
      </w:r>
    </w:p>
    <w:p w14:paraId="67D2769B">
      <w:pPr>
        <w:jc w:val="center"/>
        <w:outlineLvl w:val="0"/>
        <w:rPr>
          <w:rFonts w:hint="eastAsia"/>
          <w:b/>
          <w:bCs/>
          <w:color w:val="auto"/>
          <w:sz w:val="32"/>
          <w:szCs w:val="40"/>
          <w:highlight w:val="none"/>
        </w:rPr>
      </w:pPr>
      <w:r>
        <w:rPr>
          <w:rFonts w:hint="eastAsia"/>
          <w:b/>
          <w:bCs/>
          <w:color w:val="auto"/>
          <w:sz w:val="32"/>
          <w:szCs w:val="40"/>
          <w:highlight w:val="none"/>
        </w:rPr>
        <w:t>公开招标公告</w:t>
      </w:r>
      <w:bookmarkEnd w:id="2"/>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14:paraId="5FD0A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tcPr>
          <w:p w14:paraId="7337D10C">
            <w:pPr>
              <w:pStyle w:val="25"/>
              <w:ind w:left="0" w:leftChars="0" w:firstLine="0" w:firstLineChars="0"/>
              <w:rPr>
                <w:rFonts w:hint="default" w:ascii="宋体" w:hAnsi="宋体" w:eastAsia="宋体" w:cs="Times New Roman"/>
                <w:b/>
                <w:bCs/>
                <w:color w:val="auto"/>
                <w:kern w:val="2"/>
                <w:sz w:val="22"/>
                <w:szCs w:val="22"/>
                <w:highlight w:val="none"/>
                <w:lang w:val="en-US" w:eastAsia="zh-CN" w:bidi="ar-SA"/>
              </w:rPr>
            </w:pPr>
            <w:r>
              <w:rPr>
                <w:rFonts w:hint="eastAsia" w:ascii="宋体" w:hAnsi="宋体" w:eastAsia="宋体" w:cs="Times New Roman"/>
                <w:b/>
                <w:bCs/>
                <w:color w:val="auto"/>
                <w:kern w:val="2"/>
                <w:sz w:val="22"/>
                <w:szCs w:val="22"/>
                <w:highlight w:val="none"/>
                <w:lang w:val="en-US" w:eastAsia="zh-CN" w:bidi="ar-SA"/>
              </w:rPr>
              <w:t>项目概况</w:t>
            </w:r>
          </w:p>
          <w:p w14:paraId="149574CD">
            <w:pPr>
              <w:pStyle w:val="25"/>
              <w:rPr>
                <w:highlight w:val="none"/>
                <w:vertAlign w:val="baseline"/>
              </w:rPr>
            </w:pPr>
            <w:r>
              <w:rPr>
                <w:rFonts w:hint="eastAsia" w:ascii="宋体" w:hAnsi="宋体" w:eastAsia="宋体" w:cs="Times New Roman"/>
                <w:b/>
                <w:bCs/>
                <w:color w:val="auto"/>
                <w:kern w:val="2"/>
                <w:sz w:val="22"/>
                <w:szCs w:val="22"/>
                <w:highlight w:val="none"/>
                <w:lang w:val="en-US" w:eastAsia="zh-CN" w:bidi="ar-SA"/>
              </w:rPr>
              <w:t>开封市人力资源和社会保障局全市2025年工伤预防普惠制宣传培训项目</w:t>
            </w:r>
            <w:r>
              <w:rPr>
                <w:rFonts w:hint="eastAsia" w:ascii="宋体" w:hAnsi="宋体" w:eastAsia="宋体" w:cs="Times New Roman"/>
                <w:color w:val="auto"/>
                <w:kern w:val="2"/>
                <w:sz w:val="22"/>
                <w:szCs w:val="22"/>
                <w:highlight w:val="none"/>
                <w:lang w:val="en-US" w:eastAsia="zh-CN" w:bidi="ar-SA"/>
              </w:rPr>
              <w:t>招标项目的潜在投标人应在</w:t>
            </w:r>
            <w:r>
              <w:rPr>
                <w:rFonts w:hint="eastAsia" w:ascii="宋体" w:hAnsi="宋体" w:eastAsia="宋体" w:cs="Times New Roman"/>
                <w:b/>
                <w:bCs/>
                <w:color w:val="auto"/>
                <w:kern w:val="2"/>
                <w:sz w:val="22"/>
                <w:szCs w:val="22"/>
                <w:highlight w:val="none"/>
                <w:lang w:val="en-US" w:eastAsia="zh-CN" w:bidi="ar-SA"/>
              </w:rPr>
              <w:t>开封市公共资源交易中心网（http://www.kfsggzyjyw.cn）会员系统</w:t>
            </w:r>
            <w:r>
              <w:rPr>
                <w:rFonts w:hint="eastAsia" w:ascii="宋体" w:hAnsi="宋体" w:eastAsia="宋体" w:cs="Times New Roman"/>
                <w:color w:val="auto"/>
                <w:kern w:val="2"/>
                <w:sz w:val="22"/>
                <w:szCs w:val="22"/>
                <w:highlight w:val="none"/>
                <w:lang w:val="en-US" w:eastAsia="zh-CN" w:bidi="ar-SA"/>
              </w:rPr>
              <w:t>获取招标文件，并于</w:t>
            </w:r>
            <w:r>
              <w:rPr>
                <w:rFonts w:hint="eastAsia" w:ascii="宋体" w:hAnsi="宋体" w:eastAsia="宋体" w:cs="Times New Roman"/>
                <w:b/>
                <w:bCs/>
                <w:color w:val="auto"/>
                <w:kern w:val="2"/>
                <w:sz w:val="22"/>
                <w:szCs w:val="22"/>
                <w:highlight w:val="none"/>
                <w:u w:val="single"/>
                <w:lang w:val="en-US" w:eastAsia="zh-CN" w:bidi="ar-SA"/>
              </w:rPr>
              <w:t>2025年11月07日上午9点30分</w:t>
            </w:r>
            <w:r>
              <w:rPr>
                <w:rFonts w:hint="eastAsia" w:ascii="宋体" w:hAnsi="宋体" w:eastAsia="宋体" w:cs="Times New Roman"/>
                <w:color w:val="auto"/>
                <w:kern w:val="2"/>
                <w:sz w:val="22"/>
                <w:szCs w:val="22"/>
                <w:highlight w:val="none"/>
                <w:lang w:val="en-US" w:eastAsia="zh-CN" w:bidi="ar-SA"/>
              </w:rPr>
              <w:t>（北京时间）前递交投标文件。</w:t>
            </w:r>
          </w:p>
        </w:tc>
      </w:tr>
    </w:tbl>
    <w:p w14:paraId="6A4F5BC7">
      <w:pPr>
        <w:pStyle w:val="25"/>
        <w:spacing w:after="0"/>
        <w:ind w:left="0" w:leftChars="0" w:firstLine="0" w:firstLineChars="0"/>
        <w:rPr>
          <w:highlight w:val="none"/>
        </w:rPr>
      </w:pPr>
    </w:p>
    <w:p w14:paraId="43BB93DF">
      <w:pPr>
        <w:spacing w:line="360" w:lineRule="auto"/>
        <w:outlineLvl w:val="0"/>
        <w:rPr>
          <w:rFonts w:hint="eastAsia" w:ascii="宋体" w:hAnsi="宋体"/>
          <w:b/>
          <w:bCs/>
          <w:color w:val="auto"/>
          <w:sz w:val="22"/>
          <w:szCs w:val="22"/>
          <w:highlight w:val="none"/>
        </w:rPr>
      </w:pPr>
      <w:bookmarkStart w:id="3" w:name="_Toc29204"/>
      <w:bookmarkStart w:id="4" w:name="_Toc20140"/>
      <w:bookmarkStart w:id="5" w:name="_Toc30059"/>
      <w:bookmarkStart w:id="6" w:name="_Toc15161"/>
      <w:r>
        <w:rPr>
          <w:rFonts w:hint="eastAsia" w:ascii="宋体" w:hAnsi="宋体"/>
          <w:b/>
          <w:bCs/>
          <w:color w:val="auto"/>
          <w:sz w:val="22"/>
          <w:szCs w:val="22"/>
          <w:highlight w:val="none"/>
        </w:rPr>
        <w:t>一、项目基本情况</w:t>
      </w:r>
      <w:bookmarkEnd w:id="3"/>
      <w:bookmarkEnd w:id="4"/>
      <w:bookmarkEnd w:id="5"/>
      <w:bookmarkEnd w:id="6"/>
    </w:p>
    <w:p w14:paraId="0E24A110">
      <w:pPr>
        <w:spacing w:line="360" w:lineRule="auto"/>
        <w:rPr>
          <w:rFonts w:hint="default" w:ascii="宋体" w:hAnsi="宋体"/>
          <w:color w:val="auto"/>
          <w:sz w:val="22"/>
          <w:szCs w:val="22"/>
          <w:highlight w:val="none"/>
          <w:lang w:val="en-US"/>
        </w:rPr>
      </w:pPr>
      <w:r>
        <w:rPr>
          <w:rFonts w:hint="eastAsia" w:ascii="宋体" w:hAnsi="宋体"/>
          <w:color w:val="auto"/>
          <w:sz w:val="22"/>
          <w:szCs w:val="22"/>
          <w:highlight w:val="none"/>
        </w:rPr>
        <w:t>1</w:t>
      </w:r>
      <w:r>
        <w:rPr>
          <w:rFonts w:hint="eastAsia" w:ascii="宋体" w:hAnsi="宋体"/>
          <w:color w:val="auto"/>
          <w:sz w:val="22"/>
          <w:szCs w:val="22"/>
          <w:highlight w:val="none"/>
          <w:lang w:val="zh-CN"/>
        </w:rPr>
        <w:t>、</w:t>
      </w:r>
      <w:r>
        <w:rPr>
          <w:rFonts w:hint="eastAsia" w:ascii="宋体" w:hAnsi="宋体"/>
          <w:color w:val="auto"/>
          <w:sz w:val="22"/>
          <w:szCs w:val="22"/>
          <w:highlight w:val="none"/>
        </w:rPr>
        <w:t>项目编号：汴财招标采购-2025-</w:t>
      </w:r>
      <w:r>
        <w:rPr>
          <w:rFonts w:hint="eastAsia" w:ascii="宋体" w:hAnsi="宋体"/>
          <w:color w:val="auto"/>
          <w:sz w:val="22"/>
          <w:szCs w:val="22"/>
          <w:highlight w:val="none"/>
          <w:lang w:val="en-US" w:eastAsia="zh-CN"/>
        </w:rPr>
        <w:t>66</w:t>
      </w:r>
    </w:p>
    <w:p w14:paraId="2E43AE7E">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t>2</w:t>
      </w:r>
      <w:r>
        <w:rPr>
          <w:rFonts w:hint="eastAsia" w:ascii="宋体" w:hAnsi="宋体"/>
          <w:color w:val="auto"/>
          <w:sz w:val="22"/>
          <w:szCs w:val="22"/>
          <w:highlight w:val="none"/>
          <w:lang w:val="zh-CN"/>
        </w:rPr>
        <w:t>、</w:t>
      </w:r>
      <w:r>
        <w:rPr>
          <w:rFonts w:hint="eastAsia" w:ascii="宋体" w:hAnsi="宋体"/>
          <w:color w:val="auto"/>
          <w:sz w:val="22"/>
          <w:szCs w:val="22"/>
          <w:highlight w:val="none"/>
        </w:rPr>
        <w:t>项目名称：</w:t>
      </w:r>
      <w:r>
        <w:rPr>
          <w:rFonts w:hint="eastAsia" w:ascii="宋体" w:hAnsi="宋体"/>
          <w:color w:val="auto"/>
          <w:sz w:val="22"/>
          <w:szCs w:val="22"/>
          <w:highlight w:val="none"/>
          <w:lang w:eastAsia="zh-CN"/>
        </w:rPr>
        <w:t>开封市人力资源和社会保障局全市2025年工伤预防普惠制宣传培训项目</w:t>
      </w:r>
      <w:r>
        <w:rPr>
          <w:rFonts w:hint="eastAsia" w:ascii="宋体" w:hAnsi="宋体"/>
          <w:color w:val="auto"/>
          <w:sz w:val="22"/>
          <w:szCs w:val="22"/>
          <w:highlight w:val="none"/>
        </w:rPr>
        <w:t xml:space="preserve"> </w:t>
      </w:r>
    </w:p>
    <w:p w14:paraId="7589DCC8">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t>3</w:t>
      </w:r>
      <w:r>
        <w:rPr>
          <w:rFonts w:hint="eastAsia" w:ascii="宋体" w:hAnsi="宋体"/>
          <w:color w:val="auto"/>
          <w:sz w:val="22"/>
          <w:szCs w:val="22"/>
          <w:highlight w:val="none"/>
          <w:lang w:val="zh-CN"/>
        </w:rPr>
        <w:t>、</w:t>
      </w:r>
      <w:r>
        <w:rPr>
          <w:rFonts w:hint="eastAsia" w:ascii="宋体" w:hAnsi="宋体"/>
          <w:color w:val="auto"/>
          <w:sz w:val="22"/>
          <w:szCs w:val="22"/>
          <w:highlight w:val="none"/>
        </w:rPr>
        <w:t>采购方式：公开招标</w:t>
      </w:r>
    </w:p>
    <w:p w14:paraId="44E7C9A9">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t>4</w:t>
      </w:r>
      <w:r>
        <w:rPr>
          <w:rFonts w:hint="eastAsia" w:ascii="宋体" w:hAnsi="宋体"/>
          <w:color w:val="auto"/>
          <w:sz w:val="22"/>
          <w:szCs w:val="22"/>
          <w:highlight w:val="none"/>
          <w:lang w:val="zh-CN"/>
        </w:rPr>
        <w:t>、</w:t>
      </w:r>
      <w:r>
        <w:rPr>
          <w:rFonts w:hint="eastAsia" w:ascii="宋体" w:hAnsi="宋体"/>
          <w:color w:val="auto"/>
          <w:sz w:val="22"/>
          <w:szCs w:val="22"/>
          <w:highlight w:val="none"/>
        </w:rPr>
        <w:t>预算金额：</w:t>
      </w:r>
      <w:r>
        <w:rPr>
          <w:rFonts w:hint="eastAsia" w:ascii="宋体" w:hAnsi="宋体"/>
          <w:color w:val="auto"/>
          <w:sz w:val="22"/>
          <w:szCs w:val="22"/>
          <w:highlight w:val="none"/>
          <w:lang w:eastAsia="zh-CN"/>
        </w:rPr>
        <w:t>800000.00</w:t>
      </w:r>
      <w:r>
        <w:rPr>
          <w:rFonts w:hint="eastAsia" w:ascii="宋体" w:hAnsi="宋体"/>
          <w:color w:val="auto"/>
          <w:sz w:val="22"/>
          <w:szCs w:val="22"/>
          <w:highlight w:val="none"/>
        </w:rPr>
        <w:t xml:space="preserve">元 </w:t>
      </w:r>
    </w:p>
    <w:p w14:paraId="0B302C8B">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  最高限价：</w:t>
      </w:r>
      <w:r>
        <w:rPr>
          <w:rFonts w:hint="eastAsia" w:ascii="宋体" w:hAnsi="宋体"/>
          <w:color w:val="auto"/>
          <w:sz w:val="22"/>
          <w:szCs w:val="22"/>
          <w:highlight w:val="none"/>
          <w:lang w:eastAsia="zh-CN"/>
        </w:rPr>
        <w:t>800000.00</w:t>
      </w:r>
      <w:r>
        <w:rPr>
          <w:rFonts w:hint="eastAsia" w:ascii="宋体" w:hAnsi="宋体"/>
          <w:color w:val="auto"/>
          <w:sz w:val="22"/>
          <w:szCs w:val="22"/>
          <w:highlight w:val="none"/>
        </w:rPr>
        <w:t>元</w:t>
      </w:r>
    </w:p>
    <w:tbl>
      <w:tblPr>
        <w:tblStyle w:val="28"/>
        <w:tblW w:w="102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4"/>
        <w:gridCol w:w="1515"/>
        <w:gridCol w:w="2635"/>
        <w:gridCol w:w="1335"/>
        <w:gridCol w:w="1710"/>
        <w:gridCol w:w="1335"/>
        <w:gridCol w:w="1335"/>
      </w:tblGrid>
      <w:tr w14:paraId="63281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414" w:type="dxa"/>
            <w:noWrap w:val="0"/>
            <w:vAlign w:val="center"/>
          </w:tcPr>
          <w:p w14:paraId="5AC74DBF">
            <w:pPr>
              <w:pStyle w:val="9"/>
              <w:keepNext w:val="0"/>
              <w:keepLines w:val="0"/>
              <w:pageBreakBefore w:val="0"/>
              <w:widowControl w:val="0"/>
              <w:kinsoku/>
              <w:wordWrap/>
              <w:overflowPunct/>
              <w:topLinePunct w:val="0"/>
              <w:autoSpaceDE/>
              <w:autoSpaceDN/>
              <w:bidi w:val="0"/>
              <w:adjustRightInd/>
              <w:spacing w:after="0" w:line="360" w:lineRule="auto"/>
              <w:jc w:val="center"/>
              <w:textAlignment w:val="auto"/>
              <w:rPr>
                <w:rFonts w:ascii="宋体" w:hAnsi="宋体"/>
                <w:b/>
                <w:bCs w:val="0"/>
                <w:color w:val="000000"/>
                <w:kern w:val="2"/>
                <w:sz w:val="21"/>
                <w:szCs w:val="21"/>
                <w:highlight w:val="none"/>
                <w:lang w:val="en-US" w:eastAsia="zh-CN"/>
              </w:rPr>
            </w:pPr>
            <w:r>
              <w:rPr>
                <w:rFonts w:hint="eastAsia" w:ascii="宋体" w:hAnsi="宋体"/>
                <w:b/>
                <w:bCs w:val="0"/>
                <w:color w:val="000000"/>
                <w:kern w:val="2"/>
                <w:sz w:val="21"/>
                <w:szCs w:val="21"/>
                <w:highlight w:val="none"/>
                <w:lang w:val="en-US" w:eastAsia="zh-CN"/>
              </w:rPr>
              <w:t>序号</w:t>
            </w:r>
          </w:p>
        </w:tc>
        <w:tc>
          <w:tcPr>
            <w:tcW w:w="1515" w:type="dxa"/>
            <w:noWrap w:val="0"/>
            <w:vAlign w:val="center"/>
          </w:tcPr>
          <w:p w14:paraId="6301F5EE">
            <w:pPr>
              <w:pStyle w:val="9"/>
              <w:keepNext w:val="0"/>
              <w:keepLines w:val="0"/>
              <w:pageBreakBefore w:val="0"/>
              <w:widowControl w:val="0"/>
              <w:kinsoku/>
              <w:wordWrap/>
              <w:overflowPunct/>
              <w:topLinePunct w:val="0"/>
              <w:autoSpaceDE/>
              <w:autoSpaceDN/>
              <w:bidi w:val="0"/>
              <w:adjustRightInd/>
              <w:spacing w:after="0" w:line="360" w:lineRule="auto"/>
              <w:jc w:val="center"/>
              <w:textAlignment w:val="auto"/>
              <w:rPr>
                <w:rFonts w:ascii="宋体" w:hAnsi="宋体"/>
                <w:b/>
                <w:bCs w:val="0"/>
                <w:color w:val="000000"/>
                <w:kern w:val="2"/>
                <w:sz w:val="21"/>
                <w:szCs w:val="21"/>
                <w:highlight w:val="none"/>
                <w:lang w:val="en-US" w:eastAsia="zh-CN"/>
              </w:rPr>
            </w:pPr>
            <w:r>
              <w:rPr>
                <w:rFonts w:hint="eastAsia" w:ascii="宋体" w:hAnsi="宋体"/>
                <w:b/>
                <w:bCs w:val="0"/>
                <w:color w:val="000000"/>
                <w:kern w:val="2"/>
                <w:sz w:val="21"/>
                <w:szCs w:val="21"/>
                <w:highlight w:val="none"/>
                <w:lang w:val="en-US" w:eastAsia="zh-CN"/>
              </w:rPr>
              <w:t>包号</w:t>
            </w:r>
          </w:p>
        </w:tc>
        <w:tc>
          <w:tcPr>
            <w:tcW w:w="2635" w:type="dxa"/>
            <w:noWrap w:val="0"/>
            <w:vAlign w:val="center"/>
          </w:tcPr>
          <w:p w14:paraId="49A376E2">
            <w:pPr>
              <w:pStyle w:val="9"/>
              <w:keepNext w:val="0"/>
              <w:keepLines w:val="0"/>
              <w:pageBreakBefore w:val="0"/>
              <w:widowControl w:val="0"/>
              <w:kinsoku/>
              <w:wordWrap/>
              <w:overflowPunct/>
              <w:topLinePunct w:val="0"/>
              <w:autoSpaceDE/>
              <w:autoSpaceDN/>
              <w:bidi w:val="0"/>
              <w:adjustRightInd/>
              <w:spacing w:after="0" w:line="360" w:lineRule="auto"/>
              <w:jc w:val="center"/>
              <w:textAlignment w:val="auto"/>
              <w:rPr>
                <w:rFonts w:ascii="宋体" w:hAnsi="宋体"/>
                <w:b/>
                <w:bCs w:val="0"/>
                <w:color w:val="000000"/>
                <w:kern w:val="2"/>
                <w:sz w:val="21"/>
                <w:szCs w:val="21"/>
                <w:highlight w:val="none"/>
                <w:lang w:val="en-US" w:eastAsia="zh-CN"/>
              </w:rPr>
            </w:pPr>
            <w:r>
              <w:rPr>
                <w:rFonts w:hint="eastAsia" w:ascii="宋体" w:hAnsi="宋体"/>
                <w:b/>
                <w:bCs w:val="0"/>
                <w:color w:val="000000"/>
                <w:kern w:val="2"/>
                <w:sz w:val="21"/>
                <w:szCs w:val="21"/>
                <w:highlight w:val="none"/>
                <w:lang w:val="en-US" w:eastAsia="zh-CN"/>
              </w:rPr>
              <w:t>包名称</w:t>
            </w:r>
          </w:p>
        </w:tc>
        <w:tc>
          <w:tcPr>
            <w:tcW w:w="1335" w:type="dxa"/>
            <w:noWrap w:val="0"/>
            <w:vAlign w:val="center"/>
          </w:tcPr>
          <w:p w14:paraId="36551451">
            <w:pPr>
              <w:pStyle w:val="9"/>
              <w:keepNext w:val="0"/>
              <w:keepLines w:val="0"/>
              <w:pageBreakBefore w:val="0"/>
              <w:widowControl w:val="0"/>
              <w:kinsoku/>
              <w:wordWrap/>
              <w:overflowPunct/>
              <w:topLinePunct w:val="0"/>
              <w:autoSpaceDE/>
              <w:autoSpaceDN/>
              <w:bidi w:val="0"/>
              <w:adjustRightInd/>
              <w:spacing w:after="0" w:line="360" w:lineRule="auto"/>
              <w:jc w:val="center"/>
              <w:textAlignment w:val="auto"/>
              <w:rPr>
                <w:rFonts w:hint="eastAsia" w:ascii="宋体" w:hAnsi="宋体" w:eastAsia="宋体" w:cs="Times New Roman"/>
                <w:b/>
                <w:bCs w:val="0"/>
                <w:color w:val="000000"/>
                <w:kern w:val="2"/>
                <w:sz w:val="21"/>
                <w:szCs w:val="21"/>
                <w:highlight w:val="none"/>
                <w:lang w:val="en-US" w:eastAsia="zh-CN"/>
              </w:rPr>
            </w:pPr>
            <w:r>
              <w:rPr>
                <w:rFonts w:hint="eastAsia" w:ascii="宋体" w:hAnsi="宋体" w:eastAsia="宋体" w:cs="Times New Roman"/>
                <w:b/>
                <w:bCs w:val="0"/>
                <w:color w:val="000000"/>
                <w:kern w:val="2"/>
                <w:sz w:val="21"/>
                <w:szCs w:val="21"/>
                <w:highlight w:val="none"/>
                <w:lang w:val="en-US" w:eastAsia="zh-CN"/>
              </w:rPr>
              <w:t>包预算（元）</w:t>
            </w:r>
          </w:p>
        </w:tc>
        <w:tc>
          <w:tcPr>
            <w:tcW w:w="1710" w:type="dxa"/>
            <w:noWrap w:val="0"/>
            <w:vAlign w:val="center"/>
          </w:tcPr>
          <w:p w14:paraId="6906AA13">
            <w:pPr>
              <w:pStyle w:val="9"/>
              <w:keepNext w:val="0"/>
              <w:keepLines w:val="0"/>
              <w:pageBreakBefore w:val="0"/>
              <w:widowControl w:val="0"/>
              <w:kinsoku/>
              <w:wordWrap/>
              <w:overflowPunct/>
              <w:topLinePunct w:val="0"/>
              <w:autoSpaceDE/>
              <w:autoSpaceDN/>
              <w:bidi w:val="0"/>
              <w:adjustRightInd/>
              <w:spacing w:after="0" w:line="360" w:lineRule="auto"/>
              <w:jc w:val="center"/>
              <w:textAlignment w:val="auto"/>
              <w:rPr>
                <w:rFonts w:hint="eastAsia" w:ascii="宋体" w:hAnsi="宋体" w:eastAsia="宋体" w:cs="Times New Roman"/>
                <w:b/>
                <w:bCs w:val="0"/>
                <w:color w:val="000000"/>
                <w:kern w:val="2"/>
                <w:sz w:val="21"/>
                <w:szCs w:val="21"/>
                <w:highlight w:val="none"/>
                <w:lang w:val="en-US" w:eastAsia="zh-CN"/>
              </w:rPr>
            </w:pPr>
            <w:r>
              <w:rPr>
                <w:rFonts w:hint="eastAsia" w:ascii="宋体" w:hAnsi="宋体" w:eastAsia="宋体" w:cs="Times New Roman"/>
                <w:b/>
                <w:bCs w:val="0"/>
                <w:color w:val="000000"/>
                <w:kern w:val="2"/>
                <w:sz w:val="21"/>
                <w:szCs w:val="21"/>
                <w:highlight w:val="none"/>
                <w:lang w:val="en-US" w:eastAsia="zh-CN"/>
              </w:rPr>
              <w:t>包最高限价（元）</w:t>
            </w:r>
          </w:p>
        </w:tc>
        <w:tc>
          <w:tcPr>
            <w:tcW w:w="1335" w:type="dxa"/>
            <w:noWrap w:val="0"/>
            <w:vAlign w:val="center"/>
          </w:tcPr>
          <w:p w14:paraId="702C3C47">
            <w:pPr>
              <w:pStyle w:val="9"/>
              <w:keepNext w:val="0"/>
              <w:keepLines w:val="0"/>
              <w:pageBreakBefore w:val="0"/>
              <w:widowControl w:val="0"/>
              <w:kinsoku/>
              <w:wordWrap/>
              <w:overflowPunct/>
              <w:topLinePunct w:val="0"/>
              <w:autoSpaceDE/>
              <w:autoSpaceDN/>
              <w:bidi w:val="0"/>
              <w:adjustRightInd/>
              <w:spacing w:after="0" w:line="360" w:lineRule="auto"/>
              <w:jc w:val="center"/>
              <w:textAlignment w:val="auto"/>
              <w:rPr>
                <w:rFonts w:hint="eastAsia" w:ascii="宋体" w:hAnsi="宋体" w:eastAsia="宋体" w:cs="Times New Roman"/>
                <w:b/>
                <w:bCs w:val="0"/>
                <w:color w:val="000000"/>
                <w:kern w:val="2"/>
                <w:sz w:val="21"/>
                <w:szCs w:val="21"/>
                <w:highlight w:val="none"/>
                <w:lang w:val="en-US" w:eastAsia="zh-CN"/>
              </w:rPr>
            </w:pPr>
            <w:r>
              <w:rPr>
                <w:rFonts w:hint="eastAsia" w:ascii="宋体" w:hAnsi="宋体" w:eastAsia="宋体" w:cs="Times New Roman"/>
                <w:b/>
                <w:bCs w:val="0"/>
                <w:color w:val="000000"/>
                <w:kern w:val="2"/>
                <w:sz w:val="21"/>
                <w:szCs w:val="21"/>
                <w:highlight w:val="none"/>
                <w:lang w:val="en-US" w:eastAsia="zh-CN"/>
              </w:rPr>
              <w:t>是否专门面向中小企业</w:t>
            </w:r>
          </w:p>
        </w:tc>
        <w:tc>
          <w:tcPr>
            <w:tcW w:w="1335" w:type="dxa"/>
            <w:noWrap w:val="0"/>
            <w:vAlign w:val="center"/>
          </w:tcPr>
          <w:p w14:paraId="3E37EBB3">
            <w:pPr>
              <w:pStyle w:val="9"/>
              <w:keepNext w:val="0"/>
              <w:keepLines w:val="0"/>
              <w:pageBreakBefore w:val="0"/>
              <w:widowControl w:val="0"/>
              <w:kinsoku/>
              <w:wordWrap/>
              <w:overflowPunct/>
              <w:topLinePunct w:val="0"/>
              <w:autoSpaceDE/>
              <w:autoSpaceDN/>
              <w:bidi w:val="0"/>
              <w:adjustRightInd/>
              <w:spacing w:after="0" w:line="360" w:lineRule="auto"/>
              <w:jc w:val="center"/>
              <w:textAlignment w:val="auto"/>
              <w:rPr>
                <w:rFonts w:hint="eastAsia" w:ascii="宋体" w:hAnsi="宋体" w:eastAsia="宋体" w:cs="Times New Roman"/>
                <w:b/>
                <w:bCs w:val="0"/>
                <w:color w:val="000000"/>
                <w:kern w:val="2"/>
                <w:sz w:val="21"/>
                <w:szCs w:val="21"/>
                <w:highlight w:val="none"/>
                <w:lang w:val="en-US" w:eastAsia="zh-CN"/>
              </w:rPr>
            </w:pPr>
            <w:r>
              <w:rPr>
                <w:rFonts w:hint="eastAsia" w:ascii="宋体" w:hAnsi="宋体" w:eastAsia="宋体" w:cs="Times New Roman"/>
                <w:b/>
                <w:bCs w:val="0"/>
                <w:color w:val="000000"/>
                <w:kern w:val="2"/>
                <w:sz w:val="21"/>
                <w:szCs w:val="21"/>
                <w:highlight w:val="none"/>
                <w:lang w:val="en-US" w:eastAsia="zh-CN"/>
              </w:rPr>
              <w:t>采购预留金额（元）</w:t>
            </w:r>
          </w:p>
        </w:tc>
      </w:tr>
      <w:tr w14:paraId="2C5CF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4" w:type="dxa"/>
            <w:noWrap w:val="0"/>
            <w:vAlign w:val="center"/>
          </w:tcPr>
          <w:p w14:paraId="3B512578">
            <w:pPr>
              <w:pStyle w:val="9"/>
              <w:keepNext w:val="0"/>
              <w:keepLines w:val="0"/>
              <w:pageBreakBefore w:val="0"/>
              <w:widowControl w:val="0"/>
              <w:kinsoku/>
              <w:wordWrap/>
              <w:overflowPunct/>
              <w:topLinePunct w:val="0"/>
              <w:autoSpaceDE/>
              <w:autoSpaceDN/>
              <w:bidi w:val="0"/>
              <w:adjustRightInd/>
              <w:spacing w:after="0" w:line="360" w:lineRule="auto"/>
              <w:jc w:val="center"/>
              <w:textAlignment w:val="auto"/>
              <w:rPr>
                <w:rFonts w:ascii="宋体" w:hAnsi="宋体"/>
                <w:bCs/>
                <w:color w:val="000000"/>
                <w:kern w:val="2"/>
                <w:sz w:val="21"/>
                <w:szCs w:val="21"/>
                <w:highlight w:val="none"/>
                <w:lang w:val="en-US" w:eastAsia="zh-CN"/>
              </w:rPr>
            </w:pPr>
            <w:r>
              <w:rPr>
                <w:rFonts w:hint="eastAsia" w:ascii="宋体" w:hAnsi="宋体"/>
                <w:bCs/>
                <w:color w:val="000000"/>
                <w:kern w:val="2"/>
                <w:sz w:val="21"/>
                <w:szCs w:val="21"/>
                <w:highlight w:val="none"/>
                <w:lang w:val="en-US" w:eastAsia="zh-CN"/>
              </w:rPr>
              <w:t>1</w:t>
            </w:r>
          </w:p>
        </w:tc>
        <w:tc>
          <w:tcPr>
            <w:tcW w:w="1515" w:type="dxa"/>
            <w:noWrap w:val="0"/>
            <w:vAlign w:val="center"/>
          </w:tcPr>
          <w:p w14:paraId="0C2C8F2C">
            <w:pPr>
              <w:pStyle w:val="9"/>
              <w:keepNext w:val="0"/>
              <w:keepLines w:val="0"/>
              <w:pageBreakBefore w:val="0"/>
              <w:widowControl w:val="0"/>
              <w:kinsoku/>
              <w:wordWrap/>
              <w:overflowPunct/>
              <w:topLinePunct w:val="0"/>
              <w:autoSpaceDE/>
              <w:autoSpaceDN/>
              <w:bidi w:val="0"/>
              <w:adjustRightInd/>
              <w:spacing w:after="0" w:line="360" w:lineRule="auto"/>
              <w:jc w:val="center"/>
              <w:textAlignment w:val="auto"/>
              <w:rPr>
                <w:rFonts w:hint="default" w:ascii="宋体" w:hAnsi="宋体"/>
                <w:bCs/>
                <w:color w:val="000000"/>
                <w:kern w:val="2"/>
                <w:sz w:val="21"/>
                <w:szCs w:val="21"/>
                <w:highlight w:val="none"/>
                <w:lang w:val="en-US" w:eastAsia="zh-CN"/>
              </w:rPr>
            </w:pPr>
            <w:r>
              <w:rPr>
                <w:rFonts w:hint="eastAsia" w:ascii="宋体" w:hAnsi="宋体"/>
                <w:color w:val="auto"/>
                <w:sz w:val="22"/>
                <w:szCs w:val="22"/>
                <w:highlight w:val="none"/>
              </w:rPr>
              <w:t>汴财招标采购-2025-</w:t>
            </w:r>
            <w:r>
              <w:rPr>
                <w:rFonts w:hint="eastAsia" w:ascii="宋体" w:hAnsi="宋体"/>
                <w:color w:val="auto"/>
                <w:sz w:val="22"/>
                <w:szCs w:val="22"/>
                <w:highlight w:val="none"/>
                <w:lang w:val="en-US" w:eastAsia="zh-CN"/>
              </w:rPr>
              <w:t>66-1</w:t>
            </w:r>
          </w:p>
        </w:tc>
        <w:tc>
          <w:tcPr>
            <w:tcW w:w="2635" w:type="dxa"/>
            <w:noWrap w:val="0"/>
            <w:vAlign w:val="center"/>
          </w:tcPr>
          <w:p w14:paraId="08B17E7E">
            <w:pPr>
              <w:pStyle w:val="9"/>
              <w:keepNext w:val="0"/>
              <w:keepLines w:val="0"/>
              <w:pageBreakBefore w:val="0"/>
              <w:widowControl w:val="0"/>
              <w:kinsoku/>
              <w:wordWrap/>
              <w:overflowPunct/>
              <w:topLinePunct w:val="0"/>
              <w:autoSpaceDE/>
              <w:autoSpaceDN/>
              <w:bidi w:val="0"/>
              <w:adjustRightInd/>
              <w:spacing w:after="0" w:line="360" w:lineRule="auto"/>
              <w:jc w:val="center"/>
              <w:textAlignment w:val="auto"/>
              <w:rPr>
                <w:rFonts w:ascii="宋体" w:hAnsi="宋体"/>
                <w:bCs/>
                <w:color w:val="000000"/>
                <w:kern w:val="2"/>
                <w:sz w:val="21"/>
                <w:szCs w:val="21"/>
                <w:highlight w:val="none"/>
                <w:lang w:val="en-US" w:eastAsia="zh-CN"/>
              </w:rPr>
            </w:pPr>
            <w:r>
              <w:rPr>
                <w:rFonts w:hint="eastAsia" w:ascii="宋体" w:hAnsi="宋体"/>
                <w:bCs/>
                <w:color w:val="000000"/>
                <w:sz w:val="21"/>
                <w:szCs w:val="21"/>
                <w:highlight w:val="none"/>
                <w:lang w:eastAsia="zh-CN"/>
              </w:rPr>
              <w:t>开封市人力资源和社会保障局全市2025年工伤预防普惠制宣传培训项目</w:t>
            </w:r>
          </w:p>
        </w:tc>
        <w:tc>
          <w:tcPr>
            <w:tcW w:w="1335" w:type="dxa"/>
            <w:noWrap w:val="0"/>
            <w:vAlign w:val="center"/>
          </w:tcPr>
          <w:p w14:paraId="55CBEAEC">
            <w:pPr>
              <w:pStyle w:val="9"/>
              <w:keepNext w:val="0"/>
              <w:keepLines w:val="0"/>
              <w:pageBreakBefore w:val="0"/>
              <w:widowControl w:val="0"/>
              <w:kinsoku/>
              <w:wordWrap/>
              <w:overflowPunct/>
              <w:topLinePunct w:val="0"/>
              <w:autoSpaceDE/>
              <w:autoSpaceDN/>
              <w:bidi w:val="0"/>
              <w:adjustRightInd/>
              <w:spacing w:after="0" w:line="360" w:lineRule="auto"/>
              <w:jc w:val="center"/>
              <w:textAlignment w:val="auto"/>
              <w:rPr>
                <w:rFonts w:hint="default" w:ascii="宋体" w:hAnsi="宋体" w:eastAsia="宋体" w:cs="Times New Roman"/>
                <w:bCs/>
                <w:color w:val="000000"/>
                <w:kern w:val="2"/>
                <w:sz w:val="21"/>
                <w:szCs w:val="21"/>
                <w:highlight w:val="none"/>
                <w:lang w:val="en-US" w:eastAsia="zh-CN"/>
              </w:rPr>
            </w:pPr>
            <w:r>
              <w:rPr>
                <w:rFonts w:hint="eastAsia" w:ascii="宋体" w:hAnsi="宋体" w:cs="Arial"/>
                <w:color w:val="auto"/>
                <w:kern w:val="0"/>
                <w:szCs w:val="21"/>
                <w:highlight w:val="none"/>
                <w:lang w:val="en-US" w:eastAsia="zh-CN"/>
              </w:rPr>
              <w:t xml:space="preserve">800000 </w:t>
            </w:r>
          </w:p>
        </w:tc>
        <w:tc>
          <w:tcPr>
            <w:tcW w:w="1710" w:type="dxa"/>
            <w:noWrap w:val="0"/>
            <w:vAlign w:val="center"/>
          </w:tcPr>
          <w:p w14:paraId="33CF7870">
            <w:pPr>
              <w:pStyle w:val="9"/>
              <w:keepNext w:val="0"/>
              <w:keepLines w:val="0"/>
              <w:pageBreakBefore w:val="0"/>
              <w:widowControl w:val="0"/>
              <w:kinsoku/>
              <w:wordWrap/>
              <w:overflowPunct/>
              <w:topLinePunct w:val="0"/>
              <w:autoSpaceDE/>
              <w:autoSpaceDN/>
              <w:bidi w:val="0"/>
              <w:adjustRightInd/>
              <w:spacing w:after="0" w:line="360" w:lineRule="auto"/>
              <w:jc w:val="center"/>
              <w:textAlignment w:val="auto"/>
              <w:rPr>
                <w:rFonts w:hint="eastAsia" w:ascii="宋体" w:hAnsi="宋体" w:eastAsia="宋体" w:cs="Times New Roman"/>
                <w:bCs/>
                <w:color w:val="000000"/>
                <w:kern w:val="2"/>
                <w:sz w:val="21"/>
                <w:szCs w:val="21"/>
                <w:highlight w:val="none"/>
                <w:lang w:val="en-US" w:eastAsia="zh-CN"/>
              </w:rPr>
            </w:pPr>
            <w:r>
              <w:rPr>
                <w:rFonts w:hint="eastAsia" w:ascii="宋体" w:hAnsi="宋体" w:cs="Arial"/>
                <w:color w:val="auto"/>
                <w:kern w:val="0"/>
                <w:szCs w:val="21"/>
                <w:highlight w:val="none"/>
                <w:lang w:val="en-US" w:eastAsia="zh-CN"/>
              </w:rPr>
              <w:t xml:space="preserve">800000 </w:t>
            </w:r>
          </w:p>
        </w:tc>
        <w:tc>
          <w:tcPr>
            <w:tcW w:w="1335" w:type="dxa"/>
            <w:noWrap w:val="0"/>
            <w:vAlign w:val="center"/>
          </w:tcPr>
          <w:p w14:paraId="4D20ADC2">
            <w:pPr>
              <w:pStyle w:val="9"/>
              <w:keepNext w:val="0"/>
              <w:keepLines w:val="0"/>
              <w:pageBreakBefore w:val="0"/>
              <w:widowControl w:val="0"/>
              <w:kinsoku/>
              <w:wordWrap/>
              <w:overflowPunct/>
              <w:topLinePunct w:val="0"/>
              <w:autoSpaceDE/>
              <w:autoSpaceDN/>
              <w:bidi w:val="0"/>
              <w:adjustRightInd/>
              <w:spacing w:after="0" w:line="360" w:lineRule="auto"/>
              <w:jc w:val="center"/>
              <w:textAlignment w:val="auto"/>
              <w:rPr>
                <w:rFonts w:hint="default" w:ascii="宋体" w:hAnsi="宋体" w:cs="Arial"/>
                <w:color w:val="auto"/>
                <w:kern w:val="0"/>
                <w:szCs w:val="21"/>
                <w:highlight w:val="none"/>
                <w:lang w:val="en-US" w:eastAsia="zh-CN"/>
              </w:rPr>
            </w:pPr>
            <w:r>
              <w:rPr>
                <w:rFonts w:hint="eastAsia" w:ascii="宋体" w:hAnsi="宋体" w:cs="Arial"/>
                <w:color w:val="auto"/>
                <w:kern w:val="0"/>
                <w:szCs w:val="21"/>
                <w:highlight w:val="none"/>
                <w:lang w:val="en-US" w:eastAsia="zh-CN"/>
              </w:rPr>
              <w:t>是</w:t>
            </w:r>
          </w:p>
        </w:tc>
        <w:tc>
          <w:tcPr>
            <w:tcW w:w="1335" w:type="dxa"/>
            <w:noWrap w:val="0"/>
            <w:vAlign w:val="center"/>
          </w:tcPr>
          <w:p w14:paraId="7FC1DF26">
            <w:pPr>
              <w:pStyle w:val="9"/>
              <w:keepNext w:val="0"/>
              <w:keepLines w:val="0"/>
              <w:pageBreakBefore w:val="0"/>
              <w:widowControl w:val="0"/>
              <w:kinsoku/>
              <w:wordWrap/>
              <w:overflowPunct/>
              <w:topLinePunct w:val="0"/>
              <w:autoSpaceDE/>
              <w:autoSpaceDN/>
              <w:bidi w:val="0"/>
              <w:adjustRightInd/>
              <w:spacing w:after="0" w:line="360" w:lineRule="auto"/>
              <w:jc w:val="center"/>
              <w:textAlignment w:val="auto"/>
              <w:rPr>
                <w:rFonts w:hint="eastAsia" w:ascii="宋体" w:hAnsi="宋体" w:cs="Arial"/>
                <w:color w:val="auto"/>
                <w:kern w:val="0"/>
                <w:szCs w:val="21"/>
                <w:highlight w:val="none"/>
                <w:lang w:val="en-US" w:eastAsia="zh-CN"/>
              </w:rPr>
            </w:pPr>
            <w:r>
              <w:rPr>
                <w:rFonts w:hint="eastAsia" w:ascii="宋体" w:hAnsi="宋体" w:cs="Arial"/>
                <w:color w:val="auto"/>
                <w:kern w:val="0"/>
                <w:szCs w:val="21"/>
                <w:highlight w:val="none"/>
                <w:lang w:val="en-US" w:eastAsia="zh-CN"/>
              </w:rPr>
              <w:t xml:space="preserve">800000 </w:t>
            </w:r>
          </w:p>
        </w:tc>
      </w:tr>
    </w:tbl>
    <w:p w14:paraId="5A823CF9">
      <w:pPr>
        <w:autoSpaceDE w:val="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5</w:t>
      </w:r>
      <w:r>
        <w:rPr>
          <w:rFonts w:hint="eastAsia" w:ascii="宋体" w:hAnsi="宋体"/>
          <w:color w:val="auto"/>
          <w:sz w:val="22"/>
          <w:szCs w:val="22"/>
          <w:highlight w:val="none"/>
          <w:lang w:val="zh-CN"/>
        </w:rPr>
        <w:t>、</w:t>
      </w:r>
      <w:r>
        <w:rPr>
          <w:rFonts w:hint="eastAsia" w:ascii="宋体" w:hAnsi="宋体"/>
          <w:color w:val="auto"/>
          <w:sz w:val="22"/>
          <w:szCs w:val="22"/>
          <w:highlight w:val="none"/>
        </w:rPr>
        <w:t>采购需求及标段划分：（包括但不限于标的的名称、数量、简要技术需求或服务要求等）</w:t>
      </w:r>
    </w:p>
    <w:p w14:paraId="516A1085">
      <w:pPr>
        <w:spacing w:line="360" w:lineRule="auto"/>
        <w:rPr>
          <w:color w:val="auto"/>
          <w:sz w:val="22"/>
          <w:szCs w:val="22"/>
          <w:highlight w:val="none"/>
        </w:rPr>
      </w:pPr>
      <w:r>
        <w:rPr>
          <w:rFonts w:hint="eastAsia" w:ascii="宋体" w:hAnsi="宋体"/>
          <w:color w:val="auto"/>
          <w:sz w:val="22"/>
          <w:szCs w:val="22"/>
          <w:highlight w:val="none"/>
        </w:rPr>
        <w:t>5.1</w:t>
      </w:r>
      <w:r>
        <w:rPr>
          <w:rFonts w:hint="eastAsia"/>
          <w:color w:val="auto"/>
          <w:sz w:val="22"/>
          <w:szCs w:val="22"/>
          <w:highlight w:val="none"/>
        </w:rPr>
        <w:t xml:space="preserve">资金来源：财政资金    </w:t>
      </w:r>
    </w:p>
    <w:p w14:paraId="6D08A604">
      <w:pPr>
        <w:spacing w:line="360" w:lineRule="auto"/>
        <w:rPr>
          <w:rFonts w:hint="eastAsia" w:ascii="宋体" w:hAnsi="宋体" w:eastAsia="宋体"/>
          <w:color w:val="auto"/>
          <w:sz w:val="22"/>
          <w:szCs w:val="22"/>
          <w:highlight w:val="none"/>
          <w:lang w:eastAsia="zh-CN"/>
        </w:rPr>
      </w:pPr>
      <w:r>
        <w:rPr>
          <w:rFonts w:hint="eastAsia" w:ascii="宋体" w:hAnsi="宋体"/>
          <w:color w:val="auto"/>
          <w:sz w:val="22"/>
          <w:szCs w:val="22"/>
          <w:highlight w:val="none"/>
        </w:rPr>
        <w:t>5.2</w:t>
      </w:r>
      <w:r>
        <w:rPr>
          <w:rFonts w:hint="eastAsia"/>
          <w:color w:val="auto"/>
          <w:sz w:val="22"/>
          <w:szCs w:val="22"/>
          <w:highlight w:val="none"/>
        </w:rPr>
        <w:t>服务地点：开封市，具体地点以采购人实际要求的为准</w:t>
      </w:r>
      <w:r>
        <w:rPr>
          <w:rFonts w:hint="eastAsia"/>
          <w:color w:val="auto"/>
          <w:sz w:val="22"/>
          <w:szCs w:val="22"/>
          <w:highlight w:val="none"/>
          <w:lang w:eastAsia="zh-CN"/>
        </w:rPr>
        <w:t>；</w:t>
      </w:r>
    </w:p>
    <w:p w14:paraId="7FD5D046">
      <w:pPr>
        <w:spacing w:line="360" w:lineRule="auto"/>
        <w:rPr>
          <w:rFonts w:hint="eastAsia" w:ascii="宋体" w:hAnsi="宋体" w:eastAsia="宋体"/>
          <w:color w:val="auto"/>
          <w:sz w:val="22"/>
          <w:szCs w:val="22"/>
          <w:highlight w:val="none"/>
          <w:lang w:eastAsia="zh-CN"/>
        </w:rPr>
      </w:pPr>
      <w:r>
        <w:rPr>
          <w:rFonts w:hint="eastAsia" w:ascii="宋体" w:hAnsi="宋体"/>
          <w:color w:val="auto"/>
          <w:sz w:val="22"/>
          <w:szCs w:val="22"/>
          <w:highlight w:val="none"/>
        </w:rPr>
        <w:t>5</w:t>
      </w:r>
      <w:r>
        <w:rPr>
          <w:rFonts w:ascii="宋体" w:hAnsi="宋体"/>
          <w:color w:val="auto"/>
          <w:sz w:val="22"/>
          <w:szCs w:val="22"/>
          <w:highlight w:val="none"/>
        </w:rPr>
        <w:t>.3服务期限：</w:t>
      </w:r>
      <w:r>
        <w:rPr>
          <w:rFonts w:hint="eastAsia" w:ascii="宋体" w:hAnsi="宋体"/>
          <w:color w:val="auto"/>
          <w:sz w:val="22"/>
          <w:szCs w:val="22"/>
          <w:highlight w:val="none"/>
        </w:rPr>
        <w:t>2025年</w:t>
      </w:r>
      <w:r>
        <w:rPr>
          <w:rFonts w:hint="eastAsia" w:ascii="宋体" w:hAnsi="宋体"/>
          <w:color w:val="auto"/>
          <w:sz w:val="22"/>
          <w:szCs w:val="22"/>
          <w:highlight w:val="none"/>
          <w:lang w:val="en-US" w:eastAsia="zh-CN"/>
        </w:rPr>
        <w:t>12</w:t>
      </w:r>
      <w:r>
        <w:rPr>
          <w:rFonts w:hint="eastAsia" w:ascii="宋体" w:hAnsi="宋体"/>
          <w:color w:val="auto"/>
          <w:sz w:val="22"/>
          <w:szCs w:val="22"/>
          <w:highlight w:val="none"/>
        </w:rPr>
        <w:t>月</w:t>
      </w:r>
      <w:r>
        <w:rPr>
          <w:rFonts w:hint="eastAsia" w:ascii="宋体" w:hAnsi="宋体"/>
          <w:color w:val="auto"/>
          <w:sz w:val="22"/>
          <w:szCs w:val="22"/>
          <w:highlight w:val="none"/>
          <w:lang w:val="en-US" w:eastAsia="zh-CN"/>
        </w:rPr>
        <w:t>10</w:t>
      </w:r>
      <w:r>
        <w:rPr>
          <w:rFonts w:hint="eastAsia" w:ascii="宋体" w:hAnsi="宋体"/>
          <w:color w:val="auto"/>
          <w:sz w:val="22"/>
          <w:szCs w:val="22"/>
          <w:highlight w:val="none"/>
        </w:rPr>
        <w:t>日前完成全部服务工作</w:t>
      </w:r>
      <w:r>
        <w:rPr>
          <w:rFonts w:hint="eastAsia" w:ascii="宋体" w:hAnsi="宋体"/>
          <w:color w:val="auto"/>
          <w:sz w:val="22"/>
          <w:szCs w:val="22"/>
          <w:highlight w:val="none"/>
          <w:lang w:eastAsia="zh-CN"/>
        </w:rPr>
        <w:t>；</w:t>
      </w:r>
    </w:p>
    <w:p w14:paraId="48A41221">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t>5.4质量要求</w:t>
      </w:r>
      <w:r>
        <w:rPr>
          <w:rFonts w:hint="eastAsia" w:ascii="宋体" w:hAnsi="宋体" w:cs="宋体"/>
          <w:color w:val="auto"/>
          <w:sz w:val="22"/>
          <w:szCs w:val="22"/>
          <w:highlight w:val="none"/>
        </w:rPr>
        <w:t>：合格，符合相关行业标准；</w:t>
      </w:r>
    </w:p>
    <w:p w14:paraId="595849D6">
      <w:pPr>
        <w:autoSpaceDE w:val="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5.5标段划分：</w:t>
      </w:r>
      <w:r>
        <w:rPr>
          <w:rFonts w:hint="eastAsia"/>
          <w:color w:val="auto"/>
          <w:sz w:val="22"/>
          <w:szCs w:val="22"/>
          <w:highlight w:val="none"/>
        </w:rPr>
        <w:t>1</w:t>
      </w:r>
      <w:r>
        <w:rPr>
          <w:rFonts w:hint="eastAsia" w:ascii="宋体" w:hAnsi="宋体"/>
          <w:color w:val="auto"/>
          <w:sz w:val="22"/>
          <w:szCs w:val="22"/>
          <w:highlight w:val="none"/>
        </w:rPr>
        <w:t>个标段</w:t>
      </w:r>
    </w:p>
    <w:p w14:paraId="2B158C62">
      <w:pPr>
        <w:spacing w:line="360" w:lineRule="auto"/>
        <w:rPr>
          <w:color w:val="auto"/>
          <w:sz w:val="22"/>
          <w:szCs w:val="22"/>
          <w:highlight w:val="none"/>
        </w:rPr>
      </w:pPr>
      <w:r>
        <w:rPr>
          <w:rFonts w:hint="eastAsia" w:ascii="宋体" w:hAnsi="宋体"/>
          <w:color w:val="auto"/>
          <w:sz w:val="22"/>
          <w:szCs w:val="22"/>
          <w:highlight w:val="none"/>
        </w:rPr>
        <w:t>5.6采购内容：组织开展车辆伤害事故（厂内和厂外）工伤事故预防大型培训及工伤预防领导力能力提升培训，制作工伤预防警示教育片45部；组织60家重点企业开展动态风险精准治理；制作《开封市工伤预防五年成效》专题宣传片，系统总结推广经验；同步建立标准化项目档案管理体系，并通过主流媒体开展系列深度报道。资金严格执行预算绩效目标，确保重点行业覆盖率达90%以上，全面提升企业工伤预防标准化水平。</w:t>
      </w:r>
    </w:p>
    <w:p w14:paraId="74B745D1">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t>6</w:t>
      </w:r>
      <w:r>
        <w:rPr>
          <w:rFonts w:hint="eastAsia" w:ascii="宋体" w:hAnsi="宋体"/>
          <w:color w:val="auto"/>
          <w:sz w:val="22"/>
          <w:szCs w:val="22"/>
          <w:highlight w:val="none"/>
          <w:lang w:val="zh-CN"/>
        </w:rPr>
        <w:t>、</w:t>
      </w:r>
      <w:r>
        <w:rPr>
          <w:rFonts w:hint="eastAsia" w:ascii="宋体" w:hAnsi="宋体"/>
          <w:color w:val="auto"/>
          <w:sz w:val="22"/>
          <w:szCs w:val="22"/>
          <w:highlight w:val="none"/>
        </w:rPr>
        <w:t>合同履行期限：同服务期限</w:t>
      </w:r>
    </w:p>
    <w:p w14:paraId="35FE684D">
      <w:pPr>
        <w:autoSpaceDE w:val="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7</w:t>
      </w:r>
      <w:r>
        <w:rPr>
          <w:rFonts w:hint="eastAsia" w:ascii="宋体" w:hAnsi="宋体"/>
          <w:color w:val="auto"/>
          <w:sz w:val="22"/>
          <w:szCs w:val="22"/>
          <w:highlight w:val="none"/>
          <w:lang w:val="zh-CN"/>
        </w:rPr>
        <w:t>、</w:t>
      </w:r>
      <w:r>
        <w:rPr>
          <w:rFonts w:hint="eastAsia" w:ascii="宋体" w:hAnsi="宋体"/>
          <w:color w:val="auto"/>
          <w:sz w:val="22"/>
          <w:szCs w:val="22"/>
          <w:highlight w:val="none"/>
        </w:rPr>
        <w:t>本项目是否接受联合体投标：否</w:t>
      </w:r>
    </w:p>
    <w:p w14:paraId="7BF411BC">
      <w:pPr>
        <w:autoSpaceDE w:val="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8</w:t>
      </w:r>
      <w:r>
        <w:rPr>
          <w:rFonts w:hint="eastAsia" w:ascii="宋体" w:hAnsi="宋体"/>
          <w:color w:val="auto"/>
          <w:sz w:val="22"/>
          <w:szCs w:val="22"/>
          <w:highlight w:val="none"/>
          <w:lang w:val="zh-CN"/>
        </w:rPr>
        <w:t>、</w:t>
      </w:r>
      <w:r>
        <w:rPr>
          <w:rFonts w:hint="eastAsia" w:ascii="宋体" w:hAnsi="宋体"/>
          <w:color w:val="auto"/>
          <w:sz w:val="22"/>
          <w:szCs w:val="22"/>
          <w:highlight w:val="none"/>
        </w:rPr>
        <w:t>是否接受进口产品：否</w:t>
      </w:r>
    </w:p>
    <w:p w14:paraId="5D59493D">
      <w:pPr>
        <w:autoSpaceDE w:val="0"/>
        <w:spacing w:line="360" w:lineRule="auto"/>
        <w:rPr>
          <w:rFonts w:hint="eastAsia" w:ascii="宋体" w:hAnsi="宋体" w:eastAsia="宋体"/>
          <w:color w:val="auto"/>
          <w:sz w:val="22"/>
          <w:szCs w:val="22"/>
          <w:highlight w:val="none"/>
          <w:lang w:eastAsia="zh-CN"/>
        </w:rPr>
      </w:pPr>
      <w:r>
        <w:rPr>
          <w:rFonts w:hint="eastAsia" w:ascii="宋体" w:hAnsi="宋体"/>
          <w:color w:val="auto"/>
          <w:sz w:val="22"/>
          <w:szCs w:val="22"/>
          <w:highlight w:val="none"/>
        </w:rPr>
        <w:t>9</w:t>
      </w:r>
      <w:r>
        <w:rPr>
          <w:rFonts w:hint="eastAsia" w:ascii="宋体" w:hAnsi="宋体"/>
          <w:color w:val="auto"/>
          <w:sz w:val="22"/>
          <w:szCs w:val="22"/>
          <w:highlight w:val="none"/>
          <w:lang w:val="zh-CN"/>
        </w:rPr>
        <w:t>、是否专门面向中小企业：</w:t>
      </w:r>
      <w:r>
        <w:rPr>
          <w:rFonts w:hint="eastAsia" w:ascii="宋体" w:hAnsi="宋体"/>
          <w:color w:val="auto"/>
          <w:sz w:val="22"/>
          <w:szCs w:val="22"/>
          <w:highlight w:val="none"/>
          <w:lang w:val="en-US" w:eastAsia="zh-CN"/>
        </w:rPr>
        <w:t>是</w:t>
      </w:r>
    </w:p>
    <w:p w14:paraId="455B9163">
      <w:pPr>
        <w:autoSpaceDE w:val="0"/>
        <w:spacing w:line="360" w:lineRule="auto"/>
        <w:outlineLvl w:val="0"/>
        <w:rPr>
          <w:rFonts w:hint="eastAsia" w:ascii="宋体" w:hAnsi="宋体"/>
          <w:b/>
          <w:bCs/>
          <w:color w:val="auto"/>
          <w:sz w:val="22"/>
          <w:szCs w:val="22"/>
          <w:highlight w:val="none"/>
        </w:rPr>
      </w:pPr>
      <w:bookmarkStart w:id="7" w:name="_Toc22343"/>
      <w:bookmarkStart w:id="8" w:name="_Toc9679"/>
      <w:bookmarkStart w:id="9" w:name="_Toc24955"/>
      <w:bookmarkStart w:id="10" w:name="_Toc4998"/>
      <w:r>
        <w:rPr>
          <w:rFonts w:hint="eastAsia" w:ascii="宋体" w:hAnsi="宋体"/>
          <w:b/>
          <w:bCs/>
          <w:color w:val="auto"/>
          <w:sz w:val="22"/>
          <w:szCs w:val="22"/>
          <w:highlight w:val="none"/>
        </w:rPr>
        <w:t>二、投标人资格要求：</w:t>
      </w:r>
      <w:bookmarkEnd w:id="7"/>
      <w:bookmarkEnd w:id="8"/>
      <w:bookmarkEnd w:id="9"/>
      <w:bookmarkEnd w:id="10"/>
    </w:p>
    <w:p w14:paraId="64E54FD7">
      <w:pPr>
        <w:autoSpaceDE w:val="0"/>
        <w:spacing w:line="360" w:lineRule="auto"/>
        <w:outlineLvl w:val="0"/>
        <w:rPr>
          <w:rFonts w:hint="eastAsia" w:ascii="宋体" w:hAnsi="宋体"/>
          <w:color w:val="auto"/>
          <w:sz w:val="22"/>
          <w:szCs w:val="22"/>
          <w:highlight w:val="none"/>
        </w:rPr>
      </w:pPr>
      <w:bookmarkStart w:id="11" w:name="_Toc14843"/>
      <w:bookmarkStart w:id="12" w:name="_Toc18055"/>
      <w:bookmarkStart w:id="13" w:name="_Toc20840"/>
      <w:bookmarkStart w:id="14" w:name="_Toc7484"/>
      <w:r>
        <w:rPr>
          <w:rFonts w:hint="eastAsia" w:ascii="宋体" w:hAnsi="宋体"/>
          <w:color w:val="auto"/>
          <w:sz w:val="22"/>
          <w:szCs w:val="22"/>
          <w:highlight w:val="none"/>
        </w:rPr>
        <w:t>1、满足《中华人民共和国政府采购法》第二十二条规定</w:t>
      </w:r>
      <w:bookmarkEnd w:id="11"/>
      <w:bookmarkEnd w:id="12"/>
      <w:bookmarkEnd w:id="13"/>
      <w:r>
        <w:rPr>
          <w:rFonts w:hint="eastAsia" w:ascii="宋体" w:hAnsi="宋体"/>
          <w:color w:val="auto"/>
          <w:sz w:val="22"/>
          <w:szCs w:val="22"/>
          <w:highlight w:val="none"/>
        </w:rPr>
        <w:t>；</w:t>
      </w:r>
    </w:p>
    <w:p w14:paraId="4C34D2E1">
      <w:pPr>
        <w:autoSpaceDE w:val="0"/>
        <w:spacing w:line="360" w:lineRule="auto"/>
        <w:outlineLvl w:val="0"/>
        <w:rPr>
          <w:rFonts w:hint="eastAsia" w:ascii="宋体" w:hAnsi="宋体"/>
          <w:color w:val="auto"/>
          <w:sz w:val="22"/>
          <w:szCs w:val="22"/>
          <w:highlight w:val="none"/>
        </w:rPr>
      </w:pPr>
      <w:bookmarkStart w:id="15" w:name="_Toc2203"/>
      <w:bookmarkStart w:id="16" w:name="_Toc12135"/>
      <w:bookmarkStart w:id="17" w:name="_Toc30911"/>
      <w:r>
        <w:rPr>
          <w:rFonts w:hint="eastAsia" w:ascii="宋体" w:hAnsi="宋体"/>
          <w:color w:val="auto"/>
          <w:sz w:val="22"/>
          <w:szCs w:val="22"/>
          <w:highlight w:val="none"/>
        </w:rPr>
        <w:t>2、落实政府采购政策满足的资格要求：</w:t>
      </w:r>
      <w:bookmarkEnd w:id="15"/>
      <w:bookmarkEnd w:id="16"/>
      <w:bookmarkEnd w:id="17"/>
    </w:p>
    <w:p w14:paraId="13CEC970">
      <w:pPr>
        <w:numPr>
          <w:ilvl w:val="0"/>
          <w:numId w:val="0"/>
        </w:numPr>
        <w:autoSpaceDE w:val="0"/>
        <w:spacing w:line="360" w:lineRule="auto"/>
        <w:ind w:firstLine="440" w:firstLineChars="200"/>
        <w:outlineLvl w:val="0"/>
        <w:rPr>
          <w:rFonts w:hint="eastAsia" w:ascii="宋体" w:hAnsi="宋体"/>
          <w:color w:val="auto"/>
          <w:sz w:val="22"/>
          <w:szCs w:val="22"/>
          <w:highlight w:val="none"/>
        </w:rPr>
      </w:pPr>
      <w:bookmarkStart w:id="18" w:name="_Toc32233"/>
      <w:bookmarkStart w:id="19" w:name="_Toc31980"/>
      <w:bookmarkStart w:id="20" w:name="_Toc7875"/>
      <w:r>
        <w:rPr>
          <w:rFonts w:hint="eastAsia" w:ascii="宋体" w:hAnsi="宋体"/>
          <w:color w:val="auto"/>
          <w:sz w:val="22"/>
          <w:szCs w:val="22"/>
          <w:highlight w:val="none"/>
        </w:rPr>
        <w:t>本项目执行促进中小型企业发展政策（监狱企业、残疾人福利性企业视同小微企业）、强制采购节能产品、优先采购节能环保产品等政府采购政策。</w:t>
      </w:r>
    </w:p>
    <w:p w14:paraId="6A60C88B">
      <w:pPr>
        <w:numPr>
          <w:ilvl w:val="0"/>
          <w:numId w:val="1"/>
        </w:numPr>
        <w:autoSpaceDE w:val="0"/>
        <w:spacing w:line="360" w:lineRule="auto"/>
        <w:outlineLvl w:val="0"/>
        <w:rPr>
          <w:rFonts w:hint="eastAsia" w:ascii="宋体" w:hAnsi="宋体"/>
          <w:color w:val="auto"/>
          <w:sz w:val="22"/>
          <w:szCs w:val="22"/>
          <w:highlight w:val="none"/>
        </w:rPr>
      </w:pPr>
      <w:r>
        <w:rPr>
          <w:rFonts w:hint="eastAsia" w:ascii="宋体" w:hAnsi="宋体"/>
          <w:color w:val="auto"/>
          <w:sz w:val="22"/>
          <w:szCs w:val="22"/>
          <w:highlight w:val="none"/>
        </w:rPr>
        <w:t>本项目的特定资格要求：</w:t>
      </w:r>
      <w:bookmarkEnd w:id="18"/>
      <w:bookmarkEnd w:id="19"/>
      <w:bookmarkEnd w:id="20"/>
    </w:p>
    <w:p w14:paraId="571D4ECF">
      <w:pPr>
        <w:autoSpaceDE w:val="0"/>
        <w:spacing w:line="360" w:lineRule="auto"/>
        <w:outlineLvl w:val="0"/>
        <w:rPr>
          <w:rFonts w:hint="eastAsia" w:ascii="宋体" w:hAnsi="宋体"/>
          <w:b w:val="0"/>
          <w:bCs w:val="0"/>
          <w:color w:val="auto"/>
          <w:sz w:val="22"/>
          <w:szCs w:val="22"/>
          <w:highlight w:val="none"/>
        </w:rPr>
      </w:pPr>
      <w:bookmarkStart w:id="21" w:name="_Toc13534"/>
      <w:bookmarkStart w:id="22" w:name="_Toc11569"/>
      <w:bookmarkStart w:id="23" w:name="_Toc28064"/>
      <w:r>
        <w:rPr>
          <w:rFonts w:hint="eastAsia" w:ascii="宋体" w:hAnsi="宋体"/>
          <w:b w:val="0"/>
          <w:bCs w:val="0"/>
          <w:color w:val="auto"/>
          <w:sz w:val="22"/>
          <w:szCs w:val="22"/>
          <w:highlight w:val="none"/>
          <w:lang w:val="en-US" w:eastAsia="zh-CN"/>
        </w:rPr>
        <w:t>3</w:t>
      </w:r>
      <w:r>
        <w:rPr>
          <w:rFonts w:hint="eastAsia" w:ascii="宋体" w:hAnsi="宋体"/>
          <w:b w:val="0"/>
          <w:bCs w:val="0"/>
          <w:color w:val="auto"/>
          <w:sz w:val="22"/>
          <w:szCs w:val="22"/>
          <w:highlight w:val="none"/>
        </w:rPr>
        <w:t>.1、投标人需符合《中华人民共和国政府采购法》第二十二条规定，并提供以下资料：</w:t>
      </w:r>
    </w:p>
    <w:p w14:paraId="47CC010F">
      <w:pPr>
        <w:autoSpaceDE w:val="0"/>
        <w:spacing w:line="360" w:lineRule="auto"/>
        <w:outlineLvl w:val="0"/>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lang w:val="en-US" w:eastAsia="zh-CN"/>
        </w:rPr>
        <w:t>3</w:t>
      </w:r>
      <w:r>
        <w:rPr>
          <w:rFonts w:hint="eastAsia" w:ascii="宋体" w:hAnsi="宋体"/>
          <w:b w:val="0"/>
          <w:bCs w:val="0"/>
          <w:color w:val="auto"/>
          <w:sz w:val="22"/>
          <w:szCs w:val="22"/>
          <w:highlight w:val="none"/>
        </w:rPr>
        <w:t xml:space="preserve">.1.1具有独立承担民事责任的能力（提供有效的营业执照）； </w:t>
      </w:r>
    </w:p>
    <w:p w14:paraId="717A69FD">
      <w:pPr>
        <w:autoSpaceDE w:val="0"/>
        <w:spacing w:line="360" w:lineRule="auto"/>
        <w:outlineLvl w:val="0"/>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lang w:val="en-US" w:eastAsia="zh-CN"/>
        </w:rPr>
        <w:t>3</w:t>
      </w:r>
      <w:r>
        <w:rPr>
          <w:rFonts w:hint="eastAsia" w:ascii="宋体" w:hAnsi="宋体"/>
          <w:b w:val="0"/>
          <w:bCs w:val="0"/>
          <w:color w:val="auto"/>
          <w:sz w:val="22"/>
          <w:szCs w:val="22"/>
          <w:highlight w:val="none"/>
        </w:rPr>
        <w:t>.1.2具有良好的商业信誉和健全的财务会计制度（提供2023或2024年度的经第三方审计机构出具的审计报告（包含审计报告和审计报告中所涉及的财务报表和报表附注），若公司成立时间不足的，按实际成立年限提供财务报表或基本开户银行出具的有效期内的资信证明）；</w:t>
      </w:r>
    </w:p>
    <w:p w14:paraId="7FA59ABD">
      <w:pPr>
        <w:autoSpaceDE w:val="0"/>
        <w:spacing w:line="360" w:lineRule="auto"/>
        <w:outlineLvl w:val="0"/>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lang w:val="en-US" w:eastAsia="zh-CN"/>
        </w:rPr>
        <w:t>3</w:t>
      </w:r>
      <w:r>
        <w:rPr>
          <w:rFonts w:hint="eastAsia" w:ascii="宋体" w:hAnsi="宋体"/>
          <w:b w:val="0"/>
          <w:bCs w:val="0"/>
          <w:color w:val="auto"/>
          <w:sz w:val="22"/>
          <w:szCs w:val="22"/>
          <w:highlight w:val="none"/>
        </w:rPr>
        <w:t>.1.3具有履行合同所必需的人员、设备和专业技术能力（提供证明材料或书面声明并加盖单位公章，格式自拟）；</w:t>
      </w:r>
    </w:p>
    <w:p w14:paraId="39206642">
      <w:pPr>
        <w:autoSpaceDE w:val="0"/>
        <w:spacing w:line="360" w:lineRule="auto"/>
        <w:outlineLvl w:val="0"/>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lang w:val="en-US" w:eastAsia="zh-CN"/>
        </w:rPr>
        <w:t>3</w:t>
      </w:r>
      <w:r>
        <w:rPr>
          <w:rFonts w:hint="eastAsia" w:ascii="宋体" w:hAnsi="宋体"/>
          <w:b w:val="0"/>
          <w:bCs w:val="0"/>
          <w:color w:val="auto"/>
          <w:sz w:val="22"/>
          <w:szCs w:val="22"/>
          <w:highlight w:val="none"/>
        </w:rPr>
        <w:t>.1.4有依法缴纳税收和社会保障资金的良好记录（提供单位2025年1月1日以来任意一个月依法缴纳税收和社会保障资金的证明材料；依法免税或不需要缴纳社会保障资金的投标人，应提供相应证明文件）；</w:t>
      </w:r>
    </w:p>
    <w:p w14:paraId="3BCA5FBF">
      <w:pPr>
        <w:autoSpaceDE w:val="0"/>
        <w:spacing w:line="360" w:lineRule="auto"/>
        <w:outlineLvl w:val="0"/>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lang w:val="en-US" w:eastAsia="zh-CN"/>
        </w:rPr>
        <w:t>3</w:t>
      </w:r>
      <w:r>
        <w:rPr>
          <w:rFonts w:hint="eastAsia" w:ascii="宋体" w:hAnsi="宋体"/>
          <w:b w:val="0"/>
          <w:bCs w:val="0"/>
          <w:color w:val="auto"/>
          <w:sz w:val="22"/>
          <w:szCs w:val="22"/>
          <w:highlight w:val="none"/>
        </w:rPr>
        <w:t>.1.5参加政府采购活动前三年内，在经营活动中没有重大违法记录（提供书面声明并加盖单位公章，格式自拟）；</w:t>
      </w:r>
    </w:p>
    <w:p w14:paraId="10E5F977">
      <w:pPr>
        <w:autoSpaceDE w:val="0"/>
        <w:spacing w:line="360" w:lineRule="auto"/>
        <w:outlineLvl w:val="0"/>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lang w:val="en-US" w:eastAsia="zh-CN"/>
        </w:rPr>
        <w:t>3</w:t>
      </w:r>
      <w:r>
        <w:rPr>
          <w:rFonts w:hint="eastAsia" w:ascii="宋体" w:hAnsi="宋体"/>
          <w:b w:val="0"/>
          <w:bCs w:val="0"/>
          <w:color w:val="auto"/>
          <w:sz w:val="22"/>
          <w:szCs w:val="22"/>
          <w:highlight w:val="none"/>
        </w:rPr>
        <w:t>.1.6法律、行政法规规定的其他条件。</w:t>
      </w:r>
    </w:p>
    <w:p w14:paraId="0BB96A1B">
      <w:pPr>
        <w:autoSpaceDE w:val="0"/>
        <w:spacing w:line="360" w:lineRule="auto"/>
        <w:outlineLvl w:val="0"/>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lang w:val="en-US" w:eastAsia="zh-CN"/>
        </w:rPr>
        <w:t>3</w:t>
      </w:r>
      <w:r>
        <w:rPr>
          <w:rFonts w:hint="eastAsia" w:ascii="宋体" w:hAnsi="宋体"/>
          <w:b w:val="0"/>
          <w:bCs w:val="0"/>
          <w:color w:val="auto"/>
          <w:sz w:val="22"/>
          <w:szCs w:val="22"/>
          <w:highlight w:val="none"/>
        </w:rPr>
        <w:t>.2、信誉要求：根据《关于在政府采购活动中查询及使用信用记录有关问题的通知》(财库[2016]125号)和豫财购【2016】15号的规定，对列入失信被执行人、重大税收违法失信主体、政府采购严重违法失信行为记录名单的投标人，拒绝参与本项目政府采购活动；【查询渠道：中国执行信息公开网查询“失信被执行人”、“信用中国”网站（www.creditchina.gov.cn）查询“重大税收违法失信主体”、中国政府采购网（www.ccgp.gov.cn）查询“政府采购严重违法失信行为记录名单”。】</w:t>
      </w:r>
    </w:p>
    <w:p w14:paraId="5794108C">
      <w:pPr>
        <w:autoSpaceDE w:val="0"/>
        <w:spacing w:line="360" w:lineRule="auto"/>
        <w:outlineLvl w:val="0"/>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lang w:val="en-US" w:eastAsia="zh-CN"/>
        </w:rPr>
        <w:t>3</w:t>
      </w:r>
      <w:r>
        <w:rPr>
          <w:rFonts w:hint="eastAsia" w:ascii="宋体" w:hAnsi="宋体"/>
          <w:b w:val="0"/>
          <w:bCs w:val="0"/>
          <w:color w:val="auto"/>
          <w:sz w:val="22"/>
          <w:szCs w:val="22"/>
          <w:highlight w:val="none"/>
        </w:rPr>
        <w:t>.</w:t>
      </w:r>
      <w:r>
        <w:rPr>
          <w:rFonts w:hint="eastAsia" w:ascii="宋体" w:hAnsi="宋体"/>
          <w:b w:val="0"/>
          <w:bCs w:val="0"/>
          <w:color w:val="auto"/>
          <w:sz w:val="22"/>
          <w:szCs w:val="22"/>
          <w:highlight w:val="none"/>
          <w:lang w:val="en-US" w:eastAsia="zh-CN"/>
        </w:rPr>
        <w:t>3</w:t>
      </w:r>
      <w:r>
        <w:rPr>
          <w:rFonts w:hint="eastAsia" w:ascii="宋体" w:hAnsi="宋体"/>
          <w:b w:val="0"/>
          <w:bCs w:val="0"/>
          <w:color w:val="auto"/>
          <w:sz w:val="22"/>
          <w:szCs w:val="22"/>
          <w:highlight w:val="none"/>
        </w:rPr>
        <w:t>.本项目不接受联合体投标。</w:t>
      </w:r>
    </w:p>
    <w:p w14:paraId="4B14C6CD">
      <w:pPr>
        <w:autoSpaceDE w:val="0"/>
        <w:spacing w:line="360" w:lineRule="auto"/>
        <w:outlineLvl w:val="0"/>
        <w:rPr>
          <w:rFonts w:hint="eastAsia" w:ascii="宋体" w:hAnsi="宋体"/>
          <w:b/>
          <w:bCs/>
          <w:color w:val="auto"/>
          <w:sz w:val="22"/>
          <w:szCs w:val="22"/>
          <w:highlight w:val="none"/>
        </w:rPr>
      </w:pPr>
      <w:r>
        <w:rPr>
          <w:rFonts w:hint="eastAsia" w:ascii="宋体" w:hAnsi="宋体"/>
          <w:b/>
          <w:bCs/>
          <w:color w:val="auto"/>
          <w:sz w:val="22"/>
          <w:szCs w:val="22"/>
          <w:highlight w:val="none"/>
        </w:rPr>
        <w:t>三、获取招标文件</w:t>
      </w:r>
      <w:bookmarkEnd w:id="21"/>
      <w:bookmarkEnd w:id="22"/>
      <w:bookmarkEnd w:id="23"/>
      <w:r>
        <w:rPr>
          <w:rFonts w:hint="eastAsia" w:ascii="宋体" w:hAnsi="宋体"/>
          <w:b/>
          <w:bCs/>
          <w:color w:val="auto"/>
          <w:sz w:val="22"/>
          <w:szCs w:val="22"/>
          <w:highlight w:val="none"/>
        </w:rPr>
        <w:t xml:space="preserve"> </w:t>
      </w:r>
    </w:p>
    <w:p w14:paraId="771B7A17">
      <w:pPr>
        <w:autoSpaceDE w:val="0"/>
        <w:spacing w:line="360" w:lineRule="auto"/>
        <w:ind w:firstLine="440" w:firstLineChars="200"/>
        <w:outlineLvl w:val="0"/>
        <w:rPr>
          <w:rFonts w:hint="eastAsia" w:ascii="宋体" w:hAnsi="宋体"/>
          <w:color w:val="auto"/>
          <w:sz w:val="22"/>
          <w:szCs w:val="22"/>
          <w:highlight w:val="none"/>
        </w:rPr>
      </w:pPr>
      <w:bookmarkStart w:id="24" w:name="_Toc10875"/>
      <w:bookmarkStart w:id="25" w:name="_Toc24208"/>
      <w:bookmarkStart w:id="26" w:name="_Toc10839"/>
      <w:r>
        <w:rPr>
          <w:rFonts w:hint="eastAsia" w:ascii="宋体" w:hAnsi="宋体"/>
          <w:color w:val="auto"/>
          <w:sz w:val="22"/>
          <w:szCs w:val="22"/>
          <w:highlight w:val="none"/>
        </w:rPr>
        <w:t>1.时间：</w:t>
      </w:r>
      <w:r>
        <w:rPr>
          <w:rFonts w:hint="eastAsia" w:ascii="宋体" w:hAnsi="宋体"/>
          <w:b/>
          <w:bCs/>
          <w:color w:val="auto"/>
          <w:sz w:val="22"/>
          <w:szCs w:val="22"/>
          <w:highlight w:val="none"/>
        </w:rPr>
        <w:t>2025年10月18日 至 2025年11月06日</w:t>
      </w:r>
      <w:r>
        <w:rPr>
          <w:rFonts w:hint="eastAsia" w:ascii="宋体" w:hAnsi="宋体"/>
          <w:color w:val="auto"/>
          <w:sz w:val="22"/>
          <w:szCs w:val="22"/>
          <w:highlight w:val="none"/>
        </w:rPr>
        <w:t>，每天上午</w:t>
      </w:r>
      <w:r>
        <w:rPr>
          <w:rFonts w:hint="eastAsia" w:ascii="宋体" w:hAnsi="宋体"/>
          <w:color w:val="auto"/>
          <w:sz w:val="22"/>
          <w:szCs w:val="22"/>
          <w:highlight w:val="none"/>
          <w:lang w:val="en-US" w:eastAsia="zh-CN"/>
        </w:rPr>
        <w:t>00</w:t>
      </w:r>
      <w:r>
        <w:rPr>
          <w:rFonts w:hint="eastAsia" w:ascii="宋体" w:hAnsi="宋体"/>
          <w:color w:val="auto"/>
          <w:sz w:val="22"/>
          <w:szCs w:val="22"/>
          <w:highlight w:val="none"/>
        </w:rPr>
        <w:t>:0</w:t>
      </w:r>
      <w:r>
        <w:rPr>
          <w:rFonts w:hint="eastAsia" w:ascii="宋体" w:hAnsi="宋体"/>
          <w:color w:val="auto"/>
          <w:sz w:val="22"/>
          <w:szCs w:val="22"/>
          <w:highlight w:val="none"/>
          <w:lang w:val="en-US" w:eastAsia="zh-CN"/>
        </w:rPr>
        <w:t>1</w:t>
      </w:r>
      <w:r>
        <w:rPr>
          <w:rFonts w:hint="eastAsia" w:ascii="宋体" w:hAnsi="宋体"/>
          <w:color w:val="auto"/>
          <w:sz w:val="22"/>
          <w:szCs w:val="22"/>
          <w:highlight w:val="none"/>
        </w:rPr>
        <w:t>至12:00，下午12:00至23:59（北京时间，法定节假日除外。）</w:t>
      </w:r>
      <w:bookmarkEnd w:id="24"/>
      <w:bookmarkEnd w:id="25"/>
      <w:bookmarkEnd w:id="26"/>
      <w:r>
        <w:rPr>
          <w:rFonts w:hint="eastAsia" w:ascii="宋体" w:hAnsi="宋体"/>
          <w:color w:val="auto"/>
          <w:sz w:val="22"/>
          <w:szCs w:val="22"/>
          <w:highlight w:val="none"/>
        </w:rPr>
        <w:t xml:space="preserve"> </w:t>
      </w:r>
    </w:p>
    <w:p w14:paraId="7427B977">
      <w:pPr>
        <w:autoSpaceDE w:val="0"/>
        <w:spacing w:line="360" w:lineRule="auto"/>
        <w:ind w:firstLine="440" w:firstLineChars="200"/>
        <w:outlineLvl w:val="0"/>
        <w:rPr>
          <w:rFonts w:hint="eastAsia" w:ascii="宋体" w:hAnsi="宋体"/>
          <w:color w:val="auto"/>
          <w:sz w:val="22"/>
          <w:szCs w:val="22"/>
          <w:highlight w:val="none"/>
        </w:rPr>
      </w:pPr>
      <w:bookmarkStart w:id="27" w:name="_Toc7563"/>
      <w:bookmarkStart w:id="28" w:name="_Toc29193"/>
      <w:bookmarkStart w:id="29" w:name="_Toc14760"/>
      <w:r>
        <w:rPr>
          <w:rFonts w:hint="eastAsia" w:ascii="宋体" w:hAnsi="宋体"/>
          <w:color w:val="auto"/>
          <w:sz w:val="22"/>
          <w:szCs w:val="22"/>
          <w:highlight w:val="none"/>
        </w:rPr>
        <w:t>2.地点：开封市公共资源交易信息网（http://www.kfsggzyjyw.cn）会员系统</w:t>
      </w:r>
      <w:bookmarkEnd w:id="27"/>
      <w:bookmarkEnd w:id="28"/>
      <w:bookmarkEnd w:id="29"/>
    </w:p>
    <w:p w14:paraId="330306D6">
      <w:pPr>
        <w:autoSpaceDE w:val="0"/>
        <w:spacing w:line="360" w:lineRule="auto"/>
        <w:ind w:firstLine="440" w:firstLineChars="200"/>
        <w:outlineLvl w:val="0"/>
        <w:rPr>
          <w:rFonts w:hint="eastAsia" w:ascii="宋体" w:hAnsi="宋体"/>
          <w:color w:val="auto"/>
          <w:sz w:val="22"/>
          <w:szCs w:val="22"/>
          <w:highlight w:val="none"/>
        </w:rPr>
      </w:pPr>
      <w:bookmarkStart w:id="30" w:name="_Toc5532"/>
      <w:bookmarkStart w:id="31" w:name="_Toc21350"/>
      <w:bookmarkStart w:id="32" w:name="_Toc9243"/>
      <w:r>
        <w:rPr>
          <w:rFonts w:hint="eastAsia" w:ascii="宋体" w:hAnsi="宋体"/>
          <w:color w:val="auto"/>
          <w:sz w:val="22"/>
          <w:szCs w:val="22"/>
          <w:highlight w:val="none"/>
        </w:rPr>
        <w:t>3.方式：投标人应注册成为开封市公共资源交易中心网站会员并取得CA密钥，在开封市公共资源交易中心网站http://www.kfsggzyjyw.cn/kfggzy/登录政采、工程业务系统，凭CA密钥登录会员系统下载招标文件。投标人系统操作手册在开封市公共资源交易中心网站http://www.kfsggzyjyw.cn查看，请投标人时刻关注开封市公共资源交易中心网站和公司CA密钥推送消息。查询招标文件方式：潜在投标人、投标人可打开开封市公共资源交易中心网站http://www.kfsggzyjyw.cn首页“流程公开”里查询招标文件。</w:t>
      </w:r>
      <w:bookmarkEnd w:id="30"/>
      <w:bookmarkEnd w:id="31"/>
      <w:bookmarkEnd w:id="32"/>
      <w:r>
        <w:rPr>
          <w:rFonts w:hint="eastAsia" w:ascii="宋体" w:hAnsi="宋体"/>
          <w:color w:val="auto"/>
          <w:sz w:val="22"/>
          <w:szCs w:val="22"/>
          <w:highlight w:val="none"/>
        </w:rPr>
        <w:t xml:space="preserve"> </w:t>
      </w:r>
    </w:p>
    <w:p w14:paraId="162A1C48">
      <w:pPr>
        <w:autoSpaceDE w:val="0"/>
        <w:spacing w:line="360" w:lineRule="auto"/>
        <w:ind w:firstLine="440" w:firstLineChars="200"/>
        <w:outlineLvl w:val="0"/>
        <w:rPr>
          <w:rFonts w:hint="eastAsia" w:ascii="宋体" w:hAnsi="宋体"/>
          <w:color w:val="auto"/>
          <w:sz w:val="22"/>
          <w:szCs w:val="22"/>
          <w:highlight w:val="none"/>
        </w:rPr>
      </w:pPr>
      <w:bookmarkStart w:id="33" w:name="_Toc8419"/>
      <w:bookmarkStart w:id="34" w:name="_Toc21889"/>
      <w:bookmarkStart w:id="35" w:name="_Toc8666"/>
      <w:r>
        <w:rPr>
          <w:rFonts w:hint="eastAsia" w:ascii="宋体" w:hAnsi="宋体"/>
          <w:color w:val="auto"/>
          <w:sz w:val="22"/>
          <w:szCs w:val="22"/>
          <w:highlight w:val="none"/>
        </w:rPr>
        <w:t>4.售价：0元</w:t>
      </w:r>
      <w:bookmarkEnd w:id="33"/>
      <w:bookmarkEnd w:id="34"/>
      <w:bookmarkEnd w:id="35"/>
      <w:r>
        <w:rPr>
          <w:rFonts w:hint="eastAsia" w:ascii="宋体" w:hAnsi="宋体"/>
          <w:color w:val="auto"/>
          <w:sz w:val="22"/>
          <w:szCs w:val="22"/>
          <w:highlight w:val="none"/>
        </w:rPr>
        <w:t xml:space="preserve"> </w:t>
      </w:r>
    </w:p>
    <w:p w14:paraId="688BB625">
      <w:pPr>
        <w:autoSpaceDE w:val="0"/>
        <w:spacing w:line="360" w:lineRule="auto"/>
        <w:outlineLvl w:val="0"/>
        <w:rPr>
          <w:rFonts w:hint="eastAsia" w:ascii="宋体" w:hAnsi="宋体"/>
          <w:b/>
          <w:bCs/>
          <w:color w:val="auto"/>
          <w:sz w:val="22"/>
          <w:szCs w:val="22"/>
          <w:highlight w:val="none"/>
        </w:rPr>
      </w:pPr>
      <w:bookmarkStart w:id="36" w:name="_Toc21744"/>
      <w:bookmarkStart w:id="37" w:name="_Toc10027"/>
      <w:bookmarkStart w:id="38" w:name="_Toc321"/>
      <w:r>
        <w:rPr>
          <w:rFonts w:hint="eastAsia" w:ascii="宋体" w:hAnsi="宋体"/>
          <w:b/>
          <w:bCs/>
          <w:color w:val="auto"/>
          <w:sz w:val="22"/>
          <w:szCs w:val="22"/>
          <w:highlight w:val="none"/>
        </w:rPr>
        <w:t>四、投标截止时间及地点</w:t>
      </w:r>
      <w:bookmarkEnd w:id="36"/>
      <w:bookmarkEnd w:id="37"/>
      <w:bookmarkEnd w:id="38"/>
      <w:r>
        <w:rPr>
          <w:rFonts w:hint="eastAsia" w:ascii="宋体" w:hAnsi="宋体"/>
          <w:b/>
          <w:bCs/>
          <w:color w:val="auto"/>
          <w:sz w:val="22"/>
          <w:szCs w:val="22"/>
          <w:highlight w:val="none"/>
        </w:rPr>
        <w:t xml:space="preserve"> </w:t>
      </w:r>
    </w:p>
    <w:p w14:paraId="52D787ED">
      <w:pPr>
        <w:autoSpaceDE w:val="0"/>
        <w:spacing w:line="360" w:lineRule="auto"/>
        <w:ind w:firstLine="440" w:firstLineChars="200"/>
        <w:outlineLvl w:val="0"/>
        <w:rPr>
          <w:rFonts w:hint="eastAsia" w:ascii="宋体" w:hAnsi="宋体"/>
          <w:color w:val="auto"/>
          <w:sz w:val="22"/>
          <w:szCs w:val="22"/>
          <w:highlight w:val="none"/>
        </w:rPr>
      </w:pPr>
      <w:bookmarkStart w:id="39" w:name="_Toc26157"/>
      <w:bookmarkStart w:id="40" w:name="_Toc18328"/>
      <w:bookmarkStart w:id="41" w:name="_Toc11335"/>
      <w:r>
        <w:rPr>
          <w:rFonts w:hint="eastAsia" w:ascii="宋体" w:hAnsi="宋体"/>
          <w:color w:val="auto"/>
          <w:sz w:val="22"/>
          <w:szCs w:val="22"/>
          <w:highlight w:val="none"/>
        </w:rPr>
        <w:t>1.时间：</w:t>
      </w:r>
      <w:bookmarkEnd w:id="39"/>
      <w:bookmarkEnd w:id="40"/>
      <w:bookmarkEnd w:id="41"/>
      <w:r>
        <w:rPr>
          <w:rFonts w:hint="eastAsia" w:ascii="宋体" w:hAnsi="宋体"/>
          <w:b/>
          <w:bCs/>
          <w:color w:val="auto"/>
          <w:sz w:val="22"/>
          <w:szCs w:val="22"/>
          <w:highlight w:val="none"/>
        </w:rPr>
        <w:t>2025年</w:t>
      </w:r>
      <w:r>
        <w:rPr>
          <w:rFonts w:hint="eastAsia" w:ascii="宋体" w:hAnsi="宋体"/>
          <w:b/>
          <w:bCs/>
          <w:color w:val="auto"/>
          <w:sz w:val="22"/>
          <w:szCs w:val="22"/>
          <w:highlight w:val="none"/>
          <w:lang w:val="en-US" w:eastAsia="zh-CN"/>
        </w:rPr>
        <w:t>11</w:t>
      </w:r>
      <w:r>
        <w:rPr>
          <w:rFonts w:hint="eastAsia" w:ascii="宋体" w:hAnsi="宋体"/>
          <w:b/>
          <w:bCs/>
          <w:color w:val="auto"/>
          <w:sz w:val="22"/>
          <w:szCs w:val="22"/>
          <w:highlight w:val="none"/>
        </w:rPr>
        <w:t>月</w:t>
      </w:r>
      <w:r>
        <w:rPr>
          <w:rFonts w:hint="eastAsia" w:ascii="宋体" w:hAnsi="宋体"/>
          <w:b/>
          <w:bCs/>
          <w:color w:val="auto"/>
          <w:sz w:val="22"/>
          <w:szCs w:val="22"/>
          <w:highlight w:val="none"/>
          <w:lang w:val="en-US" w:eastAsia="zh-CN"/>
        </w:rPr>
        <w:t>07</w:t>
      </w:r>
      <w:r>
        <w:rPr>
          <w:rFonts w:hint="eastAsia" w:ascii="宋体" w:hAnsi="宋体"/>
          <w:b/>
          <w:bCs/>
          <w:color w:val="auto"/>
          <w:sz w:val="22"/>
          <w:szCs w:val="22"/>
          <w:highlight w:val="none"/>
        </w:rPr>
        <w:t>日上午9点</w:t>
      </w:r>
      <w:r>
        <w:rPr>
          <w:rFonts w:hint="eastAsia" w:ascii="宋体" w:hAnsi="宋体"/>
          <w:b/>
          <w:bCs/>
          <w:color w:val="auto"/>
          <w:sz w:val="22"/>
          <w:szCs w:val="22"/>
          <w:highlight w:val="none"/>
          <w:lang w:val="en-US" w:eastAsia="zh-CN"/>
        </w:rPr>
        <w:t>30</w:t>
      </w:r>
      <w:r>
        <w:rPr>
          <w:rFonts w:hint="eastAsia" w:ascii="宋体" w:hAnsi="宋体"/>
          <w:b/>
          <w:bCs/>
          <w:color w:val="auto"/>
          <w:sz w:val="22"/>
          <w:szCs w:val="22"/>
          <w:highlight w:val="none"/>
        </w:rPr>
        <w:t>分（北京时间）</w:t>
      </w:r>
      <w:r>
        <w:rPr>
          <w:rFonts w:hint="eastAsia" w:ascii="宋体" w:hAnsi="宋体"/>
          <w:color w:val="auto"/>
          <w:sz w:val="22"/>
          <w:szCs w:val="22"/>
          <w:highlight w:val="none"/>
        </w:rPr>
        <w:t xml:space="preserve"> </w:t>
      </w:r>
    </w:p>
    <w:p w14:paraId="31866AD0">
      <w:pPr>
        <w:autoSpaceDE w:val="0"/>
        <w:spacing w:line="360" w:lineRule="auto"/>
        <w:ind w:firstLine="440" w:firstLineChars="200"/>
        <w:outlineLvl w:val="0"/>
        <w:rPr>
          <w:rFonts w:hint="eastAsia" w:ascii="宋体" w:hAnsi="宋体"/>
          <w:color w:val="auto"/>
          <w:sz w:val="22"/>
          <w:szCs w:val="22"/>
          <w:highlight w:val="none"/>
        </w:rPr>
      </w:pPr>
      <w:bookmarkStart w:id="42" w:name="_Toc24954"/>
      <w:bookmarkStart w:id="43" w:name="_Toc15234"/>
      <w:bookmarkStart w:id="44" w:name="_Toc25654"/>
      <w:r>
        <w:rPr>
          <w:rFonts w:hint="eastAsia" w:ascii="宋体" w:hAnsi="宋体"/>
          <w:color w:val="auto"/>
          <w:sz w:val="22"/>
          <w:szCs w:val="22"/>
          <w:highlight w:val="none"/>
        </w:rPr>
        <w:t>2.地点：电子投标文件须在投标截止时间前在开封市公共资源交易中心网站（http://www.kfsggzyjyw.cn/kfggzy/）会员系统中加密上传。（投标文件逾期未上传或未上传成功的，采购人不予受理）</w:t>
      </w:r>
      <w:bookmarkEnd w:id="42"/>
      <w:bookmarkEnd w:id="43"/>
      <w:bookmarkEnd w:id="44"/>
      <w:r>
        <w:rPr>
          <w:rFonts w:hint="eastAsia" w:ascii="宋体" w:hAnsi="宋体"/>
          <w:color w:val="auto"/>
          <w:sz w:val="22"/>
          <w:szCs w:val="22"/>
          <w:highlight w:val="none"/>
        </w:rPr>
        <w:t xml:space="preserve"> </w:t>
      </w:r>
    </w:p>
    <w:p w14:paraId="0CBC6DA1">
      <w:pPr>
        <w:autoSpaceDE w:val="0"/>
        <w:spacing w:line="360" w:lineRule="auto"/>
        <w:outlineLvl w:val="0"/>
        <w:rPr>
          <w:rFonts w:hint="eastAsia" w:ascii="宋体" w:hAnsi="宋体"/>
          <w:b/>
          <w:bCs/>
          <w:color w:val="auto"/>
          <w:sz w:val="22"/>
          <w:szCs w:val="22"/>
          <w:highlight w:val="none"/>
        </w:rPr>
      </w:pPr>
      <w:bookmarkStart w:id="45" w:name="_Toc4944"/>
      <w:bookmarkStart w:id="46" w:name="_Toc24548"/>
      <w:bookmarkStart w:id="47" w:name="_Toc31991"/>
      <w:r>
        <w:rPr>
          <w:rFonts w:hint="eastAsia" w:ascii="宋体" w:hAnsi="宋体"/>
          <w:b/>
          <w:bCs/>
          <w:color w:val="auto"/>
          <w:sz w:val="22"/>
          <w:szCs w:val="22"/>
          <w:highlight w:val="none"/>
        </w:rPr>
        <w:t>五、开标时间及地点</w:t>
      </w:r>
      <w:bookmarkEnd w:id="45"/>
      <w:bookmarkEnd w:id="46"/>
      <w:bookmarkEnd w:id="47"/>
      <w:r>
        <w:rPr>
          <w:rFonts w:hint="eastAsia" w:ascii="宋体" w:hAnsi="宋体"/>
          <w:b/>
          <w:bCs/>
          <w:color w:val="auto"/>
          <w:sz w:val="22"/>
          <w:szCs w:val="22"/>
          <w:highlight w:val="none"/>
        </w:rPr>
        <w:t xml:space="preserve"> </w:t>
      </w:r>
    </w:p>
    <w:p w14:paraId="33C67894">
      <w:pPr>
        <w:autoSpaceDE w:val="0"/>
        <w:spacing w:line="360" w:lineRule="auto"/>
        <w:ind w:firstLine="440" w:firstLineChars="200"/>
        <w:outlineLvl w:val="0"/>
        <w:rPr>
          <w:rFonts w:hint="eastAsia" w:ascii="宋体" w:hAnsi="宋体"/>
          <w:color w:val="auto"/>
          <w:sz w:val="22"/>
          <w:szCs w:val="22"/>
          <w:highlight w:val="none"/>
        </w:rPr>
      </w:pPr>
      <w:bookmarkStart w:id="48" w:name="_Toc15169"/>
      <w:bookmarkStart w:id="49" w:name="_Toc29444"/>
      <w:bookmarkStart w:id="50" w:name="_Toc13202"/>
      <w:r>
        <w:rPr>
          <w:rFonts w:hint="eastAsia" w:ascii="宋体" w:hAnsi="宋体"/>
          <w:color w:val="auto"/>
          <w:sz w:val="22"/>
          <w:szCs w:val="22"/>
          <w:highlight w:val="none"/>
        </w:rPr>
        <w:t>1.时间：</w:t>
      </w:r>
      <w:bookmarkEnd w:id="48"/>
      <w:bookmarkEnd w:id="49"/>
      <w:bookmarkEnd w:id="50"/>
      <w:r>
        <w:rPr>
          <w:rFonts w:hint="eastAsia" w:ascii="宋体" w:hAnsi="宋体"/>
          <w:b/>
          <w:bCs/>
          <w:color w:val="auto"/>
          <w:sz w:val="22"/>
          <w:szCs w:val="22"/>
          <w:highlight w:val="none"/>
        </w:rPr>
        <w:t>2025年</w:t>
      </w:r>
      <w:r>
        <w:rPr>
          <w:rFonts w:hint="eastAsia" w:ascii="宋体" w:hAnsi="宋体"/>
          <w:b/>
          <w:bCs/>
          <w:color w:val="auto"/>
          <w:sz w:val="22"/>
          <w:szCs w:val="22"/>
          <w:highlight w:val="none"/>
          <w:lang w:val="en-US" w:eastAsia="zh-CN"/>
        </w:rPr>
        <w:t>11</w:t>
      </w:r>
      <w:r>
        <w:rPr>
          <w:rFonts w:hint="eastAsia" w:ascii="宋体" w:hAnsi="宋体"/>
          <w:b/>
          <w:bCs/>
          <w:color w:val="auto"/>
          <w:sz w:val="22"/>
          <w:szCs w:val="22"/>
          <w:highlight w:val="none"/>
        </w:rPr>
        <w:t>月</w:t>
      </w:r>
      <w:r>
        <w:rPr>
          <w:rFonts w:hint="eastAsia" w:ascii="宋体" w:hAnsi="宋体"/>
          <w:b/>
          <w:bCs/>
          <w:color w:val="auto"/>
          <w:sz w:val="22"/>
          <w:szCs w:val="22"/>
          <w:highlight w:val="none"/>
          <w:lang w:val="en-US" w:eastAsia="zh-CN"/>
        </w:rPr>
        <w:t>07</w:t>
      </w:r>
      <w:r>
        <w:rPr>
          <w:rFonts w:hint="eastAsia" w:ascii="宋体" w:hAnsi="宋体"/>
          <w:b/>
          <w:bCs/>
          <w:color w:val="auto"/>
          <w:sz w:val="22"/>
          <w:szCs w:val="22"/>
          <w:highlight w:val="none"/>
        </w:rPr>
        <w:t>日上午9点</w:t>
      </w:r>
      <w:r>
        <w:rPr>
          <w:rFonts w:hint="eastAsia" w:ascii="宋体" w:hAnsi="宋体"/>
          <w:b/>
          <w:bCs/>
          <w:color w:val="auto"/>
          <w:sz w:val="22"/>
          <w:szCs w:val="22"/>
          <w:highlight w:val="none"/>
          <w:lang w:val="en-US" w:eastAsia="zh-CN"/>
        </w:rPr>
        <w:t>30</w:t>
      </w:r>
      <w:r>
        <w:rPr>
          <w:rFonts w:hint="eastAsia" w:ascii="宋体" w:hAnsi="宋体"/>
          <w:b/>
          <w:bCs/>
          <w:color w:val="auto"/>
          <w:sz w:val="22"/>
          <w:szCs w:val="22"/>
          <w:highlight w:val="none"/>
        </w:rPr>
        <w:t>分（北京时间）</w:t>
      </w:r>
      <w:r>
        <w:rPr>
          <w:rFonts w:hint="eastAsia" w:ascii="宋体" w:hAnsi="宋体"/>
          <w:color w:val="auto"/>
          <w:sz w:val="22"/>
          <w:szCs w:val="22"/>
          <w:highlight w:val="none"/>
        </w:rPr>
        <w:t xml:space="preserve"> </w:t>
      </w:r>
    </w:p>
    <w:p w14:paraId="600C9D5B">
      <w:pPr>
        <w:autoSpaceDE w:val="0"/>
        <w:spacing w:line="360" w:lineRule="auto"/>
        <w:ind w:firstLine="440" w:firstLineChars="200"/>
        <w:outlineLvl w:val="0"/>
        <w:rPr>
          <w:rFonts w:hint="eastAsia" w:ascii="宋体" w:hAnsi="宋体"/>
          <w:color w:val="auto"/>
          <w:sz w:val="22"/>
          <w:szCs w:val="22"/>
          <w:highlight w:val="none"/>
        </w:rPr>
      </w:pPr>
      <w:bookmarkStart w:id="51" w:name="_Toc9539"/>
      <w:bookmarkStart w:id="52" w:name="_Toc13793"/>
      <w:bookmarkStart w:id="53" w:name="_Toc29306"/>
      <w:r>
        <w:rPr>
          <w:rFonts w:hint="eastAsia" w:ascii="宋体" w:hAnsi="宋体"/>
          <w:color w:val="auto"/>
          <w:sz w:val="22"/>
          <w:szCs w:val="22"/>
          <w:highlight w:val="none"/>
        </w:rPr>
        <w:t>2.地点：开封市市民之家5楼西区开标室（地址：开封市郑开大道与三大街交叉口西北角开封市市民之家）</w:t>
      </w:r>
      <w:bookmarkEnd w:id="51"/>
      <w:bookmarkEnd w:id="52"/>
      <w:bookmarkEnd w:id="53"/>
    </w:p>
    <w:p w14:paraId="5EFD92DC">
      <w:pPr>
        <w:autoSpaceDE w:val="0"/>
        <w:spacing w:line="360" w:lineRule="auto"/>
        <w:outlineLvl w:val="0"/>
        <w:rPr>
          <w:rFonts w:hint="eastAsia" w:ascii="宋体" w:hAnsi="宋体"/>
          <w:b/>
          <w:bCs/>
          <w:color w:val="auto"/>
          <w:sz w:val="22"/>
          <w:szCs w:val="22"/>
          <w:highlight w:val="none"/>
        </w:rPr>
      </w:pPr>
      <w:bookmarkStart w:id="54" w:name="_Toc30744"/>
      <w:bookmarkStart w:id="55" w:name="_Toc18302"/>
      <w:bookmarkStart w:id="56" w:name="_Toc21144"/>
      <w:r>
        <w:rPr>
          <w:rFonts w:hint="eastAsia" w:ascii="宋体" w:hAnsi="宋体"/>
          <w:b/>
          <w:bCs/>
          <w:color w:val="auto"/>
          <w:sz w:val="22"/>
          <w:szCs w:val="22"/>
          <w:highlight w:val="none"/>
        </w:rPr>
        <w:t>六、发布公告的媒介及招标公告期限</w:t>
      </w:r>
      <w:bookmarkEnd w:id="54"/>
      <w:bookmarkEnd w:id="55"/>
      <w:bookmarkEnd w:id="56"/>
      <w:r>
        <w:rPr>
          <w:rFonts w:hint="eastAsia" w:ascii="宋体" w:hAnsi="宋体"/>
          <w:b/>
          <w:bCs/>
          <w:color w:val="auto"/>
          <w:sz w:val="22"/>
          <w:szCs w:val="22"/>
          <w:highlight w:val="none"/>
        </w:rPr>
        <w:t xml:space="preserve"> </w:t>
      </w:r>
    </w:p>
    <w:p w14:paraId="40F7E3DA">
      <w:pPr>
        <w:autoSpaceDE w:val="0"/>
        <w:spacing w:line="360" w:lineRule="auto"/>
        <w:ind w:firstLine="440" w:firstLineChars="200"/>
        <w:outlineLvl w:val="0"/>
        <w:rPr>
          <w:rFonts w:hint="eastAsia" w:ascii="宋体" w:hAnsi="宋体"/>
          <w:color w:val="auto"/>
          <w:sz w:val="22"/>
          <w:szCs w:val="22"/>
          <w:highlight w:val="none"/>
        </w:rPr>
      </w:pPr>
      <w:bookmarkStart w:id="57" w:name="_Toc15273"/>
      <w:bookmarkStart w:id="58" w:name="_Toc4948"/>
      <w:bookmarkStart w:id="59" w:name="_Toc16099"/>
      <w:r>
        <w:rPr>
          <w:rFonts w:hint="eastAsia" w:ascii="宋体" w:hAnsi="宋体"/>
          <w:color w:val="auto"/>
          <w:sz w:val="22"/>
          <w:szCs w:val="22"/>
          <w:highlight w:val="none"/>
        </w:rPr>
        <w:t>本次招标公告在《河南省政府采购网》、《中国招标投标公共服务平台》、《开封市公共资源交易信息网》上发布，招标公告期限为五个工作日。</w:t>
      </w:r>
      <w:bookmarkEnd w:id="57"/>
      <w:bookmarkEnd w:id="58"/>
      <w:bookmarkEnd w:id="59"/>
    </w:p>
    <w:p w14:paraId="00ED0B8C">
      <w:pPr>
        <w:autoSpaceDE w:val="0"/>
        <w:spacing w:line="360" w:lineRule="auto"/>
        <w:outlineLvl w:val="0"/>
        <w:rPr>
          <w:rFonts w:hint="eastAsia" w:ascii="宋体" w:hAnsi="宋体"/>
          <w:b/>
          <w:bCs/>
          <w:color w:val="auto"/>
          <w:sz w:val="22"/>
          <w:szCs w:val="22"/>
          <w:highlight w:val="none"/>
        </w:rPr>
      </w:pPr>
      <w:bookmarkStart w:id="60" w:name="_Toc16367"/>
      <w:bookmarkStart w:id="61" w:name="_Toc1128"/>
      <w:bookmarkStart w:id="62" w:name="_Toc5921"/>
      <w:r>
        <w:rPr>
          <w:rFonts w:hint="eastAsia" w:ascii="宋体" w:hAnsi="宋体"/>
          <w:b/>
          <w:bCs/>
          <w:color w:val="auto"/>
          <w:sz w:val="22"/>
          <w:szCs w:val="22"/>
          <w:highlight w:val="none"/>
        </w:rPr>
        <w:t>七、其他补充事宜</w:t>
      </w:r>
      <w:bookmarkEnd w:id="60"/>
      <w:bookmarkEnd w:id="61"/>
      <w:bookmarkEnd w:id="62"/>
      <w:r>
        <w:rPr>
          <w:rFonts w:hint="eastAsia" w:ascii="宋体" w:hAnsi="宋体"/>
          <w:b/>
          <w:bCs/>
          <w:color w:val="auto"/>
          <w:sz w:val="22"/>
          <w:szCs w:val="22"/>
          <w:highlight w:val="none"/>
        </w:rPr>
        <w:t xml:space="preserve"> </w:t>
      </w:r>
    </w:p>
    <w:p w14:paraId="20E0BC2C">
      <w:pPr>
        <w:autoSpaceDE w:val="0"/>
        <w:spacing w:line="360" w:lineRule="auto"/>
        <w:ind w:firstLine="440" w:firstLineChars="200"/>
        <w:outlineLvl w:val="0"/>
        <w:rPr>
          <w:rFonts w:hint="eastAsia" w:ascii="宋体" w:hAnsi="宋体"/>
          <w:color w:val="auto"/>
          <w:sz w:val="22"/>
          <w:szCs w:val="22"/>
          <w:highlight w:val="none"/>
        </w:rPr>
      </w:pPr>
      <w:bookmarkStart w:id="63" w:name="_Toc18873"/>
      <w:bookmarkStart w:id="64" w:name="_Toc21173"/>
      <w:bookmarkStart w:id="65" w:name="_Toc32200"/>
      <w:r>
        <w:rPr>
          <w:rFonts w:hint="eastAsia" w:ascii="宋体" w:hAnsi="宋体"/>
          <w:color w:val="auto"/>
          <w:sz w:val="22"/>
          <w:szCs w:val="22"/>
          <w:highlight w:val="none"/>
        </w:rPr>
        <w:t>1、招标文件获取方式，投标人凭 CA 密钥登录会员系统，按要求下载电子招标文件，投标人未按规定下载电子招标文件的，其投标将被拒绝。</w:t>
      </w:r>
      <w:bookmarkEnd w:id="63"/>
      <w:bookmarkEnd w:id="64"/>
      <w:bookmarkEnd w:id="65"/>
      <w:r>
        <w:rPr>
          <w:rFonts w:hint="eastAsia" w:ascii="宋体" w:hAnsi="宋体"/>
          <w:color w:val="auto"/>
          <w:sz w:val="22"/>
          <w:szCs w:val="22"/>
          <w:highlight w:val="none"/>
        </w:rPr>
        <w:t xml:space="preserve"> </w:t>
      </w:r>
    </w:p>
    <w:p w14:paraId="689FB44E">
      <w:pPr>
        <w:autoSpaceDE w:val="0"/>
        <w:spacing w:line="360" w:lineRule="auto"/>
        <w:ind w:firstLine="440" w:firstLineChars="200"/>
        <w:outlineLvl w:val="0"/>
        <w:rPr>
          <w:rFonts w:hint="eastAsia" w:ascii="宋体" w:hAnsi="宋体"/>
          <w:color w:val="auto"/>
          <w:sz w:val="22"/>
          <w:szCs w:val="22"/>
          <w:highlight w:val="none"/>
        </w:rPr>
      </w:pPr>
      <w:bookmarkStart w:id="66" w:name="_Toc31844"/>
      <w:bookmarkStart w:id="67" w:name="_Toc13773"/>
      <w:bookmarkStart w:id="68" w:name="_Toc14467"/>
      <w:r>
        <w:rPr>
          <w:rFonts w:hint="eastAsia" w:ascii="宋体" w:hAnsi="宋体"/>
          <w:color w:val="auto"/>
          <w:sz w:val="22"/>
          <w:szCs w:val="22"/>
          <w:highlight w:val="none"/>
        </w:rPr>
        <w:t>2、获取招标文件后，投标人请到开封市公共资源交易中心网站登录政采、工程业务系统，凭 CA 密钥登录会员系统，在“组件下载”中下载最新版本的投标文件制作工具安装包，并使用安装后的最新版本投标文件制作工具制作电子投标文件。</w:t>
      </w:r>
      <w:bookmarkEnd w:id="66"/>
      <w:bookmarkEnd w:id="67"/>
      <w:bookmarkEnd w:id="68"/>
      <w:r>
        <w:rPr>
          <w:rFonts w:hint="eastAsia" w:ascii="宋体" w:hAnsi="宋体"/>
          <w:color w:val="auto"/>
          <w:sz w:val="22"/>
          <w:szCs w:val="22"/>
          <w:highlight w:val="none"/>
        </w:rPr>
        <w:t xml:space="preserve"> </w:t>
      </w:r>
    </w:p>
    <w:p w14:paraId="51D51540">
      <w:pPr>
        <w:autoSpaceDE w:val="0"/>
        <w:spacing w:line="360" w:lineRule="auto"/>
        <w:ind w:firstLine="440" w:firstLineChars="200"/>
        <w:outlineLvl w:val="0"/>
        <w:rPr>
          <w:rFonts w:hint="eastAsia" w:ascii="宋体" w:hAnsi="宋体"/>
          <w:color w:val="auto"/>
          <w:sz w:val="22"/>
          <w:szCs w:val="22"/>
          <w:highlight w:val="none"/>
        </w:rPr>
      </w:pPr>
      <w:bookmarkStart w:id="69" w:name="_Toc28339"/>
      <w:bookmarkStart w:id="70" w:name="_Toc20413"/>
      <w:bookmarkStart w:id="71" w:name="_Toc19129"/>
      <w:r>
        <w:rPr>
          <w:rFonts w:hint="eastAsia" w:ascii="宋体" w:hAnsi="宋体"/>
          <w:color w:val="auto"/>
          <w:sz w:val="22"/>
          <w:szCs w:val="22"/>
          <w:highlight w:val="none"/>
        </w:rPr>
        <w:t>3、请投标人时刻关注开封市公共资源交易中心网站和公司 CA 密钥推送消息。</w:t>
      </w:r>
      <w:bookmarkEnd w:id="69"/>
      <w:bookmarkEnd w:id="70"/>
      <w:bookmarkEnd w:id="71"/>
      <w:r>
        <w:rPr>
          <w:rFonts w:hint="eastAsia" w:ascii="宋体" w:hAnsi="宋体"/>
          <w:color w:val="auto"/>
          <w:sz w:val="22"/>
          <w:szCs w:val="22"/>
          <w:highlight w:val="none"/>
        </w:rPr>
        <w:t xml:space="preserve"> </w:t>
      </w:r>
    </w:p>
    <w:p w14:paraId="769D129C">
      <w:pPr>
        <w:autoSpaceDE w:val="0"/>
        <w:spacing w:line="360" w:lineRule="auto"/>
        <w:ind w:firstLine="440" w:firstLineChars="200"/>
        <w:outlineLvl w:val="0"/>
        <w:rPr>
          <w:rFonts w:hint="eastAsia" w:ascii="宋体" w:hAnsi="宋体"/>
          <w:color w:val="auto"/>
          <w:sz w:val="22"/>
          <w:szCs w:val="22"/>
          <w:highlight w:val="none"/>
        </w:rPr>
      </w:pPr>
      <w:bookmarkStart w:id="72" w:name="_Toc29596"/>
      <w:bookmarkStart w:id="73" w:name="_Toc18476"/>
      <w:bookmarkStart w:id="74" w:name="_Toc24587"/>
      <w:r>
        <w:rPr>
          <w:rFonts w:hint="eastAsia" w:ascii="宋体" w:hAnsi="宋体"/>
          <w:color w:val="auto"/>
          <w:sz w:val="22"/>
          <w:szCs w:val="22"/>
          <w:highlight w:val="none"/>
        </w:rPr>
        <w:t>4、电子投标文件须在投标截止时间前在开封市公共资源交易中心网站会员系统中加密上传；</w:t>
      </w:r>
      <w:bookmarkEnd w:id="72"/>
      <w:bookmarkEnd w:id="73"/>
      <w:bookmarkEnd w:id="74"/>
      <w:r>
        <w:rPr>
          <w:rFonts w:hint="eastAsia" w:ascii="宋体" w:hAnsi="宋体"/>
          <w:color w:val="auto"/>
          <w:sz w:val="22"/>
          <w:szCs w:val="22"/>
          <w:highlight w:val="none"/>
        </w:rPr>
        <w:t xml:space="preserve"> </w:t>
      </w:r>
    </w:p>
    <w:p w14:paraId="02DFED20">
      <w:pPr>
        <w:autoSpaceDE w:val="0"/>
        <w:spacing w:line="360" w:lineRule="auto"/>
        <w:ind w:firstLine="440" w:firstLineChars="200"/>
        <w:outlineLvl w:val="0"/>
        <w:rPr>
          <w:rFonts w:hint="eastAsia" w:ascii="宋体" w:hAnsi="宋体"/>
          <w:color w:val="auto"/>
          <w:sz w:val="22"/>
          <w:szCs w:val="22"/>
          <w:highlight w:val="none"/>
        </w:rPr>
      </w:pPr>
      <w:bookmarkStart w:id="75" w:name="_Toc20079"/>
      <w:bookmarkStart w:id="76" w:name="_Toc31252"/>
      <w:bookmarkStart w:id="77" w:name="_Toc14278"/>
      <w:r>
        <w:rPr>
          <w:rFonts w:hint="eastAsia" w:ascii="宋体" w:hAnsi="宋体"/>
          <w:color w:val="auto"/>
          <w:sz w:val="22"/>
          <w:szCs w:val="22"/>
          <w:highlight w:val="none"/>
        </w:rPr>
        <w:t>5、加密电子投标文件逾期上传的，采购人不予受理。</w:t>
      </w:r>
      <w:bookmarkEnd w:id="75"/>
      <w:bookmarkEnd w:id="76"/>
      <w:bookmarkEnd w:id="77"/>
      <w:r>
        <w:rPr>
          <w:rFonts w:hint="eastAsia" w:ascii="宋体" w:hAnsi="宋体"/>
          <w:color w:val="auto"/>
          <w:sz w:val="22"/>
          <w:szCs w:val="22"/>
          <w:highlight w:val="none"/>
        </w:rPr>
        <w:t xml:space="preserve"> </w:t>
      </w:r>
    </w:p>
    <w:p w14:paraId="6398A13D">
      <w:pPr>
        <w:autoSpaceDE w:val="0"/>
        <w:spacing w:line="360" w:lineRule="auto"/>
        <w:ind w:firstLine="440" w:firstLineChars="200"/>
        <w:outlineLvl w:val="0"/>
        <w:rPr>
          <w:rFonts w:hint="eastAsia" w:ascii="宋体" w:hAnsi="宋体"/>
          <w:color w:val="auto"/>
          <w:sz w:val="22"/>
          <w:szCs w:val="22"/>
          <w:highlight w:val="none"/>
        </w:rPr>
      </w:pPr>
      <w:bookmarkStart w:id="78" w:name="_Toc21012"/>
      <w:bookmarkStart w:id="79" w:name="_Toc28076"/>
      <w:bookmarkStart w:id="80" w:name="_Toc18962"/>
      <w:r>
        <w:rPr>
          <w:rFonts w:hint="eastAsia" w:ascii="宋体" w:hAnsi="宋体"/>
          <w:color w:val="auto"/>
          <w:sz w:val="22"/>
          <w:szCs w:val="22"/>
          <w:highlight w:val="none"/>
        </w:rPr>
        <w:t>6、本项目采用“远程不见面”开标方式,投标人无需到达现场提交原件资料、无需到开封市公共资源交易中心现场参加开标会议；投标人应当在开标时间前,登录远程开标大厅,在线准时参加开标活动并进行投标文件解密、答疑澄清等。（系统解密时长默认为40分钟，超过解密时长者视为自动放弃本次投标。）</w:t>
      </w:r>
      <w:bookmarkEnd w:id="78"/>
      <w:bookmarkEnd w:id="79"/>
      <w:bookmarkEnd w:id="80"/>
      <w:r>
        <w:rPr>
          <w:rFonts w:hint="eastAsia" w:ascii="宋体" w:hAnsi="宋体"/>
          <w:color w:val="auto"/>
          <w:sz w:val="22"/>
          <w:szCs w:val="22"/>
          <w:highlight w:val="none"/>
        </w:rPr>
        <w:t xml:space="preserve"> </w:t>
      </w:r>
    </w:p>
    <w:p w14:paraId="716E9F57">
      <w:pPr>
        <w:autoSpaceDE w:val="0"/>
        <w:spacing w:line="360" w:lineRule="auto"/>
        <w:ind w:firstLine="440" w:firstLineChars="200"/>
        <w:outlineLvl w:val="0"/>
        <w:rPr>
          <w:rFonts w:hint="eastAsia" w:ascii="宋体" w:hAnsi="宋体"/>
          <w:color w:val="auto"/>
          <w:sz w:val="22"/>
          <w:szCs w:val="22"/>
          <w:highlight w:val="none"/>
        </w:rPr>
      </w:pPr>
      <w:r>
        <w:rPr>
          <w:rFonts w:hint="eastAsia" w:ascii="宋体" w:hAnsi="宋体"/>
          <w:color w:val="auto"/>
          <w:sz w:val="22"/>
          <w:szCs w:val="22"/>
          <w:highlight w:val="none"/>
        </w:rPr>
        <w:t>7、监督部门：开封市财政局</w:t>
      </w:r>
    </w:p>
    <w:p w14:paraId="3BE3B8F4">
      <w:pPr>
        <w:autoSpaceDE w:val="0"/>
        <w:spacing w:line="360" w:lineRule="auto"/>
        <w:ind w:firstLine="440" w:firstLineChars="200"/>
        <w:outlineLvl w:val="0"/>
        <w:rPr>
          <w:rFonts w:hint="eastAsia" w:ascii="宋体" w:hAnsi="宋体"/>
          <w:color w:val="auto"/>
          <w:sz w:val="22"/>
          <w:szCs w:val="22"/>
          <w:highlight w:val="none"/>
        </w:rPr>
      </w:pPr>
      <w:r>
        <w:rPr>
          <w:rFonts w:hint="eastAsia" w:ascii="宋体" w:hAnsi="宋体"/>
          <w:color w:val="auto"/>
          <w:sz w:val="22"/>
          <w:szCs w:val="22"/>
          <w:highlight w:val="none"/>
        </w:rPr>
        <w:t>联 系 人：政府采购监督管理办公室</w:t>
      </w:r>
    </w:p>
    <w:p w14:paraId="2A3B354B">
      <w:pPr>
        <w:autoSpaceDE w:val="0"/>
        <w:spacing w:line="360" w:lineRule="auto"/>
        <w:ind w:firstLine="440" w:firstLineChars="200"/>
        <w:outlineLvl w:val="0"/>
        <w:rPr>
          <w:rFonts w:hint="eastAsia" w:ascii="宋体" w:hAnsi="宋体"/>
          <w:color w:val="auto"/>
          <w:sz w:val="22"/>
          <w:szCs w:val="22"/>
          <w:highlight w:val="none"/>
        </w:rPr>
      </w:pPr>
      <w:r>
        <w:rPr>
          <w:rFonts w:hint="eastAsia" w:ascii="宋体" w:hAnsi="宋体"/>
          <w:color w:val="auto"/>
          <w:sz w:val="22"/>
          <w:szCs w:val="22"/>
          <w:highlight w:val="none"/>
        </w:rPr>
        <w:t xml:space="preserve">联系方式：0371-23876034   </w:t>
      </w:r>
    </w:p>
    <w:p w14:paraId="3C78511E">
      <w:pPr>
        <w:autoSpaceDE w:val="0"/>
        <w:spacing w:line="360" w:lineRule="auto"/>
        <w:outlineLvl w:val="0"/>
        <w:rPr>
          <w:rFonts w:hint="eastAsia" w:ascii="宋体" w:hAnsi="宋体"/>
          <w:b/>
          <w:bCs/>
          <w:color w:val="auto"/>
          <w:sz w:val="22"/>
          <w:szCs w:val="22"/>
          <w:highlight w:val="none"/>
        </w:rPr>
      </w:pPr>
      <w:bookmarkStart w:id="81" w:name="_Toc21635"/>
      <w:bookmarkStart w:id="82" w:name="_Toc18138"/>
      <w:bookmarkStart w:id="83" w:name="_Toc18472"/>
      <w:r>
        <w:rPr>
          <w:rFonts w:hint="eastAsia" w:ascii="宋体" w:hAnsi="宋体"/>
          <w:b/>
          <w:bCs/>
          <w:color w:val="auto"/>
          <w:sz w:val="22"/>
          <w:szCs w:val="22"/>
          <w:highlight w:val="none"/>
        </w:rPr>
        <w:t>八、凡对本次招标提出询问，请按照以下方式联系</w:t>
      </w:r>
      <w:bookmarkEnd w:id="14"/>
      <w:bookmarkEnd w:id="81"/>
      <w:bookmarkEnd w:id="82"/>
      <w:bookmarkEnd w:id="83"/>
    </w:p>
    <w:p w14:paraId="56D747E7">
      <w:pPr>
        <w:spacing w:line="360" w:lineRule="auto"/>
        <w:rPr>
          <w:rFonts w:hint="eastAsia"/>
          <w:color w:val="auto"/>
          <w:szCs w:val="21"/>
          <w:highlight w:val="none"/>
        </w:rPr>
      </w:pPr>
      <w:r>
        <w:rPr>
          <w:rFonts w:hint="eastAsia"/>
          <w:color w:val="auto"/>
          <w:szCs w:val="21"/>
          <w:highlight w:val="none"/>
        </w:rPr>
        <w:t>1、采购人信息</w:t>
      </w:r>
    </w:p>
    <w:p w14:paraId="25C2B099">
      <w:pPr>
        <w:spacing w:line="360" w:lineRule="auto"/>
        <w:rPr>
          <w:rFonts w:hint="eastAsia"/>
          <w:color w:val="auto"/>
          <w:szCs w:val="21"/>
          <w:highlight w:val="none"/>
        </w:rPr>
      </w:pPr>
      <w:r>
        <w:rPr>
          <w:rFonts w:hint="eastAsia"/>
          <w:color w:val="auto"/>
          <w:szCs w:val="21"/>
          <w:highlight w:val="none"/>
        </w:rPr>
        <w:t>名  称：开封市人力资源和社会保障局</w:t>
      </w:r>
    </w:p>
    <w:p w14:paraId="721268DD">
      <w:pPr>
        <w:spacing w:line="360" w:lineRule="auto"/>
        <w:rPr>
          <w:rFonts w:hint="eastAsia"/>
          <w:color w:val="auto"/>
          <w:szCs w:val="21"/>
          <w:highlight w:val="none"/>
        </w:rPr>
      </w:pPr>
      <w:r>
        <w:rPr>
          <w:rFonts w:hint="eastAsia"/>
          <w:color w:val="auto"/>
          <w:szCs w:val="21"/>
          <w:highlight w:val="none"/>
        </w:rPr>
        <w:t xml:space="preserve">地  址：开封市康平街1号  </w:t>
      </w:r>
    </w:p>
    <w:p w14:paraId="064FD94C">
      <w:pPr>
        <w:spacing w:line="360" w:lineRule="auto"/>
        <w:rPr>
          <w:rFonts w:hint="eastAsia"/>
          <w:color w:val="auto"/>
          <w:szCs w:val="21"/>
          <w:highlight w:val="none"/>
        </w:rPr>
      </w:pPr>
      <w:r>
        <w:rPr>
          <w:rFonts w:hint="eastAsia"/>
          <w:color w:val="auto"/>
          <w:szCs w:val="21"/>
          <w:highlight w:val="none"/>
        </w:rPr>
        <w:t xml:space="preserve">联系人：张平友  </w:t>
      </w:r>
    </w:p>
    <w:p w14:paraId="06E43166">
      <w:pPr>
        <w:spacing w:line="360" w:lineRule="auto"/>
        <w:rPr>
          <w:rFonts w:hint="eastAsia"/>
          <w:color w:val="auto"/>
          <w:szCs w:val="21"/>
          <w:highlight w:val="none"/>
        </w:rPr>
      </w:pPr>
      <w:r>
        <w:rPr>
          <w:rFonts w:hint="eastAsia"/>
          <w:color w:val="auto"/>
          <w:szCs w:val="21"/>
          <w:highlight w:val="none"/>
        </w:rPr>
        <w:t xml:space="preserve">联系方式：0371-23870766  </w:t>
      </w:r>
    </w:p>
    <w:p w14:paraId="6FF25E3C">
      <w:pPr>
        <w:spacing w:line="360" w:lineRule="auto"/>
        <w:rPr>
          <w:rFonts w:hint="eastAsia"/>
          <w:color w:val="auto"/>
          <w:szCs w:val="21"/>
          <w:highlight w:val="none"/>
        </w:rPr>
      </w:pPr>
      <w:r>
        <w:rPr>
          <w:rFonts w:hint="eastAsia"/>
          <w:color w:val="auto"/>
          <w:szCs w:val="21"/>
          <w:highlight w:val="none"/>
        </w:rPr>
        <w:t>2、采购代理机构信息（如有）</w:t>
      </w:r>
    </w:p>
    <w:p w14:paraId="4AE0418E">
      <w:pPr>
        <w:spacing w:line="360" w:lineRule="auto"/>
        <w:rPr>
          <w:rFonts w:hint="eastAsia"/>
          <w:color w:val="auto"/>
          <w:szCs w:val="21"/>
          <w:highlight w:val="none"/>
        </w:rPr>
      </w:pPr>
      <w:r>
        <w:rPr>
          <w:rFonts w:hint="eastAsia"/>
          <w:color w:val="auto"/>
          <w:szCs w:val="21"/>
          <w:highlight w:val="none"/>
        </w:rPr>
        <w:t>名称：方大国际工程咨询股份有限公司</w:t>
      </w:r>
    </w:p>
    <w:p w14:paraId="52EA70A8">
      <w:pPr>
        <w:spacing w:line="360" w:lineRule="auto"/>
        <w:rPr>
          <w:rFonts w:hint="eastAsia"/>
          <w:color w:val="auto"/>
          <w:szCs w:val="21"/>
          <w:highlight w:val="none"/>
        </w:rPr>
      </w:pPr>
      <w:r>
        <w:rPr>
          <w:rFonts w:hint="eastAsia"/>
          <w:color w:val="auto"/>
          <w:szCs w:val="21"/>
          <w:highlight w:val="none"/>
        </w:rPr>
        <w:t>地址：开封市龙亭区育新街18号（雅居美域小区临街方大咨询）</w:t>
      </w:r>
    </w:p>
    <w:p w14:paraId="0E872982">
      <w:pPr>
        <w:spacing w:line="360" w:lineRule="auto"/>
        <w:rPr>
          <w:rFonts w:hint="eastAsia"/>
          <w:color w:val="auto"/>
          <w:szCs w:val="21"/>
          <w:highlight w:val="none"/>
        </w:rPr>
      </w:pPr>
      <w:r>
        <w:rPr>
          <w:rFonts w:hint="eastAsia"/>
          <w:color w:val="auto"/>
          <w:szCs w:val="21"/>
          <w:highlight w:val="none"/>
        </w:rPr>
        <w:t>联系人：王鑫</w:t>
      </w:r>
    </w:p>
    <w:p w14:paraId="3EB0386F">
      <w:pPr>
        <w:spacing w:line="360" w:lineRule="auto"/>
        <w:rPr>
          <w:rFonts w:hint="eastAsia"/>
          <w:color w:val="auto"/>
          <w:szCs w:val="21"/>
          <w:highlight w:val="none"/>
        </w:rPr>
      </w:pPr>
      <w:r>
        <w:rPr>
          <w:rFonts w:hint="eastAsia"/>
          <w:color w:val="auto"/>
          <w:szCs w:val="21"/>
          <w:highlight w:val="none"/>
        </w:rPr>
        <w:t>联系方式：0371-23234066</w:t>
      </w:r>
    </w:p>
    <w:p w14:paraId="5F8B21F0">
      <w:pPr>
        <w:spacing w:line="360" w:lineRule="auto"/>
        <w:rPr>
          <w:rFonts w:hint="eastAsia"/>
          <w:color w:val="auto"/>
          <w:szCs w:val="21"/>
          <w:highlight w:val="none"/>
        </w:rPr>
      </w:pPr>
      <w:r>
        <w:rPr>
          <w:rFonts w:hint="eastAsia"/>
          <w:color w:val="auto"/>
          <w:szCs w:val="21"/>
          <w:highlight w:val="none"/>
        </w:rPr>
        <w:t>3、项目联系方式</w:t>
      </w:r>
    </w:p>
    <w:p w14:paraId="34AC11C9">
      <w:pPr>
        <w:spacing w:line="360" w:lineRule="auto"/>
        <w:rPr>
          <w:rFonts w:hint="eastAsia"/>
          <w:color w:val="auto"/>
          <w:szCs w:val="21"/>
          <w:highlight w:val="none"/>
        </w:rPr>
      </w:pPr>
      <w:r>
        <w:rPr>
          <w:rFonts w:hint="eastAsia"/>
          <w:color w:val="auto"/>
          <w:szCs w:val="21"/>
          <w:highlight w:val="none"/>
        </w:rPr>
        <w:t>项目联系人：王鑫</w:t>
      </w:r>
    </w:p>
    <w:p w14:paraId="19B88F76">
      <w:pPr>
        <w:spacing w:line="360" w:lineRule="auto"/>
        <w:rPr>
          <w:color w:val="auto"/>
          <w:highlight w:val="none"/>
        </w:rPr>
      </w:pPr>
      <w:r>
        <w:rPr>
          <w:rFonts w:hint="eastAsia"/>
          <w:color w:val="auto"/>
          <w:szCs w:val="21"/>
          <w:highlight w:val="none"/>
        </w:rPr>
        <w:t>联系方式：0371-23234066</w:t>
      </w:r>
      <w:r>
        <w:rPr>
          <w:rFonts w:hint="eastAsia"/>
          <w:color w:val="auto"/>
          <w:szCs w:val="21"/>
          <w:highlight w:val="none"/>
        </w:rPr>
        <w:br w:type="page"/>
      </w:r>
    </w:p>
    <w:p w14:paraId="58645139">
      <w:pPr>
        <w:numPr>
          <w:ilvl w:val="0"/>
          <w:numId w:val="2"/>
        </w:numPr>
        <w:adjustRightInd w:val="0"/>
        <w:snapToGrid w:val="0"/>
        <w:outlineLvl w:val="0"/>
        <w:rPr>
          <w:rFonts w:hint="eastAsia" w:ascii="宋体" w:hAnsi="宋体" w:cs="宋体"/>
          <w:b/>
          <w:color w:val="auto"/>
          <w:spacing w:val="-26"/>
          <w:kern w:val="0"/>
          <w:sz w:val="32"/>
          <w:szCs w:val="32"/>
          <w:highlight w:val="none"/>
        </w:rPr>
      </w:pPr>
      <w:bookmarkStart w:id="84" w:name="_Toc10938"/>
      <w:r>
        <w:rPr>
          <w:rFonts w:hint="eastAsia" w:ascii="宋体" w:hAnsi="宋体" w:cs="宋体"/>
          <w:b/>
          <w:color w:val="auto"/>
          <w:spacing w:val="-26"/>
          <w:kern w:val="0"/>
          <w:sz w:val="32"/>
          <w:szCs w:val="32"/>
          <w:highlight w:val="none"/>
        </w:rPr>
        <w:t xml:space="preserve">    </w:t>
      </w:r>
      <w:bookmarkStart w:id="85" w:name="_Toc30134"/>
      <w:bookmarkStart w:id="86" w:name="_Toc16934"/>
      <w:r>
        <w:rPr>
          <w:rFonts w:hint="eastAsia" w:ascii="宋体" w:hAnsi="宋体" w:cs="宋体"/>
          <w:b/>
          <w:color w:val="auto"/>
          <w:spacing w:val="-26"/>
          <w:kern w:val="0"/>
          <w:sz w:val="32"/>
          <w:szCs w:val="32"/>
          <w:highlight w:val="none"/>
        </w:rPr>
        <w:t>投标人须知</w:t>
      </w:r>
      <w:bookmarkEnd w:id="84"/>
      <w:bookmarkEnd w:id="85"/>
      <w:bookmarkEnd w:id="86"/>
    </w:p>
    <w:p w14:paraId="1B8CC9C2">
      <w:pPr>
        <w:pStyle w:val="5"/>
        <w:spacing w:line="600" w:lineRule="exact"/>
        <w:jc w:val="center"/>
        <w:rPr>
          <w:rFonts w:hint="eastAsia" w:ascii="宋体" w:hAnsi="宋体"/>
          <w:color w:val="auto"/>
          <w:sz w:val="28"/>
          <w:highlight w:val="none"/>
        </w:rPr>
      </w:pPr>
      <w:bookmarkStart w:id="87" w:name="_Toc23470"/>
      <w:bookmarkStart w:id="88" w:name="_Toc257729921"/>
      <w:bookmarkStart w:id="89" w:name="_Toc22608"/>
      <w:bookmarkStart w:id="90" w:name="_Toc346029014"/>
      <w:r>
        <w:rPr>
          <w:rFonts w:hint="eastAsia" w:ascii="宋体" w:hAnsi="宋体"/>
          <w:color w:val="auto"/>
          <w:sz w:val="28"/>
          <w:highlight w:val="none"/>
        </w:rPr>
        <w:t>投标人须知前附表</w:t>
      </w:r>
      <w:bookmarkEnd w:id="87"/>
      <w:bookmarkEnd w:id="88"/>
      <w:bookmarkEnd w:id="89"/>
      <w:bookmarkEnd w:id="90"/>
    </w:p>
    <w:tbl>
      <w:tblPr>
        <w:tblStyle w:val="28"/>
        <w:tblW w:w="104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2"/>
        <w:gridCol w:w="2099"/>
        <w:gridCol w:w="10"/>
        <w:gridCol w:w="7444"/>
      </w:tblGrid>
      <w:tr w14:paraId="2CC34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0324C6FC">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2099" w:type="dxa"/>
            <w:tcBorders>
              <w:top w:val="single" w:color="auto" w:sz="4" w:space="0"/>
              <w:left w:val="single" w:color="auto" w:sz="4" w:space="0"/>
              <w:bottom w:val="single" w:color="auto" w:sz="4" w:space="0"/>
              <w:right w:val="single" w:color="auto" w:sz="4" w:space="0"/>
            </w:tcBorders>
            <w:vAlign w:val="center"/>
          </w:tcPr>
          <w:p w14:paraId="34F26B2B">
            <w:pPr>
              <w:spacing w:line="3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条 款 名 称</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53061E40">
            <w:pPr>
              <w:spacing w:line="3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编 列 内 容</w:t>
            </w:r>
          </w:p>
        </w:tc>
      </w:tr>
      <w:tr w14:paraId="69BD2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5BAC0DA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099" w:type="dxa"/>
            <w:tcBorders>
              <w:top w:val="single" w:color="auto" w:sz="4" w:space="0"/>
              <w:left w:val="single" w:color="auto" w:sz="4" w:space="0"/>
              <w:bottom w:val="single" w:color="auto" w:sz="4" w:space="0"/>
              <w:right w:val="single" w:color="auto" w:sz="4" w:space="0"/>
            </w:tcBorders>
            <w:vAlign w:val="center"/>
          </w:tcPr>
          <w:p w14:paraId="72942B49">
            <w:pPr>
              <w:spacing w:line="360" w:lineRule="exact"/>
              <w:jc w:val="center"/>
              <w:rPr>
                <w:rFonts w:hint="eastAsia" w:ascii="宋体" w:hAnsi="宋体" w:cs="宋体"/>
                <w:color w:val="auto"/>
                <w:szCs w:val="21"/>
                <w:highlight w:val="none"/>
              </w:rPr>
            </w:pPr>
            <w:r>
              <w:rPr>
                <w:rFonts w:hint="eastAsia" w:ascii="宋体" w:hAnsi="宋体" w:cs="宋体"/>
                <w:b/>
                <w:color w:val="auto"/>
                <w:szCs w:val="21"/>
                <w:highlight w:val="none"/>
              </w:rPr>
              <w:t xml:space="preserve"> </w:t>
            </w:r>
            <w:r>
              <w:rPr>
                <w:rFonts w:hint="eastAsia" w:ascii="宋体" w:hAnsi="宋体" w:cs="宋体"/>
                <w:color w:val="auto"/>
                <w:szCs w:val="21"/>
                <w:highlight w:val="none"/>
              </w:rPr>
              <w:t>招标人</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3F830C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sz w:val="21"/>
                <w:szCs w:val="21"/>
                <w:highlight w:val="none"/>
                <w:lang w:val="en" w:eastAsia="zh-CN"/>
              </w:rPr>
            </w:pPr>
            <w:r>
              <w:rPr>
                <w:rFonts w:hint="default" w:ascii="宋体" w:hAnsi="宋体" w:cs="宋体"/>
                <w:color w:val="000000"/>
                <w:sz w:val="21"/>
                <w:szCs w:val="21"/>
                <w:highlight w:val="none"/>
                <w:lang w:val="en"/>
              </w:rPr>
              <w:t>名  称：</w:t>
            </w:r>
            <w:r>
              <w:rPr>
                <w:rFonts w:hint="eastAsia" w:ascii="宋体" w:hAnsi="宋体" w:cs="宋体"/>
                <w:color w:val="000000"/>
                <w:sz w:val="21"/>
                <w:szCs w:val="21"/>
                <w:highlight w:val="none"/>
                <w:lang w:val="en" w:eastAsia="zh-CN"/>
              </w:rPr>
              <w:t>开封市人力资源和社会保障局</w:t>
            </w:r>
          </w:p>
          <w:p w14:paraId="16E9618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sz w:val="21"/>
                <w:szCs w:val="21"/>
                <w:highlight w:val="none"/>
                <w:lang w:val="en" w:eastAsia="zh-CN"/>
              </w:rPr>
            </w:pPr>
            <w:r>
              <w:rPr>
                <w:rFonts w:hint="eastAsia" w:ascii="宋体" w:hAnsi="宋体" w:eastAsia="宋体" w:cs="宋体"/>
                <w:color w:val="000000"/>
                <w:sz w:val="21"/>
                <w:szCs w:val="21"/>
                <w:highlight w:val="none"/>
                <w:lang w:val="en" w:eastAsia="zh-CN"/>
              </w:rPr>
              <w:t xml:space="preserve">地  址：开封市康平街1号  </w:t>
            </w:r>
          </w:p>
          <w:p w14:paraId="62FB78E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000000"/>
                <w:sz w:val="21"/>
                <w:szCs w:val="21"/>
                <w:highlight w:val="none"/>
                <w:lang w:val="en" w:eastAsia="zh-CN"/>
              </w:rPr>
            </w:pPr>
            <w:r>
              <w:rPr>
                <w:rFonts w:hint="eastAsia" w:ascii="宋体" w:hAnsi="宋体" w:eastAsia="宋体" w:cs="宋体"/>
                <w:color w:val="000000"/>
                <w:sz w:val="21"/>
                <w:szCs w:val="21"/>
                <w:highlight w:val="none"/>
                <w:lang w:val="en" w:eastAsia="zh-CN"/>
              </w:rPr>
              <w:t xml:space="preserve">联系人：张平友  </w:t>
            </w:r>
          </w:p>
          <w:p w14:paraId="4E5EBFA1">
            <w:pPr>
              <w:spacing w:line="360" w:lineRule="auto"/>
              <w:rPr>
                <w:rFonts w:hint="eastAsia" w:ascii="宋体" w:hAnsi="宋体" w:cs="宋体"/>
                <w:color w:val="auto"/>
                <w:szCs w:val="21"/>
                <w:highlight w:val="none"/>
              </w:rPr>
            </w:pPr>
            <w:r>
              <w:rPr>
                <w:rFonts w:hint="eastAsia" w:ascii="宋体" w:hAnsi="宋体" w:eastAsia="宋体" w:cs="宋体"/>
                <w:color w:val="000000"/>
                <w:sz w:val="21"/>
                <w:szCs w:val="21"/>
                <w:highlight w:val="none"/>
                <w:lang w:val="en" w:eastAsia="zh-CN"/>
              </w:rPr>
              <w:t xml:space="preserve">联系方式：0371-23870766 </w:t>
            </w:r>
          </w:p>
        </w:tc>
      </w:tr>
      <w:tr w14:paraId="2F125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188B2E0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099" w:type="dxa"/>
            <w:tcBorders>
              <w:top w:val="single" w:color="auto" w:sz="4" w:space="0"/>
              <w:left w:val="single" w:color="auto" w:sz="4" w:space="0"/>
              <w:bottom w:val="single" w:color="auto" w:sz="4" w:space="0"/>
              <w:right w:val="single" w:color="auto" w:sz="4" w:space="0"/>
            </w:tcBorders>
            <w:vAlign w:val="center"/>
          </w:tcPr>
          <w:p w14:paraId="2E71E43D">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代理机构</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624DD140">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招标</w:t>
            </w:r>
            <w:r>
              <w:rPr>
                <w:rFonts w:ascii="宋体" w:hAnsi="宋体" w:cs="宋体"/>
                <w:color w:val="auto"/>
                <w:szCs w:val="21"/>
                <w:highlight w:val="none"/>
              </w:rPr>
              <w:t>代理机构：</w:t>
            </w:r>
            <w:r>
              <w:rPr>
                <w:rFonts w:hint="eastAsia" w:ascii="宋体" w:hAnsi="宋体" w:cs="宋体"/>
                <w:color w:val="auto"/>
                <w:szCs w:val="21"/>
                <w:highlight w:val="none"/>
              </w:rPr>
              <w:t>方大国际工程咨询股份有限公司</w:t>
            </w:r>
          </w:p>
          <w:p w14:paraId="5E615CF7">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地址：开封市龙亭区育新街18号（雅居美域小区临街方大咨询）</w:t>
            </w:r>
          </w:p>
          <w:p w14:paraId="58384BF7">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联系人：</w:t>
            </w:r>
            <w:r>
              <w:rPr>
                <w:rFonts w:hint="eastAsia" w:ascii="宋体" w:hAnsi="宋体"/>
                <w:color w:val="auto"/>
                <w:sz w:val="22"/>
                <w:szCs w:val="22"/>
                <w:highlight w:val="none"/>
              </w:rPr>
              <w:t>王鑫</w:t>
            </w:r>
          </w:p>
          <w:p w14:paraId="02C73394">
            <w:pPr>
              <w:spacing w:line="324" w:lineRule="auto"/>
              <w:rPr>
                <w:rFonts w:hint="eastAsia" w:ascii="宋体" w:hAnsi="宋体" w:cs="宋体"/>
                <w:color w:val="auto"/>
                <w:szCs w:val="21"/>
                <w:highlight w:val="none"/>
              </w:rPr>
            </w:pPr>
            <w:r>
              <w:rPr>
                <w:rFonts w:ascii="宋体" w:hAnsi="宋体" w:cs="宋体"/>
                <w:color w:val="auto"/>
                <w:szCs w:val="21"/>
                <w:highlight w:val="none"/>
              </w:rPr>
              <w:t>联系方式</w:t>
            </w:r>
            <w:r>
              <w:rPr>
                <w:rFonts w:hint="eastAsia" w:ascii="宋体" w:hAnsi="宋体" w:cs="宋体"/>
                <w:color w:val="auto"/>
                <w:szCs w:val="21"/>
                <w:highlight w:val="none"/>
              </w:rPr>
              <w:t>：0371-23234066</w:t>
            </w:r>
          </w:p>
        </w:tc>
      </w:tr>
      <w:tr w14:paraId="37019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6DA0C1F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099" w:type="dxa"/>
            <w:tcBorders>
              <w:top w:val="single" w:color="auto" w:sz="4" w:space="0"/>
              <w:left w:val="single" w:color="auto" w:sz="4" w:space="0"/>
              <w:bottom w:val="single" w:color="auto" w:sz="4" w:space="0"/>
              <w:right w:val="single" w:color="auto" w:sz="4" w:space="0"/>
            </w:tcBorders>
            <w:vAlign w:val="center"/>
          </w:tcPr>
          <w:p w14:paraId="4B3D1FB4">
            <w:pPr>
              <w:autoSpaceDE w:val="0"/>
              <w:autoSpaceDN w:val="0"/>
              <w:adjustRightInd w:val="0"/>
              <w:jc w:val="center"/>
              <w:rPr>
                <w:rFonts w:hint="eastAsia" w:ascii="宋体" w:hAnsi="宋体" w:cs="宋体"/>
                <w:color w:val="auto"/>
                <w:szCs w:val="21"/>
                <w:highlight w:val="none"/>
              </w:rPr>
            </w:pPr>
            <w:r>
              <w:rPr>
                <w:rFonts w:hint="eastAsia" w:ascii="宋体" w:hAnsi="宋体" w:cs="宋体"/>
                <w:color w:val="auto"/>
                <w:kern w:val="0"/>
                <w:szCs w:val="21"/>
                <w:highlight w:val="none"/>
              </w:rPr>
              <w:t>项目名称</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02F61EA0">
            <w:pPr>
              <w:autoSpaceDE w:val="0"/>
              <w:autoSpaceDN w:val="0"/>
              <w:adjustRightInd w:val="0"/>
              <w:jc w:val="left"/>
              <w:rPr>
                <w:rFonts w:hint="eastAsia" w:ascii="宋体" w:hAnsi="宋体" w:eastAsia="宋体" w:cs="宋体"/>
                <w:bCs/>
                <w:color w:val="auto"/>
                <w:szCs w:val="21"/>
                <w:highlight w:val="none"/>
                <w:lang w:eastAsia="zh-CN"/>
              </w:rPr>
            </w:pPr>
            <w:r>
              <w:rPr>
                <w:rFonts w:hint="eastAsia" w:ascii="宋体" w:hAnsi="宋体" w:cs="Arial"/>
                <w:color w:val="auto"/>
                <w:kern w:val="0"/>
                <w:szCs w:val="21"/>
                <w:highlight w:val="none"/>
                <w:lang w:eastAsia="zh-CN"/>
              </w:rPr>
              <w:t>开封市人力资源和社会保障局全市2025年工伤预防普惠制宣传培训项目</w:t>
            </w:r>
          </w:p>
        </w:tc>
      </w:tr>
      <w:tr w14:paraId="55CA1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5348E3F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2099" w:type="dxa"/>
            <w:tcBorders>
              <w:top w:val="single" w:color="auto" w:sz="4" w:space="0"/>
              <w:left w:val="single" w:color="auto" w:sz="4" w:space="0"/>
              <w:bottom w:val="single" w:color="auto" w:sz="4" w:space="0"/>
              <w:right w:val="single" w:color="auto" w:sz="4" w:space="0"/>
            </w:tcBorders>
            <w:vAlign w:val="center"/>
          </w:tcPr>
          <w:p w14:paraId="2E5DF077">
            <w:pPr>
              <w:autoSpaceDE w:val="0"/>
              <w:autoSpaceDN w:val="0"/>
              <w:adjustRightInd w:val="0"/>
              <w:jc w:val="center"/>
              <w:rPr>
                <w:rFonts w:hint="eastAsia" w:ascii="宋体" w:hAnsi="宋体" w:cs="宋体"/>
                <w:color w:val="auto"/>
                <w:szCs w:val="21"/>
                <w:highlight w:val="none"/>
              </w:rPr>
            </w:pPr>
            <w:r>
              <w:rPr>
                <w:rFonts w:hint="eastAsia" w:ascii="宋体" w:hAnsi="宋体" w:cs="宋体"/>
                <w:color w:val="auto"/>
                <w:kern w:val="0"/>
                <w:szCs w:val="21"/>
                <w:highlight w:val="none"/>
              </w:rPr>
              <w:t>项目地点</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64DEE37D">
            <w:pPr>
              <w:autoSpaceDE w:val="0"/>
              <w:autoSpaceDN w:val="0"/>
              <w:adjustRightInd w:val="0"/>
              <w:jc w:val="left"/>
              <w:rPr>
                <w:rFonts w:hint="eastAsia" w:ascii="宋体" w:hAnsi="宋体" w:cs="宋体"/>
                <w:color w:val="auto"/>
                <w:szCs w:val="21"/>
                <w:highlight w:val="none"/>
              </w:rPr>
            </w:pPr>
            <w:r>
              <w:rPr>
                <w:rFonts w:hint="eastAsia" w:ascii="宋体" w:hAnsi="宋体" w:cs="宋体"/>
                <w:color w:val="auto"/>
                <w:szCs w:val="21"/>
                <w:highlight w:val="none"/>
              </w:rPr>
              <w:t>开封市，具体地点以采购人实际要求的为准；</w:t>
            </w:r>
          </w:p>
        </w:tc>
      </w:tr>
      <w:tr w14:paraId="4B4F1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462A638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099" w:type="dxa"/>
            <w:tcBorders>
              <w:top w:val="single" w:color="auto" w:sz="4" w:space="0"/>
              <w:left w:val="single" w:color="auto" w:sz="4" w:space="0"/>
              <w:bottom w:val="single" w:color="auto" w:sz="4" w:space="0"/>
              <w:right w:val="single" w:color="auto" w:sz="4" w:space="0"/>
            </w:tcBorders>
            <w:vAlign w:val="center"/>
          </w:tcPr>
          <w:p w14:paraId="633A22EA">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资金来源</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485A4D2A">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财政资金 </w:t>
            </w:r>
          </w:p>
        </w:tc>
      </w:tr>
      <w:tr w14:paraId="6C521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34F7BA1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2099" w:type="dxa"/>
            <w:tcBorders>
              <w:top w:val="single" w:color="auto" w:sz="4" w:space="0"/>
              <w:left w:val="single" w:color="auto" w:sz="4" w:space="0"/>
              <w:bottom w:val="single" w:color="auto" w:sz="4" w:space="0"/>
              <w:right w:val="single" w:color="auto" w:sz="4" w:space="0"/>
            </w:tcBorders>
            <w:vAlign w:val="center"/>
          </w:tcPr>
          <w:p w14:paraId="1EABE259">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出资比例</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431734D1">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100%</w:t>
            </w:r>
          </w:p>
        </w:tc>
      </w:tr>
      <w:tr w14:paraId="10737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2350629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2099" w:type="dxa"/>
            <w:tcBorders>
              <w:top w:val="single" w:color="auto" w:sz="4" w:space="0"/>
              <w:left w:val="single" w:color="auto" w:sz="4" w:space="0"/>
              <w:bottom w:val="single" w:color="auto" w:sz="4" w:space="0"/>
              <w:right w:val="single" w:color="auto" w:sz="4" w:space="0"/>
            </w:tcBorders>
            <w:vAlign w:val="center"/>
          </w:tcPr>
          <w:p w14:paraId="5DE2C4AB">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资金落实情况</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5F9FCC74">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已落实</w:t>
            </w:r>
          </w:p>
        </w:tc>
      </w:tr>
      <w:tr w14:paraId="75B90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381F1A8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2099" w:type="dxa"/>
            <w:tcBorders>
              <w:top w:val="single" w:color="auto" w:sz="4" w:space="0"/>
              <w:left w:val="single" w:color="auto" w:sz="4" w:space="0"/>
              <w:bottom w:val="single" w:color="auto" w:sz="4" w:space="0"/>
              <w:right w:val="single" w:color="auto" w:sz="4" w:space="0"/>
            </w:tcBorders>
            <w:vAlign w:val="center"/>
          </w:tcPr>
          <w:p w14:paraId="1C4953EF">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招标范围</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4425B5B7">
            <w:pPr>
              <w:spacing w:line="360" w:lineRule="exact"/>
              <w:rPr>
                <w:rFonts w:hint="eastAsia" w:ascii="宋体" w:hAnsi="宋体" w:cs="宋体"/>
                <w:color w:val="auto"/>
                <w:szCs w:val="21"/>
                <w:highlight w:val="none"/>
              </w:rPr>
            </w:pPr>
            <w:r>
              <w:rPr>
                <w:rFonts w:hint="eastAsia" w:ascii="宋体" w:hAnsi="宋体"/>
                <w:bCs/>
                <w:color w:val="000000"/>
                <w:sz w:val="21"/>
                <w:szCs w:val="21"/>
                <w:highlight w:val="none"/>
              </w:rPr>
              <w:t>组织开展车辆伤害事故（厂内和厂外）工伤事故预防大型培训及工伤预防领导力能力提升培训，制作工伤预防警示教育片45部；组织60家重点企业开展动态风险精准治理；制作《开封市工伤预防五年成效》专题宣传片，系统总结推广经验；同步建立标准化项目档案管理体系，并通过主流媒体开展系列深度报道。资金严格执行预算绩效目标，确保重点行业覆盖率达90%以上，全面提升企业工伤预防标准化水平。</w:t>
            </w:r>
          </w:p>
        </w:tc>
      </w:tr>
      <w:tr w14:paraId="68E46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568E642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2099" w:type="dxa"/>
            <w:tcBorders>
              <w:top w:val="single" w:color="auto" w:sz="4" w:space="0"/>
              <w:left w:val="single" w:color="auto" w:sz="4" w:space="0"/>
              <w:bottom w:val="single" w:color="auto" w:sz="4" w:space="0"/>
              <w:right w:val="single" w:color="auto" w:sz="4" w:space="0"/>
            </w:tcBorders>
            <w:vAlign w:val="center"/>
          </w:tcPr>
          <w:p w14:paraId="2FA4484A">
            <w:pPr>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服务期限</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4C7613DA">
            <w:pPr>
              <w:widowControl/>
              <w:spacing w:before="100" w:beforeAutospacing="1" w:after="100" w:afterAutospacing="1"/>
              <w:jc w:val="left"/>
              <w:rPr>
                <w:rFonts w:hint="eastAsia" w:ascii="宋体" w:hAnsi="宋体" w:cs="宋体"/>
                <w:color w:val="auto"/>
                <w:kern w:val="0"/>
                <w:szCs w:val="21"/>
                <w:highlight w:val="none"/>
              </w:rPr>
            </w:pPr>
            <w:r>
              <w:rPr>
                <w:rFonts w:hint="eastAsia" w:ascii="宋体" w:hAnsi="宋体" w:cs="宋体"/>
                <w:color w:val="auto"/>
                <w:sz w:val="21"/>
                <w:szCs w:val="21"/>
                <w:highlight w:val="none"/>
              </w:rPr>
              <w:t>2025年</w:t>
            </w:r>
            <w:r>
              <w:rPr>
                <w:rFonts w:hint="eastAsia" w:ascii="宋体" w:hAnsi="宋体" w:cs="宋体"/>
                <w:color w:val="auto"/>
                <w:sz w:val="21"/>
                <w:szCs w:val="21"/>
                <w:highlight w:val="none"/>
                <w:lang w:val="en-US" w:eastAsia="zh-CN"/>
              </w:rPr>
              <w:t>12</w:t>
            </w:r>
            <w:r>
              <w:rPr>
                <w:rFonts w:hint="eastAsia" w:ascii="宋体" w:hAnsi="宋体" w:cs="宋体"/>
                <w:color w:val="auto"/>
                <w:sz w:val="21"/>
                <w:szCs w:val="21"/>
                <w:highlight w:val="none"/>
              </w:rPr>
              <w:t>月</w:t>
            </w:r>
            <w:r>
              <w:rPr>
                <w:rFonts w:hint="eastAsia" w:ascii="宋体" w:hAnsi="宋体" w:cs="宋体"/>
                <w:color w:val="auto"/>
                <w:sz w:val="21"/>
                <w:szCs w:val="21"/>
                <w:highlight w:val="none"/>
                <w:lang w:val="en-US" w:eastAsia="zh-CN"/>
              </w:rPr>
              <w:t>10</w:t>
            </w:r>
            <w:r>
              <w:rPr>
                <w:rFonts w:hint="eastAsia" w:ascii="宋体" w:hAnsi="宋体" w:cs="宋体"/>
                <w:color w:val="auto"/>
                <w:sz w:val="21"/>
                <w:szCs w:val="21"/>
                <w:highlight w:val="none"/>
              </w:rPr>
              <w:t>日前完成全部服务工作；</w:t>
            </w:r>
          </w:p>
        </w:tc>
      </w:tr>
      <w:tr w14:paraId="459FB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1DF4A83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2099" w:type="dxa"/>
            <w:tcBorders>
              <w:top w:val="single" w:color="auto" w:sz="4" w:space="0"/>
              <w:left w:val="single" w:color="auto" w:sz="4" w:space="0"/>
              <w:bottom w:val="single" w:color="auto" w:sz="4" w:space="0"/>
              <w:right w:val="single" w:color="auto" w:sz="4" w:space="0"/>
            </w:tcBorders>
            <w:vAlign w:val="center"/>
          </w:tcPr>
          <w:p w14:paraId="4DE6E208">
            <w:pPr>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质量要求</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2D7A3DC0">
            <w:pPr>
              <w:pStyle w:val="37"/>
              <w:widowControl/>
              <w:rPr>
                <w:rFonts w:hint="eastAsia" w:hAnsi="宋体" w:cs="Arial"/>
                <w:color w:val="auto"/>
                <w:kern w:val="0"/>
                <w:sz w:val="21"/>
                <w:szCs w:val="21"/>
                <w:highlight w:val="none"/>
              </w:rPr>
            </w:pPr>
            <w:r>
              <w:rPr>
                <w:rFonts w:hint="eastAsia" w:ascii="宋体" w:hAnsi="宋体"/>
                <w:bCs/>
                <w:color w:val="auto"/>
                <w:sz w:val="21"/>
                <w:szCs w:val="21"/>
                <w:highlight w:val="none"/>
              </w:rPr>
              <w:t>合格，符合相关行业标准；</w:t>
            </w:r>
          </w:p>
        </w:tc>
      </w:tr>
      <w:tr w14:paraId="535A5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1B49F84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2099" w:type="dxa"/>
            <w:tcBorders>
              <w:top w:val="single" w:color="auto" w:sz="4" w:space="0"/>
              <w:left w:val="single" w:color="auto" w:sz="4" w:space="0"/>
              <w:bottom w:val="single" w:color="auto" w:sz="4" w:space="0"/>
              <w:right w:val="single" w:color="auto" w:sz="4" w:space="0"/>
            </w:tcBorders>
            <w:vAlign w:val="center"/>
          </w:tcPr>
          <w:p w14:paraId="7FC66394">
            <w:pPr>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付款方式</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757036D3">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伤预防费从工伤保险基金中列支，专款专用。市社保中心与供应商签订项目实施合同后，明确双方的权利义务、项目总费用和工伤预防费的收款单位或收款人名称、开户银行、账号等信息。根据合同约定，向供应商按一定比例先行支付预付款。</w:t>
            </w:r>
          </w:p>
          <w:p w14:paraId="3FB534A1">
            <w:pPr>
              <w:pStyle w:val="14"/>
              <w:spacing w:line="336" w:lineRule="auto"/>
              <w:rPr>
                <w:rFonts w:hint="eastAsia" w:hAnsi="宋体" w:cs="Arial"/>
                <w:color w:val="auto"/>
                <w:kern w:val="0"/>
                <w:highlight w:val="none"/>
              </w:rPr>
            </w:pPr>
            <w:r>
              <w:rPr>
                <w:rFonts w:hint="eastAsia" w:ascii="宋体" w:hAnsi="宋体" w:eastAsia="宋体" w:cs="宋体"/>
                <w:color w:val="auto"/>
                <w:sz w:val="21"/>
                <w:szCs w:val="21"/>
                <w:highlight w:val="none"/>
                <w:lang w:val="en-US" w:eastAsia="zh-CN"/>
              </w:rPr>
              <w:t>项目完成后，供应商向市人社局提供项目验收申请并附费用票据、项目实施有关明细等财务资料，申请结算项目余款。市人社局牵头组织联席会议成员单位对项目进行评估验收，评估验收合格后，按合同约定，向供应商支付项目余款。评估验收为不合格的，会要求供应商整改，合格后支付项目余款。整改后仍然不合格的，扣减合同约定比例的项目余款。</w:t>
            </w:r>
          </w:p>
        </w:tc>
      </w:tr>
      <w:tr w14:paraId="47B86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4B5F302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2099" w:type="dxa"/>
            <w:tcBorders>
              <w:top w:val="single" w:color="auto" w:sz="4" w:space="0"/>
              <w:left w:val="single" w:color="auto" w:sz="4" w:space="0"/>
              <w:bottom w:val="single" w:color="auto" w:sz="4" w:space="0"/>
              <w:right w:val="single" w:color="auto" w:sz="4" w:space="0"/>
            </w:tcBorders>
            <w:vAlign w:val="center"/>
          </w:tcPr>
          <w:p w14:paraId="1DC65F1F">
            <w:pPr>
              <w:spacing w:line="360" w:lineRule="exact"/>
              <w:jc w:val="center"/>
              <w:rPr>
                <w:rFonts w:hint="eastAsia" w:ascii="宋体" w:hAnsi="宋体" w:cs="宋体"/>
                <w:color w:val="auto"/>
                <w:szCs w:val="21"/>
                <w:highlight w:val="none"/>
              </w:rPr>
            </w:pPr>
            <w:r>
              <w:rPr>
                <w:rFonts w:hint="eastAsia" w:ascii="宋体" w:hAnsi="宋体" w:cs="仿宋_GB2312"/>
                <w:color w:val="auto"/>
                <w:kern w:val="0"/>
                <w:szCs w:val="21"/>
                <w:highlight w:val="none"/>
              </w:rPr>
              <w:t>投标人</w:t>
            </w:r>
            <w:r>
              <w:rPr>
                <w:rFonts w:hint="eastAsia" w:ascii="宋体" w:hAnsi="宋体" w:cs="宋体"/>
                <w:color w:val="auto"/>
                <w:szCs w:val="21"/>
                <w:highlight w:val="none"/>
              </w:rPr>
              <w:t>资质条件和能力</w:t>
            </w:r>
          </w:p>
        </w:tc>
        <w:tc>
          <w:tcPr>
            <w:tcW w:w="7454" w:type="dxa"/>
            <w:gridSpan w:val="2"/>
            <w:tcBorders>
              <w:top w:val="single" w:color="auto" w:sz="4" w:space="0"/>
              <w:left w:val="single" w:color="auto" w:sz="4" w:space="0"/>
              <w:bottom w:val="single" w:color="auto" w:sz="4" w:space="0"/>
              <w:right w:val="single" w:color="auto" w:sz="4" w:space="0"/>
            </w:tcBorders>
          </w:tcPr>
          <w:p w14:paraId="755C214A">
            <w:pPr>
              <w:autoSpaceDE w:val="0"/>
              <w:spacing w:line="360" w:lineRule="auto"/>
              <w:outlineLvl w:val="0"/>
              <w:rPr>
                <w:rFonts w:hint="eastAsia" w:ascii="宋体" w:hAnsi="宋体"/>
                <w:color w:val="auto"/>
                <w:sz w:val="22"/>
                <w:szCs w:val="22"/>
                <w:highlight w:val="none"/>
              </w:rPr>
            </w:pPr>
            <w:r>
              <w:rPr>
                <w:rFonts w:hint="eastAsia" w:ascii="宋体" w:hAnsi="宋体"/>
                <w:color w:val="auto"/>
                <w:sz w:val="22"/>
                <w:szCs w:val="22"/>
                <w:highlight w:val="none"/>
              </w:rPr>
              <w:t>1、满足《中华人民共和国政府采购法》第二十二条规定；</w:t>
            </w:r>
          </w:p>
          <w:p w14:paraId="5931DB0B">
            <w:pPr>
              <w:autoSpaceDE w:val="0"/>
              <w:spacing w:line="360" w:lineRule="auto"/>
              <w:outlineLvl w:val="0"/>
              <w:rPr>
                <w:rFonts w:hint="eastAsia" w:ascii="宋体" w:hAnsi="宋体"/>
                <w:color w:val="auto"/>
                <w:sz w:val="22"/>
                <w:szCs w:val="22"/>
                <w:highlight w:val="none"/>
              </w:rPr>
            </w:pPr>
            <w:r>
              <w:rPr>
                <w:rFonts w:hint="eastAsia" w:ascii="宋体" w:hAnsi="宋体"/>
                <w:color w:val="auto"/>
                <w:sz w:val="22"/>
                <w:szCs w:val="22"/>
                <w:highlight w:val="none"/>
              </w:rPr>
              <w:t>2、落实政府采购政策满足的资格要求：</w:t>
            </w:r>
          </w:p>
          <w:p w14:paraId="00091737">
            <w:pPr>
              <w:numPr>
                <w:ilvl w:val="0"/>
                <w:numId w:val="0"/>
              </w:numPr>
              <w:autoSpaceDE w:val="0"/>
              <w:spacing w:line="360" w:lineRule="auto"/>
              <w:ind w:firstLine="440" w:firstLineChars="200"/>
              <w:outlineLvl w:val="0"/>
              <w:rPr>
                <w:rFonts w:hint="eastAsia" w:ascii="宋体" w:hAnsi="宋体"/>
                <w:color w:val="auto"/>
                <w:sz w:val="22"/>
                <w:szCs w:val="22"/>
                <w:highlight w:val="none"/>
              </w:rPr>
            </w:pPr>
            <w:r>
              <w:rPr>
                <w:rFonts w:hint="eastAsia" w:ascii="宋体" w:hAnsi="宋体"/>
                <w:color w:val="auto"/>
                <w:sz w:val="22"/>
                <w:szCs w:val="22"/>
                <w:highlight w:val="none"/>
              </w:rPr>
              <w:t>本项目执行促进中小型企业发展政策（监狱企业、残疾人福利性企业视同小微企业）、强制采购节能产品、优先采购节能环保产品等政府采购政策。</w:t>
            </w:r>
          </w:p>
          <w:p w14:paraId="0C61F679">
            <w:pPr>
              <w:numPr>
                <w:ilvl w:val="0"/>
                <w:numId w:val="1"/>
              </w:numPr>
              <w:autoSpaceDE w:val="0"/>
              <w:spacing w:line="360" w:lineRule="auto"/>
              <w:outlineLvl w:val="0"/>
              <w:rPr>
                <w:rFonts w:hint="eastAsia" w:ascii="宋体" w:hAnsi="宋体"/>
                <w:color w:val="auto"/>
                <w:sz w:val="22"/>
                <w:szCs w:val="22"/>
                <w:highlight w:val="none"/>
              </w:rPr>
            </w:pPr>
            <w:r>
              <w:rPr>
                <w:rFonts w:hint="eastAsia" w:ascii="宋体" w:hAnsi="宋体"/>
                <w:color w:val="auto"/>
                <w:sz w:val="22"/>
                <w:szCs w:val="22"/>
                <w:highlight w:val="none"/>
              </w:rPr>
              <w:t>本项目的特定资格要求：</w:t>
            </w:r>
          </w:p>
          <w:p w14:paraId="24B3CD47">
            <w:pPr>
              <w:autoSpaceDE w:val="0"/>
              <w:spacing w:line="360" w:lineRule="auto"/>
              <w:outlineLvl w:val="0"/>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lang w:val="en-US" w:eastAsia="zh-CN"/>
              </w:rPr>
              <w:t>3</w:t>
            </w:r>
            <w:r>
              <w:rPr>
                <w:rFonts w:hint="eastAsia" w:ascii="宋体" w:hAnsi="宋体"/>
                <w:b w:val="0"/>
                <w:bCs w:val="0"/>
                <w:color w:val="auto"/>
                <w:sz w:val="22"/>
                <w:szCs w:val="22"/>
                <w:highlight w:val="none"/>
              </w:rPr>
              <w:t>.1、投标人需符合《中华人民共和国政府采购法》第二十二条规定，并提供以下资料：</w:t>
            </w:r>
          </w:p>
          <w:p w14:paraId="7AEB6B84">
            <w:pPr>
              <w:autoSpaceDE w:val="0"/>
              <w:spacing w:line="360" w:lineRule="auto"/>
              <w:outlineLvl w:val="0"/>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lang w:val="en-US" w:eastAsia="zh-CN"/>
              </w:rPr>
              <w:t>3</w:t>
            </w:r>
            <w:r>
              <w:rPr>
                <w:rFonts w:hint="eastAsia" w:ascii="宋体" w:hAnsi="宋体"/>
                <w:b w:val="0"/>
                <w:bCs w:val="0"/>
                <w:color w:val="auto"/>
                <w:sz w:val="22"/>
                <w:szCs w:val="22"/>
                <w:highlight w:val="none"/>
              </w:rPr>
              <w:t xml:space="preserve">.1.1具有独立承担民事责任的能力（提供有效的营业执照）； </w:t>
            </w:r>
          </w:p>
          <w:p w14:paraId="2EBFA18E">
            <w:pPr>
              <w:autoSpaceDE w:val="0"/>
              <w:spacing w:line="360" w:lineRule="auto"/>
              <w:outlineLvl w:val="0"/>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lang w:val="en-US" w:eastAsia="zh-CN"/>
              </w:rPr>
              <w:t>3</w:t>
            </w:r>
            <w:r>
              <w:rPr>
                <w:rFonts w:hint="eastAsia" w:ascii="宋体" w:hAnsi="宋体"/>
                <w:b w:val="0"/>
                <w:bCs w:val="0"/>
                <w:color w:val="auto"/>
                <w:sz w:val="22"/>
                <w:szCs w:val="22"/>
                <w:highlight w:val="none"/>
              </w:rPr>
              <w:t>.1.2具有良好的商业信誉和健全的财务会计制度（提供2023或2024年度的经第三方审计机构出具的审计报告（包含审计报告和审计报告中所涉及的财务报表和报表附注），若公司成立时间不足的，按实际成立年限提供财务报表或基本开户银行出具的有效期内的资信证明）；</w:t>
            </w:r>
          </w:p>
          <w:p w14:paraId="043F478B">
            <w:pPr>
              <w:autoSpaceDE w:val="0"/>
              <w:spacing w:line="360" w:lineRule="auto"/>
              <w:outlineLvl w:val="0"/>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lang w:val="en-US" w:eastAsia="zh-CN"/>
              </w:rPr>
              <w:t>3</w:t>
            </w:r>
            <w:r>
              <w:rPr>
                <w:rFonts w:hint="eastAsia" w:ascii="宋体" w:hAnsi="宋体"/>
                <w:b w:val="0"/>
                <w:bCs w:val="0"/>
                <w:color w:val="auto"/>
                <w:sz w:val="22"/>
                <w:szCs w:val="22"/>
                <w:highlight w:val="none"/>
              </w:rPr>
              <w:t>.1.3具有履行合同所必需的人员、设备和专业技术能力（提供证明材料或书面声明并加盖单位公章，格式自拟）；</w:t>
            </w:r>
          </w:p>
          <w:p w14:paraId="5BABFE0A">
            <w:pPr>
              <w:autoSpaceDE w:val="0"/>
              <w:spacing w:line="360" w:lineRule="auto"/>
              <w:outlineLvl w:val="0"/>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lang w:val="en-US" w:eastAsia="zh-CN"/>
              </w:rPr>
              <w:t>3</w:t>
            </w:r>
            <w:r>
              <w:rPr>
                <w:rFonts w:hint="eastAsia" w:ascii="宋体" w:hAnsi="宋体"/>
                <w:b w:val="0"/>
                <w:bCs w:val="0"/>
                <w:color w:val="auto"/>
                <w:sz w:val="22"/>
                <w:szCs w:val="22"/>
                <w:highlight w:val="none"/>
              </w:rPr>
              <w:t>.1.4有依法缴纳税收和社会保障资金的良好记录（提供单位2025年1月1日以来任意一个月依法缴纳税收和社会保障资金的证明材料；依法免税或不需要缴纳社会保障资金的投标人，应提供相应证明文件）；</w:t>
            </w:r>
          </w:p>
          <w:p w14:paraId="4562BAE0">
            <w:pPr>
              <w:autoSpaceDE w:val="0"/>
              <w:spacing w:line="360" w:lineRule="auto"/>
              <w:outlineLvl w:val="0"/>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lang w:val="en-US" w:eastAsia="zh-CN"/>
              </w:rPr>
              <w:t>3</w:t>
            </w:r>
            <w:r>
              <w:rPr>
                <w:rFonts w:hint="eastAsia" w:ascii="宋体" w:hAnsi="宋体"/>
                <w:b w:val="0"/>
                <w:bCs w:val="0"/>
                <w:color w:val="auto"/>
                <w:sz w:val="22"/>
                <w:szCs w:val="22"/>
                <w:highlight w:val="none"/>
              </w:rPr>
              <w:t>.1.5参加政府采购活动前三年内，在经营活动中没有重大违法记录（提供书面声明并加盖单位公章，格式自拟）；</w:t>
            </w:r>
          </w:p>
          <w:p w14:paraId="0092E9E0">
            <w:pPr>
              <w:autoSpaceDE w:val="0"/>
              <w:spacing w:line="360" w:lineRule="auto"/>
              <w:outlineLvl w:val="0"/>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lang w:val="en-US" w:eastAsia="zh-CN"/>
              </w:rPr>
              <w:t>3</w:t>
            </w:r>
            <w:r>
              <w:rPr>
                <w:rFonts w:hint="eastAsia" w:ascii="宋体" w:hAnsi="宋体"/>
                <w:b w:val="0"/>
                <w:bCs w:val="0"/>
                <w:color w:val="auto"/>
                <w:sz w:val="22"/>
                <w:szCs w:val="22"/>
                <w:highlight w:val="none"/>
              </w:rPr>
              <w:t>.1.6法律、行政法规规定的其他条件。</w:t>
            </w:r>
          </w:p>
          <w:p w14:paraId="33A3B7D5">
            <w:pPr>
              <w:autoSpaceDE w:val="0"/>
              <w:spacing w:line="360" w:lineRule="auto"/>
              <w:outlineLvl w:val="0"/>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lang w:val="en-US" w:eastAsia="zh-CN"/>
              </w:rPr>
              <w:t>3</w:t>
            </w:r>
            <w:r>
              <w:rPr>
                <w:rFonts w:hint="eastAsia" w:ascii="宋体" w:hAnsi="宋体"/>
                <w:b w:val="0"/>
                <w:bCs w:val="0"/>
                <w:color w:val="auto"/>
                <w:sz w:val="22"/>
                <w:szCs w:val="22"/>
                <w:highlight w:val="none"/>
              </w:rPr>
              <w:t>.2、信誉要求：根据《关于在政府采购活动中查询及使用信用记录有关问题的通知》(财库[2016]125号)和豫财购【2016】15号的规定，对列入失信被执行人、重大税收违法失信主体、政府采购严重违法失信行为记录名单的投标人，拒绝参与本项目政府采购活动；【查询渠道：中国执行信息公开网查询“失信被执行人”、“信用中国”网站（www.creditchina.gov.cn）查询“重大税收违法失信主体”、中国政府采购网（www.ccgp.gov.cn）查询“政府采购严重违法失信行为记录名单”。】</w:t>
            </w:r>
          </w:p>
          <w:p w14:paraId="66FA15D0">
            <w:pPr>
              <w:spacing w:line="360" w:lineRule="exact"/>
              <w:jc w:val="left"/>
              <w:rPr>
                <w:color w:val="auto"/>
                <w:highlight w:val="none"/>
              </w:rPr>
            </w:pPr>
            <w:r>
              <w:rPr>
                <w:rFonts w:hint="eastAsia" w:ascii="宋体" w:hAnsi="宋体"/>
                <w:b w:val="0"/>
                <w:bCs w:val="0"/>
                <w:color w:val="auto"/>
                <w:sz w:val="22"/>
                <w:szCs w:val="22"/>
                <w:highlight w:val="none"/>
                <w:lang w:val="en-US" w:eastAsia="zh-CN"/>
              </w:rPr>
              <w:t>3</w:t>
            </w:r>
            <w:r>
              <w:rPr>
                <w:rFonts w:hint="eastAsia" w:ascii="宋体" w:hAnsi="宋体"/>
                <w:b w:val="0"/>
                <w:bCs w:val="0"/>
                <w:color w:val="auto"/>
                <w:sz w:val="22"/>
                <w:szCs w:val="22"/>
                <w:highlight w:val="none"/>
              </w:rPr>
              <w:t>.</w:t>
            </w:r>
            <w:r>
              <w:rPr>
                <w:rFonts w:hint="eastAsia" w:ascii="宋体" w:hAnsi="宋体"/>
                <w:b w:val="0"/>
                <w:bCs w:val="0"/>
                <w:color w:val="auto"/>
                <w:sz w:val="22"/>
                <w:szCs w:val="22"/>
                <w:highlight w:val="none"/>
                <w:lang w:val="en-US" w:eastAsia="zh-CN"/>
              </w:rPr>
              <w:t>3</w:t>
            </w:r>
            <w:r>
              <w:rPr>
                <w:rFonts w:hint="eastAsia" w:ascii="宋体" w:hAnsi="宋体"/>
                <w:b w:val="0"/>
                <w:bCs w:val="0"/>
                <w:color w:val="auto"/>
                <w:sz w:val="22"/>
                <w:szCs w:val="22"/>
                <w:highlight w:val="none"/>
              </w:rPr>
              <w:t>.本项目不接受联合体投标。</w:t>
            </w:r>
          </w:p>
        </w:tc>
      </w:tr>
      <w:tr w14:paraId="0E601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0955A853">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13</w:t>
            </w:r>
          </w:p>
        </w:tc>
        <w:tc>
          <w:tcPr>
            <w:tcW w:w="2099" w:type="dxa"/>
            <w:tcBorders>
              <w:top w:val="single" w:color="auto" w:sz="4" w:space="0"/>
              <w:left w:val="single" w:color="auto" w:sz="4" w:space="0"/>
              <w:bottom w:val="single" w:color="auto" w:sz="4" w:space="0"/>
              <w:right w:val="single" w:color="auto" w:sz="4" w:space="0"/>
            </w:tcBorders>
            <w:vAlign w:val="center"/>
          </w:tcPr>
          <w:p w14:paraId="36273D63">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是否接受联合体投标</w:t>
            </w:r>
          </w:p>
        </w:tc>
        <w:tc>
          <w:tcPr>
            <w:tcW w:w="7454" w:type="dxa"/>
            <w:gridSpan w:val="2"/>
            <w:tcBorders>
              <w:top w:val="single" w:color="auto" w:sz="4" w:space="0"/>
              <w:left w:val="single" w:color="auto" w:sz="4" w:space="0"/>
              <w:bottom w:val="single" w:color="auto" w:sz="4" w:space="0"/>
              <w:right w:val="single" w:color="auto" w:sz="4" w:space="0"/>
            </w:tcBorders>
          </w:tcPr>
          <w:p w14:paraId="1A6AD283">
            <w:pPr>
              <w:spacing w:line="360" w:lineRule="exact"/>
              <w:jc w:val="left"/>
              <w:rPr>
                <w:rFonts w:hint="eastAsia" w:ascii="宋体" w:hAnsi="宋体" w:cs="宋体"/>
                <w:color w:val="auto"/>
                <w:szCs w:val="21"/>
                <w:highlight w:val="none"/>
              </w:rPr>
            </w:pPr>
            <w:r>
              <w:rPr>
                <w:rFonts w:ascii="宋体" w:hAnsi="宋体"/>
                <w:color w:val="auto"/>
                <w:szCs w:val="21"/>
                <w:highlight w:val="none"/>
              </w:rPr>
              <w:fldChar w:fldCharType="begin"/>
            </w:r>
            <w:r>
              <w:rPr>
                <w:rFonts w:hint="eastAsia" w:ascii="宋体" w:hAnsi="宋体" w:cs="宋体"/>
                <w:color w:val="auto"/>
                <w:szCs w:val="21"/>
                <w:highlight w:val="none"/>
              </w:rPr>
              <w:instrText xml:space="preserve"> eq \o\ac(</w:instrText>
            </w:r>
            <w:r>
              <w:rPr>
                <w:rFonts w:hint="eastAsia" w:ascii="宋体" w:hAnsi="宋体" w:cs="宋体"/>
                <w:color w:val="auto"/>
                <w:position w:val="-4"/>
                <w:szCs w:val="21"/>
                <w:highlight w:val="none"/>
              </w:rPr>
              <w:instrText xml:space="preserve">□</w:instrText>
            </w:r>
            <w:r>
              <w:rPr>
                <w:rFonts w:hint="eastAsia" w:ascii="宋体" w:hAnsi="宋体" w:cs="宋体"/>
                <w:color w:val="auto"/>
                <w:szCs w:val="21"/>
                <w:highlight w:val="none"/>
              </w:rPr>
              <w:instrText xml:space="preserve">,√)</w:instrText>
            </w:r>
            <w:r>
              <w:rPr>
                <w:rFonts w:ascii="宋体" w:hAnsi="宋体"/>
                <w:color w:val="auto"/>
                <w:szCs w:val="21"/>
                <w:highlight w:val="none"/>
              </w:rPr>
              <w:fldChar w:fldCharType="end"/>
            </w:r>
            <w:r>
              <w:rPr>
                <w:rFonts w:hint="eastAsia" w:ascii="宋体" w:hAnsi="宋体" w:cs="宋体"/>
                <w:color w:val="auto"/>
                <w:szCs w:val="21"/>
                <w:highlight w:val="none"/>
              </w:rPr>
              <w:t>不接受</w:t>
            </w:r>
          </w:p>
          <w:p w14:paraId="0F1AB360">
            <w:pPr>
              <w:numPr>
                <w:ilvl w:val="0"/>
                <w:numId w:val="3"/>
              </w:numPr>
              <w:spacing w:line="360" w:lineRule="exact"/>
              <w:ind w:left="0" w:firstLine="0"/>
              <w:jc w:val="left"/>
              <w:rPr>
                <w:rFonts w:hint="eastAsia" w:ascii="宋体" w:hAnsi="宋体" w:cs="宋体"/>
                <w:color w:val="auto"/>
                <w:szCs w:val="21"/>
                <w:highlight w:val="none"/>
              </w:rPr>
            </w:pPr>
            <w:r>
              <w:rPr>
                <w:rFonts w:hint="eastAsia" w:ascii="宋体" w:hAnsi="宋体" w:cs="宋体"/>
                <w:color w:val="auto"/>
                <w:szCs w:val="21"/>
                <w:highlight w:val="none"/>
              </w:rPr>
              <w:t>接受,应满足下列要求:</w:t>
            </w:r>
          </w:p>
        </w:tc>
      </w:tr>
      <w:tr w14:paraId="4176C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18641698">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14</w:t>
            </w:r>
          </w:p>
        </w:tc>
        <w:tc>
          <w:tcPr>
            <w:tcW w:w="2099" w:type="dxa"/>
            <w:tcBorders>
              <w:top w:val="single" w:color="auto" w:sz="4" w:space="0"/>
              <w:left w:val="single" w:color="auto" w:sz="4" w:space="0"/>
              <w:bottom w:val="single" w:color="auto" w:sz="4" w:space="0"/>
              <w:right w:val="single" w:color="auto" w:sz="4" w:space="0"/>
            </w:tcBorders>
            <w:vAlign w:val="center"/>
          </w:tcPr>
          <w:p w14:paraId="52C385E2">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构成招标文件的其他材料</w:t>
            </w:r>
          </w:p>
        </w:tc>
        <w:tc>
          <w:tcPr>
            <w:tcW w:w="7454" w:type="dxa"/>
            <w:gridSpan w:val="2"/>
            <w:tcBorders>
              <w:top w:val="single" w:color="auto" w:sz="4" w:space="0"/>
              <w:left w:val="single" w:color="auto" w:sz="4" w:space="0"/>
              <w:bottom w:val="single" w:color="auto" w:sz="4" w:space="0"/>
              <w:right w:val="single" w:color="auto" w:sz="4" w:space="0"/>
            </w:tcBorders>
          </w:tcPr>
          <w:p w14:paraId="31F3FF93">
            <w:pPr>
              <w:spacing w:line="360" w:lineRule="exact"/>
              <w:jc w:val="left"/>
              <w:rPr>
                <w:rFonts w:hint="eastAsia" w:ascii="宋体" w:hAnsi="宋体" w:cs="宋体"/>
                <w:color w:val="auto"/>
                <w:szCs w:val="21"/>
                <w:highlight w:val="none"/>
              </w:rPr>
            </w:pPr>
            <w:r>
              <w:rPr>
                <w:rFonts w:hint="eastAsia" w:ascii="宋体" w:hAnsi="宋体" w:cs="宋体"/>
                <w:color w:val="auto"/>
                <w:szCs w:val="21"/>
                <w:highlight w:val="none"/>
              </w:rPr>
              <w:t>招标文件补充文件、澄清、修改、答疑。</w:t>
            </w:r>
          </w:p>
          <w:p w14:paraId="78A08763">
            <w:pPr>
              <w:spacing w:line="360" w:lineRule="exact"/>
              <w:jc w:val="left"/>
              <w:rPr>
                <w:rFonts w:hint="eastAsia" w:ascii="宋体" w:hAnsi="宋体" w:cs="宋体"/>
                <w:color w:val="auto"/>
                <w:szCs w:val="21"/>
                <w:highlight w:val="none"/>
              </w:rPr>
            </w:pPr>
            <w:r>
              <w:rPr>
                <w:rFonts w:hint="eastAsia" w:ascii="宋体" w:hAnsi="宋体" w:cs="宋体"/>
                <w:color w:val="auto"/>
                <w:szCs w:val="21"/>
                <w:highlight w:val="none"/>
              </w:rPr>
              <w:t>当招标文件、补充（答疑）通知文件内容相互矛盾时，以最后发出的文件为准</w:t>
            </w:r>
          </w:p>
        </w:tc>
      </w:tr>
      <w:tr w14:paraId="6BFEE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054D86F7">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15</w:t>
            </w:r>
          </w:p>
        </w:tc>
        <w:tc>
          <w:tcPr>
            <w:tcW w:w="2099" w:type="dxa"/>
            <w:tcBorders>
              <w:top w:val="single" w:color="auto" w:sz="4" w:space="0"/>
              <w:left w:val="single" w:color="auto" w:sz="4" w:space="0"/>
              <w:bottom w:val="single" w:color="auto" w:sz="4" w:space="0"/>
              <w:right w:val="single" w:color="auto" w:sz="4" w:space="0"/>
            </w:tcBorders>
            <w:vAlign w:val="center"/>
          </w:tcPr>
          <w:p w14:paraId="0A3F6955">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投标截止时间</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3DB88CD0">
            <w:pPr>
              <w:spacing w:line="360" w:lineRule="exact"/>
              <w:rPr>
                <w:rFonts w:hint="eastAsia" w:ascii="宋体" w:hAnsi="宋体" w:cs="宋体"/>
                <w:color w:val="auto"/>
                <w:szCs w:val="21"/>
                <w:highlight w:val="none"/>
              </w:rPr>
            </w:pPr>
            <w:r>
              <w:rPr>
                <w:rFonts w:hint="eastAsia" w:ascii="宋体" w:hAnsi="宋体"/>
                <w:b/>
                <w:bCs/>
                <w:color w:val="auto"/>
                <w:sz w:val="22"/>
                <w:szCs w:val="22"/>
                <w:highlight w:val="none"/>
              </w:rPr>
              <w:t>2025年</w:t>
            </w:r>
            <w:r>
              <w:rPr>
                <w:rFonts w:hint="eastAsia" w:ascii="宋体" w:hAnsi="宋体"/>
                <w:b/>
                <w:bCs/>
                <w:color w:val="auto"/>
                <w:sz w:val="22"/>
                <w:szCs w:val="22"/>
                <w:highlight w:val="none"/>
                <w:lang w:val="en-US" w:eastAsia="zh-CN"/>
              </w:rPr>
              <w:t>11</w:t>
            </w:r>
            <w:r>
              <w:rPr>
                <w:rFonts w:hint="eastAsia" w:ascii="宋体" w:hAnsi="宋体"/>
                <w:b/>
                <w:bCs/>
                <w:color w:val="auto"/>
                <w:sz w:val="22"/>
                <w:szCs w:val="22"/>
                <w:highlight w:val="none"/>
              </w:rPr>
              <w:t>月</w:t>
            </w:r>
            <w:r>
              <w:rPr>
                <w:rFonts w:hint="eastAsia" w:ascii="宋体" w:hAnsi="宋体"/>
                <w:b/>
                <w:bCs/>
                <w:color w:val="auto"/>
                <w:sz w:val="22"/>
                <w:szCs w:val="22"/>
                <w:highlight w:val="none"/>
                <w:lang w:val="en-US" w:eastAsia="zh-CN"/>
              </w:rPr>
              <w:t>07</w:t>
            </w:r>
            <w:r>
              <w:rPr>
                <w:rFonts w:hint="eastAsia" w:ascii="宋体" w:hAnsi="宋体"/>
                <w:b/>
                <w:bCs/>
                <w:color w:val="auto"/>
                <w:sz w:val="22"/>
                <w:szCs w:val="22"/>
                <w:highlight w:val="none"/>
              </w:rPr>
              <w:t>日上午9点</w:t>
            </w:r>
            <w:r>
              <w:rPr>
                <w:rFonts w:hint="eastAsia" w:ascii="宋体" w:hAnsi="宋体"/>
                <w:b/>
                <w:bCs/>
                <w:color w:val="auto"/>
                <w:sz w:val="22"/>
                <w:szCs w:val="22"/>
                <w:highlight w:val="none"/>
                <w:lang w:val="en-US" w:eastAsia="zh-CN"/>
              </w:rPr>
              <w:t>30</w:t>
            </w:r>
            <w:r>
              <w:rPr>
                <w:rFonts w:hint="eastAsia" w:ascii="宋体" w:hAnsi="宋体"/>
                <w:b/>
                <w:bCs/>
                <w:color w:val="auto"/>
                <w:sz w:val="22"/>
                <w:szCs w:val="22"/>
                <w:highlight w:val="none"/>
              </w:rPr>
              <w:t>分（北京时间）</w:t>
            </w:r>
          </w:p>
        </w:tc>
      </w:tr>
      <w:tr w14:paraId="5E83A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2C8FD8CA">
            <w:pPr>
              <w:spacing w:line="420" w:lineRule="atLeast"/>
              <w:jc w:val="center"/>
              <w:rPr>
                <w:rFonts w:hint="eastAsia" w:ascii="宋体" w:hAnsi="宋体" w:cs="宋体"/>
                <w:b/>
                <w:color w:val="auto"/>
                <w:spacing w:val="20"/>
                <w:szCs w:val="21"/>
                <w:highlight w:val="none"/>
              </w:rPr>
            </w:pPr>
            <w:r>
              <w:rPr>
                <w:rFonts w:hint="eastAsia" w:ascii="宋体" w:hAnsi="宋体" w:cs="宋体"/>
                <w:color w:val="auto"/>
                <w:szCs w:val="21"/>
                <w:highlight w:val="none"/>
              </w:rPr>
              <w:t>16</w:t>
            </w:r>
          </w:p>
        </w:tc>
        <w:tc>
          <w:tcPr>
            <w:tcW w:w="2099" w:type="dxa"/>
            <w:tcBorders>
              <w:top w:val="single" w:color="auto" w:sz="4" w:space="0"/>
              <w:left w:val="single" w:color="auto" w:sz="4" w:space="0"/>
              <w:bottom w:val="single" w:color="auto" w:sz="4" w:space="0"/>
              <w:right w:val="single" w:color="auto" w:sz="4" w:space="0"/>
            </w:tcBorders>
            <w:vAlign w:val="center"/>
          </w:tcPr>
          <w:p w14:paraId="257C8757">
            <w:pPr>
              <w:spacing w:line="360" w:lineRule="exact"/>
              <w:jc w:val="center"/>
              <w:rPr>
                <w:rFonts w:hint="eastAsia" w:ascii="宋体" w:hAnsi="宋体" w:cs="宋体"/>
                <w:b/>
                <w:color w:val="auto"/>
                <w:szCs w:val="21"/>
                <w:highlight w:val="none"/>
              </w:rPr>
            </w:pPr>
            <w:r>
              <w:rPr>
                <w:rFonts w:hint="eastAsia" w:ascii="宋体" w:hAnsi="宋体" w:cs="宋体"/>
                <w:color w:val="auto"/>
                <w:szCs w:val="21"/>
                <w:highlight w:val="none"/>
              </w:rPr>
              <w:t>投标有效期</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3560D2CC">
            <w:pPr>
              <w:spacing w:line="360" w:lineRule="exact"/>
              <w:jc w:val="left"/>
              <w:rPr>
                <w:rFonts w:hint="eastAsia" w:ascii="宋体" w:hAnsi="宋体"/>
                <w:color w:val="auto"/>
                <w:szCs w:val="21"/>
                <w:highlight w:val="none"/>
              </w:rPr>
            </w:pPr>
            <w:r>
              <w:rPr>
                <w:rFonts w:hint="eastAsia" w:ascii="宋体" w:hAnsi="宋体" w:cs="宋体"/>
                <w:color w:val="auto"/>
                <w:szCs w:val="21"/>
                <w:highlight w:val="none"/>
              </w:rPr>
              <w:t>投标截止时间起60日历天</w:t>
            </w:r>
          </w:p>
        </w:tc>
      </w:tr>
      <w:tr w14:paraId="1F4CD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7C894CB9">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17</w:t>
            </w:r>
          </w:p>
        </w:tc>
        <w:tc>
          <w:tcPr>
            <w:tcW w:w="2099" w:type="dxa"/>
            <w:tcBorders>
              <w:top w:val="single" w:color="auto" w:sz="4" w:space="0"/>
              <w:left w:val="single" w:color="auto" w:sz="4" w:space="0"/>
              <w:bottom w:val="single" w:color="auto" w:sz="4" w:space="0"/>
              <w:right w:val="single" w:color="auto" w:sz="4" w:space="0"/>
            </w:tcBorders>
            <w:vAlign w:val="center"/>
          </w:tcPr>
          <w:p w14:paraId="3A515902">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是否允许递交备选投标方案</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5DD068AF">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不允许</w:t>
            </w:r>
          </w:p>
        </w:tc>
      </w:tr>
      <w:tr w14:paraId="18A36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629E6246">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18</w:t>
            </w:r>
          </w:p>
        </w:tc>
        <w:tc>
          <w:tcPr>
            <w:tcW w:w="2099" w:type="dxa"/>
            <w:tcBorders>
              <w:top w:val="single" w:color="auto" w:sz="4" w:space="0"/>
              <w:left w:val="single" w:color="auto" w:sz="4" w:space="0"/>
              <w:bottom w:val="single" w:color="auto" w:sz="4" w:space="0"/>
              <w:right w:val="single" w:color="auto" w:sz="4" w:space="0"/>
            </w:tcBorders>
            <w:vAlign w:val="center"/>
          </w:tcPr>
          <w:p w14:paraId="712CFA55">
            <w:pPr>
              <w:spacing w:line="360" w:lineRule="exact"/>
              <w:jc w:val="center"/>
              <w:rPr>
                <w:rFonts w:hint="eastAsia" w:ascii="宋体" w:hAnsi="宋体"/>
                <w:color w:val="auto"/>
                <w:szCs w:val="21"/>
                <w:highlight w:val="none"/>
              </w:rPr>
            </w:pPr>
            <w:r>
              <w:rPr>
                <w:rFonts w:hint="eastAsia" w:ascii="宋体" w:hAnsi="宋体"/>
                <w:color w:val="auto"/>
                <w:szCs w:val="21"/>
                <w:highlight w:val="none"/>
              </w:rPr>
              <w:t>偏离</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658C8616">
            <w:pPr>
              <w:spacing w:line="360" w:lineRule="exact"/>
              <w:jc w:val="left"/>
              <w:rPr>
                <w:rFonts w:hint="eastAsia" w:ascii="宋体" w:hAnsi="宋体"/>
                <w:color w:val="auto"/>
                <w:szCs w:val="21"/>
                <w:highlight w:val="none"/>
              </w:rPr>
            </w:pPr>
            <w:r>
              <w:rPr>
                <w:rFonts w:hint="eastAsia" w:ascii="宋体" w:hAnsi="宋体"/>
                <w:color w:val="auto"/>
                <w:szCs w:val="21"/>
                <w:highlight w:val="none"/>
              </w:rPr>
              <w:t>不允许下列重大偏离：</w:t>
            </w:r>
          </w:p>
          <w:p w14:paraId="5B00F9E5">
            <w:pPr>
              <w:spacing w:line="360" w:lineRule="exact"/>
              <w:jc w:val="left"/>
              <w:rPr>
                <w:rFonts w:hint="eastAsia" w:ascii="宋体" w:hAnsi="宋体"/>
                <w:color w:val="auto"/>
                <w:szCs w:val="21"/>
                <w:highlight w:val="none"/>
              </w:rPr>
            </w:pPr>
            <w:r>
              <w:rPr>
                <w:rFonts w:hint="eastAsia" w:ascii="宋体" w:hAnsi="宋体"/>
                <w:color w:val="auto"/>
                <w:szCs w:val="21"/>
                <w:highlight w:val="none"/>
              </w:rPr>
              <w:t>经评标委员会审查后，投标文件有下列情形之一的，视为未能实质性响应招标文件，应认定为无效标（即废标）：</w:t>
            </w:r>
          </w:p>
          <w:p w14:paraId="4F7FA25A">
            <w:pPr>
              <w:spacing w:line="360" w:lineRule="exact"/>
              <w:jc w:val="left"/>
              <w:rPr>
                <w:rFonts w:hint="eastAsia" w:ascii="宋体" w:hAnsi="宋体"/>
                <w:color w:val="auto"/>
                <w:szCs w:val="21"/>
                <w:highlight w:val="none"/>
              </w:rPr>
            </w:pPr>
            <w:r>
              <w:rPr>
                <w:rFonts w:hint="eastAsia" w:ascii="宋体" w:hAnsi="宋体"/>
                <w:color w:val="auto"/>
                <w:szCs w:val="21"/>
                <w:highlight w:val="none"/>
              </w:rPr>
              <w:t>1、投标文件没有按要求进行投标人法定代表人或授权代表人签字、盖章和加盖投标人公章的；</w:t>
            </w:r>
          </w:p>
          <w:p w14:paraId="6E844091">
            <w:pPr>
              <w:spacing w:line="360" w:lineRule="exact"/>
              <w:jc w:val="left"/>
              <w:rPr>
                <w:rFonts w:hint="eastAsia" w:ascii="宋体" w:hAnsi="宋体"/>
                <w:color w:val="auto"/>
                <w:szCs w:val="21"/>
                <w:highlight w:val="none"/>
              </w:rPr>
            </w:pPr>
            <w:r>
              <w:rPr>
                <w:rFonts w:hint="eastAsia" w:ascii="宋体" w:hAnsi="宋体"/>
                <w:color w:val="auto"/>
                <w:szCs w:val="21"/>
                <w:highlight w:val="none"/>
              </w:rPr>
              <w:t>2、投标文件载明的项目完成期限负偏离于招标文件规定的期限的；</w:t>
            </w:r>
          </w:p>
          <w:p w14:paraId="62ADEDC4">
            <w:pPr>
              <w:spacing w:line="360" w:lineRule="exact"/>
              <w:jc w:val="left"/>
              <w:rPr>
                <w:rFonts w:hint="eastAsia" w:ascii="宋体" w:hAnsi="宋体"/>
                <w:color w:val="auto"/>
                <w:szCs w:val="21"/>
                <w:highlight w:val="none"/>
              </w:rPr>
            </w:pPr>
            <w:r>
              <w:rPr>
                <w:rFonts w:hint="eastAsia" w:ascii="宋体" w:hAnsi="宋体"/>
                <w:color w:val="auto"/>
                <w:szCs w:val="21"/>
                <w:highlight w:val="none"/>
              </w:rPr>
              <w:t>3. 明显不符合技术规格、技术标准要求的，偏离使招标人不能接受的；</w:t>
            </w:r>
          </w:p>
          <w:p w14:paraId="4587520B">
            <w:pPr>
              <w:spacing w:line="360" w:lineRule="exact"/>
              <w:jc w:val="left"/>
              <w:rPr>
                <w:rFonts w:hint="eastAsia" w:ascii="宋体" w:hAnsi="宋体"/>
                <w:color w:val="auto"/>
                <w:szCs w:val="21"/>
                <w:highlight w:val="none"/>
              </w:rPr>
            </w:pPr>
            <w:r>
              <w:rPr>
                <w:rFonts w:hint="eastAsia" w:ascii="宋体" w:hAnsi="宋体"/>
                <w:color w:val="auto"/>
                <w:szCs w:val="21"/>
                <w:highlight w:val="none"/>
              </w:rPr>
              <w:t>4、投标文件载明的质量等级达不到招标文件规定的质量等级的；</w:t>
            </w:r>
          </w:p>
          <w:p w14:paraId="736341AA">
            <w:pPr>
              <w:spacing w:line="360" w:lineRule="exact"/>
              <w:jc w:val="left"/>
              <w:rPr>
                <w:rFonts w:hint="eastAsia" w:ascii="宋体" w:hAnsi="宋体"/>
                <w:color w:val="auto"/>
                <w:szCs w:val="21"/>
                <w:highlight w:val="none"/>
              </w:rPr>
            </w:pPr>
            <w:r>
              <w:rPr>
                <w:rFonts w:hint="eastAsia" w:ascii="宋体" w:hAnsi="宋体"/>
                <w:color w:val="auto"/>
                <w:szCs w:val="21"/>
                <w:highlight w:val="none"/>
              </w:rPr>
              <w:t>5、投标人拒绝按评标委员会要求对投标文件进行澄清、说明、补正或澄清、说明、补正不能合理说明情况的；</w:t>
            </w:r>
          </w:p>
          <w:p w14:paraId="41DB1683">
            <w:pPr>
              <w:spacing w:line="360" w:lineRule="exact"/>
              <w:jc w:val="left"/>
              <w:rPr>
                <w:rFonts w:hint="eastAsia" w:ascii="宋体" w:hAnsi="宋体"/>
                <w:color w:val="auto"/>
                <w:szCs w:val="21"/>
                <w:highlight w:val="none"/>
              </w:rPr>
            </w:pPr>
            <w:r>
              <w:rPr>
                <w:rFonts w:hint="eastAsia" w:ascii="宋体" w:hAnsi="宋体"/>
                <w:color w:val="auto"/>
                <w:szCs w:val="21"/>
                <w:highlight w:val="none"/>
              </w:rPr>
              <w:t>6、投标文件附加有招标人不能接受的条件的；</w:t>
            </w:r>
          </w:p>
          <w:p w14:paraId="0CFB6DE5">
            <w:pPr>
              <w:spacing w:line="360" w:lineRule="exact"/>
              <w:jc w:val="left"/>
              <w:rPr>
                <w:rFonts w:hint="eastAsia" w:ascii="宋体" w:hAnsi="宋体"/>
                <w:color w:val="auto"/>
                <w:szCs w:val="21"/>
                <w:highlight w:val="none"/>
              </w:rPr>
            </w:pPr>
            <w:r>
              <w:rPr>
                <w:rFonts w:hint="eastAsia" w:ascii="宋体" w:hAnsi="宋体"/>
                <w:color w:val="auto"/>
                <w:szCs w:val="21"/>
                <w:highlight w:val="none"/>
              </w:rPr>
              <w:t>7、投标人递交两份或多份内容不同的投标文件，或在一份投标文件中报有两个或多个报价，但未声明哪一个有效的；</w:t>
            </w:r>
          </w:p>
          <w:p w14:paraId="24B3968D">
            <w:pPr>
              <w:spacing w:line="360" w:lineRule="exact"/>
              <w:jc w:val="left"/>
              <w:rPr>
                <w:rFonts w:hint="eastAsia" w:ascii="宋体" w:hAnsi="宋体"/>
                <w:color w:val="auto"/>
                <w:szCs w:val="21"/>
                <w:highlight w:val="none"/>
              </w:rPr>
            </w:pPr>
            <w:r>
              <w:rPr>
                <w:rFonts w:hint="eastAsia" w:ascii="宋体" w:hAnsi="宋体"/>
                <w:color w:val="auto"/>
                <w:szCs w:val="21"/>
                <w:highlight w:val="none"/>
              </w:rPr>
              <w:t>8、其他违反招投标法以及相关法律、法规和规定的。</w:t>
            </w:r>
          </w:p>
        </w:tc>
      </w:tr>
      <w:tr w14:paraId="76B5A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4FB64B86">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19</w:t>
            </w:r>
          </w:p>
        </w:tc>
        <w:tc>
          <w:tcPr>
            <w:tcW w:w="2099" w:type="dxa"/>
            <w:tcBorders>
              <w:top w:val="single" w:color="auto" w:sz="4" w:space="0"/>
              <w:left w:val="single" w:color="auto" w:sz="4" w:space="0"/>
              <w:bottom w:val="single" w:color="auto" w:sz="4" w:space="0"/>
              <w:right w:val="single" w:color="auto" w:sz="4" w:space="0"/>
            </w:tcBorders>
            <w:vAlign w:val="center"/>
          </w:tcPr>
          <w:p w14:paraId="1F7C24AE">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签字或盖章要求</w:t>
            </w:r>
          </w:p>
        </w:tc>
        <w:tc>
          <w:tcPr>
            <w:tcW w:w="7454" w:type="dxa"/>
            <w:gridSpan w:val="2"/>
            <w:tcBorders>
              <w:top w:val="single" w:color="auto" w:sz="4" w:space="0"/>
              <w:left w:val="single" w:color="auto" w:sz="4" w:space="0"/>
              <w:bottom w:val="single" w:color="auto" w:sz="4" w:space="0"/>
              <w:right w:val="single" w:color="auto" w:sz="4" w:space="0"/>
            </w:tcBorders>
          </w:tcPr>
          <w:p w14:paraId="7897E83F">
            <w:pPr>
              <w:spacing w:line="360" w:lineRule="exact"/>
              <w:jc w:val="left"/>
              <w:rPr>
                <w:rFonts w:hint="eastAsia" w:ascii="宋体" w:hAnsi="宋体" w:cs="宋体"/>
                <w:color w:val="auto"/>
                <w:szCs w:val="21"/>
                <w:highlight w:val="none"/>
              </w:rPr>
            </w:pPr>
            <w:r>
              <w:rPr>
                <w:rFonts w:hint="eastAsia" w:ascii="宋体" w:hAnsi="宋体"/>
                <w:color w:val="auto"/>
                <w:szCs w:val="21"/>
                <w:highlight w:val="none"/>
              </w:rPr>
              <w:t>投标文件应按招标文件中投标文件格式要求签字、盖章。投标文件应附法定代表人签署的授权委托书。</w:t>
            </w:r>
          </w:p>
        </w:tc>
      </w:tr>
      <w:tr w14:paraId="7C0AB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329C0F59">
            <w:pPr>
              <w:spacing w:line="380" w:lineRule="exact"/>
              <w:jc w:val="center"/>
              <w:rPr>
                <w:rFonts w:hint="eastAsia" w:ascii="宋体" w:hAnsi="宋体" w:cs="宋体"/>
                <w:color w:val="auto"/>
                <w:szCs w:val="21"/>
                <w:highlight w:val="none"/>
              </w:rPr>
            </w:pPr>
            <w:r>
              <w:rPr>
                <w:rFonts w:hint="eastAsia" w:ascii="宋体" w:hAnsi="宋体" w:cs="宋体"/>
                <w:color w:val="auto"/>
                <w:szCs w:val="21"/>
                <w:highlight w:val="none"/>
              </w:rPr>
              <w:t>20</w:t>
            </w:r>
          </w:p>
        </w:tc>
        <w:tc>
          <w:tcPr>
            <w:tcW w:w="2099" w:type="dxa"/>
            <w:tcBorders>
              <w:top w:val="single" w:color="auto" w:sz="4" w:space="0"/>
              <w:left w:val="single" w:color="auto" w:sz="4" w:space="0"/>
              <w:bottom w:val="single" w:color="auto" w:sz="4" w:space="0"/>
              <w:right w:val="single" w:color="auto" w:sz="4" w:space="0"/>
            </w:tcBorders>
            <w:vAlign w:val="center"/>
          </w:tcPr>
          <w:p w14:paraId="280595B0">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是否退还投标文件</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794C37EF">
            <w:pPr>
              <w:spacing w:line="360" w:lineRule="exact"/>
              <w:jc w:val="left"/>
              <w:rPr>
                <w:rFonts w:hint="eastAsia" w:ascii="宋体" w:hAnsi="宋体" w:cs="宋体"/>
                <w:color w:val="auto"/>
                <w:szCs w:val="21"/>
                <w:highlight w:val="none"/>
              </w:rPr>
            </w:pPr>
            <w:r>
              <w:rPr>
                <w:rFonts w:hint="eastAsia" w:ascii="宋体" w:hAnsi="宋体" w:cs="宋体"/>
                <w:color w:val="auto"/>
                <w:szCs w:val="21"/>
                <w:highlight w:val="none"/>
              </w:rPr>
              <w:t>否</w:t>
            </w:r>
          </w:p>
        </w:tc>
      </w:tr>
      <w:tr w14:paraId="17450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415F6709">
            <w:pPr>
              <w:spacing w:line="380" w:lineRule="exact"/>
              <w:jc w:val="center"/>
              <w:rPr>
                <w:rFonts w:hint="eastAsia" w:ascii="宋体" w:hAnsi="宋体" w:cs="宋体"/>
                <w:color w:val="auto"/>
                <w:szCs w:val="21"/>
                <w:highlight w:val="none"/>
              </w:rPr>
            </w:pPr>
            <w:r>
              <w:rPr>
                <w:rFonts w:hint="eastAsia" w:ascii="宋体" w:hAnsi="宋体" w:cs="宋体"/>
                <w:color w:val="auto"/>
                <w:szCs w:val="21"/>
                <w:highlight w:val="none"/>
              </w:rPr>
              <w:t>21</w:t>
            </w:r>
          </w:p>
        </w:tc>
        <w:tc>
          <w:tcPr>
            <w:tcW w:w="2099" w:type="dxa"/>
            <w:tcBorders>
              <w:top w:val="single" w:color="auto" w:sz="4" w:space="0"/>
              <w:left w:val="single" w:color="auto" w:sz="4" w:space="0"/>
              <w:bottom w:val="single" w:color="auto" w:sz="4" w:space="0"/>
              <w:right w:val="single" w:color="auto" w:sz="4" w:space="0"/>
            </w:tcBorders>
            <w:vAlign w:val="center"/>
          </w:tcPr>
          <w:p w14:paraId="0400AB26">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开标时间和地点</w:t>
            </w:r>
          </w:p>
        </w:tc>
        <w:tc>
          <w:tcPr>
            <w:tcW w:w="7454" w:type="dxa"/>
            <w:gridSpan w:val="2"/>
            <w:tcBorders>
              <w:top w:val="single" w:color="auto" w:sz="4" w:space="0"/>
              <w:left w:val="single" w:color="auto" w:sz="4" w:space="0"/>
              <w:bottom w:val="single" w:color="auto" w:sz="4" w:space="0"/>
              <w:right w:val="single" w:color="auto" w:sz="4" w:space="0"/>
            </w:tcBorders>
          </w:tcPr>
          <w:p w14:paraId="28B29358">
            <w:pPr>
              <w:spacing w:line="360" w:lineRule="exact"/>
              <w:jc w:val="left"/>
              <w:rPr>
                <w:color w:val="auto"/>
                <w:highlight w:val="none"/>
              </w:rPr>
            </w:pPr>
            <w:r>
              <w:rPr>
                <w:rFonts w:hint="eastAsia"/>
                <w:color w:val="auto"/>
                <w:highlight w:val="none"/>
              </w:rPr>
              <w:t>开标时间：同投标截止时间</w:t>
            </w:r>
          </w:p>
          <w:p w14:paraId="65CB55D5">
            <w:pPr>
              <w:spacing w:line="360" w:lineRule="exact"/>
              <w:jc w:val="left"/>
              <w:rPr>
                <w:color w:val="auto"/>
                <w:highlight w:val="none"/>
              </w:rPr>
            </w:pPr>
            <w:r>
              <w:rPr>
                <w:rFonts w:hint="eastAsia"/>
                <w:color w:val="auto"/>
                <w:highlight w:val="none"/>
              </w:rPr>
              <w:t>开标地点: 郑开大道三大街开封市市民之家五楼开封市公共资源交易中心不见面开标室</w:t>
            </w:r>
          </w:p>
          <w:p w14:paraId="44A8B56E">
            <w:pPr>
              <w:spacing w:line="360" w:lineRule="exact"/>
              <w:jc w:val="left"/>
              <w:rPr>
                <w:color w:val="auto"/>
                <w:highlight w:val="none"/>
              </w:rPr>
            </w:pPr>
            <w:r>
              <w:rPr>
                <w:rFonts w:hint="eastAsia"/>
                <w:color w:val="auto"/>
                <w:highlight w:val="none"/>
              </w:rPr>
              <w:t>本项目采用“远程不见面”开标方式，投标人无需到达现场提交原件资料、无需到开封市公共资源交易中心现场参加开标会议，投标人应当在开标时间前,登录（开封市公共资源交易中心网站）远程开标大厅,在线准时参加开标活动并进行投标文件解密、答疑澄清等。</w:t>
            </w:r>
          </w:p>
        </w:tc>
      </w:tr>
      <w:tr w14:paraId="6A7C0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4E945EA6">
            <w:pPr>
              <w:spacing w:line="380" w:lineRule="exact"/>
              <w:jc w:val="center"/>
              <w:rPr>
                <w:rFonts w:hint="eastAsia" w:ascii="宋体" w:hAnsi="宋体" w:cs="宋体"/>
                <w:color w:val="auto"/>
                <w:szCs w:val="21"/>
                <w:highlight w:val="none"/>
              </w:rPr>
            </w:pPr>
            <w:r>
              <w:rPr>
                <w:rFonts w:hint="eastAsia" w:ascii="宋体" w:hAnsi="宋体" w:cs="宋体"/>
                <w:color w:val="auto"/>
                <w:szCs w:val="21"/>
                <w:highlight w:val="none"/>
              </w:rPr>
              <w:t>22</w:t>
            </w:r>
          </w:p>
        </w:tc>
        <w:tc>
          <w:tcPr>
            <w:tcW w:w="2099" w:type="dxa"/>
            <w:tcBorders>
              <w:top w:val="single" w:color="auto" w:sz="4" w:space="0"/>
              <w:left w:val="single" w:color="auto" w:sz="4" w:space="0"/>
              <w:bottom w:val="single" w:color="auto" w:sz="4" w:space="0"/>
              <w:right w:val="single" w:color="auto" w:sz="4" w:space="0"/>
            </w:tcBorders>
            <w:vAlign w:val="center"/>
          </w:tcPr>
          <w:p w14:paraId="2CFFD3DB">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开标程序</w:t>
            </w:r>
          </w:p>
        </w:tc>
        <w:tc>
          <w:tcPr>
            <w:tcW w:w="7454" w:type="dxa"/>
            <w:gridSpan w:val="2"/>
            <w:tcBorders>
              <w:top w:val="single" w:color="auto" w:sz="4" w:space="0"/>
              <w:left w:val="single" w:color="auto" w:sz="4" w:space="0"/>
              <w:bottom w:val="single" w:color="auto" w:sz="4" w:space="0"/>
              <w:right w:val="single" w:color="auto" w:sz="4" w:space="0"/>
            </w:tcBorders>
          </w:tcPr>
          <w:p w14:paraId="6D6F5252">
            <w:pPr>
              <w:spacing w:line="400" w:lineRule="exact"/>
              <w:rPr>
                <w:rFonts w:hint="eastAsia" w:ascii="宋体" w:hAnsi="宋体" w:cs="Arial"/>
                <w:color w:val="auto"/>
                <w:kern w:val="0"/>
                <w:szCs w:val="21"/>
                <w:highlight w:val="none"/>
              </w:rPr>
            </w:pPr>
            <w:bookmarkStart w:id="91" w:name="_Toc25643"/>
            <w:r>
              <w:rPr>
                <w:rFonts w:hint="eastAsia" w:ascii="宋体" w:hAnsi="宋体" w:cs="Arial"/>
                <w:color w:val="auto"/>
                <w:kern w:val="0"/>
                <w:szCs w:val="21"/>
                <w:highlight w:val="none"/>
              </w:rPr>
              <w:t>实行网上开标。</w:t>
            </w:r>
            <w:bookmarkEnd w:id="91"/>
          </w:p>
          <w:p w14:paraId="62B604DB">
            <w:pPr>
              <w:spacing w:line="400" w:lineRule="exact"/>
              <w:rPr>
                <w:rFonts w:hint="eastAsia" w:ascii="宋体" w:hAnsi="宋体" w:cs="Arial"/>
                <w:color w:val="auto"/>
                <w:kern w:val="0"/>
                <w:szCs w:val="21"/>
                <w:highlight w:val="none"/>
              </w:rPr>
            </w:pPr>
            <w:r>
              <w:rPr>
                <w:rFonts w:hint="eastAsia" w:ascii="宋体" w:hAnsi="宋体" w:cs="Arial"/>
                <w:color w:val="auto"/>
                <w:kern w:val="0"/>
                <w:szCs w:val="21"/>
                <w:highlight w:val="none"/>
              </w:rPr>
              <w:t>1、登陆开封市公共资源交易平台解密投标文件。</w:t>
            </w:r>
          </w:p>
          <w:p w14:paraId="7BE52324">
            <w:pPr>
              <w:spacing w:line="400" w:lineRule="exact"/>
              <w:rPr>
                <w:rFonts w:hint="eastAsia" w:ascii="宋体" w:hAnsi="宋体" w:cs="Arial"/>
                <w:color w:val="auto"/>
                <w:kern w:val="0"/>
                <w:szCs w:val="21"/>
                <w:highlight w:val="none"/>
              </w:rPr>
            </w:pPr>
            <w:r>
              <w:rPr>
                <w:rFonts w:hint="eastAsia" w:ascii="宋体" w:hAnsi="宋体" w:cs="Arial"/>
                <w:color w:val="auto"/>
                <w:kern w:val="0"/>
                <w:szCs w:val="21"/>
                <w:highlight w:val="none"/>
              </w:rPr>
              <w:t>投标人代表不到开标现场，应在投标文件上传截止时间前使用CA密钥对其电子投标文件完成远程解密。否则，投标人自行承担其投标文件不能开标的责任。（系统解密时长默认为40分钟，错过解密时长者视为自动放弃本次投标。）</w:t>
            </w:r>
          </w:p>
          <w:p w14:paraId="20821743">
            <w:pPr>
              <w:spacing w:line="400" w:lineRule="exact"/>
              <w:rPr>
                <w:rFonts w:hint="eastAsia" w:ascii="宋体" w:hAnsi="宋体" w:cs="Arial"/>
                <w:color w:val="auto"/>
                <w:kern w:val="0"/>
                <w:szCs w:val="21"/>
                <w:highlight w:val="none"/>
              </w:rPr>
            </w:pPr>
            <w:r>
              <w:rPr>
                <w:rFonts w:hint="eastAsia" w:ascii="宋体" w:hAnsi="宋体" w:cs="Arial"/>
                <w:color w:val="auto"/>
                <w:kern w:val="0"/>
                <w:szCs w:val="21"/>
                <w:highlight w:val="none"/>
              </w:rPr>
              <w:t>2、因投标人原因造成投标文</w:t>
            </w:r>
            <w:r>
              <w:rPr>
                <w:rFonts w:hint="eastAsia" w:ascii="宋体" w:hAnsi="宋体" w:cs="Arial"/>
                <w:color w:val="auto"/>
                <w:kern w:val="0"/>
                <w:szCs w:val="21"/>
                <w:highlight w:val="none"/>
                <w:lang w:val="en-US" w:eastAsia="zh-CN"/>
              </w:rPr>
              <w:t>件</w:t>
            </w:r>
            <w:r>
              <w:rPr>
                <w:rFonts w:hint="eastAsia" w:ascii="宋体" w:hAnsi="宋体" w:cs="Arial"/>
                <w:color w:val="auto"/>
                <w:kern w:val="0"/>
                <w:szCs w:val="21"/>
                <w:highlight w:val="none"/>
              </w:rPr>
              <w:t>未解密的，视为撤销其投标文件。部分投标人的投标文件未解密的，其他投标人的投标文件的开标会议可以继续进行。一个标段解密的投标文件不足三家时该标段不再继续进行。</w:t>
            </w:r>
          </w:p>
          <w:p w14:paraId="39C3307E">
            <w:pPr>
              <w:spacing w:line="400" w:lineRule="exact"/>
              <w:rPr>
                <w:rFonts w:hint="eastAsia" w:ascii="宋体" w:hAnsi="宋体" w:cs="Arial"/>
                <w:color w:val="auto"/>
                <w:kern w:val="0"/>
                <w:szCs w:val="21"/>
                <w:highlight w:val="none"/>
              </w:rPr>
            </w:pPr>
            <w:r>
              <w:rPr>
                <w:rFonts w:hint="eastAsia" w:ascii="宋体" w:hAnsi="宋体" w:cs="Arial"/>
                <w:color w:val="auto"/>
                <w:kern w:val="0"/>
                <w:szCs w:val="21"/>
                <w:highlight w:val="none"/>
              </w:rPr>
              <w:t>3、开标会议结束，各投标人可在开标会议过程中至开标会议结束后5分钟之内对开标会议开标过程涉及内容提出质疑，否则视为对开标过程涉及内容会议无异议。</w:t>
            </w:r>
          </w:p>
          <w:p w14:paraId="102832BC">
            <w:pPr>
              <w:spacing w:line="400" w:lineRule="exact"/>
              <w:rPr>
                <w:rFonts w:hint="eastAsia" w:ascii="宋体" w:hAnsi="宋体" w:cs="Arial"/>
                <w:color w:val="auto"/>
                <w:kern w:val="0"/>
                <w:szCs w:val="21"/>
                <w:highlight w:val="none"/>
              </w:rPr>
            </w:pPr>
            <w:r>
              <w:rPr>
                <w:rFonts w:hint="eastAsia" w:ascii="宋体" w:hAnsi="宋体" w:cs="Arial"/>
                <w:color w:val="auto"/>
                <w:kern w:val="0"/>
                <w:szCs w:val="21"/>
                <w:highlight w:val="none"/>
              </w:rPr>
              <w:t>提示：1.各投标人从参与项目开始至结束，应时刻关注电子交易系统中的项目进度和状态，留意变更公告等内容，特别是项目开标后，评审小组向投标人提出的澄清要求、报价要求等，投标人应自系统发出30分钟（另有约定的从其约定）内回复。错过重要信息或超过30分钟回复者，投标人自行承担责任。</w:t>
            </w:r>
          </w:p>
          <w:p w14:paraId="712F0B6B">
            <w:pPr>
              <w:spacing w:line="400" w:lineRule="exact"/>
              <w:rPr>
                <w:rFonts w:hint="eastAsia" w:ascii="宋体" w:hAnsi="宋体" w:cs="Arial"/>
                <w:color w:val="auto"/>
                <w:kern w:val="0"/>
                <w:szCs w:val="21"/>
                <w:highlight w:val="none"/>
              </w:rPr>
            </w:pPr>
            <w:r>
              <w:rPr>
                <w:rFonts w:hint="eastAsia" w:ascii="宋体" w:hAnsi="宋体" w:cs="Arial"/>
                <w:color w:val="auto"/>
                <w:kern w:val="0"/>
                <w:szCs w:val="21"/>
                <w:highlight w:val="none"/>
              </w:rPr>
              <w:t>2.相关不见面操作流程详见“开封市公共资源交易中心-重要通知”。</w:t>
            </w:r>
          </w:p>
          <w:p w14:paraId="34D5FFC2">
            <w:pPr>
              <w:spacing w:line="400" w:lineRule="exact"/>
              <w:rPr>
                <w:rFonts w:hint="eastAsia" w:ascii="宋体" w:hAnsi="宋体" w:cs="Arial"/>
                <w:color w:val="auto"/>
                <w:kern w:val="0"/>
                <w:szCs w:val="21"/>
                <w:highlight w:val="none"/>
              </w:rPr>
            </w:pPr>
            <w:r>
              <w:rPr>
                <w:rFonts w:hint="eastAsia" w:ascii="宋体" w:hAnsi="宋体" w:cs="Arial"/>
                <w:color w:val="auto"/>
                <w:kern w:val="0"/>
                <w:szCs w:val="21"/>
                <w:highlight w:val="none"/>
              </w:rPr>
              <w:t>3.其他未尽事宜，按国家相关法律法规执行。</w:t>
            </w:r>
          </w:p>
          <w:p w14:paraId="10C180EF">
            <w:pPr>
              <w:spacing w:line="400" w:lineRule="exact"/>
              <w:rPr>
                <w:rFonts w:hint="eastAsia" w:ascii="宋体" w:hAnsi="宋体" w:cs="宋体"/>
                <w:color w:val="auto"/>
                <w:szCs w:val="21"/>
                <w:highlight w:val="none"/>
              </w:rPr>
            </w:pPr>
            <w:r>
              <w:rPr>
                <w:rFonts w:hint="eastAsia" w:ascii="宋体" w:hAnsi="宋体" w:cs="Arial"/>
                <w:b/>
                <w:bCs/>
                <w:color w:val="auto"/>
                <w:kern w:val="0"/>
                <w:szCs w:val="21"/>
                <w:highlight w:val="none"/>
              </w:rPr>
              <w:t>操作流程按开封市公共资源交易平台不见面开标系统操作手册。</w:t>
            </w:r>
          </w:p>
        </w:tc>
      </w:tr>
      <w:tr w14:paraId="3328F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323C7577">
            <w:pPr>
              <w:spacing w:line="380" w:lineRule="exact"/>
              <w:jc w:val="center"/>
              <w:rPr>
                <w:rFonts w:hint="eastAsia" w:ascii="宋体" w:hAnsi="宋体" w:cs="宋体"/>
                <w:color w:val="auto"/>
                <w:szCs w:val="21"/>
                <w:highlight w:val="none"/>
              </w:rPr>
            </w:pPr>
            <w:r>
              <w:rPr>
                <w:rFonts w:hint="eastAsia" w:ascii="宋体" w:hAnsi="宋体" w:cs="宋体"/>
                <w:color w:val="auto"/>
                <w:szCs w:val="21"/>
                <w:highlight w:val="none"/>
              </w:rPr>
              <w:t>23</w:t>
            </w:r>
          </w:p>
        </w:tc>
        <w:tc>
          <w:tcPr>
            <w:tcW w:w="2099" w:type="dxa"/>
            <w:tcBorders>
              <w:top w:val="single" w:color="auto" w:sz="4" w:space="0"/>
              <w:left w:val="single" w:color="auto" w:sz="4" w:space="0"/>
              <w:bottom w:val="single" w:color="auto" w:sz="4" w:space="0"/>
              <w:right w:val="single" w:color="auto" w:sz="4" w:space="0"/>
            </w:tcBorders>
            <w:vAlign w:val="center"/>
          </w:tcPr>
          <w:p w14:paraId="54732940">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评标委员会的组建</w:t>
            </w:r>
          </w:p>
        </w:tc>
        <w:tc>
          <w:tcPr>
            <w:tcW w:w="7454" w:type="dxa"/>
            <w:gridSpan w:val="2"/>
            <w:tcBorders>
              <w:top w:val="single" w:color="auto" w:sz="4" w:space="0"/>
              <w:left w:val="single" w:color="auto" w:sz="4" w:space="0"/>
              <w:bottom w:val="single" w:color="auto" w:sz="4" w:space="0"/>
              <w:right w:val="single" w:color="auto" w:sz="4" w:space="0"/>
            </w:tcBorders>
          </w:tcPr>
          <w:p w14:paraId="61025FFA">
            <w:pPr>
              <w:spacing w:line="360" w:lineRule="exact"/>
              <w:rPr>
                <w:rFonts w:hint="eastAsia" w:ascii="宋体" w:hAnsi="宋体" w:cs="宋体"/>
                <w:color w:val="auto"/>
                <w:spacing w:val="-6"/>
                <w:szCs w:val="21"/>
                <w:highlight w:val="none"/>
              </w:rPr>
            </w:pPr>
            <w:r>
              <w:rPr>
                <w:rFonts w:hint="eastAsia" w:ascii="宋体" w:hAnsi="宋体"/>
                <w:color w:val="auto"/>
                <w:szCs w:val="21"/>
                <w:highlight w:val="none"/>
              </w:rPr>
              <w:t xml:space="preserve">招标人将组建评标委员会。评标委员会构成: </w:t>
            </w:r>
            <w:r>
              <w:rPr>
                <w:rFonts w:hint="eastAsia" w:ascii="宋体" w:hAnsi="宋体"/>
                <w:color w:val="auto"/>
                <w:szCs w:val="21"/>
                <w:highlight w:val="none"/>
                <w:u w:val="single"/>
              </w:rPr>
              <w:t xml:space="preserve"> 5 </w:t>
            </w:r>
            <w:r>
              <w:rPr>
                <w:rFonts w:hint="eastAsia" w:ascii="宋体" w:hAnsi="宋体"/>
                <w:color w:val="auto"/>
                <w:szCs w:val="21"/>
                <w:highlight w:val="none"/>
              </w:rPr>
              <w:t xml:space="preserve"> 人，其中招标人代表 </w:t>
            </w:r>
            <w:r>
              <w:rPr>
                <w:rFonts w:hint="eastAsia" w:ascii="宋体" w:hAnsi="宋体"/>
                <w:color w:val="auto"/>
                <w:szCs w:val="21"/>
                <w:highlight w:val="none"/>
                <w:u w:val="single"/>
              </w:rPr>
              <w:t xml:space="preserve"> 1 </w:t>
            </w:r>
            <w:r>
              <w:rPr>
                <w:rFonts w:hint="eastAsia" w:ascii="宋体" w:hAnsi="宋体"/>
                <w:color w:val="auto"/>
                <w:szCs w:val="21"/>
                <w:highlight w:val="none"/>
              </w:rPr>
              <w:t>人,专家</w:t>
            </w:r>
            <w:r>
              <w:rPr>
                <w:rFonts w:hint="eastAsia" w:ascii="宋体" w:hAnsi="宋体"/>
                <w:color w:val="auto"/>
                <w:szCs w:val="21"/>
                <w:highlight w:val="none"/>
                <w:u w:val="single"/>
              </w:rPr>
              <w:t xml:space="preserve"> 4 </w:t>
            </w:r>
            <w:r>
              <w:rPr>
                <w:rFonts w:hint="eastAsia" w:ascii="宋体" w:hAnsi="宋体"/>
                <w:color w:val="auto"/>
                <w:szCs w:val="21"/>
                <w:highlight w:val="none"/>
              </w:rPr>
              <w:t>人；评标专家确定方式：在省级相关专家库抽取系统抽取。</w:t>
            </w:r>
          </w:p>
        </w:tc>
      </w:tr>
      <w:tr w14:paraId="0FA63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44B0B980">
            <w:pPr>
              <w:spacing w:line="380" w:lineRule="exact"/>
              <w:jc w:val="center"/>
              <w:rPr>
                <w:rFonts w:hint="eastAsia" w:ascii="宋体" w:hAnsi="宋体" w:cs="宋体"/>
                <w:color w:val="auto"/>
                <w:szCs w:val="21"/>
                <w:highlight w:val="none"/>
              </w:rPr>
            </w:pPr>
            <w:r>
              <w:rPr>
                <w:rFonts w:hint="eastAsia" w:ascii="宋体" w:hAnsi="宋体" w:cs="宋体"/>
                <w:color w:val="auto"/>
                <w:szCs w:val="21"/>
                <w:highlight w:val="none"/>
              </w:rPr>
              <w:t>24</w:t>
            </w:r>
          </w:p>
        </w:tc>
        <w:tc>
          <w:tcPr>
            <w:tcW w:w="2099" w:type="dxa"/>
            <w:tcBorders>
              <w:top w:val="single" w:color="auto" w:sz="4" w:space="0"/>
              <w:left w:val="single" w:color="auto" w:sz="4" w:space="0"/>
              <w:bottom w:val="single" w:color="auto" w:sz="4" w:space="0"/>
              <w:right w:val="single" w:color="auto" w:sz="4" w:space="0"/>
            </w:tcBorders>
            <w:vAlign w:val="center"/>
          </w:tcPr>
          <w:p w14:paraId="4AC93CD0">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是否授权评标委员会确定中标人</w:t>
            </w:r>
          </w:p>
        </w:tc>
        <w:tc>
          <w:tcPr>
            <w:tcW w:w="7454" w:type="dxa"/>
            <w:gridSpan w:val="2"/>
            <w:tcBorders>
              <w:top w:val="single" w:color="auto" w:sz="4" w:space="0"/>
              <w:left w:val="single" w:color="auto" w:sz="4" w:space="0"/>
              <w:bottom w:val="single" w:color="auto" w:sz="4" w:space="0"/>
              <w:right w:val="single" w:color="auto" w:sz="4" w:space="0"/>
            </w:tcBorders>
          </w:tcPr>
          <w:p w14:paraId="252EE52F">
            <w:pPr>
              <w:adjustRightInd w:val="0"/>
              <w:spacing w:line="360" w:lineRule="exact"/>
              <w:jc w:val="left"/>
              <w:textAlignment w:val="baseline"/>
              <w:rPr>
                <w:rFonts w:hint="eastAsia" w:ascii="宋体" w:hAnsi="宋体" w:cs="宋体"/>
                <w:color w:val="auto"/>
                <w:szCs w:val="21"/>
                <w:highlight w:val="none"/>
              </w:rPr>
            </w:pPr>
            <w:r>
              <w:rPr>
                <w:rFonts w:hint="eastAsia" w:ascii="宋体" w:hAnsi="宋体" w:cs="宋体"/>
                <w:color w:val="auto"/>
                <w:szCs w:val="21"/>
                <w:highlight w:val="none"/>
              </w:rPr>
              <w:t>□是</w:t>
            </w:r>
          </w:p>
          <w:p w14:paraId="131B0BF3">
            <w:pPr>
              <w:autoSpaceDE w:val="0"/>
              <w:autoSpaceDN w:val="0"/>
              <w:adjustRightInd w:val="0"/>
              <w:spacing w:line="360" w:lineRule="exact"/>
              <w:ind w:right="-491"/>
              <w:rPr>
                <w:rFonts w:hint="eastAsia" w:ascii="宋体" w:hAnsi="宋体" w:cs="宋体"/>
                <w:color w:val="auto"/>
                <w:szCs w:val="21"/>
                <w:highlight w:val="none"/>
              </w:rPr>
            </w:pPr>
            <w:r>
              <w:rPr>
                <w:rFonts w:ascii="宋体" w:hAnsi="宋体"/>
                <w:color w:val="auto"/>
                <w:szCs w:val="21"/>
                <w:highlight w:val="none"/>
              </w:rPr>
              <w:fldChar w:fldCharType="begin"/>
            </w:r>
            <w:r>
              <w:rPr>
                <w:rFonts w:hint="eastAsia" w:ascii="宋体" w:hAnsi="宋体" w:cs="宋体"/>
                <w:b/>
                <w:color w:val="auto"/>
                <w:szCs w:val="21"/>
                <w:highlight w:val="none"/>
              </w:rPr>
              <w:instrText xml:space="preserve"> eq \o\ac(</w:instrText>
            </w:r>
            <w:r>
              <w:rPr>
                <w:rFonts w:hint="eastAsia" w:ascii="宋体" w:hAnsi="宋体" w:cs="宋体"/>
                <w:b/>
                <w:color w:val="auto"/>
                <w:position w:val="-4"/>
                <w:szCs w:val="21"/>
                <w:highlight w:val="none"/>
              </w:rPr>
              <w:instrText xml:space="preserve">□</w:instrText>
            </w:r>
            <w:r>
              <w:rPr>
                <w:rFonts w:hint="eastAsia" w:ascii="宋体" w:hAnsi="宋体" w:cs="宋体"/>
                <w:b/>
                <w:color w:val="auto"/>
                <w:szCs w:val="21"/>
                <w:highlight w:val="none"/>
              </w:rPr>
              <w:instrText xml:space="preserve">,√)</w:instrText>
            </w:r>
            <w:r>
              <w:rPr>
                <w:rFonts w:ascii="宋体" w:hAnsi="宋体"/>
                <w:color w:val="auto"/>
                <w:szCs w:val="21"/>
                <w:highlight w:val="none"/>
              </w:rPr>
              <w:fldChar w:fldCharType="end"/>
            </w:r>
            <w:r>
              <w:rPr>
                <w:rFonts w:hint="eastAsia" w:ascii="宋体" w:hAnsi="宋体" w:cs="宋体"/>
                <w:color w:val="auto"/>
                <w:szCs w:val="21"/>
                <w:highlight w:val="none"/>
              </w:rPr>
              <w:t>否，推荐的中标候选人数：</w:t>
            </w:r>
            <w:r>
              <w:rPr>
                <w:rFonts w:hint="eastAsia" w:ascii="宋体" w:hAnsi="宋体" w:cs="宋体"/>
                <w:color w:val="auto"/>
                <w:szCs w:val="21"/>
                <w:highlight w:val="none"/>
                <w:u w:val="single"/>
              </w:rPr>
              <w:t xml:space="preserve">3 </w:t>
            </w:r>
            <w:r>
              <w:rPr>
                <w:rFonts w:hint="eastAsia" w:ascii="宋体" w:hAnsi="宋体" w:cs="宋体"/>
                <w:color w:val="auto"/>
                <w:szCs w:val="21"/>
                <w:highlight w:val="none"/>
              </w:rPr>
              <w:t>名</w:t>
            </w:r>
          </w:p>
        </w:tc>
      </w:tr>
      <w:tr w14:paraId="1F487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76478024">
            <w:pPr>
              <w:spacing w:line="380" w:lineRule="exact"/>
              <w:jc w:val="center"/>
              <w:rPr>
                <w:rFonts w:hint="eastAsia" w:ascii="宋体" w:hAnsi="宋体" w:cs="宋体"/>
                <w:color w:val="auto"/>
                <w:szCs w:val="21"/>
                <w:highlight w:val="none"/>
              </w:rPr>
            </w:pPr>
            <w:r>
              <w:rPr>
                <w:rFonts w:hint="eastAsia" w:ascii="宋体" w:hAnsi="宋体" w:cs="宋体"/>
                <w:color w:val="auto"/>
                <w:szCs w:val="21"/>
                <w:highlight w:val="none"/>
              </w:rPr>
              <w:t>25</w:t>
            </w:r>
          </w:p>
        </w:tc>
        <w:tc>
          <w:tcPr>
            <w:tcW w:w="2099" w:type="dxa"/>
            <w:tcBorders>
              <w:top w:val="single" w:color="auto" w:sz="4" w:space="0"/>
              <w:left w:val="single" w:color="auto" w:sz="4" w:space="0"/>
              <w:bottom w:val="single" w:color="auto" w:sz="4" w:space="0"/>
              <w:right w:val="single" w:color="auto" w:sz="4" w:space="0"/>
            </w:tcBorders>
            <w:vAlign w:val="center"/>
          </w:tcPr>
          <w:p w14:paraId="300BCE34">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招标控制价</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4FF274BC">
            <w:pPr>
              <w:autoSpaceDE w:val="0"/>
              <w:autoSpaceDN w:val="0"/>
              <w:adjustRightInd w:val="0"/>
              <w:jc w:val="left"/>
              <w:rPr>
                <w:rFonts w:hint="eastAsia" w:ascii="宋体" w:hAnsi="宋体" w:cs="宋体"/>
                <w:color w:val="auto"/>
                <w:szCs w:val="21"/>
                <w:highlight w:val="none"/>
              </w:rPr>
            </w:pPr>
            <w:r>
              <w:rPr>
                <w:rFonts w:hint="eastAsia" w:ascii="宋体" w:hAnsi="宋体" w:cs="宋体"/>
                <w:color w:val="auto"/>
                <w:szCs w:val="21"/>
                <w:highlight w:val="none"/>
              </w:rPr>
              <w:t>招标控制价：</w:t>
            </w:r>
          </w:p>
          <w:p w14:paraId="237533F4">
            <w:pPr>
              <w:autoSpaceDE w:val="0"/>
              <w:autoSpaceDN w:val="0"/>
              <w:adjustRightInd w:val="0"/>
              <w:jc w:val="left"/>
              <w:rPr>
                <w:rFonts w:hint="eastAsia" w:eastAsia="宋体"/>
                <w:b/>
                <w:bCs/>
                <w:color w:val="auto"/>
                <w:highlight w:val="none"/>
                <w:lang w:eastAsia="zh-CN"/>
              </w:rPr>
            </w:pPr>
            <w:r>
              <w:rPr>
                <w:rFonts w:hint="eastAsia"/>
                <w:b/>
                <w:bCs/>
                <w:color w:val="auto"/>
                <w:highlight w:val="none"/>
              </w:rPr>
              <w:t>大写：</w:t>
            </w:r>
            <w:r>
              <w:rPr>
                <w:rFonts w:hint="eastAsia"/>
                <w:b/>
                <w:bCs/>
                <w:color w:val="auto"/>
                <w:highlight w:val="none"/>
                <w:lang w:val="en-US" w:eastAsia="zh-CN"/>
              </w:rPr>
              <w:t>捌拾万元整</w:t>
            </w:r>
          </w:p>
          <w:p w14:paraId="6256E171">
            <w:pPr>
              <w:spacing w:line="360" w:lineRule="exact"/>
              <w:rPr>
                <w:rFonts w:hint="eastAsia" w:ascii="宋体" w:hAnsi="宋体" w:cs="宋体"/>
                <w:color w:val="auto"/>
                <w:szCs w:val="21"/>
                <w:highlight w:val="none"/>
              </w:rPr>
            </w:pPr>
            <w:r>
              <w:rPr>
                <w:rFonts w:hint="eastAsia" w:hAnsi="宋体"/>
                <w:b/>
                <w:bCs/>
                <w:color w:val="auto"/>
                <w:szCs w:val="21"/>
                <w:highlight w:val="none"/>
              </w:rPr>
              <w:t>小写：</w:t>
            </w:r>
            <w:r>
              <w:rPr>
                <w:rFonts w:hint="eastAsia" w:ascii="宋体" w:hAnsi="宋体" w:cs="Arial"/>
                <w:color w:val="auto"/>
                <w:kern w:val="0"/>
                <w:szCs w:val="21"/>
                <w:highlight w:val="none"/>
              </w:rPr>
              <w:t xml:space="preserve"> </w:t>
            </w:r>
            <w:r>
              <w:rPr>
                <w:rFonts w:hint="eastAsia" w:ascii="宋体" w:hAnsi="宋体" w:cs="Arial"/>
                <w:color w:val="auto"/>
                <w:kern w:val="0"/>
                <w:szCs w:val="21"/>
                <w:highlight w:val="none"/>
                <w:lang w:eastAsia="zh-CN"/>
              </w:rPr>
              <w:t>800000.00</w:t>
            </w:r>
            <w:r>
              <w:rPr>
                <w:rFonts w:hint="eastAsia" w:ascii="宋体" w:hAnsi="宋体" w:cs="Arial"/>
                <w:color w:val="auto"/>
                <w:kern w:val="0"/>
                <w:szCs w:val="21"/>
                <w:highlight w:val="none"/>
              </w:rPr>
              <w:t>元</w:t>
            </w:r>
          </w:p>
          <w:p w14:paraId="3A13A908">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投标人报价高于招标控制价的按无效投标处理。</w:t>
            </w:r>
          </w:p>
        </w:tc>
      </w:tr>
      <w:tr w14:paraId="184DE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391DFF9C">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26</w:t>
            </w:r>
          </w:p>
        </w:tc>
        <w:tc>
          <w:tcPr>
            <w:tcW w:w="9553" w:type="dxa"/>
            <w:gridSpan w:val="3"/>
            <w:tcBorders>
              <w:top w:val="single" w:color="auto" w:sz="4" w:space="0"/>
              <w:left w:val="single" w:color="auto" w:sz="4" w:space="0"/>
              <w:bottom w:val="single" w:color="auto" w:sz="4" w:space="0"/>
              <w:right w:val="single" w:color="auto" w:sz="4" w:space="0"/>
            </w:tcBorders>
            <w:vAlign w:val="center"/>
          </w:tcPr>
          <w:p w14:paraId="4EE3E826">
            <w:pPr>
              <w:spacing w:line="360" w:lineRule="exact"/>
              <w:jc w:val="center"/>
              <w:rPr>
                <w:rFonts w:hint="eastAsia" w:ascii="宋体" w:hAnsi="宋体"/>
                <w:color w:val="auto"/>
                <w:szCs w:val="21"/>
                <w:highlight w:val="none"/>
              </w:rPr>
            </w:pPr>
            <w:r>
              <w:rPr>
                <w:rFonts w:hint="eastAsia" w:ascii="宋体" w:hAnsi="宋体"/>
                <w:color w:val="auto"/>
                <w:szCs w:val="21"/>
                <w:highlight w:val="none"/>
              </w:rPr>
              <w:t>其他注意事项</w:t>
            </w:r>
          </w:p>
        </w:tc>
      </w:tr>
      <w:tr w14:paraId="1D935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0012EC35">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27</w:t>
            </w:r>
          </w:p>
        </w:tc>
        <w:tc>
          <w:tcPr>
            <w:tcW w:w="9553" w:type="dxa"/>
            <w:gridSpan w:val="3"/>
            <w:tcBorders>
              <w:top w:val="single" w:color="auto" w:sz="4" w:space="0"/>
              <w:left w:val="single" w:color="auto" w:sz="4" w:space="0"/>
              <w:bottom w:val="single" w:color="auto" w:sz="4" w:space="0"/>
              <w:right w:val="single" w:color="auto" w:sz="4" w:space="0"/>
            </w:tcBorders>
            <w:vAlign w:val="center"/>
          </w:tcPr>
          <w:p w14:paraId="70FC63F3">
            <w:pPr>
              <w:spacing w:line="360" w:lineRule="exact"/>
              <w:rPr>
                <w:rFonts w:hint="eastAsia" w:ascii="宋体" w:hAnsi="宋体" w:cs="宋体"/>
                <w:color w:val="auto"/>
                <w:szCs w:val="21"/>
                <w:highlight w:val="none"/>
              </w:rPr>
            </w:pPr>
            <w:r>
              <w:rPr>
                <w:rFonts w:hint="eastAsia" w:ascii="宋体" w:hAnsi="宋体"/>
                <w:color w:val="auto"/>
                <w:szCs w:val="21"/>
                <w:highlight w:val="none"/>
              </w:rPr>
              <w:t>投标人需独立制作、修改和上传投标文件，因“硬件特征码一致”所造成的不良后果由投标人自行承担。</w:t>
            </w:r>
          </w:p>
        </w:tc>
      </w:tr>
      <w:tr w14:paraId="0CDF6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4"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37BF65B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28</w:t>
            </w:r>
          </w:p>
        </w:tc>
        <w:tc>
          <w:tcPr>
            <w:tcW w:w="9553" w:type="dxa"/>
            <w:gridSpan w:val="3"/>
            <w:tcBorders>
              <w:top w:val="single" w:color="auto" w:sz="4" w:space="0"/>
              <w:left w:val="single" w:color="auto" w:sz="4" w:space="0"/>
              <w:bottom w:val="single" w:color="auto" w:sz="4" w:space="0"/>
              <w:right w:val="single" w:color="auto" w:sz="4" w:space="0"/>
            </w:tcBorders>
            <w:vAlign w:val="center"/>
          </w:tcPr>
          <w:p w14:paraId="44ADB84E">
            <w:pPr>
              <w:spacing w:line="400" w:lineRule="exact"/>
              <w:rPr>
                <w:rFonts w:ascii="Calibri" w:hAnsi="Calibri"/>
                <w:color w:val="auto"/>
                <w:highlight w:val="none"/>
              </w:rPr>
            </w:pPr>
            <w:r>
              <w:rPr>
                <w:rFonts w:hint="eastAsia" w:ascii="Calibri" w:hAnsi="Calibri"/>
                <w:color w:val="auto"/>
                <w:highlight w:val="none"/>
              </w:rPr>
              <w:t>根据开封市公共资源交易管理委员会办公室文件（汴公管办【2020】13号）的规定：</w:t>
            </w:r>
          </w:p>
          <w:p w14:paraId="57846339">
            <w:pPr>
              <w:spacing w:line="400" w:lineRule="exact"/>
              <w:rPr>
                <w:rFonts w:hint="eastAsia" w:ascii="宋体" w:hAnsi="宋体"/>
                <w:color w:val="auto"/>
                <w:szCs w:val="21"/>
                <w:highlight w:val="none"/>
              </w:rPr>
            </w:pPr>
            <w:r>
              <w:rPr>
                <w:rFonts w:hint="eastAsia" w:ascii="Calibri" w:hAnsi="Calibri"/>
                <w:color w:val="auto"/>
                <w:highlight w:val="none"/>
              </w:rPr>
              <w:t>递交质疑或投诉的方式：质疑（异议）</w:t>
            </w:r>
            <w:r>
              <w:rPr>
                <w:rFonts w:hint="eastAsia" w:ascii="Calibri" w:hAnsi="Calibri"/>
                <w:color w:val="auto"/>
                <w:highlight w:val="none"/>
                <w:lang w:eastAsia="zh-CN"/>
              </w:rPr>
              <w:t>、</w:t>
            </w:r>
            <w:r>
              <w:rPr>
                <w:rFonts w:hint="eastAsia" w:ascii="Calibri" w:hAnsi="Calibri"/>
                <w:color w:val="auto"/>
                <w:highlight w:val="none"/>
                <w:lang w:val="en-US" w:eastAsia="zh-CN"/>
              </w:rPr>
              <w:t>投诉</w:t>
            </w:r>
            <w:r>
              <w:rPr>
                <w:rFonts w:hint="eastAsia" w:ascii="Calibri" w:hAnsi="Calibri"/>
                <w:color w:val="auto"/>
                <w:highlight w:val="none"/>
              </w:rPr>
              <w:t>统一实行线上</w:t>
            </w:r>
            <w:r>
              <w:rPr>
                <w:rFonts w:hint="eastAsia" w:ascii="Calibri" w:hAnsi="Calibri"/>
                <w:color w:val="auto"/>
                <w:highlight w:val="none"/>
                <w:lang w:val="en-US" w:eastAsia="zh-CN"/>
              </w:rPr>
              <w:t>提</w:t>
            </w:r>
            <w:r>
              <w:rPr>
                <w:rFonts w:hint="eastAsia" w:ascii="Calibri" w:hAnsi="Calibri"/>
                <w:color w:val="auto"/>
                <w:highlight w:val="none"/>
              </w:rPr>
              <w:t>交，线上质疑（异议）、投</w:t>
            </w:r>
            <w:r>
              <w:rPr>
                <w:rFonts w:hint="eastAsia" w:ascii="Calibri" w:hAnsi="Calibri"/>
                <w:color w:val="auto"/>
                <w:highlight w:val="none"/>
                <w:lang w:val="en-US" w:eastAsia="zh-CN"/>
              </w:rPr>
              <w:t>诉</w:t>
            </w:r>
            <w:r>
              <w:rPr>
                <w:rFonts w:hint="eastAsia" w:ascii="Calibri" w:hAnsi="Calibri"/>
                <w:color w:val="auto"/>
                <w:highlight w:val="none"/>
              </w:rPr>
              <w:t>通过登录开封市公共资源交易系统(网址:</w:t>
            </w:r>
            <w:r>
              <w:rPr>
                <w:rFonts w:hint="eastAsia" w:ascii="宋体" w:hAnsi="宋体" w:cs="宋体"/>
                <w:color w:val="auto"/>
                <w:szCs w:val="21"/>
                <w:highlight w:val="none"/>
              </w:rPr>
              <w:t>http://www.kfsggzyjyw.cn/kfggzy</w:t>
            </w:r>
            <w:r>
              <w:rPr>
                <w:rFonts w:hint="eastAsia" w:ascii="Calibri" w:hAnsi="Calibri"/>
                <w:color w:val="auto"/>
                <w:highlight w:val="none"/>
              </w:rPr>
              <w:t>/) 要求填写质疑（异议）、投诉信息并上传相关材料。</w:t>
            </w:r>
          </w:p>
        </w:tc>
      </w:tr>
      <w:tr w14:paraId="47D45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71ADA5A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29</w:t>
            </w:r>
          </w:p>
        </w:tc>
        <w:tc>
          <w:tcPr>
            <w:tcW w:w="9553" w:type="dxa"/>
            <w:gridSpan w:val="3"/>
            <w:tcBorders>
              <w:top w:val="single" w:color="auto" w:sz="4" w:space="0"/>
              <w:left w:val="single" w:color="auto" w:sz="4" w:space="0"/>
              <w:bottom w:val="single" w:color="auto" w:sz="4" w:space="0"/>
              <w:right w:val="single" w:color="auto" w:sz="4" w:space="0"/>
            </w:tcBorders>
            <w:vAlign w:val="center"/>
          </w:tcPr>
          <w:p w14:paraId="1B41C57E">
            <w:pPr>
              <w:spacing w:line="360" w:lineRule="exact"/>
              <w:rPr>
                <w:rFonts w:hint="eastAsia"/>
                <w:highlight w:val="none"/>
              </w:rPr>
            </w:pPr>
            <w:r>
              <w:rPr>
                <w:color w:val="auto"/>
                <w:sz w:val="21"/>
                <w:szCs w:val="21"/>
                <w:highlight w:val="none"/>
              </w:rPr>
              <w:pict>
                <v:shape id="_x0000_s2050" o:spid="_x0000_s2050" o:spt="75" type="#_x0000_t75" style="position:absolute;left:0pt;margin-left:8.25pt;margin-top:50.25pt;height:247.6pt;width:445.4pt;mso-position-vertical-relative:page;mso-wrap-distance-bottom:0pt;mso-wrap-distance-top:0pt;z-index:251659264;mso-width-relative:page;mso-height-relative:page;" filled="f" o:preferrelative="t" stroked="f" coordsize="21600,21600">
                  <v:path/>
                  <v:fill on="f" focussize="0,0"/>
                  <v:stroke on="f"/>
                  <v:imagedata r:id="rId13" o:title=""/>
                  <o:lock v:ext="edit" aspectratio="t"/>
                  <w10:wrap type="topAndBottom"/>
                </v:shape>
              </w:pict>
            </w:r>
            <w:r>
              <w:rPr>
                <w:rFonts w:hint="eastAsia"/>
                <w:color w:val="auto"/>
                <w:highlight w:val="none"/>
              </w:rPr>
              <w:t>招标代理费：</w:t>
            </w:r>
            <w:r>
              <w:rPr>
                <w:rFonts w:hint="eastAsia" w:ascii="宋体" w:hAnsi="宋体"/>
                <w:b/>
                <w:bCs/>
                <w:color w:val="auto"/>
                <w:szCs w:val="21"/>
                <w:highlight w:val="none"/>
              </w:rPr>
              <w:t>代理服务费参照《河南省招标代理服务收费指导意见》（豫招协【2023】002号）规定，收取招标代理服务费，由中标人在领取中标通知书前支付给招标代理机构。</w:t>
            </w:r>
          </w:p>
        </w:tc>
      </w:tr>
      <w:tr w14:paraId="7BD0A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38374D1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30</w:t>
            </w:r>
          </w:p>
        </w:tc>
        <w:tc>
          <w:tcPr>
            <w:tcW w:w="9553" w:type="dxa"/>
            <w:gridSpan w:val="3"/>
            <w:tcBorders>
              <w:top w:val="single" w:color="auto" w:sz="4" w:space="0"/>
              <w:left w:val="single" w:color="auto" w:sz="4" w:space="0"/>
              <w:bottom w:val="single" w:color="auto" w:sz="4" w:space="0"/>
              <w:right w:val="single" w:color="auto" w:sz="4" w:space="0"/>
            </w:tcBorders>
            <w:vAlign w:val="center"/>
          </w:tcPr>
          <w:p w14:paraId="3C958496">
            <w:pPr>
              <w:spacing w:line="400" w:lineRule="exact"/>
              <w:rPr>
                <w:rFonts w:hint="eastAsia" w:ascii="宋体" w:hAnsi="宋体" w:cs="Arial"/>
                <w:color w:val="auto"/>
                <w:kern w:val="0"/>
                <w:szCs w:val="21"/>
                <w:highlight w:val="none"/>
              </w:rPr>
            </w:pPr>
            <w:r>
              <w:rPr>
                <w:rFonts w:hint="eastAsia" w:ascii="宋体" w:hAnsi="宋体" w:cs="Arial"/>
                <w:color w:val="auto"/>
                <w:kern w:val="0"/>
                <w:szCs w:val="21"/>
                <w:highlight w:val="none"/>
              </w:rPr>
              <w:t>电子投标文件须在投标截止时间前在开封市公共资源交易中心网站（http://www.kfsggzyjyw.cn/kfggzy/）会员系统中加密上传，逾期上传的，招标人不予受理。</w:t>
            </w:r>
          </w:p>
          <w:p w14:paraId="4F0C336D">
            <w:pPr>
              <w:spacing w:line="400" w:lineRule="exact"/>
              <w:rPr>
                <w:rFonts w:hint="eastAsia" w:ascii="宋体" w:hAnsi="宋体" w:cs="Arial"/>
                <w:color w:val="auto"/>
                <w:kern w:val="0"/>
                <w:szCs w:val="21"/>
                <w:highlight w:val="none"/>
              </w:rPr>
            </w:pPr>
            <w:r>
              <w:rPr>
                <w:rFonts w:hint="eastAsia" w:ascii="宋体" w:hAnsi="宋体" w:cs="Arial"/>
                <w:color w:val="auto"/>
                <w:kern w:val="0"/>
                <w:szCs w:val="21"/>
                <w:highlight w:val="none"/>
              </w:rPr>
              <w:t>a、各投标人应在投标截止时间前上传加密的电子投标文件到会员系统的指定位置。请投标人在上传时认真检查上传投标文件是否完整、正确。</w:t>
            </w:r>
          </w:p>
          <w:p w14:paraId="221DBAA3">
            <w:pPr>
              <w:spacing w:line="400" w:lineRule="exact"/>
              <w:rPr>
                <w:rFonts w:hint="eastAsia" w:ascii="宋体" w:hAnsi="宋体" w:cs="Arial"/>
                <w:color w:val="auto"/>
                <w:kern w:val="0"/>
                <w:szCs w:val="21"/>
                <w:highlight w:val="none"/>
              </w:rPr>
            </w:pPr>
            <w:r>
              <w:rPr>
                <w:rFonts w:hint="eastAsia" w:ascii="宋体" w:hAnsi="宋体" w:cs="Arial"/>
                <w:color w:val="auto"/>
                <w:kern w:val="0"/>
                <w:szCs w:val="21"/>
                <w:highlight w:val="none"/>
              </w:rPr>
              <w:t>b、投标人因交易中心投标系统问题无法上传电子投标文件时，请在工作时间与开封市公共资源交易中心联系，联系电话：0371-23859291。</w:t>
            </w:r>
          </w:p>
          <w:p w14:paraId="698DB11D">
            <w:pPr>
              <w:spacing w:line="400" w:lineRule="exact"/>
              <w:rPr>
                <w:color w:val="auto"/>
                <w:highlight w:val="none"/>
              </w:rPr>
            </w:pPr>
            <w:r>
              <w:rPr>
                <w:rFonts w:hint="eastAsia" w:ascii="宋体" w:hAnsi="宋体" w:cs="Arial"/>
                <w:color w:val="auto"/>
                <w:kern w:val="0"/>
                <w:szCs w:val="21"/>
                <w:highlight w:val="none"/>
              </w:rPr>
              <w:t>c、各投标（响应）人从参与项目交易开始至项目交易活动结束止，应时刻关注电子交易系统中的项目进度和状态，特别是项目评审期间。由于自身原因错过变更通知、文件澄清、报价响应（自系统发起40分钟内做出）等重要信息的，后果由投标（响应）人自行承担。</w:t>
            </w:r>
          </w:p>
        </w:tc>
      </w:tr>
      <w:tr w14:paraId="32F21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31BB8181">
            <w:pPr>
              <w:spacing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31</w:t>
            </w:r>
          </w:p>
        </w:tc>
        <w:tc>
          <w:tcPr>
            <w:tcW w:w="9553" w:type="dxa"/>
            <w:gridSpan w:val="3"/>
            <w:tcBorders>
              <w:top w:val="single" w:color="auto" w:sz="4" w:space="0"/>
              <w:left w:val="single" w:color="auto" w:sz="4" w:space="0"/>
              <w:bottom w:val="single" w:color="auto" w:sz="4" w:space="0"/>
              <w:right w:val="single" w:color="auto" w:sz="4" w:space="0"/>
            </w:tcBorders>
            <w:vAlign w:val="center"/>
          </w:tcPr>
          <w:p w14:paraId="0B582E14">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1、中小企业。根据财政部工业和信息化部财库〔2020〕46号:关于印发《政府采购促进中小企业发展管理办法》的通知，以中小企业身份参加投标时，应提供规定格式的《中小企业声明函》；格式见《政府采购促进中小企业发展暂行办法》附件。</w:t>
            </w:r>
          </w:p>
          <w:p w14:paraId="717E4567">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二、关于监狱企业</w:t>
            </w:r>
          </w:p>
          <w:p w14:paraId="1DA0909A">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1、政府采购政策</w:t>
            </w:r>
          </w:p>
          <w:p w14:paraId="5CF8C880">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财政部、司法部关于政府采购支持监狱企业发展有关问题的通知（财库【2014】68号）</w:t>
            </w:r>
          </w:p>
          <w:p w14:paraId="2C73C467">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关于监狱企业：视同小微企业。</w:t>
            </w:r>
          </w:p>
          <w:p w14:paraId="72E30487">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2、附证明材料</w:t>
            </w:r>
          </w:p>
          <w:p w14:paraId="47910F57">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提供由省级以上监狱管理局、戒毒管理局（含新疆生产建设兵团）出具的属于监狱企业的证明文件</w:t>
            </w:r>
            <w:r>
              <w:rPr>
                <w:rFonts w:hint="eastAsia" w:ascii="宋体" w:hAnsi="宋体" w:cs="宋体"/>
                <w:color w:val="000000"/>
                <w:sz w:val="21"/>
                <w:szCs w:val="21"/>
                <w:highlight w:val="none"/>
                <w:lang w:eastAsia="zh-CN"/>
              </w:rPr>
              <w:t>。</w:t>
            </w:r>
          </w:p>
          <w:p w14:paraId="288BE034">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三、关于促进残疾人就业的政府采购政策</w:t>
            </w:r>
          </w:p>
          <w:p w14:paraId="35D5BAE0">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政府采购政策</w:t>
            </w:r>
          </w:p>
          <w:p w14:paraId="25DB4606">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关于促进残疾人就业政府采购政策的通知（财库〔2017〕141号）</w:t>
            </w:r>
          </w:p>
          <w:p w14:paraId="2BEDCE1C">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关于残疾人福利性单位：视同小微企业。残疾人福利性单位属于小型、微型企业的，不重复享受政策。</w:t>
            </w:r>
          </w:p>
          <w:p w14:paraId="0A97AB6D">
            <w:pPr>
              <w:spacing w:line="400" w:lineRule="exact"/>
              <w:rPr>
                <w:rFonts w:hint="eastAsia" w:ascii="宋体" w:hAnsi="宋体" w:cs="Arial"/>
                <w:color w:val="auto"/>
                <w:kern w:val="0"/>
                <w:szCs w:val="21"/>
                <w:highlight w:val="none"/>
              </w:rPr>
            </w:pPr>
            <w:r>
              <w:rPr>
                <w:rFonts w:hint="eastAsia" w:ascii="宋体" w:hAnsi="宋体" w:cs="宋体"/>
                <w:color w:val="000000"/>
                <w:sz w:val="21"/>
                <w:szCs w:val="21"/>
                <w:highlight w:val="none"/>
                <w:lang w:val="en-US" w:eastAsia="zh-CN"/>
              </w:rPr>
              <w:t>3</w:t>
            </w:r>
            <w:r>
              <w:rPr>
                <w:rFonts w:hint="eastAsia" w:ascii="宋体" w:hAnsi="宋体" w:cs="宋体"/>
                <w:color w:val="000000"/>
                <w:sz w:val="21"/>
                <w:szCs w:val="21"/>
                <w:highlight w:val="none"/>
              </w:rPr>
              <w:t>、附声明函</w:t>
            </w:r>
          </w:p>
        </w:tc>
      </w:tr>
      <w:tr w14:paraId="45EB4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0E4AD725">
            <w:pPr>
              <w:autoSpaceDE w:val="0"/>
              <w:autoSpaceDN w:val="0"/>
              <w:adjustRightInd w:val="0"/>
              <w:jc w:val="center"/>
              <w:rPr>
                <w:rFonts w:hint="default" w:ascii="宋体" w:hAnsi="宋体" w:eastAsia="宋体" w:cs="宋体"/>
                <w:color w:val="auto"/>
                <w:szCs w:val="21"/>
                <w:highlight w:val="none"/>
                <w:lang w:val="en-US" w:eastAsia="zh-CN"/>
              </w:rPr>
            </w:pPr>
            <w:r>
              <w:rPr>
                <w:rFonts w:hint="eastAsia" w:ascii="宋体" w:hAnsi="宋体" w:cs="TimesNewRomanPSMT"/>
                <w:color w:val="auto"/>
                <w:kern w:val="0"/>
                <w:szCs w:val="21"/>
                <w:highlight w:val="none"/>
              </w:rPr>
              <w:t>3</w:t>
            </w:r>
            <w:r>
              <w:rPr>
                <w:rFonts w:hint="eastAsia" w:ascii="宋体" w:hAnsi="宋体" w:cs="TimesNewRomanPSMT"/>
                <w:color w:val="auto"/>
                <w:kern w:val="0"/>
                <w:szCs w:val="21"/>
                <w:highlight w:val="none"/>
                <w:lang w:val="en-US" w:eastAsia="zh-CN"/>
              </w:rPr>
              <w:t>2</w:t>
            </w:r>
          </w:p>
        </w:tc>
        <w:tc>
          <w:tcPr>
            <w:tcW w:w="2109" w:type="dxa"/>
            <w:gridSpan w:val="2"/>
            <w:tcBorders>
              <w:top w:val="single" w:color="auto" w:sz="4" w:space="0"/>
              <w:left w:val="single" w:color="auto" w:sz="4" w:space="0"/>
              <w:bottom w:val="single" w:color="auto" w:sz="4" w:space="0"/>
              <w:right w:val="single" w:color="auto" w:sz="4" w:space="0"/>
            </w:tcBorders>
            <w:vAlign w:val="center"/>
          </w:tcPr>
          <w:p w14:paraId="682C6CCC">
            <w:pPr>
              <w:jc w:val="center"/>
              <w:rPr>
                <w:color w:val="auto"/>
                <w:highlight w:val="none"/>
              </w:rPr>
            </w:pPr>
            <w:r>
              <w:rPr>
                <w:rFonts w:hAnsi="宋体"/>
                <w:color w:val="auto"/>
                <w:szCs w:val="21"/>
                <w:highlight w:val="none"/>
              </w:rPr>
              <w:t>招标人其他要求</w:t>
            </w:r>
          </w:p>
        </w:tc>
        <w:tc>
          <w:tcPr>
            <w:tcW w:w="7444" w:type="dxa"/>
            <w:tcBorders>
              <w:top w:val="single" w:color="auto" w:sz="4" w:space="0"/>
              <w:left w:val="single" w:color="auto" w:sz="4" w:space="0"/>
              <w:bottom w:val="single" w:color="auto" w:sz="4" w:space="0"/>
              <w:right w:val="single" w:color="auto" w:sz="4" w:space="0"/>
            </w:tcBorders>
            <w:vAlign w:val="center"/>
          </w:tcPr>
          <w:p w14:paraId="0B56BD75">
            <w:pPr>
              <w:spacing w:line="400" w:lineRule="exact"/>
              <w:rPr>
                <w:rFonts w:hint="eastAsia" w:ascii="宋体" w:hAnsi="宋体" w:cs="Arial"/>
                <w:color w:val="auto"/>
                <w:kern w:val="0"/>
                <w:szCs w:val="21"/>
                <w:highlight w:val="none"/>
              </w:rPr>
            </w:pPr>
            <w:r>
              <w:rPr>
                <w:rFonts w:hint="eastAsia" w:ascii="宋体" w:hAnsi="宋体" w:cs="Arial"/>
                <w:color w:val="auto"/>
                <w:kern w:val="0"/>
                <w:szCs w:val="21"/>
                <w:highlight w:val="none"/>
              </w:rPr>
              <w:t>1、任何一方违约另一方有权依据合同约定终止合同。</w:t>
            </w:r>
          </w:p>
          <w:p w14:paraId="19AEE1D6">
            <w:pPr>
              <w:spacing w:line="400" w:lineRule="exact"/>
              <w:rPr>
                <w:rFonts w:hint="eastAsia" w:ascii="宋体" w:hAnsi="宋体" w:cs="Arial"/>
                <w:color w:val="auto"/>
                <w:kern w:val="0"/>
                <w:szCs w:val="21"/>
                <w:highlight w:val="none"/>
              </w:rPr>
            </w:pPr>
            <w:r>
              <w:rPr>
                <w:rFonts w:hint="eastAsia" w:ascii="宋体" w:hAnsi="宋体" w:cs="Arial"/>
                <w:color w:val="auto"/>
                <w:kern w:val="0"/>
                <w:szCs w:val="21"/>
                <w:highlight w:val="none"/>
              </w:rPr>
              <w:t>2、具体实施条款按合同专项约定。</w:t>
            </w:r>
          </w:p>
          <w:p w14:paraId="651A8849">
            <w:pPr>
              <w:spacing w:line="400" w:lineRule="exact"/>
              <w:rPr>
                <w:rFonts w:hint="eastAsia" w:eastAsia="宋体"/>
                <w:color w:val="auto"/>
                <w:highlight w:val="none"/>
                <w:lang w:eastAsia="zh-CN"/>
              </w:rPr>
            </w:pPr>
            <w:r>
              <w:rPr>
                <w:rFonts w:hint="eastAsia" w:ascii="宋体" w:hAnsi="宋体" w:cs="Arial"/>
                <w:b/>
                <w:bCs/>
                <w:color w:val="auto"/>
                <w:kern w:val="0"/>
                <w:szCs w:val="21"/>
                <w:highlight w:val="none"/>
              </w:rPr>
              <w:t>3、项目所属行业：租赁和商务服务行业</w:t>
            </w:r>
            <w:r>
              <w:rPr>
                <w:rFonts w:hint="eastAsia" w:ascii="宋体" w:hAnsi="宋体" w:cs="Arial"/>
                <w:b/>
                <w:bCs/>
                <w:color w:val="auto"/>
                <w:kern w:val="0"/>
                <w:szCs w:val="21"/>
                <w:highlight w:val="none"/>
                <w:lang w:eastAsia="zh-CN"/>
              </w:rPr>
              <w:t>。</w:t>
            </w:r>
          </w:p>
        </w:tc>
      </w:tr>
    </w:tbl>
    <w:p w14:paraId="6DD7A3FC">
      <w:pPr>
        <w:pStyle w:val="24"/>
        <w:spacing w:line="360" w:lineRule="auto"/>
        <w:rPr>
          <w:rFonts w:ascii="宋体" w:eastAsia="宋体"/>
          <w:color w:val="auto"/>
          <w:sz w:val="21"/>
          <w:szCs w:val="21"/>
          <w:highlight w:val="none"/>
        </w:rPr>
      </w:pPr>
      <w:bookmarkStart w:id="92" w:name="_Toc19314"/>
      <w:bookmarkStart w:id="93" w:name="_Toc12338"/>
      <w:bookmarkStart w:id="94" w:name="_Toc14462"/>
      <w:bookmarkStart w:id="95" w:name="_Toc402979489"/>
      <w:bookmarkStart w:id="96" w:name="_Toc28600"/>
      <w:bookmarkStart w:id="97" w:name="_Toc27698"/>
      <w:bookmarkStart w:id="98" w:name="_Toc238352239"/>
      <w:bookmarkStart w:id="99" w:name="_Toc26118"/>
      <w:bookmarkStart w:id="100" w:name="_Toc19233"/>
      <w:bookmarkStart w:id="101" w:name="_Toc19356"/>
      <w:bookmarkStart w:id="102" w:name="_Toc13572"/>
      <w:bookmarkStart w:id="103" w:name="_Toc2244"/>
      <w:bookmarkStart w:id="104" w:name="_Toc6130"/>
      <w:bookmarkStart w:id="105" w:name="_Toc22082"/>
      <w:bookmarkStart w:id="106" w:name="_Toc21670"/>
      <w:bookmarkStart w:id="107" w:name="_Toc445450431"/>
      <w:bookmarkStart w:id="108" w:name="_Toc457735645"/>
      <w:bookmarkStart w:id="109" w:name="_Toc8167"/>
      <w:bookmarkStart w:id="110" w:name="_Toc5434"/>
      <w:bookmarkStart w:id="111" w:name="_Toc9585"/>
      <w:bookmarkStart w:id="112" w:name="_Toc457761140"/>
      <w:r>
        <w:rPr>
          <w:rFonts w:hint="eastAsia" w:ascii="宋体" w:eastAsia="宋体"/>
          <w:color w:val="auto"/>
          <w:sz w:val="21"/>
          <w:szCs w:val="21"/>
          <w:highlight w:val="none"/>
        </w:rPr>
        <w:t>1  总 则</w:t>
      </w:r>
      <w:bookmarkEnd w:id="92"/>
      <w:bookmarkEnd w:id="93"/>
      <w:bookmarkEnd w:id="94"/>
      <w:bookmarkEnd w:id="95"/>
      <w:bookmarkEnd w:id="96"/>
      <w:bookmarkEnd w:id="97"/>
      <w:bookmarkEnd w:id="98"/>
      <w:bookmarkEnd w:id="99"/>
    </w:p>
    <w:p w14:paraId="04BAE71F">
      <w:pPr>
        <w:autoSpaceDE w:val="0"/>
        <w:autoSpaceDN w:val="0"/>
        <w:adjustRightInd w:val="0"/>
        <w:spacing w:line="360" w:lineRule="auto"/>
        <w:jc w:val="left"/>
        <w:rPr>
          <w:rFonts w:hint="eastAsia" w:ascii="宋体" w:hAnsi="宋体" w:cs="仿宋_GB2312"/>
          <w:color w:val="auto"/>
          <w:kern w:val="0"/>
          <w:szCs w:val="21"/>
          <w:highlight w:val="none"/>
        </w:rPr>
      </w:pPr>
      <w:bookmarkStart w:id="113" w:name="_Toc276720095"/>
      <w:bookmarkStart w:id="114" w:name="_Toc6103"/>
      <w:bookmarkStart w:id="115" w:name="_Toc286647840"/>
      <w:bookmarkStart w:id="116" w:name="_Toc275963890"/>
      <w:bookmarkStart w:id="117" w:name="_Toc275959535"/>
      <w:bookmarkStart w:id="118" w:name="_Toc275959279"/>
      <w:r>
        <w:rPr>
          <w:rFonts w:hint="eastAsia" w:ascii="宋体" w:hAnsi="宋体" w:cs="仿宋_GB2312"/>
          <w:color w:val="auto"/>
          <w:kern w:val="0"/>
          <w:szCs w:val="21"/>
          <w:highlight w:val="none"/>
        </w:rPr>
        <w:t>1.1 项目概况</w:t>
      </w:r>
      <w:bookmarkEnd w:id="113"/>
      <w:bookmarkEnd w:id="114"/>
      <w:bookmarkEnd w:id="115"/>
      <w:bookmarkEnd w:id="116"/>
      <w:bookmarkEnd w:id="117"/>
      <w:bookmarkEnd w:id="118"/>
    </w:p>
    <w:p w14:paraId="11414B62">
      <w:pPr>
        <w:autoSpaceDE w:val="0"/>
        <w:autoSpaceDN w:val="0"/>
        <w:adjustRightInd w:val="0"/>
        <w:spacing w:line="360" w:lineRule="auto"/>
        <w:ind w:left="1109" w:leftChars="228" w:hanging="630" w:hangingChars="300"/>
        <w:jc w:val="left"/>
        <w:rPr>
          <w:rFonts w:hint="eastAsia" w:ascii="宋体" w:hAnsi="宋体" w:cs="仿宋_GB2312"/>
          <w:color w:val="auto"/>
          <w:kern w:val="0"/>
          <w:szCs w:val="21"/>
          <w:highlight w:val="none"/>
        </w:rPr>
      </w:pPr>
      <w:r>
        <w:rPr>
          <w:rFonts w:hint="eastAsia" w:ascii="宋体" w:hAnsi="宋体" w:cs="TimesNewRomanPSMT"/>
          <w:color w:val="auto"/>
          <w:kern w:val="0"/>
          <w:szCs w:val="21"/>
          <w:highlight w:val="none"/>
        </w:rPr>
        <w:t xml:space="preserve">1.1.1 </w:t>
      </w:r>
      <w:r>
        <w:rPr>
          <w:rFonts w:hint="eastAsia" w:ascii="宋体" w:hAnsi="宋体" w:cs="仿宋_GB2312"/>
          <w:color w:val="auto"/>
          <w:kern w:val="0"/>
          <w:szCs w:val="21"/>
          <w:highlight w:val="none"/>
        </w:rPr>
        <w:t>根据《中华人民共和国政府采购法》、《政府采购货物和服务招标投标管理办法》等有关法律、法规和规章的规定，本招标项目已具备招标条件，现对本项目进行公开招标。</w:t>
      </w:r>
    </w:p>
    <w:p w14:paraId="10F5AE25">
      <w:pPr>
        <w:autoSpaceDE w:val="0"/>
        <w:autoSpaceDN w:val="0"/>
        <w:adjustRightInd w:val="0"/>
        <w:spacing w:line="360" w:lineRule="auto"/>
        <w:ind w:firstLine="539" w:firstLineChars="257"/>
        <w:jc w:val="left"/>
        <w:rPr>
          <w:rFonts w:hint="eastAsia" w:ascii="宋体" w:hAnsi="宋体" w:cs="仿宋_GB2312"/>
          <w:color w:val="auto"/>
          <w:kern w:val="0"/>
          <w:szCs w:val="21"/>
          <w:highlight w:val="none"/>
        </w:rPr>
      </w:pPr>
      <w:r>
        <w:rPr>
          <w:rFonts w:hint="eastAsia" w:ascii="宋体" w:hAnsi="宋体" w:cs="TimesNewRomanPSMT"/>
          <w:color w:val="auto"/>
          <w:kern w:val="0"/>
          <w:szCs w:val="21"/>
          <w:highlight w:val="none"/>
        </w:rPr>
        <w:t xml:space="preserve">1.1.2 </w:t>
      </w:r>
      <w:r>
        <w:rPr>
          <w:rFonts w:hint="eastAsia" w:ascii="宋体" w:hAnsi="宋体" w:cs="仿宋_GB2312"/>
          <w:color w:val="auto"/>
          <w:kern w:val="0"/>
          <w:szCs w:val="21"/>
          <w:highlight w:val="none"/>
        </w:rPr>
        <w:t>本招标项目招标人：见投标人须知前附表。</w:t>
      </w:r>
    </w:p>
    <w:p w14:paraId="3C26761E">
      <w:pPr>
        <w:autoSpaceDE w:val="0"/>
        <w:autoSpaceDN w:val="0"/>
        <w:adjustRightInd w:val="0"/>
        <w:spacing w:line="360" w:lineRule="auto"/>
        <w:ind w:firstLine="539" w:firstLineChars="257"/>
        <w:jc w:val="left"/>
        <w:rPr>
          <w:rFonts w:hint="eastAsia" w:ascii="宋体" w:hAnsi="宋体" w:cs="仿宋_GB2312"/>
          <w:color w:val="auto"/>
          <w:kern w:val="0"/>
          <w:szCs w:val="21"/>
          <w:highlight w:val="none"/>
        </w:rPr>
      </w:pPr>
      <w:r>
        <w:rPr>
          <w:rFonts w:hint="eastAsia" w:ascii="宋体" w:hAnsi="宋体" w:cs="TimesNewRomanPSMT"/>
          <w:color w:val="auto"/>
          <w:kern w:val="0"/>
          <w:szCs w:val="21"/>
          <w:highlight w:val="none"/>
        </w:rPr>
        <w:t xml:space="preserve">1.1.3 </w:t>
      </w:r>
      <w:r>
        <w:rPr>
          <w:rFonts w:hint="eastAsia" w:ascii="宋体" w:hAnsi="宋体" w:cs="仿宋_GB2312"/>
          <w:color w:val="auto"/>
          <w:kern w:val="0"/>
          <w:szCs w:val="21"/>
          <w:highlight w:val="none"/>
        </w:rPr>
        <w:t>本项目招标代理机构：见投标人须知前附表。</w:t>
      </w:r>
    </w:p>
    <w:p w14:paraId="2A8E2AFA">
      <w:pPr>
        <w:autoSpaceDE w:val="0"/>
        <w:autoSpaceDN w:val="0"/>
        <w:adjustRightInd w:val="0"/>
        <w:spacing w:line="360" w:lineRule="auto"/>
        <w:ind w:firstLine="539" w:firstLineChars="257"/>
        <w:jc w:val="left"/>
        <w:rPr>
          <w:rFonts w:hint="eastAsia" w:ascii="宋体" w:hAnsi="宋体" w:cs="仿宋_GB2312"/>
          <w:color w:val="auto"/>
          <w:kern w:val="0"/>
          <w:szCs w:val="21"/>
          <w:highlight w:val="none"/>
        </w:rPr>
      </w:pPr>
      <w:r>
        <w:rPr>
          <w:rFonts w:hint="eastAsia" w:ascii="宋体" w:hAnsi="宋体" w:cs="TimesNewRomanPSMT"/>
          <w:color w:val="auto"/>
          <w:kern w:val="0"/>
          <w:szCs w:val="21"/>
          <w:highlight w:val="none"/>
        </w:rPr>
        <w:t xml:space="preserve">1.1.4 </w:t>
      </w:r>
      <w:r>
        <w:rPr>
          <w:rFonts w:hint="eastAsia" w:ascii="宋体" w:hAnsi="宋体" w:cs="仿宋_GB2312"/>
          <w:color w:val="auto"/>
          <w:kern w:val="0"/>
          <w:szCs w:val="21"/>
          <w:highlight w:val="none"/>
        </w:rPr>
        <w:t>本招标项目名称：见投标人须知前附表。</w:t>
      </w:r>
    </w:p>
    <w:p w14:paraId="2B1376A3">
      <w:pPr>
        <w:autoSpaceDE w:val="0"/>
        <w:autoSpaceDN w:val="0"/>
        <w:adjustRightInd w:val="0"/>
        <w:spacing w:line="360" w:lineRule="auto"/>
        <w:ind w:firstLine="539" w:firstLineChars="257"/>
        <w:jc w:val="left"/>
        <w:rPr>
          <w:rFonts w:hint="eastAsia" w:ascii="宋体" w:hAnsi="宋体" w:cs="仿宋_GB2312"/>
          <w:color w:val="auto"/>
          <w:kern w:val="0"/>
          <w:szCs w:val="21"/>
          <w:highlight w:val="none"/>
        </w:rPr>
      </w:pPr>
      <w:r>
        <w:rPr>
          <w:rFonts w:hint="eastAsia" w:ascii="宋体" w:hAnsi="宋体" w:cs="TimesNewRomanPSMT"/>
          <w:color w:val="auto"/>
          <w:kern w:val="0"/>
          <w:szCs w:val="21"/>
          <w:highlight w:val="none"/>
        </w:rPr>
        <w:t xml:space="preserve">1.1.5 </w:t>
      </w:r>
      <w:r>
        <w:rPr>
          <w:rFonts w:hint="eastAsia" w:ascii="宋体" w:hAnsi="宋体" w:cs="仿宋_GB2312"/>
          <w:color w:val="auto"/>
          <w:kern w:val="0"/>
          <w:szCs w:val="21"/>
          <w:highlight w:val="none"/>
        </w:rPr>
        <w:t>本招标项目的资金来源：见投标人须知前附表。</w:t>
      </w:r>
    </w:p>
    <w:p w14:paraId="24BB1F70">
      <w:pPr>
        <w:autoSpaceDE w:val="0"/>
        <w:autoSpaceDN w:val="0"/>
        <w:adjustRightInd w:val="0"/>
        <w:spacing w:line="360" w:lineRule="auto"/>
        <w:ind w:firstLine="539" w:firstLineChars="257"/>
        <w:jc w:val="left"/>
        <w:rPr>
          <w:rFonts w:hint="eastAsia" w:ascii="宋体" w:hAnsi="宋体" w:cs="仿宋_GB2312"/>
          <w:color w:val="auto"/>
          <w:kern w:val="0"/>
          <w:szCs w:val="21"/>
          <w:highlight w:val="none"/>
        </w:rPr>
      </w:pPr>
      <w:r>
        <w:rPr>
          <w:rFonts w:hint="eastAsia" w:ascii="宋体" w:hAnsi="宋体" w:cs="TimesNewRomanPSMT"/>
          <w:color w:val="auto"/>
          <w:kern w:val="0"/>
          <w:szCs w:val="21"/>
          <w:highlight w:val="none"/>
        </w:rPr>
        <w:t xml:space="preserve">1.1.6 </w:t>
      </w:r>
      <w:r>
        <w:rPr>
          <w:rFonts w:hint="eastAsia" w:ascii="宋体" w:hAnsi="宋体" w:cs="仿宋_GB2312"/>
          <w:color w:val="auto"/>
          <w:kern w:val="0"/>
          <w:szCs w:val="21"/>
          <w:highlight w:val="none"/>
        </w:rPr>
        <w:t>本招标项目的资金落实情况：见投标人须知前附表。</w:t>
      </w:r>
    </w:p>
    <w:p w14:paraId="39B1C575">
      <w:pPr>
        <w:autoSpaceDE w:val="0"/>
        <w:autoSpaceDN w:val="0"/>
        <w:adjustRightInd w:val="0"/>
        <w:spacing w:line="360" w:lineRule="auto"/>
        <w:ind w:firstLine="539" w:firstLineChars="257"/>
        <w:jc w:val="left"/>
        <w:rPr>
          <w:rFonts w:hint="eastAsia" w:ascii="宋体" w:hAnsi="宋体" w:cs="仿宋_GB2312"/>
          <w:color w:val="auto"/>
          <w:kern w:val="0"/>
          <w:szCs w:val="21"/>
          <w:highlight w:val="none"/>
        </w:rPr>
      </w:pPr>
      <w:r>
        <w:rPr>
          <w:rFonts w:hint="eastAsia" w:ascii="宋体" w:hAnsi="宋体" w:cs="TimesNewRomanPSMT"/>
          <w:color w:val="auto"/>
          <w:kern w:val="0"/>
          <w:szCs w:val="21"/>
          <w:highlight w:val="none"/>
        </w:rPr>
        <w:t xml:space="preserve">1.1.7 </w:t>
      </w:r>
      <w:r>
        <w:rPr>
          <w:rFonts w:hint="eastAsia" w:ascii="宋体" w:hAnsi="宋体" w:cs="仿宋_GB2312"/>
          <w:color w:val="auto"/>
          <w:kern w:val="0"/>
          <w:szCs w:val="21"/>
          <w:highlight w:val="none"/>
        </w:rPr>
        <w:t>本项目</w:t>
      </w:r>
      <w:r>
        <w:rPr>
          <w:rFonts w:hint="eastAsia" w:ascii="宋体" w:hAnsi="宋体" w:cs="宋体"/>
          <w:color w:val="auto"/>
          <w:kern w:val="0"/>
          <w:szCs w:val="21"/>
          <w:highlight w:val="none"/>
        </w:rPr>
        <w:t>服务期限、合同履行期限</w:t>
      </w:r>
      <w:r>
        <w:rPr>
          <w:rFonts w:hint="eastAsia" w:ascii="宋体" w:hAnsi="宋体" w:cs="仿宋_GB2312"/>
          <w:color w:val="auto"/>
          <w:kern w:val="0"/>
          <w:szCs w:val="21"/>
          <w:highlight w:val="none"/>
        </w:rPr>
        <w:t>：见投标人须知前附表。</w:t>
      </w:r>
    </w:p>
    <w:p w14:paraId="73F0F510">
      <w:pPr>
        <w:autoSpaceDE w:val="0"/>
        <w:autoSpaceDN w:val="0"/>
        <w:adjustRightInd w:val="0"/>
        <w:spacing w:line="360" w:lineRule="auto"/>
        <w:ind w:firstLine="539" w:firstLineChars="257"/>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1.1.8 本</w:t>
      </w:r>
      <w:r>
        <w:rPr>
          <w:rFonts w:hint="eastAsia" w:ascii="宋体" w:hAnsi="宋体" w:cs="宋体"/>
          <w:color w:val="auto"/>
          <w:kern w:val="0"/>
          <w:szCs w:val="21"/>
          <w:highlight w:val="none"/>
        </w:rPr>
        <w:t>项目项目</w:t>
      </w:r>
      <w:r>
        <w:rPr>
          <w:rFonts w:hint="eastAsia" w:ascii="宋体" w:hAnsi="宋体" w:cs="仿宋_GB2312"/>
          <w:color w:val="auto"/>
          <w:kern w:val="0"/>
          <w:szCs w:val="21"/>
          <w:highlight w:val="none"/>
        </w:rPr>
        <w:t>地点：见投标人须知前附表。</w:t>
      </w:r>
    </w:p>
    <w:p w14:paraId="7DF665AA">
      <w:pPr>
        <w:autoSpaceDE w:val="0"/>
        <w:autoSpaceDN w:val="0"/>
        <w:adjustRightInd w:val="0"/>
        <w:spacing w:line="360" w:lineRule="auto"/>
        <w:ind w:firstLine="539" w:firstLineChars="257"/>
        <w:jc w:val="left"/>
        <w:rPr>
          <w:rFonts w:hint="eastAsia" w:ascii="宋体" w:hAnsi="宋体" w:cs="仿宋_GB2312"/>
          <w:color w:val="auto"/>
          <w:kern w:val="0"/>
          <w:szCs w:val="21"/>
          <w:highlight w:val="none"/>
        </w:rPr>
      </w:pPr>
      <w:r>
        <w:rPr>
          <w:rFonts w:hint="eastAsia" w:ascii="宋体" w:hAnsi="宋体" w:cs="TimesNewRomanPSMT"/>
          <w:color w:val="auto"/>
          <w:kern w:val="0"/>
          <w:szCs w:val="21"/>
          <w:highlight w:val="none"/>
        </w:rPr>
        <w:t xml:space="preserve">1.1.9 </w:t>
      </w:r>
      <w:r>
        <w:rPr>
          <w:rFonts w:hint="eastAsia" w:ascii="宋体" w:hAnsi="宋体" w:cs="仿宋_GB2312"/>
          <w:color w:val="auto"/>
          <w:kern w:val="0"/>
          <w:szCs w:val="21"/>
          <w:highlight w:val="none"/>
        </w:rPr>
        <w:t>本</w:t>
      </w:r>
      <w:r>
        <w:rPr>
          <w:rFonts w:hint="eastAsia" w:ascii="宋体" w:hAnsi="宋体" w:cs="宋体"/>
          <w:color w:val="auto"/>
          <w:kern w:val="0"/>
          <w:szCs w:val="21"/>
          <w:highlight w:val="none"/>
        </w:rPr>
        <w:t>项目</w:t>
      </w:r>
      <w:r>
        <w:rPr>
          <w:rFonts w:hint="eastAsia" w:ascii="宋体" w:hAnsi="宋体" w:cs="仿宋_GB2312"/>
          <w:color w:val="auto"/>
          <w:kern w:val="0"/>
          <w:szCs w:val="21"/>
          <w:highlight w:val="none"/>
        </w:rPr>
        <w:t>质量要求：见投标人须知前附表。</w:t>
      </w:r>
    </w:p>
    <w:p w14:paraId="70A71886">
      <w:pPr>
        <w:autoSpaceDE w:val="0"/>
        <w:autoSpaceDN w:val="0"/>
        <w:adjustRightInd w:val="0"/>
        <w:spacing w:line="360" w:lineRule="auto"/>
        <w:ind w:firstLine="539" w:firstLineChars="257"/>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1.1.10本</w:t>
      </w:r>
      <w:r>
        <w:rPr>
          <w:rFonts w:hint="eastAsia" w:ascii="宋体" w:hAnsi="宋体" w:cs="宋体"/>
          <w:color w:val="auto"/>
          <w:kern w:val="0"/>
          <w:szCs w:val="21"/>
          <w:highlight w:val="none"/>
        </w:rPr>
        <w:t>项目</w:t>
      </w:r>
      <w:r>
        <w:rPr>
          <w:rFonts w:hint="eastAsia" w:ascii="宋体" w:hAnsi="宋体" w:cs="仿宋_GB2312"/>
          <w:color w:val="auto"/>
          <w:kern w:val="0"/>
          <w:szCs w:val="21"/>
          <w:highlight w:val="none"/>
        </w:rPr>
        <w:t>采购内容：具体采购内容详见第三章“</w:t>
      </w:r>
      <w:r>
        <w:rPr>
          <w:rFonts w:hint="eastAsia" w:ascii="宋体" w:hAnsi="宋体"/>
          <w:color w:val="auto"/>
          <w:szCs w:val="21"/>
          <w:highlight w:val="none"/>
        </w:rPr>
        <w:t>采购需求及要求</w:t>
      </w:r>
      <w:r>
        <w:rPr>
          <w:rFonts w:hint="eastAsia" w:ascii="宋体" w:hAnsi="宋体" w:cs="仿宋_GB2312"/>
          <w:color w:val="auto"/>
          <w:kern w:val="0"/>
          <w:szCs w:val="21"/>
          <w:highlight w:val="none"/>
        </w:rPr>
        <w:t>”。</w:t>
      </w:r>
    </w:p>
    <w:p w14:paraId="5564D0ED">
      <w:pPr>
        <w:autoSpaceDE w:val="0"/>
        <w:autoSpaceDN w:val="0"/>
        <w:adjustRightInd w:val="0"/>
        <w:spacing w:line="360" w:lineRule="auto"/>
        <w:ind w:firstLine="539" w:firstLineChars="257"/>
        <w:jc w:val="left"/>
        <w:rPr>
          <w:rFonts w:hint="eastAsia" w:ascii="宋体" w:hAnsi="宋体" w:cs="TimesNewRomanPSMT"/>
          <w:color w:val="auto"/>
          <w:kern w:val="0"/>
          <w:szCs w:val="21"/>
          <w:highlight w:val="none"/>
        </w:rPr>
      </w:pPr>
      <w:r>
        <w:rPr>
          <w:rFonts w:hint="eastAsia" w:ascii="宋体" w:hAnsi="宋体" w:cs="TimesNewRomanPSMT"/>
          <w:color w:val="auto"/>
          <w:kern w:val="0"/>
          <w:szCs w:val="21"/>
          <w:highlight w:val="none"/>
        </w:rPr>
        <w:t>1.1.11</w:t>
      </w:r>
      <w:r>
        <w:rPr>
          <w:rFonts w:hint="eastAsia" w:ascii="宋体" w:hAnsi="宋体" w:cs="仿宋_GB2312"/>
          <w:color w:val="auto"/>
          <w:kern w:val="0"/>
          <w:szCs w:val="21"/>
          <w:highlight w:val="none"/>
        </w:rPr>
        <w:t>本</w:t>
      </w:r>
      <w:r>
        <w:rPr>
          <w:rFonts w:hint="eastAsia" w:ascii="宋体" w:hAnsi="宋体" w:cs="宋体"/>
          <w:color w:val="auto"/>
          <w:kern w:val="0"/>
          <w:szCs w:val="21"/>
          <w:highlight w:val="none"/>
        </w:rPr>
        <w:t>项目</w:t>
      </w:r>
      <w:r>
        <w:rPr>
          <w:rFonts w:hint="eastAsia" w:ascii="宋体" w:hAnsi="宋体" w:cs="仿宋_GB2312"/>
          <w:color w:val="auto"/>
          <w:kern w:val="0"/>
          <w:szCs w:val="21"/>
          <w:highlight w:val="none"/>
        </w:rPr>
        <w:t>招标范围：见投标人须知前附表。</w:t>
      </w:r>
    </w:p>
    <w:p w14:paraId="17B004DE">
      <w:pPr>
        <w:autoSpaceDE w:val="0"/>
        <w:autoSpaceDN w:val="0"/>
        <w:adjustRightInd w:val="0"/>
        <w:spacing w:line="360" w:lineRule="auto"/>
        <w:jc w:val="left"/>
        <w:rPr>
          <w:rFonts w:hint="eastAsia" w:ascii="宋体" w:hAnsi="宋体" w:cs="宋体"/>
          <w:color w:val="auto"/>
          <w:kern w:val="0"/>
          <w:szCs w:val="21"/>
          <w:highlight w:val="none"/>
        </w:rPr>
      </w:pPr>
      <w:bookmarkStart w:id="119" w:name="_Toc276720096"/>
      <w:bookmarkStart w:id="120" w:name="_Toc286647841"/>
      <w:bookmarkStart w:id="121" w:name="_Toc275959280"/>
      <w:bookmarkStart w:id="122" w:name="_Toc2576"/>
      <w:bookmarkStart w:id="123" w:name="_Toc275959536"/>
      <w:bookmarkStart w:id="124" w:name="_Toc275963891"/>
      <w:r>
        <w:rPr>
          <w:rFonts w:hint="eastAsia" w:ascii="宋体" w:hAnsi="宋体" w:cs="宋体"/>
          <w:color w:val="auto"/>
          <w:kern w:val="0"/>
          <w:szCs w:val="21"/>
          <w:highlight w:val="none"/>
        </w:rPr>
        <w:t>1.2 投标人资格要求</w:t>
      </w:r>
      <w:bookmarkEnd w:id="119"/>
      <w:bookmarkEnd w:id="120"/>
      <w:bookmarkEnd w:id="121"/>
      <w:bookmarkEnd w:id="122"/>
      <w:bookmarkEnd w:id="123"/>
      <w:bookmarkEnd w:id="124"/>
    </w:p>
    <w:p w14:paraId="56B77A49">
      <w:pPr>
        <w:autoSpaceDE w:val="0"/>
        <w:autoSpaceDN w:val="0"/>
        <w:adjustRightInd w:val="0"/>
        <w:spacing w:line="360" w:lineRule="auto"/>
        <w:ind w:firstLine="525" w:firstLineChars="250"/>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1.2.1 投标人应具备承担本招标项目相关的资格条件、能力和信誉。</w:t>
      </w:r>
    </w:p>
    <w:p w14:paraId="57DB20DA">
      <w:pPr>
        <w:autoSpaceDE w:val="0"/>
        <w:autoSpaceDN w:val="0"/>
        <w:adjustRightInd w:val="0"/>
        <w:spacing w:line="360" w:lineRule="auto"/>
        <w:ind w:firstLine="945" w:firstLineChars="450"/>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（1）资格条件：见投标人须知前附表。</w:t>
      </w:r>
    </w:p>
    <w:p w14:paraId="0C883F56">
      <w:pPr>
        <w:autoSpaceDE w:val="0"/>
        <w:autoSpaceDN w:val="0"/>
        <w:adjustRightInd w:val="0"/>
        <w:spacing w:line="360" w:lineRule="auto"/>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 xml:space="preserve">    注：根据《政府采购货物和服务招标投标管理办法》（财政部令第87号）第四章：</w:t>
      </w:r>
    </w:p>
    <w:p w14:paraId="61F28E8C">
      <w:pPr>
        <w:autoSpaceDE w:val="0"/>
        <w:autoSpaceDN w:val="0"/>
        <w:adjustRightInd w:val="0"/>
        <w:spacing w:line="360" w:lineRule="auto"/>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 xml:space="preserve">    第四十四条 公开招标采购项目开标结束后，采购人或者采购代理机构应当依法对投标人的资格进行审查。合格投标人不足3家的，不得评标。</w:t>
      </w:r>
    </w:p>
    <w:p w14:paraId="31537590">
      <w:pPr>
        <w:autoSpaceDE w:val="0"/>
        <w:autoSpaceDN w:val="0"/>
        <w:adjustRightInd w:val="0"/>
        <w:spacing w:line="360" w:lineRule="auto"/>
        <w:ind w:firstLine="525" w:firstLineChars="250"/>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1.2.2 投标人不得存在下列情形之一：</w:t>
      </w:r>
    </w:p>
    <w:p w14:paraId="69D1F3F2">
      <w:pPr>
        <w:autoSpaceDE w:val="0"/>
        <w:autoSpaceDN w:val="0"/>
        <w:adjustRightInd w:val="0"/>
        <w:spacing w:line="360" w:lineRule="auto"/>
        <w:ind w:firstLine="945" w:firstLineChars="450"/>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（1）为投标人不具有立法人资格的附属机构（单位）；</w:t>
      </w:r>
    </w:p>
    <w:p w14:paraId="36887490">
      <w:pPr>
        <w:autoSpaceDE w:val="0"/>
        <w:autoSpaceDN w:val="0"/>
        <w:adjustRightInd w:val="0"/>
        <w:spacing w:line="360" w:lineRule="auto"/>
        <w:ind w:firstLine="945" w:firstLineChars="450"/>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（2）为本招标项目提供招标代理服务的；</w:t>
      </w:r>
    </w:p>
    <w:p w14:paraId="2BEC9680">
      <w:pPr>
        <w:autoSpaceDE w:val="0"/>
        <w:autoSpaceDN w:val="0"/>
        <w:adjustRightInd w:val="0"/>
        <w:spacing w:line="360" w:lineRule="auto"/>
        <w:ind w:firstLine="945" w:firstLineChars="450"/>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（3）与本招标项目的代建人或招标代理机构同为一个法定代表人的；</w:t>
      </w:r>
    </w:p>
    <w:p w14:paraId="2E566C57">
      <w:pPr>
        <w:autoSpaceDE w:val="0"/>
        <w:autoSpaceDN w:val="0"/>
        <w:adjustRightInd w:val="0"/>
        <w:spacing w:line="360" w:lineRule="auto"/>
        <w:ind w:firstLine="945" w:firstLineChars="450"/>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（4）与本招标项目的代建人或招标代理机构相互控股或参股的；</w:t>
      </w:r>
    </w:p>
    <w:p w14:paraId="44871627">
      <w:pPr>
        <w:autoSpaceDE w:val="0"/>
        <w:autoSpaceDN w:val="0"/>
        <w:adjustRightInd w:val="0"/>
        <w:spacing w:line="360" w:lineRule="auto"/>
        <w:ind w:firstLine="945" w:firstLineChars="450"/>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（5）与本招标项目的代建人或招标代理机构相互任职或工作的；</w:t>
      </w:r>
    </w:p>
    <w:p w14:paraId="0D69BA20">
      <w:pPr>
        <w:autoSpaceDE w:val="0"/>
        <w:autoSpaceDN w:val="0"/>
        <w:adjustRightInd w:val="0"/>
        <w:spacing w:line="360" w:lineRule="auto"/>
        <w:ind w:firstLine="945" w:firstLineChars="450"/>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（6）被责令停业的；</w:t>
      </w:r>
    </w:p>
    <w:p w14:paraId="2C161CF1">
      <w:pPr>
        <w:autoSpaceDE w:val="0"/>
        <w:autoSpaceDN w:val="0"/>
        <w:adjustRightInd w:val="0"/>
        <w:spacing w:line="360" w:lineRule="auto"/>
        <w:ind w:firstLine="945" w:firstLineChars="450"/>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（7）被暂停或取消投标资格的；</w:t>
      </w:r>
    </w:p>
    <w:p w14:paraId="67610FAE">
      <w:pPr>
        <w:autoSpaceDE w:val="0"/>
        <w:autoSpaceDN w:val="0"/>
        <w:adjustRightInd w:val="0"/>
        <w:spacing w:line="360" w:lineRule="auto"/>
        <w:ind w:firstLine="945" w:firstLineChars="450"/>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（8）财产被接管或冻结的；</w:t>
      </w:r>
    </w:p>
    <w:p w14:paraId="11A38704">
      <w:pPr>
        <w:autoSpaceDE w:val="0"/>
        <w:autoSpaceDN w:val="0"/>
        <w:adjustRightInd w:val="0"/>
        <w:spacing w:line="360" w:lineRule="auto"/>
        <w:ind w:firstLine="945" w:firstLineChars="450"/>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（9）在最近三年内有骗取中标或严重违约或出现重大质量问题的。</w:t>
      </w:r>
    </w:p>
    <w:p w14:paraId="497F6125">
      <w:pPr>
        <w:spacing w:line="360" w:lineRule="auto"/>
        <w:rPr>
          <w:rFonts w:ascii="宋体" w:cs="??_GB2312"/>
          <w:color w:val="auto"/>
          <w:kern w:val="0"/>
          <w:szCs w:val="21"/>
          <w:highlight w:val="none"/>
        </w:rPr>
      </w:pPr>
      <w:r>
        <w:rPr>
          <w:rFonts w:hint="eastAsia" w:ascii="宋体" w:hAnsi="宋体" w:cs="??_GB2312"/>
          <w:color w:val="auto"/>
          <w:kern w:val="0"/>
          <w:szCs w:val="21"/>
          <w:highlight w:val="none"/>
        </w:rPr>
        <w:t>1.3 费用承担</w:t>
      </w:r>
    </w:p>
    <w:p w14:paraId="36BEA73A">
      <w:pPr>
        <w:spacing w:line="360" w:lineRule="auto"/>
        <w:ind w:firstLine="420" w:firstLineChars="200"/>
        <w:rPr>
          <w:rFonts w:ascii="宋体" w:cs="??_GB2312"/>
          <w:color w:val="auto"/>
          <w:kern w:val="0"/>
          <w:szCs w:val="21"/>
          <w:highlight w:val="none"/>
        </w:rPr>
      </w:pPr>
      <w:r>
        <w:rPr>
          <w:rFonts w:hint="eastAsia" w:ascii="宋体" w:hAnsi="宋体" w:cs="??_GB2312"/>
          <w:color w:val="auto"/>
          <w:kern w:val="0"/>
          <w:szCs w:val="21"/>
          <w:highlight w:val="none"/>
        </w:rPr>
        <w:t>投标人准备和参加本次投标活动所发生的一切费用自理。</w:t>
      </w:r>
    </w:p>
    <w:p w14:paraId="4B222D4B">
      <w:pPr>
        <w:spacing w:line="360" w:lineRule="auto"/>
        <w:rPr>
          <w:rFonts w:ascii="宋体" w:cs="??_GB2312"/>
          <w:color w:val="auto"/>
          <w:kern w:val="0"/>
          <w:szCs w:val="21"/>
          <w:highlight w:val="none"/>
        </w:rPr>
      </w:pPr>
      <w:r>
        <w:rPr>
          <w:rFonts w:hint="eastAsia" w:ascii="宋体" w:hAnsi="宋体" w:cs="??_GB2312"/>
          <w:color w:val="auto"/>
          <w:kern w:val="0"/>
          <w:szCs w:val="21"/>
          <w:highlight w:val="none"/>
        </w:rPr>
        <w:t>1.4 保密</w:t>
      </w:r>
    </w:p>
    <w:p w14:paraId="79306C30">
      <w:pPr>
        <w:spacing w:line="360" w:lineRule="auto"/>
        <w:rPr>
          <w:rFonts w:ascii="宋体" w:cs="??_GB2312"/>
          <w:color w:val="auto"/>
          <w:kern w:val="0"/>
          <w:szCs w:val="21"/>
          <w:highlight w:val="none"/>
        </w:rPr>
      </w:pPr>
      <w:r>
        <w:rPr>
          <w:rFonts w:hint="eastAsia" w:ascii="宋体" w:hAnsi="宋体" w:cs="??_GB2312"/>
          <w:color w:val="auto"/>
          <w:kern w:val="0"/>
          <w:szCs w:val="21"/>
          <w:highlight w:val="none"/>
        </w:rPr>
        <w:t xml:space="preserve">    参与招标投标活动的各方应对招标文件和投标文件中的商业和技术等秘密保密，违者应对由此造成的后果承担法律责任。</w:t>
      </w:r>
    </w:p>
    <w:p w14:paraId="51B35463">
      <w:pPr>
        <w:spacing w:line="360" w:lineRule="auto"/>
        <w:rPr>
          <w:rFonts w:ascii="宋体" w:cs="??_GB2312"/>
          <w:color w:val="auto"/>
          <w:kern w:val="0"/>
          <w:szCs w:val="21"/>
          <w:highlight w:val="none"/>
        </w:rPr>
      </w:pPr>
      <w:r>
        <w:rPr>
          <w:rFonts w:hint="eastAsia" w:ascii="宋体" w:hAnsi="宋体" w:cs="??_GB2312"/>
          <w:color w:val="auto"/>
          <w:kern w:val="0"/>
          <w:szCs w:val="21"/>
          <w:highlight w:val="none"/>
        </w:rPr>
        <w:t>1.5语言文字</w:t>
      </w:r>
    </w:p>
    <w:p w14:paraId="67B949FB">
      <w:pPr>
        <w:spacing w:line="360" w:lineRule="auto"/>
        <w:ind w:firstLine="480"/>
        <w:rPr>
          <w:rFonts w:ascii="宋体" w:cs="??_GB2312"/>
          <w:color w:val="auto"/>
          <w:kern w:val="0"/>
          <w:szCs w:val="21"/>
          <w:highlight w:val="none"/>
        </w:rPr>
      </w:pPr>
      <w:r>
        <w:rPr>
          <w:rFonts w:hint="eastAsia" w:ascii="宋体" w:hAnsi="宋体" w:cs="??_GB2312"/>
          <w:color w:val="auto"/>
          <w:kern w:val="0"/>
          <w:szCs w:val="21"/>
          <w:highlight w:val="none"/>
        </w:rPr>
        <w:t>除专用术语外，与招标投标有关的语言均使用中文。必要时专用术语应附有中文注释。</w:t>
      </w:r>
    </w:p>
    <w:p w14:paraId="4A58113A">
      <w:pPr>
        <w:spacing w:line="360" w:lineRule="auto"/>
        <w:rPr>
          <w:rFonts w:ascii="宋体" w:cs="??_GB2312"/>
          <w:color w:val="auto"/>
          <w:kern w:val="0"/>
          <w:szCs w:val="21"/>
          <w:highlight w:val="none"/>
        </w:rPr>
      </w:pPr>
      <w:r>
        <w:rPr>
          <w:rFonts w:hint="eastAsia" w:ascii="宋体" w:hAnsi="宋体" w:cs="??_GB2312"/>
          <w:color w:val="auto"/>
          <w:kern w:val="0"/>
          <w:szCs w:val="21"/>
          <w:highlight w:val="none"/>
        </w:rPr>
        <w:t>1.6计量单位</w:t>
      </w:r>
    </w:p>
    <w:p w14:paraId="2F99BF41">
      <w:pPr>
        <w:spacing w:line="360" w:lineRule="auto"/>
        <w:rPr>
          <w:rFonts w:ascii="宋体" w:cs="??_GB2312"/>
          <w:color w:val="auto"/>
          <w:kern w:val="0"/>
          <w:szCs w:val="21"/>
          <w:highlight w:val="none"/>
        </w:rPr>
      </w:pPr>
      <w:r>
        <w:rPr>
          <w:rFonts w:hint="eastAsia" w:ascii="宋体" w:hAnsi="宋体" w:cs="??_GB2312"/>
          <w:color w:val="auto"/>
          <w:kern w:val="0"/>
          <w:szCs w:val="21"/>
          <w:highlight w:val="none"/>
        </w:rPr>
        <w:t xml:space="preserve">    所有计量均采用中华人民共和国法定计量单位。</w:t>
      </w:r>
    </w:p>
    <w:p w14:paraId="384AEAA5">
      <w:pPr>
        <w:spacing w:line="360" w:lineRule="auto"/>
        <w:rPr>
          <w:rFonts w:ascii="宋体" w:cs="??_GB2312"/>
          <w:color w:val="auto"/>
          <w:kern w:val="0"/>
          <w:szCs w:val="21"/>
          <w:highlight w:val="none"/>
        </w:rPr>
      </w:pPr>
      <w:bookmarkStart w:id="125" w:name="_Toc238352241"/>
      <w:r>
        <w:rPr>
          <w:rFonts w:hint="eastAsia" w:ascii="宋体" w:hAnsi="宋体" w:cs="??_GB2312"/>
          <w:color w:val="auto"/>
          <w:kern w:val="0"/>
          <w:szCs w:val="21"/>
          <w:highlight w:val="none"/>
        </w:rPr>
        <w:t>1.7 投标预备会</w:t>
      </w:r>
    </w:p>
    <w:p w14:paraId="2D18811A">
      <w:pPr>
        <w:spacing w:line="360" w:lineRule="auto"/>
        <w:rPr>
          <w:rFonts w:ascii="宋体" w:cs="??_GB2312"/>
          <w:color w:val="auto"/>
          <w:kern w:val="0"/>
          <w:szCs w:val="21"/>
          <w:highlight w:val="none"/>
        </w:rPr>
      </w:pPr>
      <w:r>
        <w:rPr>
          <w:rFonts w:hint="eastAsia" w:ascii="宋体" w:hAnsi="宋体" w:cs="??_GB2312"/>
          <w:color w:val="auto"/>
          <w:kern w:val="0"/>
          <w:szCs w:val="21"/>
          <w:highlight w:val="none"/>
        </w:rPr>
        <w:t xml:space="preserve">     不召开。</w:t>
      </w:r>
    </w:p>
    <w:p w14:paraId="201D8F06">
      <w:pPr>
        <w:spacing w:line="360" w:lineRule="auto"/>
        <w:rPr>
          <w:rFonts w:ascii="宋体" w:cs="??_GB2312"/>
          <w:color w:val="auto"/>
          <w:kern w:val="0"/>
          <w:szCs w:val="21"/>
          <w:highlight w:val="none"/>
        </w:rPr>
      </w:pPr>
      <w:r>
        <w:rPr>
          <w:rFonts w:hint="eastAsia" w:ascii="宋体" w:hAnsi="宋体" w:cs="??_GB2312"/>
          <w:color w:val="auto"/>
          <w:kern w:val="0"/>
          <w:szCs w:val="21"/>
          <w:highlight w:val="none"/>
        </w:rPr>
        <w:t>1.8 偏离</w:t>
      </w:r>
    </w:p>
    <w:p w14:paraId="2904A515">
      <w:pPr>
        <w:spacing w:line="360" w:lineRule="auto"/>
        <w:ind w:firstLine="315" w:firstLineChars="150"/>
        <w:rPr>
          <w:rFonts w:ascii="宋体" w:cs="??_GB2312"/>
          <w:color w:val="auto"/>
          <w:kern w:val="0"/>
          <w:szCs w:val="21"/>
          <w:highlight w:val="none"/>
        </w:rPr>
      </w:pPr>
      <w:r>
        <w:rPr>
          <w:rFonts w:hint="eastAsia" w:ascii="宋体" w:hAnsi="宋体" w:cs="??_GB2312"/>
          <w:color w:val="auto"/>
          <w:kern w:val="0"/>
          <w:szCs w:val="21"/>
          <w:highlight w:val="none"/>
        </w:rPr>
        <w:t xml:space="preserve"> 不允许有重大偏离。</w:t>
      </w:r>
    </w:p>
    <w:p w14:paraId="323DF08B">
      <w:pPr>
        <w:pStyle w:val="24"/>
        <w:spacing w:line="360" w:lineRule="auto"/>
        <w:rPr>
          <w:rFonts w:ascii="宋体" w:eastAsia="宋体" w:cs="??_GB2312"/>
          <w:color w:val="auto"/>
          <w:sz w:val="21"/>
          <w:szCs w:val="21"/>
          <w:highlight w:val="none"/>
        </w:rPr>
      </w:pPr>
      <w:bookmarkStart w:id="126" w:name="_Toc8304"/>
      <w:bookmarkStart w:id="127" w:name="_Toc17712"/>
      <w:bookmarkStart w:id="128" w:name="_Toc4803"/>
      <w:bookmarkStart w:id="129" w:name="_Toc402979490"/>
      <w:bookmarkStart w:id="130" w:name="_Toc13449"/>
      <w:bookmarkStart w:id="131" w:name="_Toc13619"/>
      <w:bookmarkStart w:id="132" w:name="_Toc18117"/>
      <w:r>
        <w:rPr>
          <w:rFonts w:hint="eastAsia" w:ascii="宋体" w:eastAsia="宋体" w:cs="??_GB2312"/>
          <w:color w:val="auto"/>
          <w:sz w:val="21"/>
          <w:szCs w:val="21"/>
          <w:highlight w:val="none"/>
        </w:rPr>
        <w:t>2  招标文件</w:t>
      </w:r>
      <w:bookmarkEnd w:id="125"/>
      <w:bookmarkEnd w:id="126"/>
      <w:bookmarkEnd w:id="127"/>
      <w:bookmarkEnd w:id="128"/>
      <w:bookmarkEnd w:id="129"/>
      <w:bookmarkEnd w:id="130"/>
      <w:bookmarkEnd w:id="131"/>
      <w:bookmarkEnd w:id="132"/>
      <w:r>
        <w:rPr>
          <w:rFonts w:hint="eastAsia" w:ascii="宋体" w:eastAsia="宋体" w:cs="??_GB2312"/>
          <w:color w:val="auto"/>
          <w:sz w:val="21"/>
          <w:szCs w:val="21"/>
          <w:highlight w:val="none"/>
        </w:rPr>
        <w:t xml:space="preserve"> </w:t>
      </w:r>
    </w:p>
    <w:p w14:paraId="0D41DD24">
      <w:pPr>
        <w:spacing w:line="360" w:lineRule="auto"/>
        <w:rPr>
          <w:rFonts w:ascii="宋体" w:cs="??_GB2312"/>
          <w:color w:val="auto"/>
          <w:kern w:val="0"/>
          <w:szCs w:val="21"/>
          <w:highlight w:val="none"/>
        </w:rPr>
      </w:pPr>
      <w:r>
        <w:rPr>
          <w:rFonts w:hint="eastAsia" w:ascii="宋体" w:hAnsi="宋体" w:cs="??_GB2312"/>
          <w:color w:val="auto"/>
          <w:kern w:val="0"/>
          <w:szCs w:val="21"/>
          <w:highlight w:val="none"/>
        </w:rPr>
        <w:t>2.1 招标文件的组成</w:t>
      </w:r>
    </w:p>
    <w:p w14:paraId="32CD5CFC">
      <w:pPr>
        <w:spacing w:line="360" w:lineRule="auto"/>
        <w:ind w:firstLine="420" w:firstLineChars="200"/>
        <w:rPr>
          <w:rFonts w:ascii="宋体"/>
          <w:color w:val="auto"/>
          <w:szCs w:val="21"/>
          <w:highlight w:val="none"/>
        </w:rPr>
      </w:pPr>
      <w:r>
        <w:rPr>
          <w:rFonts w:hint="eastAsia" w:ascii="宋体" w:hAnsi="宋体" w:cs="??_GB2312"/>
          <w:color w:val="auto"/>
          <w:kern w:val="0"/>
          <w:szCs w:val="21"/>
          <w:highlight w:val="none"/>
        </w:rPr>
        <w:t>招标文件包括下列内</w:t>
      </w:r>
      <w:r>
        <w:rPr>
          <w:rFonts w:hint="eastAsia" w:ascii="宋体" w:hAnsi="宋体"/>
          <w:color w:val="auto"/>
          <w:szCs w:val="21"/>
          <w:highlight w:val="none"/>
        </w:rPr>
        <w:t>容：</w:t>
      </w:r>
    </w:p>
    <w:p w14:paraId="0B74FE26">
      <w:pPr>
        <w:spacing w:line="360" w:lineRule="auto"/>
        <w:ind w:left="1106" w:leftChars="222" w:hanging="640" w:hangingChars="305"/>
        <w:rPr>
          <w:rFonts w:hint="eastAsia" w:ascii="宋体" w:hAnsi="宋体"/>
          <w:color w:val="auto"/>
          <w:szCs w:val="21"/>
          <w:highlight w:val="none"/>
        </w:rPr>
      </w:pPr>
      <w:r>
        <w:rPr>
          <w:color w:val="auto"/>
          <w:highlight w:val="none"/>
        </w:rPr>
        <w:fldChar w:fldCharType="begin"/>
      </w:r>
      <w:r>
        <w:rPr>
          <w:color w:val="auto"/>
          <w:highlight w:val="none"/>
        </w:rPr>
        <w:instrText xml:space="preserve"> HYPERLINK \l "_Toc9635" </w:instrText>
      </w:r>
      <w:r>
        <w:rPr>
          <w:color w:val="auto"/>
          <w:highlight w:val="none"/>
        </w:rPr>
        <w:fldChar w:fldCharType="separate"/>
      </w:r>
      <w:r>
        <w:rPr>
          <w:rFonts w:hint="eastAsia" w:ascii="宋体" w:hAnsi="宋体"/>
          <w:color w:val="auto"/>
          <w:szCs w:val="21"/>
          <w:highlight w:val="none"/>
        </w:rPr>
        <w:t>第一章 招标公告</w:t>
      </w:r>
      <w:r>
        <w:rPr>
          <w:rFonts w:hint="eastAsia" w:ascii="宋体" w:hAnsi="宋体"/>
          <w:color w:val="auto"/>
          <w:szCs w:val="21"/>
          <w:highlight w:val="none"/>
        </w:rPr>
        <w:tab/>
      </w:r>
      <w:r>
        <w:rPr>
          <w:rFonts w:hint="eastAsia" w:ascii="宋体" w:hAnsi="宋体"/>
          <w:color w:val="auto"/>
          <w:szCs w:val="21"/>
          <w:highlight w:val="none"/>
        </w:rPr>
        <w:fldChar w:fldCharType="end"/>
      </w:r>
    </w:p>
    <w:p w14:paraId="2246C00A">
      <w:pPr>
        <w:spacing w:line="360" w:lineRule="auto"/>
        <w:ind w:left="1106" w:leftChars="222" w:hanging="640" w:hangingChars="305"/>
        <w:rPr>
          <w:rFonts w:hint="eastAsia" w:ascii="宋体" w:hAnsi="宋体"/>
          <w:color w:val="auto"/>
          <w:szCs w:val="21"/>
          <w:highlight w:val="none"/>
        </w:rPr>
      </w:pPr>
      <w:r>
        <w:rPr>
          <w:color w:val="auto"/>
          <w:highlight w:val="none"/>
        </w:rPr>
        <w:fldChar w:fldCharType="begin"/>
      </w:r>
      <w:r>
        <w:rPr>
          <w:color w:val="auto"/>
          <w:highlight w:val="none"/>
        </w:rPr>
        <w:instrText xml:space="preserve"> HYPERLINK \l "_Toc5774" </w:instrText>
      </w:r>
      <w:r>
        <w:rPr>
          <w:color w:val="auto"/>
          <w:highlight w:val="none"/>
        </w:rPr>
        <w:fldChar w:fldCharType="separate"/>
      </w:r>
      <w:r>
        <w:rPr>
          <w:rFonts w:hint="eastAsia" w:ascii="宋体" w:hAnsi="宋体"/>
          <w:color w:val="auto"/>
          <w:szCs w:val="21"/>
          <w:highlight w:val="none"/>
        </w:rPr>
        <w:t>第二章 投标人须知</w:t>
      </w:r>
      <w:r>
        <w:rPr>
          <w:rFonts w:hint="eastAsia" w:ascii="宋体" w:hAnsi="宋体"/>
          <w:color w:val="auto"/>
          <w:szCs w:val="21"/>
          <w:highlight w:val="none"/>
        </w:rPr>
        <w:tab/>
      </w:r>
      <w:r>
        <w:rPr>
          <w:rFonts w:hint="eastAsia" w:ascii="宋体" w:hAnsi="宋体"/>
          <w:color w:val="auto"/>
          <w:szCs w:val="21"/>
          <w:highlight w:val="none"/>
        </w:rPr>
        <w:fldChar w:fldCharType="end"/>
      </w:r>
    </w:p>
    <w:p w14:paraId="0F41F702">
      <w:pPr>
        <w:spacing w:line="360" w:lineRule="auto"/>
        <w:ind w:left="1106" w:leftChars="222" w:hanging="640" w:hangingChars="305"/>
        <w:rPr>
          <w:rFonts w:hint="eastAsia" w:ascii="宋体" w:hAnsi="宋体"/>
          <w:color w:val="auto"/>
          <w:szCs w:val="21"/>
          <w:highlight w:val="none"/>
        </w:rPr>
      </w:pPr>
      <w:r>
        <w:rPr>
          <w:color w:val="auto"/>
          <w:highlight w:val="none"/>
        </w:rPr>
        <w:fldChar w:fldCharType="begin"/>
      </w:r>
      <w:r>
        <w:rPr>
          <w:color w:val="auto"/>
          <w:highlight w:val="none"/>
        </w:rPr>
        <w:instrText xml:space="preserve"> HYPERLINK \l "_Toc8350" </w:instrText>
      </w:r>
      <w:r>
        <w:rPr>
          <w:color w:val="auto"/>
          <w:highlight w:val="none"/>
        </w:rPr>
        <w:fldChar w:fldCharType="separate"/>
      </w:r>
      <w:r>
        <w:rPr>
          <w:rFonts w:hint="eastAsia" w:ascii="宋体" w:hAnsi="宋体"/>
          <w:color w:val="auto"/>
          <w:szCs w:val="21"/>
          <w:highlight w:val="none"/>
        </w:rPr>
        <w:t>第三章 采购需求及要求</w:t>
      </w:r>
      <w:r>
        <w:rPr>
          <w:rFonts w:hint="eastAsia" w:ascii="宋体" w:hAnsi="宋体"/>
          <w:color w:val="auto"/>
          <w:szCs w:val="21"/>
          <w:highlight w:val="none"/>
        </w:rPr>
        <w:tab/>
      </w:r>
      <w:r>
        <w:rPr>
          <w:rFonts w:hint="eastAsia" w:ascii="宋体" w:hAnsi="宋体"/>
          <w:color w:val="auto"/>
          <w:szCs w:val="21"/>
          <w:highlight w:val="none"/>
        </w:rPr>
        <w:fldChar w:fldCharType="end"/>
      </w:r>
    </w:p>
    <w:p w14:paraId="70ADC41E">
      <w:pPr>
        <w:spacing w:line="360" w:lineRule="auto"/>
        <w:ind w:left="1106" w:leftChars="222" w:hanging="640" w:hangingChars="305"/>
        <w:rPr>
          <w:rFonts w:hint="eastAsia" w:ascii="宋体" w:hAnsi="宋体"/>
          <w:color w:val="auto"/>
          <w:szCs w:val="21"/>
          <w:highlight w:val="none"/>
        </w:rPr>
      </w:pPr>
      <w:r>
        <w:rPr>
          <w:color w:val="auto"/>
          <w:highlight w:val="none"/>
        </w:rPr>
        <w:fldChar w:fldCharType="begin"/>
      </w:r>
      <w:r>
        <w:rPr>
          <w:color w:val="auto"/>
          <w:highlight w:val="none"/>
        </w:rPr>
        <w:instrText xml:space="preserve"> HYPERLINK \l "_Toc25581" </w:instrText>
      </w:r>
      <w:r>
        <w:rPr>
          <w:color w:val="auto"/>
          <w:highlight w:val="none"/>
        </w:rPr>
        <w:fldChar w:fldCharType="separate"/>
      </w:r>
      <w:r>
        <w:rPr>
          <w:rFonts w:hint="eastAsia" w:ascii="宋体" w:hAnsi="宋体"/>
          <w:color w:val="auto"/>
          <w:szCs w:val="21"/>
          <w:highlight w:val="none"/>
        </w:rPr>
        <w:t>第四章 评标办法</w:t>
      </w:r>
      <w:r>
        <w:rPr>
          <w:rFonts w:hint="eastAsia" w:ascii="宋体" w:hAnsi="宋体"/>
          <w:color w:val="auto"/>
          <w:szCs w:val="21"/>
          <w:highlight w:val="none"/>
        </w:rPr>
        <w:tab/>
      </w:r>
      <w:r>
        <w:rPr>
          <w:rFonts w:hint="eastAsia" w:ascii="宋体" w:hAnsi="宋体"/>
          <w:color w:val="auto"/>
          <w:szCs w:val="21"/>
          <w:highlight w:val="none"/>
        </w:rPr>
        <w:fldChar w:fldCharType="end"/>
      </w:r>
    </w:p>
    <w:p w14:paraId="55499C2C">
      <w:pPr>
        <w:spacing w:line="360" w:lineRule="auto"/>
        <w:ind w:left="1106" w:leftChars="222" w:hanging="640" w:hangingChars="305"/>
        <w:rPr>
          <w:rFonts w:hint="eastAsia" w:ascii="宋体" w:hAnsi="宋体"/>
          <w:color w:val="auto"/>
          <w:szCs w:val="21"/>
          <w:highlight w:val="none"/>
        </w:rPr>
      </w:pPr>
      <w:r>
        <w:rPr>
          <w:color w:val="auto"/>
          <w:highlight w:val="none"/>
        </w:rPr>
        <w:fldChar w:fldCharType="begin"/>
      </w:r>
      <w:r>
        <w:rPr>
          <w:color w:val="auto"/>
          <w:highlight w:val="none"/>
        </w:rPr>
        <w:instrText xml:space="preserve"> HYPERLINK \l "_Toc32072" </w:instrText>
      </w:r>
      <w:r>
        <w:rPr>
          <w:color w:val="auto"/>
          <w:highlight w:val="none"/>
        </w:rPr>
        <w:fldChar w:fldCharType="separate"/>
      </w:r>
      <w:r>
        <w:rPr>
          <w:rFonts w:hint="eastAsia" w:ascii="宋体" w:hAnsi="宋体"/>
          <w:color w:val="auto"/>
          <w:szCs w:val="21"/>
          <w:highlight w:val="none"/>
        </w:rPr>
        <w:t>第五章 合同</w:t>
      </w:r>
      <w:r>
        <w:rPr>
          <w:rFonts w:hint="eastAsia" w:ascii="宋体" w:hAnsi="宋体"/>
          <w:color w:val="auto"/>
          <w:szCs w:val="21"/>
          <w:highlight w:val="none"/>
        </w:rPr>
        <w:fldChar w:fldCharType="end"/>
      </w:r>
    </w:p>
    <w:p w14:paraId="03F925C5">
      <w:pPr>
        <w:spacing w:line="360" w:lineRule="auto"/>
        <w:ind w:left="1106" w:leftChars="222" w:hanging="640" w:hangingChars="305"/>
        <w:rPr>
          <w:rFonts w:hint="eastAsia" w:ascii="宋体" w:hAnsi="宋体"/>
          <w:color w:val="auto"/>
          <w:szCs w:val="21"/>
          <w:highlight w:val="none"/>
        </w:rPr>
      </w:pPr>
      <w:r>
        <w:rPr>
          <w:color w:val="auto"/>
          <w:highlight w:val="none"/>
        </w:rPr>
        <w:fldChar w:fldCharType="begin"/>
      </w:r>
      <w:r>
        <w:rPr>
          <w:color w:val="auto"/>
          <w:highlight w:val="none"/>
        </w:rPr>
        <w:instrText xml:space="preserve"> HYPERLINK \l "_Toc5641" </w:instrText>
      </w:r>
      <w:r>
        <w:rPr>
          <w:color w:val="auto"/>
          <w:highlight w:val="none"/>
        </w:rPr>
        <w:fldChar w:fldCharType="separate"/>
      </w:r>
      <w:r>
        <w:rPr>
          <w:rFonts w:hint="eastAsia" w:ascii="宋体" w:hAnsi="宋体"/>
          <w:color w:val="auto"/>
          <w:szCs w:val="21"/>
          <w:highlight w:val="none"/>
        </w:rPr>
        <w:t>第六章 投标文件格式</w:t>
      </w:r>
      <w:r>
        <w:rPr>
          <w:rFonts w:hint="eastAsia" w:ascii="宋体" w:hAnsi="宋体"/>
          <w:color w:val="auto"/>
          <w:szCs w:val="21"/>
          <w:highlight w:val="none"/>
        </w:rPr>
        <w:tab/>
      </w:r>
      <w:r>
        <w:rPr>
          <w:rFonts w:hint="eastAsia" w:ascii="宋体" w:hAnsi="宋体"/>
          <w:color w:val="auto"/>
          <w:szCs w:val="21"/>
          <w:highlight w:val="none"/>
        </w:rPr>
        <w:fldChar w:fldCharType="end"/>
      </w:r>
    </w:p>
    <w:p w14:paraId="082AAB9F">
      <w:pPr>
        <w:spacing w:line="360" w:lineRule="auto"/>
        <w:rPr>
          <w:rFonts w:ascii="宋体"/>
          <w:color w:val="auto"/>
          <w:szCs w:val="21"/>
          <w:highlight w:val="none"/>
        </w:rPr>
      </w:pPr>
      <w:r>
        <w:rPr>
          <w:rFonts w:hint="eastAsia" w:ascii="宋体" w:hAnsi="宋体"/>
          <w:color w:val="auto"/>
          <w:szCs w:val="21"/>
          <w:highlight w:val="none"/>
        </w:rPr>
        <w:t xml:space="preserve">    根据本章第2.2款和第2.3款对招标文件所作的澄清、修改，构成招标文件的组成部分。</w:t>
      </w:r>
    </w:p>
    <w:p w14:paraId="680696F3">
      <w:pPr>
        <w:spacing w:line="360" w:lineRule="auto"/>
        <w:rPr>
          <w:rFonts w:ascii="宋体"/>
          <w:color w:val="auto"/>
          <w:szCs w:val="21"/>
          <w:highlight w:val="none"/>
        </w:rPr>
      </w:pPr>
      <w:r>
        <w:rPr>
          <w:rFonts w:hint="eastAsia" w:ascii="宋体" w:hAnsi="宋体"/>
          <w:color w:val="auto"/>
          <w:szCs w:val="21"/>
          <w:highlight w:val="none"/>
        </w:rPr>
        <w:t>2.2招标文件的澄清和修改</w:t>
      </w:r>
    </w:p>
    <w:p w14:paraId="5FD9DE36">
      <w:pPr>
        <w:spacing w:line="360" w:lineRule="auto"/>
        <w:ind w:left="1106" w:leftChars="222" w:hanging="640" w:hangingChars="305"/>
        <w:rPr>
          <w:rFonts w:hint="eastAsia" w:ascii="宋体" w:hAnsi="宋体"/>
          <w:color w:val="auto"/>
          <w:szCs w:val="21"/>
          <w:highlight w:val="none"/>
        </w:rPr>
      </w:pPr>
      <w:bookmarkStart w:id="133" w:name="_Toc8816"/>
      <w:bookmarkStart w:id="134" w:name="_Toc238352242"/>
      <w:bookmarkStart w:id="135" w:name="_Toc528119497"/>
      <w:bookmarkStart w:id="136" w:name="_Toc7981"/>
      <w:bookmarkStart w:id="137" w:name="_Toc402979491"/>
      <w:r>
        <w:rPr>
          <w:rFonts w:hint="eastAsia" w:ascii="宋体" w:hAnsi="宋体"/>
          <w:color w:val="auto"/>
          <w:szCs w:val="21"/>
          <w:highlight w:val="none"/>
        </w:rPr>
        <w:t>2.2.1 投标人应仔细阅读和检查招标文件的全部内容。如发现缺页或附件不全，应及时向招标人提出，以便补齐。如有疑问，应在投标人须知前附表规定的时间前以书面形式或者网站发布公告的形式（包括信函、传真等可以有形地表现所载内容的形式，下同），要求招标人对招标文件予以澄清。</w:t>
      </w:r>
    </w:p>
    <w:p w14:paraId="442EBA13">
      <w:pPr>
        <w:spacing w:line="360" w:lineRule="auto"/>
        <w:ind w:left="1106" w:leftChars="222" w:hanging="640" w:hangingChars="305"/>
        <w:rPr>
          <w:rFonts w:hint="eastAsia" w:ascii="宋体" w:hAnsi="宋体"/>
          <w:color w:val="auto"/>
          <w:szCs w:val="21"/>
          <w:highlight w:val="none"/>
        </w:rPr>
      </w:pPr>
      <w:r>
        <w:rPr>
          <w:rFonts w:hint="eastAsia" w:ascii="宋体" w:hAnsi="宋体"/>
          <w:color w:val="auto"/>
          <w:szCs w:val="21"/>
          <w:highlight w:val="none"/>
        </w:rPr>
        <w:t>2.2.2 招标文件的澄清将在接投标人问题后3日内以书面形式或者网站发布公告的形式通知所有购买招标文件的投标人，但不指明澄清问题的来源。</w:t>
      </w:r>
    </w:p>
    <w:p w14:paraId="4FA5396D">
      <w:pPr>
        <w:spacing w:line="360" w:lineRule="auto"/>
        <w:ind w:left="1106" w:leftChars="222" w:hanging="640" w:hangingChars="305"/>
        <w:rPr>
          <w:rFonts w:hint="eastAsia" w:ascii="宋体" w:hAnsi="宋体"/>
          <w:color w:val="auto"/>
          <w:szCs w:val="21"/>
          <w:highlight w:val="none"/>
        </w:rPr>
      </w:pPr>
      <w:r>
        <w:rPr>
          <w:rFonts w:hint="eastAsia" w:ascii="宋体" w:hAnsi="宋体"/>
          <w:color w:val="auto"/>
          <w:szCs w:val="21"/>
          <w:highlight w:val="none"/>
        </w:rPr>
        <w:t>2.2.3自招标文件的澄清在相关网站发布起，即默认投标人收到。</w:t>
      </w:r>
    </w:p>
    <w:p w14:paraId="1098F23A">
      <w:pPr>
        <w:spacing w:line="360" w:lineRule="auto"/>
        <w:rPr>
          <w:rFonts w:hint="eastAsia" w:ascii="宋体" w:hAnsi="宋体"/>
          <w:color w:val="auto"/>
          <w:szCs w:val="21"/>
          <w:highlight w:val="none"/>
        </w:rPr>
      </w:pPr>
      <w:bookmarkStart w:id="138" w:name="_Toc228591498"/>
      <w:bookmarkStart w:id="139" w:name="_Toc364341254"/>
      <w:bookmarkStart w:id="140" w:name="_Toc228881150"/>
      <w:bookmarkStart w:id="141" w:name="_Toc321472043"/>
      <w:bookmarkStart w:id="142" w:name="_Toc327565123"/>
      <w:bookmarkStart w:id="143" w:name="_Toc228589152"/>
      <w:bookmarkStart w:id="144" w:name="_Toc214433876"/>
      <w:bookmarkStart w:id="145" w:name="_Toc407441992"/>
      <w:bookmarkStart w:id="146" w:name="_Toc228337087"/>
      <w:bookmarkStart w:id="147" w:name="_Toc364341516"/>
      <w:bookmarkStart w:id="148" w:name="_Toc228591646"/>
      <w:bookmarkStart w:id="149" w:name="_Toc227657476"/>
      <w:bookmarkStart w:id="150" w:name="_Toc321472303"/>
      <w:bookmarkStart w:id="151" w:name="_Toc227492233"/>
      <w:bookmarkStart w:id="152" w:name="_Toc327599846"/>
      <w:r>
        <w:rPr>
          <w:rFonts w:hint="eastAsia" w:ascii="宋体" w:hAnsi="宋体"/>
          <w:color w:val="auto"/>
          <w:szCs w:val="21"/>
          <w:highlight w:val="none"/>
        </w:rPr>
        <w:t>2.3 招标文件的修改</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14:paraId="56915690">
      <w:pPr>
        <w:spacing w:line="360" w:lineRule="auto"/>
        <w:ind w:left="1106" w:leftChars="222" w:hanging="640" w:hangingChars="305"/>
        <w:rPr>
          <w:rFonts w:hint="eastAsia" w:ascii="宋体" w:hAnsi="宋体"/>
          <w:color w:val="auto"/>
          <w:szCs w:val="21"/>
          <w:highlight w:val="none"/>
        </w:rPr>
      </w:pPr>
      <w:r>
        <w:rPr>
          <w:rFonts w:hint="eastAsia" w:ascii="宋体" w:hAnsi="宋体"/>
          <w:color w:val="auto"/>
          <w:szCs w:val="21"/>
          <w:highlight w:val="none"/>
        </w:rPr>
        <w:t>2.3.1 在投标截止时间15天前，招标人可以网站发布公告的形式修改招标文件。如果修改招标文件的时间距投标截止时间不足15天，相应延长投标截止时间。</w:t>
      </w:r>
    </w:p>
    <w:p w14:paraId="20B2B4B2">
      <w:pPr>
        <w:spacing w:line="360" w:lineRule="auto"/>
        <w:ind w:left="1106" w:leftChars="222" w:hanging="640" w:hangingChars="305"/>
        <w:rPr>
          <w:rFonts w:hint="eastAsia" w:ascii="宋体" w:hAnsi="宋体"/>
          <w:color w:val="auto"/>
          <w:szCs w:val="21"/>
          <w:highlight w:val="none"/>
        </w:rPr>
      </w:pPr>
      <w:r>
        <w:rPr>
          <w:rFonts w:hint="eastAsia" w:ascii="宋体" w:hAnsi="宋体"/>
          <w:color w:val="auto"/>
          <w:szCs w:val="21"/>
          <w:highlight w:val="none"/>
        </w:rPr>
        <w:t>2.3.2自招标文件的修改在相关网站发布起，即默认投标人收到。</w:t>
      </w:r>
    </w:p>
    <w:p w14:paraId="02CAD71A">
      <w:pPr>
        <w:pStyle w:val="24"/>
        <w:spacing w:line="360" w:lineRule="auto"/>
        <w:rPr>
          <w:rFonts w:ascii="宋体" w:eastAsia="宋体"/>
          <w:color w:val="auto"/>
          <w:sz w:val="21"/>
          <w:szCs w:val="21"/>
          <w:highlight w:val="none"/>
        </w:rPr>
      </w:pPr>
      <w:bookmarkStart w:id="153" w:name="_Toc21571"/>
      <w:bookmarkStart w:id="154" w:name="_Toc4037"/>
      <w:bookmarkStart w:id="155" w:name="_Toc9425"/>
      <w:bookmarkStart w:id="156" w:name="_Toc27138"/>
      <w:r>
        <w:rPr>
          <w:rFonts w:hint="eastAsia" w:ascii="宋体" w:eastAsia="宋体"/>
          <w:color w:val="auto"/>
          <w:sz w:val="21"/>
          <w:szCs w:val="21"/>
          <w:highlight w:val="none"/>
        </w:rPr>
        <w:t>3  投标文件</w:t>
      </w:r>
      <w:bookmarkEnd w:id="133"/>
      <w:bookmarkEnd w:id="134"/>
      <w:bookmarkEnd w:id="135"/>
      <w:bookmarkEnd w:id="136"/>
      <w:bookmarkEnd w:id="137"/>
      <w:bookmarkEnd w:id="153"/>
      <w:bookmarkEnd w:id="154"/>
      <w:bookmarkEnd w:id="155"/>
      <w:bookmarkEnd w:id="156"/>
    </w:p>
    <w:p w14:paraId="3AAAAA08">
      <w:pPr>
        <w:spacing w:line="360" w:lineRule="auto"/>
        <w:rPr>
          <w:rFonts w:ascii="宋体"/>
          <w:color w:val="auto"/>
          <w:szCs w:val="21"/>
          <w:highlight w:val="none"/>
        </w:rPr>
      </w:pPr>
      <w:r>
        <w:rPr>
          <w:rFonts w:hint="eastAsia" w:ascii="宋体" w:hAnsi="宋体"/>
          <w:color w:val="auto"/>
          <w:szCs w:val="21"/>
          <w:highlight w:val="none"/>
        </w:rPr>
        <w:t>3.1投标文件的组成</w:t>
      </w:r>
    </w:p>
    <w:p w14:paraId="4049C77B">
      <w:pPr>
        <w:spacing w:line="360" w:lineRule="auto"/>
        <w:ind w:left="1106" w:leftChars="222" w:hanging="640" w:hangingChars="305"/>
        <w:rPr>
          <w:rFonts w:hint="eastAsia" w:ascii="宋体" w:hAnsi="宋体"/>
          <w:color w:val="auto"/>
          <w:szCs w:val="21"/>
          <w:highlight w:val="none"/>
        </w:rPr>
      </w:pPr>
      <w:r>
        <w:rPr>
          <w:color w:val="auto"/>
          <w:highlight w:val="none"/>
        </w:rPr>
        <w:fldChar w:fldCharType="begin"/>
      </w:r>
      <w:r>
        <w:rPr>
          <w:color w:val="auto"/>
          <w:highlight w:val="none"/>
        </w:rPr>
        <w:instrText xml:space="preserve"> HYPERLINK \l "_Toc32513" </w:instrText>
      </w:r>
      <w:r>
        <w:rPr>
          <w:color w:val="auto"/>
          <w:highlight w:val="none"/>
        </w:rPr>
        <w:fldChar w:fldCharType="separate"/>
      </w:r>
      <w:r>
        <w:rPr>
          <w:rFonts w:hint="eastAsia" w:ascii="宋体" w:hAnsi="宋体"/>
          <w:color w:val="auto"/>
          <w:szCs w:val="21"/>
          <w:highlight w:val="none"/>
        </w:rPr>
        <w:t>一、投标函</w:t>
      </w:r>
      <w:r>
        <w:rPr>
          <w:rFonts w:hint="eastAsia" w:ascii="宋体" w:hAnsi="宋体"/>
          <w:color w:val="auto"/>
          <w:szCs w:val="21"/>
          <w:highlight w:val="none"/>
        </w:rPr>
        <w:tab/>
      </w:r>
      <w:r>
        <w:rPr>
          <w:rFonts w:hint="eastAsia" w:ascii="宋体" w:hAnsi="宋体"/>
          <w:color w:val="auto"/>
          <w:szCs w:val="21"/>
          <w:highlight w:val="none"/>
        </w:rPr>
        <w:fldChar w:fldCharType="end"/>
      </w:r>
    </w:p>
    <w:p w14:paraId="69768A9B">
      <w:pPr>
        <w:spacing w:line="360" w:lineRule="auto"/>
        <w:ind w:left="1106" w:leftChars="222" w:hanging="640" w:hangingChars="305"/>
        <w:rPr>
          <w:rFonts w:hint="eastAsia" w:ascii="宋体" w:hAnsi="宋体"/>
          <w:color w:val="auto"/>
          <w:szCs w:val="21"/>
          <w:highlight w:val="none"/>
        </w:rPr>
      </w:pPr>
      <w:r>
        <w:rPr>
          <w:color w:val="auto"/>
          <w:highlight w:val="none"/>
        </w:rPr>
        <w:fldChar w:fldCharType="begin"/>
      </w:r>
      <w:r>
        <w:rPr>
          <w:color w:val="auto"/>
          <w:highlight w:val="none"/>
        </w:rPr>
        <w:instrText xml:space="preserve"> HYPERLINK \l "_Toc3998" </w:instrText>
      </w:r>
      <w:r>
        <w:rPr>
          <w:color w:val="auto"/>
          <w:highlight w:val="none"/>
        </w:rPr>
        <w:fldChar w:fldCharType="separate"/>
      </w:r>
      <w:r>
        <w:rPr>
          <w:rFonts w:hint="eastAsia" w:ascii="宋体" w:hAnsi="宋体"/>
          <w:color w:val="auto"/>
          <w:szCs w:val="21"/>
          <w:highlight w:val="none"/>
        </w:rPr>
        <w:t>二、投标函附录</w:t>
      </w:r>
      <w:r>
        <w:rPr>
          <w:rFonts w:hint="eastAsia" w:ascii="宋体" w:hAnsi="宋体"/>
          <w:color w:val="auto"/>
          <w:szCs w:val="21"/>
          <w:highlight w:val="none"/>
        </w:rPr>
        <w:tab/>
      </w:r>
      <w:r>
        <w:rPr>
          <w:rFonts w:hint="eastAsia" w:ascii="宋体" w:hAnsi="宋体"/>
          <w:color w:val="auto"/>
          <w:szCs w:val="21"/>
          <w:highlight w:val="none"/>
        </w:rPr>
        <w:fldChar w:fldCharType="end"/>
      </w:r>
    </w:p>
    <w:p w14:paraId="03B03CBF">
      <w:pPr>
        <w:spacing w:line="360" w:lineRule="auto"/>
        <w:ind w:left="1106" w:leftChars="222" w:hanging="640" w:hangingChars="305"/>
        <w:rPr>
          <w:rFonts w:hint="eastAsia" w:ascii="宋体" w:hAnsi="宋体"/>
          <w:color w:val="auto"/>
          <w:szCs w:val="21"/>
          <w:highlight w:val="none"/>
        </w:rPr>
      </w:pPr>
      <w:r>
        <w:rPr>
          <w:rFonts w:hint="eastAsia" w:ascii="宋体" w:hAnsi="宋体"/>
          <w:color w:val="auto"/>
          <w:szCs w:val="21"/>
          <w:highlight w:val="none"/>
        </w:rPr>
        <w:t>三、</w:t>
      </w:r>
      <w:r>
        <w:rPr>
          <w:color w:val="auto"/>
          <w:highlight w:val="none"/>
        </w:rPr>
        <w:fldChar w:fldCharType="begin"/>
      </w:r>
      <w:r>
        <w:rPr>
          <w:color w:val="auto"/>
          <w:highlight w:val="none"/>
        </w:rPr>
        <w:instrText xml:space="preserve"> HYPERLINK \l "_Toc24941" </w:instrText>
      </w:r>
      <w:r>
        <w:rPr>
          <w:color w:val="auto"/>
          <w:highlight w:val="none"/>
        </w:rPr>
        <w:fldChar w:fldCharType="separate"/>
      </w:r>
      <w:r>
        <w:rPr>
          <w:rFonts w:hint="eastAsia" w:ascii="宋体" w:hAnsi="宋体"/>
          <w:color w:val="auto"/>
          <w:szCs w:val="21"/>
          <w:highlight w:val="none"/>
        </w:rPr>
        <w:t>法定代表人身份证明</w:t>
      </w:r>
      <w:r>
        <w:rPr>
          <w:rFonts w:hint="eastAsia" w:ascii="宋体" w:hAnsi="宋体"/>
          <w:color w:val="auto"/>
          <w:szCs w:val="21"/>
          <w:highlight w:val="none"/>
        </w:rPr>
        <w:tab/>
      </w:r>
      <w:r>
        <w:rPr>
          <w:rFonts w:hint="eastAsia" w:ascii="宋体" w:hAnsi="宋体"/>
          <w:color w:val="auto"/>
          <w:szCs w:val="21"/>
          <w:highlight w:val="none"/>
        </w:rPr>
        <w:fldChar w:fldCharType="end"/>
      </w:r>
    </w:p>
    <w:p w14:paraId="1B171619">
      <w:pPr>
        <w:spacing w:line="360" w:lineRule="auto"/>
        <w:ind w:left="1106" w:leftChars="222" w:hanging="640" w:hangingChars="305"/>
        <w:rPr>
          <w:rFonts w:hint="eastAsia" w:ascii="宋体" w:hAnsi="宋体"/>
          <w:color w:val="auto"/>
          <w:szCs w:val="21"/>
          <w:highlight w:val="none"/>
        </w:rPr>
      </w:pPr>
      <w:r>
        <w:rPr>
          <w:rFonts w:hint="eastAsia" w:ascii="宋体" w:hAnsi="宋体"/>
          <w:color w:val="auto"/>
          <w:szCs w:val="21"/>
          <w:highlight w:val="none"/>
        </w:rPr>
        <w:t>四、</w:t>
      </w:r>
      <w:r>
        <w:rPr>
          <w:color w:val="auto"/>
          <w:highlight w:val="none"/>
        </w:rPr>
        <w:fldChar w:fldCharType="begin"/>
      </w:r>
      <w:r>
        <w:rPr>
          <w:color w:val="auto"/>
          <w:highlight w:val="none"/>
        </w:rPr>
        <w:instrText xml:space="preserve"> HYPERLINK \l "_Toc28345" </w:instrText>
      </w:r>
      <w:r>
        <w:rPr>
          <w:color w:val="auto"/>
          <w:highlight w:val="none"/>
        </w:rPr>
        <w:fldChar w:fldCharType="separate"/>
      </w:r>
      <w:r>
        <w:rPr>
          <w:rFonts w:hint="eastAsia" w:ascii="宋体" w:hAnsi="宋体"/>
          <w:color w:val="auto"/>
          <w:szCs w:val="21"/>
          <w:highlight w:val="none"/>
        </w:rPr>
        <w:t>法定代表人授权书</w:t>
      </w:r>
      <w:r>
        <w:rPr>
          <w:rFonts w:hint="eastAsia" w:ascii="宋体" w:hAnsi="宋体"/>
          <w:color w:val="auto"/>
          <w:szCs w:val="21"/>
          <w:highlight w:val="none"/>
        </w:rPr>
        <w:tab/>
      </w:r>
      <w:r>
        <w:rPr>
          <w:rFonts w:hint="eastAsia" w:ascii="宋体" w:hAnsi="宋体"/>
          <w:color w:val="auto"/>
          <w:szCs w:val="21"/>
          <w:highlight w:val="none"/>
        </w:rPr>
        <w:fldChar w:fldCharType="end"/>
      </w:r>
    </w:p>
    <w:p w14:paraId="5FB78516">
      <w:pPr>
        <w:spacing w:line="360" w:lineRule="auto"/>
        <w:ind w:left="1106" w:leftChars="222" w:hanging="640" w:hangingChars="305"/>
        <w:rPr>
          <w:rFonts w:hint="eastAsia" w:ascii="宋体" w:hAnsi="宋体"/>
          <w:color w:val="auto"/>
          <w:szCs w:val="21"/>
          <w:highlight w:val="none"/>
        </w:rPr>
      </w:pPr>
      <w:r>
        <w:rPr>
          <w:rFonts w:hint="eastAsia" w:ascii="宋体" w:hAnsi="宋体"/>
          <w:color w:val="auto"/>
          <w:szCs w:val="21"/>
          <w:highlight w:val="none"/>
        </w:rPr>
        <w:t>五、</w:t>
      </w:r>
      <w:r>
        <w:rPr>
          <w:color w:val="auto"/>
          <w:highlight w:val="none"/>
        </w:rPr>
        <w:fldChar w:fldCharType="begin"/>
      </w:r>
      <w:r>
        <w:rPr>
          <w:color w:val="auto"/>
          <w:highlight w:val="none"/>
        </w:rPr>
        <w:instrText xml:space="preserve"> HYPERLINK \l "_Toc21914" </w:instrText>
      </w:r>
      <w:r>
        <w:rPr>
          <w:color w:val="auto"/>
          <w:highlight w:val="none"/>
        </w:rPr>
        <w:fldChar w:fldCharType="separate"/>
      </w:r>
      <w:r>
        <w:rPr>
          <w:rFonts w:hint="eastAsia" w:ascii="宋体" w:hAnsi="宋体"/>
          <w:color w:val="auto"/>
          <w:szCs w:val="21"/>
          <w:highlight w:val="none"/>
        </w:rPr>
        <w:t>投标人资格证明文件</w:t>
      </w:r>
      <w:r>
        <w:rPr>
          <w:rFonts w:hint="eastAsia" w:ascii="宋体" w:hAnsi="宋体"/>
          <w:color w:val="auto"/>
          <w:szCs w:val="21"/>
          <w:highlight w:val="none"/>
        </w:rPr>
        <w:tab/>
      </w:r>
      <w:r>
        <w:rPr>
          <w:rFonts w:hint="eastAsia" w:ascii="宋体" w:hAnsi="宋体"/>
          <w:color w:val="auto"/>
          <w:szCs w:val="21"/>
          <w:highlight w:val="none"/>
        </w:rPr>
        <w:fldChar w:fldCharType="end"/>
      </w:r>
    </w:p>
    <w:p w14:paraId="1E798C30">
      <w:pPr>
        <w:spacing w:line="360" w:lineRule="auto"/>
        <w:ind w:left="1106" w:leftChars="222" w:hanging="640" w:hangingChars="305"/>
        <w:rPr>
          <w:rFonts w:hint="eastAsia" w:ascii="宋体" w:hAnsi="宋体"/>
          <w:color w:val="auto"/>
          <w:szCs w:val="21"/>
          <w:highlight w:val="none"/>
        </w:rPr>
      </w:pPr>
      <w:r>
        <w:rPr>
          <w:rFonts w:hint="eastAsia" w:ascii="宋体" w:hAnsi="宋体"/>
          <w:color w:val="auto"/>
          <w:szCs w:val="21"/>
          <w:highlight w:val="none"/>
        </w:rPr>
        <w:t>六、反商业贿赂承诺书</w:t>
      </w:r>
    </w:p>
    <w:p w14:paraId="3803D632">
      <w:pPr>
        <w:spacing w:line="360" w:lineRule="auto"/>
        <w:ind w:left="1106" w:leftChars="222" w:hanging="640" w:hangingChars="305"/>
        <w:rPr>
          <w:rFonts w:hint="eastAsia" w:ascii="宋体" w:hAnsi="宋体"/>
          <w:color w:val="auto"/>
          <w:szCs w:val="21"/>
          <w:highlight w:val="none"/>
        </w:rPr>
      </w:pPr>
      <w:r>
        <w:rPr>
          <w:rFonts w:hint="eastAsia" w:ascii="宋体" w:hAnsi="宋体"/>
          <w:color w:val="auto"/>
          <w:szCs w:val="21"/>
          <w:highlight w:val="none"/>
        </w:rPr>
        <w:t>七、技术部分</w:t>
      </w:r>
    </w:p>
    <w:p w14:paraId="063CFDF4">
      <w:pPr>
        <w:spacing w:line="360" w:lineRule="auto"/>
        <w:ind w:left="1106" w:leftChars="222" w:hanging="640" w:hangingChars="305"/>
        <w:rPr>
          <w:rFonts w:hint="eastAsia" w:ascii="宋体" w:hAnsi="宋体"/>
          <w:color w:val="auto"/>
          <w:szCs w:val="21"/>
          <w:highlight w:val="none"/>
        </w:rPr>
      </w:pPr>
      <w:r>
        <w:rPr>
          <w:rFonts w:hint="eastAsia" w:ascii="宋体" w:hAnsi="宋体"/>
          <w:color w:val="auto"/>
          <w:szCs w:val="21"/>
          <w:highlight w:val="none"/>
        </w:rPr>
        <w:t>八、</w:t>
      </w:r>
      <w:r>
        <w:rPr>
          <w:rFonts w:hint="eastAsia"/>
          <w:color w:val="auto"/>
          <w:highlight w:val="none"/>
        </w:rPr>
        <w:t>商务部分</w:t>
      </w:r>
    </w:p>
    <w:p w14:paraId="6CE73F8C">
      <w:pPr>
        <w:spacing w:line="360" w:lineRule="auto"/>
        <w:ind w:left="1106" w:leftChars="222" w:hanging="640" w:hangingChars="305"/>
        <w:rPr>
          <w:rFonts w:hint="eastAsia" w:ascii="宋体" w:hAnsi="宋体"/>
          <w:color w:val="auto"/>
          <w:szCs w:val="21"/>
          <w:highlight w:val="none"/>
        </w:rPr>
      </w:pPr>
      <w:r>
        <w:rPr>
          <w:rFonts w:hint="eastAsia" w:ascii="宋体" w:hAnsi="宋体"/>
          <w:color w:val="auto"/>
          <w:szCs w:val="21"/>
          <w:highlight w:val="none"/>
        </w:rPr>
        <w:t>九、招标文件要求的其他材料及投标人认为有必要提供的材料</w:t>
      </w:r>
    </w:p>
    <w:p w14:paraId="7E7DC9C1">
      <w:pPr>
        <w:spacing w:line="360" w:lineRule="auto"/>
        <w:ind w:left="1106" w:leftChars="222" w:hanging="640" w:hangingChars="305"/>
        <w:rPr>
          <w:rFonts w:hint="eastAsia" w:ascii="宋体" w:hAnsi="宋体"/>
          <w:color w:val="auto"/>
          <w:szCs w:val="21"/>
          <w:highlight w:val="none"/>
        </w:rPr>
      </w:pPr>
      <w:r>
        <w:rPr>
          <w:rFonts w:hint="eastAsia" w:ascii="宋体" w:hAnsi="宋体"/>
          <w:color w:val="auto"/>
          <w:szCs w:val="21"/>
          <w:highlight w:val="none"/>
        </w:rPr>
        <w:t>十、政府采购政策</w:t>
      </w:r>
    </w:p>
    <w:p w14:paraId="3AB1E088">
      <w:pPr>
        <w:spacing w:line="360" w:lineRule="auto"/>
        <w:rPr>
          <w:rFonts w:ascii="宋体"/>
          <w:color w:val="auto"/>
          <w:szCs w:val="21"/>
          <w:highlight w:val="none"/>
        </w:rPr>
      </w:pPr>
      <w:r>
        <w:rPr>
          <w:rFonts w:hint="eastAsia" w:ascii="宋体" w:hAnsi="宋体"/>
          <w:color w:val="auto"/>
          <w:szCs w:val="21"/>
          <w:highlight w:val="none"/>
        </w:rPr>
        <w:t>3.2.投标报价</w:t>
      </w:r>
    </w:p>
    <w:p w14:paraId="54FF9F24">
      <w:pPr>
        <w:spacing w:line="360" w:lineRule="auto"/>
        <w:ind w:firstLine="420" w:firstLineChars="200"/>
        <w:rPr>
          <w:rFonts w:ascii="宋体"/>
          <w:color w:val="auto"/>
          <w:szCs w:val="21"/>
          <w:highlight w:val="none"/>
        </w:rPr>
      </w:pPr>
      <w:r>
        <w:rPr>
          <w:rFonts w:hint="eastAsia" w:ascii="宋体" w:hAnsi="宋体"/>
          <w:color w:val="auto"/>
          <w:szCs w:val="21"/>
          <w:highlight w:val="none"/>
        </w:rPr>
        <w:t>3.2.1 投标人根据招标人提供的有关资料、招标文件及招标文件补充答疑，结合本项目实际情况和市场行情自主合理报价</w:t>
      </w:r>
      <w:r>
        <w:rPr>
          <w:rFonts w:hint="eastAsia" w:ascii="宋体"/>
          <w:color w:val="auto"/>
          <w:szCs w:val="21"/>
          <w:highlight w:val="none"/>
        </w:rPr>
        <w:t>,</w:t>
      </w:r>
      <w:r>
        <w:rPr>
          <w:rFonts w:hint="eastAsia" w:ascii="宋体" w:hAnsi="宋体"/>
          <w:color w:val="auto"/>
          <w:szCs w:val="21"/>
          <w:highlight w:val="none"/>
        </w:rPr>
        <w:t>投标报价不得低于企业实际成本。</w:t>
      </w:r>
    </w:p>
    <w:p w14:paraId="6D890AD5">
      <w:pPr>
        <w:spacing w:line="360" w:lineRule="auto"/>
        <w:ind w:firstLine="420" w:firstLineChars="200"/>
        <w:rPr>
          <w:rFonts w:ascii="宋体"/>
          <w:color w:val="auto"/>
          <w:szCs w:val="21"/>
          <w:highlight w:val="none"/>
        </w:rPr>
      </w:pPr>
      <w:r>
        <w:rPr>
          <w:rFonts w:hint="eastAsia" w:ascii="宋体" w:hAnsi="宋体"/>
          <w:color w:val="auto"/>
          <w:szCs w:val="21"/>
          <w:highlight w:val="none"/>
        </w:rPr>
        <w:t>评标过程中，评标委员会发现投标人的投标总价明显低于其他报价，使其投标报价可能低于其个别成本的，评标委员会应对其质询，并要求该投标人做出书面说明和提供相关的证明材料；该投标人不能合理说明或提供证明材料的，其投标将被否决。</w:t>
      </w:r>
    </w:p>
    <w:p w14:paraId="3D7176A7">
      <w:pPr>
        <w:spacing w:line="360" w:lineRule="auto"/>
        <w:ind w:firstLine="420" w:firstLineChars="200"/>
        <w:rPr>
          <w:rFonts w:ascii="宋体"/>
          <w:color w:val="auto"/>
          <w:szCs w:val="21"/>
          <w:highlight w:val="none"/>
        </w:rPr>
      </w:pPr>
      <w:r>
        <w:rPr>
          <w:rFonts w:hint="eastAsia" w:ascii="宋体" w:hAnsi="宋体"/>
          <w:color w:val="auto"/>
          <w:szCs w:val="21"/>
          <w:highlight w:val="none"/>
        </w:rPr>
        <w:t>3.2.2 本次投标报价采用采购范围内固定总价方式。投标报价均包括完成该项目的人工费、社会保障费、保险费、材料费、机具使用费、管理费、利润、税金、风险费等所有的费用，以及投标人在服务管理过程中伴随的其他各种费用均应包括在投标报价中。（项目实施过程中发生的一切费用）</w:t>
      </w:r>
    </w:p>
    <w:p w14:paraId="44E1C673">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3.2.3 投标报价为投标人完成采购范围内各项费用的总和。投标人不得以任何理由重复计算相关费用。</w:t>
      </w:r>
    </w:p>
    <w:p w14:paraId="24870531">
      <w:pPr>
        <w:spacing w:line="360" w:lineRule="auto"/>
        <w:ind w:firstLine="420" w:firstLineChars="200"/>
        <w:rPr>
          <w:rFonts w:ascii="宋体"/>
          <w:color w:val="auto"/>
          <w:szCs w:val="21"/>
          <w:highlight w:val="none"/>
        </w:rPr>
      </w:pPr>
      <w:r>
        <w:rPr>
          <w:rFonts w:hint="eastAsia" w:ascii="宋体" w:hAnsi="宋体"/>
          <w:color w:val="auto"/>
          <w:szCs w:val="21"/>
          <w:highlight w:val="none"/>
        </w:rPr>
        <w:t>3.2.4 各投标人单位的投标报价中若出现招标范围内的漏项、错项、未列项时，均视为投标人已综合在报价内，一律不作调整。</w:t>
      </w:r>
    </w:p>
    <w:p w14:paraId="6ADEF35A">
      <w:pPr>
        <w:spacing w:line="360" w:lineRule="auto"/>
        <w:ind w:firstLine="420" w:firstLineChars="200"/>
        <w:rPr>
          <w:rFonts w:ascii="宋体"/>
          <w:color w:val="auto"/>
          <w:szCs w:val="21"/>
          <w:highlight w:val="none"/>
        </w:rPr>
      </w:pPr>
      <w:r>
        <w:rPr>
          <w:rFonts w:hint="eastAsia" w:ascii="宋体" w:hAnsi="宋体"/>
          <w:color w:val="auto"/>
          <w:szCs w:val="21"/>
          <w:highlight w:val="none"/>
        </w:rPr>
        <w:t>3.2.5 成交价结算时除合同约定可调整内容以外，均不作调整。</w:t>
      </w:r>
    </w:p>
    <w:p w14:paraId="062AB9A3">
      <w:pPr>
        <w:spacing w:line="360" w:lineRule="auto"/>
        <w:ind w:firstLine="420" w:firstLineChars="200"/>
        <w:rPr>
          <w:rFonts w:ascii="宋体"/>
          <w:color w:val="auto"/>
          <w:szCs w:val="21"/>
          <w:highlight w:val="none"/>
        </w:rPr>
      </w:pPr>
      <w:r>
        <w:rPr>
          <w:rFonts w:hint="eastAsia" w:ascii="宋体" w:hAnsi="宋体"/>
          <w:color w:val="auto"/>
          <w:szCs w:val="21"/>
          <w:highlight w:val="none"/>
        </w:rPr>
        <w:t>3.2.6投标人应仔细审阅招标文件中的全部内容，如有不明确的，须在招标答疑时以书面形式提出，由招标人明确做法并计入投标报价；否则视为投标人在投标报价中已全部计入。</w:t>
      </w:r>
    </w:p>
    <w:p w14:paraId="30205218">
      <w:pPr>
        <w:spacing w:line="360" w:lineRule="auto"/>
        <w:ind w:firstLine="420" w:firstLineChars="200"/>
        <w:rPr>
          <w:rFonts w:ascii="宋体"/>
          <w:color w:val="auto"/>
          <w:szCs w:val="21"/>
          <w:highlight w:val="none"/>
        </w:rPr>
      </w:pPr>
      <w:r>
        <w:rPr>
          <w:rFonts w:hint="eastAsia" w:ascii="宋体" w:hAnsi="宋体"/>
          <w:color w:val="auto"/>
          <w:szCs w:val="21"/>
          <w:highlight w:val="none"/>
        </w:rPr>
        <w:t>3.2.7报价是评标的重要依据之一，但不是评定中标的唯一标准。招标人不以最低报价作为中标依据。</w:t>
      </w:r>
    </w:p>
    <w:p w14:paraId="62FA3F2E">
      <w:pPr>
        <w:spacing w:line="360" w:lineRule="auto"/>
        <w:ind w:left="1043" w:leftChars="203" w:hanging="617" w:hangingChars="294"/>
        <w:rPr>
          <w:rFonts w:ascii="宋体"/>
          <w:color w:val="auto"/>
          <w:szCs w:val="21"/>
          <w:highlight w:val="none"/>
        </w:rPr>
      </w:pPr>
      <w:r>
        <w:rPr>
          <w:rFonts w:hint="eastAsia" w:ascii="宋体" w:hAnsi="宋体"/>
          <w:color w:val="auto"/>
          <w:szCs w:val="21"/>
          <w:highlight w:val="none"/>
        </w:rPr>
        <w:t>3.2.8全部报价均应以人民币为计量币种，并以人民币进行结算。且以元为单位正确表示。</w:t>
      </w:r>
    </w:p>
    <w:p w14:paraId="3556A718">
      <w:pPr>
        <w:spacing w:line="360" w:lineRule="auto"/>
        <w:rPr>
          <w:rFonts w:ascii="宋体"/>
          <w:color w:val="auto"/>
          <w:szCs w:val="21"/>
          <w:highlight w:val="none"/>
        </w:rPr>
      </w:pPr>
      <w:r>
        <w:rPr>
          <w:rFonts w:hint="eastAsia" w:ascii="宋体" w:hAnsi="宋体"/>
          <w:color w:val="auto"/>
          <w:szCs w:val="21"/>
          <w:highlight w:val="none"/>
        </w:rPr>
        <w:t>3.3投标有效期</w:t>
      </w:r>
    </w:p>
    <w:p w14:paraId="58552653">
      <w:pPr>
        <w:spacing w:line="360" w:lineRule="auto"/>
        <w:ind w:firstLine="420" w:firstLineChars="200"/>
        <w:rPr>
          <w:rFonts w:ascii="宋体"/>
          <w:color w:val="auto"/>
          <w:szCs w:val="21"/>
          <w:highlight w:val="none"/>
        </w:rPr>
      </w:pPr>
      <w:r>
        <w:rPr>
          <w:rFonts w:hint="eastAsia" w:ascii="宋体" w:hAnsi="宋体"/>
          <w:color w:val="auto"/>
          <w:szCs w:val="21"/>
          <w:highlight w:val="none"/>
        </w:rPr>
        <w:t>3.3.1投标文件应在投标人须知前附表所规定的投标有效期内有效，投标人不得要求撤销或修改其投标文件；</w:t>
      </w:r>
    </w:p>
    <w:p w14:paraId="55AC197D">
      <w:pPr>
        <w:spacing w:line="360" w:lineRule="auto"/>
        <w:rPr>
          <w:rFonts w:ascii="宋体"/>
          <w:color w:val="auto"/>
          <w:szCs w:val="21"/>
          <w:highlight w:val="none"/>
        </w:rPr>
      </w:pPr>
      <w:r>
        <w:rPr>
          <w:rFonts w:hint="eastAsia" w:ascii="宋体" w:hAnsi="宋体"/>
          <w:color w:val="auto"/>
          <w:szCs w:val="21"/>
          <w:highlight w:val="none"/>
        </w:rPr>
        <w:t>3.4投标保证金：本项目不收取投标保证金。</w:t>
      </w:r>
    </w:p>
    <w:p w14:paraId="465ABA5C">
      <w:pPr>
        <w:spacing w:line="360" w:lineRule="auto"/>
        <w:rPr>
          <w:rFonts w:ascii="宋体"/>
          <w:color w:val="auto"/>
          <w:szCs w:val="21"/>
          <w:highlight w:val="none"/>
        </w:rPr>
      </w:pPr>
      <w:r>
        <w:rPr>
          <w:rFonts w:hint="eastAsia" w:ascii="宋体" w:hAnsi="宋体"/>
          <w:color w:val="auto"/>
          <w:szCs w:val="21"/>
          <w:highlight w:val="none"/>
        </w:rPr>
        <w:t>3.5投标文件的编制</w:t>
      </w:r>
    </w:p>
    <w:p w14:paraId="21AC2F1E">
      <w:pPr>
        <w:spacing w:line="360" w:lineRule="auto"/>
        <w:ind w:firstLine="420" w:firstLineChars="200"/>
        <w:rPr>
          <w:rFonts w:ascii="宋体"/>
          <w:color w:val="auto"/>
          <w:szCs w:val="21"/>
          <w:highlight w:val="none"/>
        </w:rPr>
      </w:pPr>
      <w:r>
        <w:rPr>
          <w:rFonts w:hint="eastAsia" w:ascii="宋体" w:hAnsi="宋体"/>
          <w:color w:val="auto"/>
          <w:szCs w:val="21"/>
          <w:highlight w:val="none"/>
        </w:rPr>
        <w:t>3.5.1投标人未按招标文件要求提交投标文件或者未对招标文件提出的实质性要求和条件做出响应，则投标文件不被接受，其后果由投标人负责。</w:t>
      </w:r>
    </w:p>
    <w:p w14:paraId="6598679D">
      <w:pPr>
        <w:spacing w:line="360" w:lineRule="auto"/>
        <w:ind w:firstLine="420" w:firstLineChars="200"/>
        <w:rPr>
          <w:rFonts w:ascii="宋体"/>
          <w:color w:val="auto"/>
          <w:szCs w:val="21"/>
          <w:highlight w:val="none"/>
        </w:rPr>
      </w:pPr>
      <w:r>
        <w:rPr>
          <w:rFonts w:hint="eastAsia" w:ascii="宋体" w:hAnsi="宋体"/>
          <w:color w:val="auto"/>
          <w:szCs w:val="21"/>
          <w:highlight w:val="none"/>
        </w:rPr>
        <w:t>3.5.2投标文件应按第六章“投标文件格式”进行编写，如有必要，可以增加附页，作为投标文件的组成部分。其中，投标函附录在满足招标文件实质性要求的基础上，可以提出比招标文件要求更有利于招标人的承诺。</w:t>
      </w:r>
    </w:p>
    <w:p w14:paraId="22CBEA72">
      <w:pPr>
        <w:spacing w:line="360" w:lineRule="auto"/>
        <w:ind w:firstLine="420" w:firstLineChars="200"/>
        <w:rPr>
          <w:rFonts w:hint="eastAsia" w:ascii="宋体" w:hAnsi="宋体" w:cs="宋体"/>
          <w:b/>
          <w:color w:val="auto"/>
          <w:szCs w:val="21"/>
          <w:highlight w:val="none"/>
        </w:rPr>
      </w:pPr>
      <w:r>
        <w:rPr>
          <w:rFonts w:hint="eastAsia" w:ascii="宋体" w:hAnsi="宋体"/>
          <w:color w:val="auto"/>
          <w:szCs w:val="21"/>
          <w:highlight w:val="none"/>
        </w:rPr>
        <w:t>3.5.3投标文件应避免涂改和行间插字，如有修改须在修改处加盖投标人的企业电子签章、企业法定代表人或其委托代理人签字。</w:t>
      </w:r>
    </w:p>
    <w:p w14:paraId="03EDED49">
      <w:pPr>
        <w:spacing w:line="360" w:lineRule="auto"/>
        <w:rPr>
          <w:rFonts w:ascii="宋体"/>
          <w:color w:val="auto"/>
          <w:szCs w:val="21"/>
          <w:highlight w:val="none"/>
        </w:rPr>
      </w:pPr>
      <w:r>
        <w:rPr>
          <w:rFonts w:hint="eastAsia" w:ascii="宋体" w:hAnsi="宋体"/>
          <w:color w:val="auto"/>
          <w:szCs w:val="21"/>
          <w:highlight w:val="none"/>
        </w:rPr>
        <w:t>3.6 备选投标方案</w:t>
      </w:r>
    </w:p>
    <w:p w14:paraId="59B4C323">
      <w:pPr>
        <w:autoSpaceDE w:val="0"/>
        <w:autoSpaceDN w:val="0"/>
        <w:adjustRightInd w:val="0"/>
        <w:spacing w:line="360" w:lineRule="auto"/>
        <w:ind w:firstLine="359" w:firstLineChars="171"/>
        <w:jc w:val="left"/>
        <w:rPr>
          <w:rFonts w:hint="eastAsia" w:ascii="宋体" w:hAnsi="宋体" w:cs="TimesNewRomanPSMT"/>
          <w:color w:val="auto"/>
          <w:kern w:val="0"/>
          <w:szCs w:val="21"/>
          <w:highlight w:val="none"/>
        </w:rPr>
      </w:pPr>
      <w:r>
        <w:rPr>
          <w:rFonts w:hint="eastAsia" w:ascii="宋体" w:hAnsi="宋体"/>
          <w:color w:val="auto"/>
          <w:szCs w:val="21"/>
          <w:highlight w:val="none"/>
        </w:rPr>
        <w:t xml:space="preserve">    不允许递</w:t>
      </w:r>
      <w:r>
        <w:rPr>
          <w:rFonts w:hint="eastAsia" w:ascii="宋体" w:hAnsi="宋体" w:cs="TimesNewRomanPSMT"/>
          <w:color w:val="auto"/>
          <w:kern w:val="0"/>
          <w:szCs w:val="21"/>
          <w:highlight w:val="none"/>
        </w:rPr>
        <w:t>交备选投标方案。</w:t>
      </w:r>
    </w:p>
    <w:p w14:paraId="06AF09B5">
      <w:pPr>
        <w:autoSpaceDE w:val="0"/>
        <w:autoSpaceDN w:val="0"/>
        <w:adjustRightInd w:val="0"/>
        <w:spacing w:line="360" w:lineRule="auto"/>
        <w:jc w:val="left"/>
        <w:rPr>
          <w:rFonts w:hint="eastAsia" w:ascii="宋体" w:hAnsi="宋体" w:cs="TimesNewRomanPSMT"/>
          <w:color w:val="auto"/>
          <w:kern w:val="0"/>
          <w:szCs w:val="21"/>
          <w:highlight w:val="none"/>
        </w:rPr>
      </w:pPr>
      <w:r>
        <w:rPr>
          <w:rFonts w:hint="eastAsia" w:ascii="宋体" w:hAnsi="宋体" w:cs="TimesNewRomanPSMT"/>
          <w:color w:val="auto"/>
          <w:kern w:val="0"/>
          <w:szCs w:val="21"/>
          <w:highlight w:val="none"/>
        </w:rPr>
        <w:t>3.7投标文件的递交</w:t>
      </w:r>
    </w:p>
    <w:p w14:paraId="04141F21">
      <w:pPr>
        <w:autoSpaceDE w:val="0"/>
        <w:autoSpaceDN w:val="0"/>
        <w:adjustRightInd w:val="0"/>
        <w:spacing w:line="360" w:lineRule="auto"/>
        <w:ind w:firstLine="420" w:firstLineChars="200"/>
        <w:jc w:val="left"/>
        <w:rPr>
          <w:rFonts w:hint="eastAsia" w:ascii="宋体" w:hAnsi="宋体" w:cs="TimesNewRomanPSMT"/>
          <w:color w:val="auto"/>
          <w:kern w:val="0"/>
          <w:szCs w:val="21"/>
          <w:highlight w:val="none"/>
        </w:rPr>
      </w:pPr>
      <w:r>
        <w:rPr>
          <w:rFonts w:hint="eastAsia" w:ascii="宋体" w:hAnsi="宋体" w:cs="TimesNewRomanPSMT"/>
          <w:color w:val="auto"/>
          <w:kern w:val="0"/>
          <w:szCs w:val="21"/>
          <w:highlight w:val="none"/>
        </w:rPr>
        <w:t>本项目采用“远程不见面”开标方式，投标人无需到达现场提交原件资料、无需到开封市公共资源交易中心现场参加开标会议，投标人应当在开标时间前,登录（开封市公共资源交易中心网站）远程开标大厅,在线准时参加开标活动并进行投标文件解密、答疑澄清等。</w:t>
      </w:r>
    </w:p>
    <w:p w14:paraId="12FAD536">
      <w:pPr>
        <w:spacing w:line="360" w:lineRule="auto"/>
        <w:rPr>
          <w:rFonts w:ascii="宋体"/>
          <w:color w:val="auto"/>
          <w:szCs w:val="21"/>
          <w:highlight w:val="none"/>
        </w:rPr>
      </w:pPr>
      <w:r>
        <w:rPr>
          <w:rFonts w:hint="eastAsia" w:ascii="宋体" w:hAnsi="宋体"/>
          <w:color w:val="auto"/>
          <w:szCs w:val="21"/>
          <w:highlight w:val="none"/>
        </w:rPr>
        <w:t>3.8投标文件的修改、补充与撤回</w:t>
      </w:r>
    </w:p>
    <w:p w14:paraId="3BD23024">
      <w:pPr>
        <w:spacing w:line="360" w:lineRule="auto"/>
        <w:ind w:firstLine="420" w:firstLineChars="200"/>
        <w:rPr>
          <w:rFonts w:ascii="宋体"/>
          <w:color w:val="auto"/>
          <w:szCs w:val="21"/>
          <w:highlight w:val="none"/>
        </w:rPr>
      </w:pPr>
      <w:r>
        <w:rPr>
          <w:rFonts w:hint="eastAsia" w:ascii="宋体" w:hAnsi="宋体"/>
          <w:color w:val="auto"/>
          <w:szCs w:val="21"/>
          <w:highlight w:val="none"/>
        </w:rPr>
        <w:t>3.8.1投标人可以在投标文件递交截止时间之前以书面形式修改、补充或撤回投标文件。在投标文件递交截止时间后不能修改、补充或撤回投标文件。</w:t>
      </w:r>
    </w:p>
    <w:p w14:paraId="098D9F69">
      <w:pPr>
        <w:spacing w:line="360" w:lineRule="auto"/>
        <w:ind w:firstLine="420" w:firstLineChars="200"/>
        <w:rPr>
          <w:rFonts w:ascii="宋体"/>
          <w:color w:val="auto"/>
          <w:szCs w:val="21"/>
          <w:highlight w:val="none"/>
        </w:rPr>
      </w:pPr>
      <w:r>
        <w:rPr>
          <w:rFonts w:hint="eastAsia" w:ascii="宋体" w:hAnsi="宋体"/>
          <w:color w:val="auto"/>
          <w:szCs w:val="21"/>
          <w:highlight w:val="none"/>
        </w:rPr>
        <w:t>3.8.2投标文件的修改、补充与撤回通知，投标人均须按本款的规定密封、标志和递交（标明“修改”、“补充”或“撤回”字样）。</w:t>
      </w:r>
    </w:p>
    <w:p w14:paraId="192939D1">
      <w:pPr>
        <w:spacing w:line="360" w:lineRule="auto"/>
        <w:ind w:firstLine="420" w:firstLineChars="200"/>
        <w:rPr>
          <w:rFonts w:ascii="宋体"/>
          <w:color w:val="auto"/>
          <w:szCs w:val="21"/>
          <w:highlight w:val="none"/>
        </w:rPr>
      </w:pPr>
      <w:r>
        <w:rPr>
          <w:rFonts w:hint="eastAsia" w:ascii="宋体" w:hAnsi="宋体"/>
          <w:color w:val="auto"/>
          <w:szCs w:val="21"/>
          <w:highlight w:val="none"/>
        </w:rPr>
        <w:t>3.8.3在投标有效期内，投标人不能修改或撤回其投标文件。</w:t>
      </w:r>
    </w:p>
    <w:p w14:paraId="5D9BC304">
      <w:pPr>
        <w:autoSpaceDE w:val="0"/>
        <w:autoSpaceDN w:val="0"/>
        <w:adjustRightInd w:val="0"/>
        <w:spacing w:line="360" w:lineRule="auto"/>
        <w:jc w:val="left"/>
        <w:rPr>
          <w:rFonts w:ascii="宋体"/>
          <w:color w:val="auto"/>
          <w:szCs w:val="21"/>
          <w:highlight w:val="none"/>
        </w:rPr>
      </w:pPr>
      <w:r>
        <w:rPr>
          <w:rFonts w:hint="eastAsia" w:ascii="宋体" w:hAnsi="宋体"/>
          <w:color w:val="auto"/>
          <w:szCs w:val="21"/>
          <w:highlight w:val="none"/>
        </w:rPr>
        <w:t>3.9 投标文件的拒绝和无效</w:t>
      </w:r>
    </w:p>
    <w:p w14:paraId="3B956438">
      <w:pPr>
        <w:spacing w:line="360" w:lineRule="auto"/>
        <w:ind w:left="105" w:leftChars="50" w:firstLine="420" w:firstLineChars="200"/>
        <w:rPr>
          <w:rFonts w:ascii="宋体" w:cs="TimesNewRomanPSMT"/>
          <w:color w:val="auto"/>
          <w:kern w:val="0"/>
          <w:szCs w:val="21"/>
          <w:highlight w:val="none"/>
        </w:rPr>
      </w:pPr>
      <w:r>
        <w:rPr>
          <w:rFonts w:hint="eastAsia" w:ascii="宋体" w:hAnsi="宋体" w:cs="TimesNewRomanPSMT"/>
          <w:color w:val="auto"/>
          <w:kern w:val="0"/>
          <w:szCs w:val="21"/>
          <w:highlight w:val="none"/>
        </w:rPr>
        <w:t>属于下列情况之一的投标文件，其投标将被否决：</w:t>
      </w:r>
    </w:p>
    <w:p w14:paraId="6D32842B">
      <w:pPr>
        <w:spacing w:line="360" w:lineRule="auto"/>
        <w:ind w:left="105" w:leftChars="50" w:firstLine="420" w:firstLineChars="200"/>
        <w:rPr>
          <w:rFonts w:hint="eastAsia" w:ascii="宋体" w:hAnsi="宋体" w:cs="TimesNewRomanPSMT"/>
          <w:color w:val="auto"/>
          <w:kern w:val="0"/>
          <w:szCs w:val="21"/>
          <w:highlight w:val="none"/>
        </w:rPr>
      </w:pPr>
      <w:bookmarkStart w:id="157" w:name="_Toc26529"/>
      <w:bookmarkStart w:id="158" w:name="_Toc3705"/>
      <w:bookmarkStart w:id="159" w:name="_Toc379917674"/>
      <w:bookmarkStart w:id="160" w:name="_Toc374983545"/>
      <w:bookmarkStart w:id="161" w:name="_Toc379917825"/>
      <w:bookmarkStart w:id="162" w:name="_Toc520717617"/>
      <w:bookmarkStart w:id="163" w:name="_Toc238352243"/>
      <w:bookmarkStart w:id="164" w:name="_Toc16828"/>
      <w:bookmarkStart w:id="165" w:name="_Toc4444"/>
      <w:r>
        <w:rPr>
          <w:rFonts w:hint="eastAsia" w:ascii="宋体" w:hAnsi="宋体" w:cs="TimesNewRomanPSMT"/>
          <w:color w:val="auto"/>
          <w:kern w:val="0"/>
          <w:szCs w:val="21"/>
          <w:highlight w:val="none"/>
        </w:rPr>
        <w:t>（1）</w:t>
      </w:r>
      <w:r>
        <w:rPr>
          <w:rFonts w:hint="eastAsia" w:ascii="宋体" w:hAnsi="宋体" w:cs="TimesNewRomanPSMT"/>
          <w:color w:val="auto"/>
          <w:kern w:val="0"/>
          <w:szCs w:val="21"/>
          <w:highlight w:val="none"/>
        </w:rPr>
        <w:tab/>
      </w:r>
      <w:r>
        <w:rPr>
          <w:rFonts w:hint="eastAsia" w:ascii="宋体" w:hAnsi="宋体" w:cs="TimesNewRomanPSMT"/>
          <w:color w:val="auto"/>
          <w:kern w:val="0"/>
          <w:szCs w:val="21"/>
          <w:highlight w:val="none"/>
        </w:rPr>
        <w:t>投标文件未按照招标文件要求密封或逾期送达；</w:t>
      </w:r>
      <w:bookmarkEnd w:id="157"/>
      <w:bookmarkEnd w:id="158"/>
      <w:bookmarkEnd w:id="159"/>
      <w:bookmarkEnd w:id="160"/>
      <w:bookmarkEnd w:id="161"/>
    </w:p>
    <w:p w14:paraId="46055EEE">
      <w:pPr>
        <w:spacing w:line="360" w:lineRule="auto"/>
        <w:ind w:left="105" w:leftChars="50" w:firstLine="420" w:firstLineChars="200"/>
        <w:rPr>
          <w:rFonts w:hint="eastAsia" w:ascii="宋体" w:hAnsi="宋体" w:cs="TimesNewRomanPSMT"/>
          <w:color w:val="auto"/>
          <w:kern w:val="0"/>
          <w:szCs w:val="21"/>
          <w:highlight w:val="none"/>
        </w:rPr>
      </w:pPr>
      <w:bookmarkStart w:id="166" w:name="_Toc12728"/>
      <w:bookmarkStart w:id="167" w:name="_Toc379917826"/>
      <w:bookmarkStart w:id="168" w:name="_Toc374983546"/>
      <w:bookmarkStart w:id="169" w:name="_Toc379917675"/>
      <w:bookmarkStart w:id="170" w:name="_Toc19177"/>
      <w:r>
        <w:rPr>
          <w:rFonts w:hint="eastAsia" w:ascii="宋体" w:hAnsi="宋体" w:cs="TimesNewRomanPSMT"/>
          <w:color w:val="auto"/>
          <w:kern w:val="0"/>
          <w:szCs w:val="21"/>
          <w:highlight w:val="none"/>
        </w:rPr>
        <w:t>（2）</w:t>
      </w:r>
      <w:r>
        <w:rPr>
          <w:rFonts w:hint="eastAsia" w:ascii="宋体" w:hAnsi="宋体" w:cs="TimesNewRomanPSMT"/>
          <w:color w:val="auto"/>
          <w:kern w:val="0"/>
          <w:szCs w:val="21"/>
          <w:highlight w:val="none"/>
        </w:rPr>
        <w:tab/>
      </w:r>
      <w:r>
        <w:rPr>
          <w:rFonts w:hint="eastAsia" w:ascii="宋体" w:hAnsi="宋体" w:cs="TimesNewRomanPSMT"/>
          <w:color w:val="auto"/>
          <w:kern w:val="0"/>
          <w:szCs w:val="21"/>
          <w:highlight w:val="none"/>
        </w:rPr>
        <w:t>投标人未按照招标文件要求提交投标承诺函；</w:t>
      </w:r>
      <w:bookmarkEnd w:id="166"/>
      <w:bookmarkEnd w:id="167"/>
      <w:bookmarkEnd w:id="168"/>
      <w:bookmarkEnd w:id="169"/>
      <w:bookmarkEnd w:id="170"/>
    </w:p>
    <w:p w14:paraId="5717AD4C">
      <w:pPr>
        <w:spacing w:line="360" w:lineRule="auto"/>
        <w:ind w:left="105" w:leftChars="50" w:firstLine="420" w:firstLineChars="200"/>
        <w:rPr>
          <w:rFonts w:hint="eastAsia" w:ascii="宋体" w:hAnsi="宋体" w:cs="TimesNewRomanPSMT"/>
          <w:color w:val="auto"/>
          <w:kern w:val="0"/>
          <w:szCs w:val="21"/>
          <w:highlight w:val="none"/>
        </w:rPr>
      </w:pPr>
      <w:bookmarkStart w:id="171" w:name="_Toc379917827"/>
      <w:bookmarkStart w:id="172" w:name="_Toc379917676"/>
      <w:bookmarkStart w:id="173" w:name="_Toc26290"/>
      <w:bookmarkStart w:id="174" w:name="_Toc374983547"/>
      <w:bookmarkStart w:id="175" w:name="_Toc27055"/>
      <w:r>
        <w:rPr>
          <w:rFonts w:hint="eastAsia" w:ascii="宋体" w:hAnsi="宋体" w:cs="TimesNewRomanPSMT"/>
          <w:color w:val="auto"/>
          <w:kern w:val="0"/>
          <w:szCs w:val="21"/>
          <w:highlight w:val="none"/>
        </w:rPr>
        <w:t>（3）</w:t>
      </w:r>
      <w:r>
        <w:rPr>
          <w:rFonts w:hint="eastAsia" w:ascii="宋体" w:hAnsi="宋体" w:cs="TimesNewRomanPSMT"/>
          <w:color w:val="auto"/>
          <w:kern w:val="0"/>
          <w:szCs w:val="21"/>
          <w:highlight w:val="none"/>
        </w:rPr>
        <w:tab/>
      </w:r>
      <w:r>
        <w:rPr>
          <w:rFonts w:hint="eastAsia" w:ascii="宋体" w:hAnsi="宋体" w:cs="TimesNewRomanPSMT"/>
          <w:color w:val="auto"/>
          <w:kern w:val="0"/>
          <w:szCs w:val="21"/>
          <w:highlight w:val="none"/>
        </w:rPr>
        <w:t>投标文件字迹模糊导致无法确认投标价格等内容；</w:t>
      </w:r>
      <w:bookmarkEnd w:id="171"/>
      <w:bookmarkEnd w:id="172"/>
      <w:bookmarkEnd w:id="173"/>
      <w:bookmarkEnd w:id="174"/>
      <w:bookmarkEnd w:id="175"/>
    </w:p>
    <w:p w14:paraId="42601879">
      <w:pPr>
        <w:spacing w:line="360" w:lineRule="auto"/>
        <w:ind w:left="105" w:leftChars="50" w:firstLine="420" w:firstLineChars="200"/>
        <w:rPr>
          <w:rFonts w:hint="eastAsia" w:ascii="宋体" w:hAnsi="宋体" w:cs="TimesNewRomanPSMT"/>
          <w:color w:val="auto"/>
          <w:kern w:val="0"/>
          <w:szCs w:val="21"/>
          <w:highlight w:val="none"/>
        </w:rPr>
      </w:pPr>
      <w:bookmarkStart w:id="176" w:name="_Toc7605"/>
      <w:bookmarkStart w:id="177" w:name="_Toc16846"/>
      <w:bookmarkStart w:id="178" w:name="_Toc379917828"/>
      <w:bookmarkStart w:id="179" w:name="_Toc379917677"/>
      <w:bookmarkStart w:id="180" w:name="_Toc374983548"/>
      <w:r>
        <w:rPr>
          <w:rFonts w:hint="eastAsia" w:ascii="宋体" w:hAnsi="宋体" w:cs="TimesNewRomanPSMT"/>
          <w:color w:val="auto"/>
          <w:kern w:val="0"/>
          <w:szCs w:val="21"/>
          <w:highlight w:val="none"/>
        </w:rPr>
        <w:t>（4）</w:t>
      </w:r>
      <w:r>
        <w:rPr>
          <w:rFonts w:hint="eastAsia" w:ascii="宋体" w:hAnsi="宋体" w:cs="TimesNewRomanPSMT"/>
          <w:color w:val="auto"/>
          <w:kern w:val="0"/>
          <w:szCs w:val="21"/>
          <w:highlight w:val="none"/>
        </w:rPr>
        <w:tab/>
      </w:r>
      <w:r>
        <w:rPr>
          <w:rFonts w:hint="eastAsia" w:ascii="宋体" w:hAnsi="宋体" w:cs="TimesNewRomanPSMT"/>
          <w:color w:val="auto"/>
          <w:kern w:val="0"/>
          <w:szCs w:val="21"/>
          <w:highlight w:val="none"/>
        </w:rPr>
        <w:t>投标人在一份投标文件中，对同一项目内容有两个或两个以上报价；</w:t>
      </w:r>
      <w:bookmarkEnd w:id="176"/>
      <w:bookmarkEnd w:id="177"/>
      <w:bookmarkEnd w:id="178"/>
      <w:bookmarkEnd w:id="179"/>
      <w:bookmarkEnd w:id="180"/>
    </w:p>
    <w:p w14:paraId="7B97A7F4">
      <w:pPr>
        <w:spacing w:line="360" w:lineRule="auto"/>
        <w:ind w:left="105" w:leftChars="50" w:firstLine="420" w:firstLineChars="200"/>
        <w:rPr>
          <w:rFonts w:hint="eastAsia" w:ascii="宋体" w:hAnsi="宋体" w:cs="TimesNewRomanPSMT"/>
          <w:color w:val="auto"/>
          <w:kern w:val="0"/>
          <w:szCs w:val="21"/>
          <w:highlight w:val="none"/>
        </w:rPr>
      </w:pPr>
      <w:bookmarkStart w:id="181" w:name="_Toc1996"/>
      <w:bookmarkStart w:id="182" w:name="_Toc374983549"/>
      <w:bookmarkStart w:id="183" w:name="_Toc18953"/>
      <w:bookmarkStart w:id="184" w:name="_Toc379917678"/>
      <w:bookmarkStart w:id="185" w:name="_Toc379917829"/>
      <w:r>
        <w:rPr>
          <w:rFonts w:hint="eastAsia" w:ascii="宋体" w:hAnsi="宋体" w:cs="TimesNewRomanPSMT"/>
          <w:color w:val="auto"/>
          <w:kern w:val="0"/>
          <w:szCs w:val="21"/>
          <w:highlight w:val="none"/>
        </w:rPr>
        <w:t>（5）</w:t>
      </w:r>
      <w:r>
        <w:rPr>
          <w:rFonts w:hint="eastAsia" w:ascii="宋体" w:hAnsi="宋体" w:cs="TimesNewRomanPSMT"/>
          <w:color w:val="auto"/>
          <w:kern w:val="0"/>
          <w:szCs w:val="21"/>
          <w:highlight w:val="none"/>
        </w:rPr>
        <w:tab/>
      </w:r>
      <w:r>
        <w:rPr>
          <w:rFonts w:hint="eastAsia" w:ascii="宋体" w:hAnsi="宋体" w:cs="TimesNewRomanPSMT"/>
          <w:color w:val="auto"/>
          <w:kern w:val="0"/>
          <w:szCs w:val="21"/>
          <w:highlight w:val="none"/>
        </w:rPr>
        <w:t>投标人对同一招标项目递交两份或两份以上不同的投标文件；</w:t>
      </w:r>
      <w:bookmarkEnd w:id="181"/>
      <w:bookmarkEnd w:id="182"/>
      <w:bookmarkEnd w:id="183"/>
      <w:bookmarkEnd w:id="184"/>
      <w:bookmarkEnd w:id="185"/>
    </w:p>
    <w:p w14:paraId="04133F38">
      <w:pPr>
        <w:spacing w:line="360" w:lineRule="auto"/>
        <w:ind w:left="105" w:leftChars="50" w:firstLine="420" w:firstLineChars="200"/>
        <w:rPr>
          <w:rFonts w:hint="eastAsia" w:ascii="宋体" w:hAnsi="宋体" w:cs="TimesNewRomanPSMT"/>
          <w:color w:val="auto"/>
          <w:kern w:val="0"/>
          <w:szCs w:val="21"/>
          <w:highlight w:val="none"/>
        </w:rPr>
      </w:pPr>
      <w:bookmarkStart w:id="186" w:name="_Toc379917830"/>
      <w:bookmarkStart w:id="187" w:name="_Toc10577"/>
      <w:bookmarkStart w:id="188" w:name="_Toc379917679"/>
      <w:bookmarkStart w:id="189" w:name="_Toc13760"/>
      <w:bookmarkStart w:id="190" w:name="_Toc374983550"/>
      <w:r>
        <w:rPr>
          <w:rFonts w:hint="eastAsia" w:ascii="宋体" w:hAnsi="宋体" w:cs="TimesNewRomanPSMT"/>
          <w:color w:val="auto"/>
          <w:kern w:val="0"/>
          <w:szCs w:val="21"/>
          <w:highlight w:val="none"/>
        </w:rPr>
        <w:t>（6）</w:t>
      </w:r>
      <w:r>
        <w:rPr>
          <w:rFonts w:hint="eastAsia" w:ascii="宋体" w:hAnsi="宋体" w:cs="TimesNewRomanPSMT"/>
          <w:color w:val="auto"/>
          <w:kern w:val="0"/>
          <w:szCs w:val="21"/>
          <w:highlight w:val="none"/>
        </w:rPr>
        <w:tab/>
      </w:r>
      <w:r>
        <w:rPr>
          <w:rFonts w:hint="eastAsia" w:ascii="宋体" w:hAnsi="宋体" w:cs="TimesNewRomanPSMT"/>
          <w:color w:val="auto"/>
          <w:kern w:val="0"/>
          <w:szCs w:val="21"/>
          <w:highlight w:val="none"/>
        </w:rPr>
        <w:t>投标文件中含有虚假资料；</w:t>
      </w:r>
      <w:bookmarkEnd w:id="186"/>
      <w:bookmarkEnd w:id="187"/>
      <w:bookmarkEnd w:id="188"/>
      <w:bookmarkEnd w:id="189"/>
      <w:bookmarkEnd w:id="190"/>
    </w:p>
    <w:p w14:paraId="716CF951">
      <w:pPr>
        <w:spacing w:line="360" w:lineRule="auto"/>
        <w:ind w:left="105" w:leftChars="50" w:firstLine="420" w:firstLineChars="200"/>
        <w:rPr>
          <w:rFonts w:hint="eastAsia" w:ascii="宋体" w:hAnsi="宋体" w:cs="TimesNewRomanPSMT"/>
          <w:color w:val="auto"/>
          <w:kern w:val="0"/>
          <w:szCs w:val="21"/>
          <w:highlight w:val="none"/>
        </w:rPr>
      </w:pPr>
      <w:bookmarkStart w:id="191" w:name="_Toc379917680"/>
      <w:bookmarkStart w:id="192" w:name="_Toc374983551"/>
      <w:bookmarkStart w:id="193" w:name="_Toc379917831"/>
      <w:bookmarkStart w:id="194" w:name="_Toc723"/>
      <w:bookmarkStart w:id="195" w:name="_Toc15824"/>
      <w:r>
        <w:rPr>
          <w:rFonts w:hint="eastAsia" w:ascii="宋体" w:hAnsi="宋体" w:cs="TimesNewRomanPSMT"/>
          <w:color w:val="auto"/>
          <w:kern w:val="0"/>
          <w:szCs w:val="21"/>
          <w:highlight w:val="none"/>
        </w:rPr>
        <w:t>（7）</w:t>
      </w:r>
      <w:r>
        <w:rPr>
          <w:rFonts w:hint="eastAsia" w:ascii="宋体" w:hAnsi="宋体" w:cs="TimesNewRomanPSMT"/>
          <w:color w:val="auto"/>
          <w:kern w:val="0"/>
          <w:szCs w:val="21"/>
          <w:highlight w:val="none"/>
        </w:rPr>
        <w:tab/>
      </w:r>
      <w:r>
        <w:rPr>
          <w:rFonts w:hint="eastAsia" w:ascii="宋体" w:hAnsi="宋体" w:cs="TimesNewRomanPSMT"/>
          <w:color w:val="auto"/>
          <w:kern w:val="0"/>
          <w:szCs w:val="21"/>
          <w:highlight w:val="none"/>
        </w:rPr>
        <w:t>投标文件中有招标人不能接受的条件；</w:t>
      </w:r>
      <w:bookmarkEnd w:id="191"/>
      <w:bookmarkEnd w:id="192"/>
      <w:bookmarkEnd w:id="193"/>
      <w:bookmarkEnd w:id="194"/>
      <w:bookmarkEnd w:id="195"/>
    </w:p>
    <w:p w14:paraId="7CA59E8B">
      <w:pPr>
        <w:spacing w:line="360" w:lineRule="auto"/>
        <w:ind w:left="105" w:leftChars="50" w:firstLine="420" w:firstLineChars="200"/>
        <w:rPr>
          <w:rFonts w:hint="eastAsia" w:ascii="宋体" w:hAnsi="宋体" w:cs="TimesNewRomanPSMT"/>
          <w:color w:val="auto"/>
          <w:kern w:val="0"/>
          <w:szCs w:val="21"/>
          <w:highlight w:val="none"/>
        </w:rPr>
      </w:pPr>
      <w:bookmarkStart w:id="196" w:name="_Toc21159"/>
      <w:bookmarkStart w:id="197" w:name="_Toc374983552"/>
      <w:bookmarkStart w:id="198" w:name="_Toc3035"/>
      <w:bookmarkStart w:id="199" w:name="_Toc379917832"/>
      <w:bookmarkStart w:id="200" w:name="_Toc379917681"/>
      <w:r>
        <w:rPr>
          <w:rFonts w:hint="eastAsia" w:ascii="宋体" w:hAnsi="宋体" w:cs="TimesNewRomanPSMT"/>
          <w:color w:val="auto"/>
          <w:kern w:val="0"/>
          <w:szCs w:val="21"/>
          <w:highlight w:val="none"/>
        </w:rPr>
        <w:t>（8）  投标报价高于招标人招标控制价的。</w:t>
      </w:r>
      <w:bookmarkEnd w:id="196"/>
      <w:bookmarkEnd w:id="197"/>
      <w:bookmarkEnd w:id="198"/>
      <w:bookmarkEnd w:id="199"/>
      <w:bookmarkEnd w:id="200"/>
    </w:p>
    <w:p w14:paraId="78C04017">
      <w:pPr>
        <w:pStyle w:val="24"/>
        <w:spacing w:line="360" w:lineRule="auto"/>
        <w:jc w:val="left"/>
        <w:rPr>
          <w:rFonts w:ascii="宋体" w:eastAsia="宋体" w:cs="TimesNewRomanPSMT"/>
          <w:color w:val="auto"/>
          <w:sz w:val="21"/>
          <w:szCs w:val="21"/>
          <w:highlight w:val="none"/>
        </w:rPr>
      </w:pPr>
      <w:bookmarkStart w:id="201" w:name="_Toc14996"/>
      <w:bookmarkStart w:id="202" w:name="_Toc7043"/>
      <w:bookmarkStart w:id="203" w:name="_Toc25662"/>
      <w:bookmarkStart w:id="204" w:name="_Toc8684"/>
      <w:bookmarkStart w:id="205" w:name="_Toc402979492"/>
      <w:r>
        <w:rPr>
          <w:rFonts w:hint="eastAsia" w:ascii="宋体" w:eastAsia="宋体" w:cs="TimesNewRomanPSMT"/>
          <w:color w:val="auto"/>
          <w:sz w:val="21"/>
          <w:szCs w:val="21"/>
          <w:highlight w:val="none"/>
        </w:rPr>
        <w:t>4</w:t>
      </w:r>
      <w:bookmarkEnd w:id="162"/>
      <w:bookmarkEnd w:id="163"/>
      <w:r>
        <w:rPr>
          <w:rFonts w:hint="eastAsia" w:ascii="宋体" w:eastAsia="宋体" w:cs="TimesNewRomanPSMT"/>
          <w:color w:val="auto"/>
          <w:sz w:val="21"/>
          <w:szCs w:val="21"/>
          <w:highlight w:val="none"/>
        </w:rPr>
        <w:t xml:space="preserve">  开标</w:t>
      </w:r>
      <w:bookmarkEnd w:id="164"/>
      <w:bookmarkEnd w:id="165"/>
      <w:bookmarkEnd w:id="201"/>
      <w:bookmarkEnd w:id="202"/>
      <w:bookmarkEnd w:id="203"/>
      <w:bookmarkEnd w:id="204"/>
      <w:bookmarkEnd w:id="205"/>
    </w:p>
    <w:p w14:paraId="0267AD77">
      <w:pPr>
        <w:autoSpaceDE w:val="0"/>
        <w:autoSpaceDN w:val="0"/>
        <w:adjustRightInd w:val="0"/>
        <w:spacing w:line="360" w:lineRule="auto"/>
        <w:jc w:val="left"/>
        <w:rPr>
          <w:rFonts w:ascii="宋体" w:cs="TimesNewRomanPSMT"/>
          <w:color w:val="auto"/>
          <w:kern w:val="0"/>
          <w:szCs w:val="21"/>
          <w:highlight w:val="none"/>
        </w:rPr>
      </w:pPr>
      <w:r>
        <w:rPr>
          <w:rFonts w:hint="eastAsia" w:ascii="宋体" w:hAnsi="宋体" w:cs="TimesNewRomanPSMT"/>
          <w:color w:val="auto"/>
          <w:kern w:val="0"/>
          <w:szCs w:val="21"/>
          <w:highlight w:val="none"/>
        </w:rPr>
        <w:t>4.1 开标时间和地点</w:t>
      </w:r>
    </w:p>
    <w:p w14:paraId="5E76727D">
      <w:pPr>
        <w:autoSpaceDE w:val="0"/>
        <w:autoSpaceDN w:val="0"/>
        <w:adjustRightInd w:val="0"/>
        <w:spacing w:line="360" w:lineRule="auto"/>
        <w:ind w:firstLine="420" w:firstLineChars="200"/>
        <w:jc w:val="left"/>
        <w:rPr>
          <w:rFonts w:ascii="宋体" w:cs="TimesNewRomanPSMT"/>
          <w:color w:val="auto"/>
          <w:kern w:val="0"/>
          <w:szCs w:val="21"/>
          <w:highlight w:val="none"/>
        </w:rPr>
      </w:pPr>
      <w:r>
        <w:rPr>
          <w:rFonts w:hint="eastAsia" w:ascii="宋体" w:hAnsi="宋体" w:cs="TimesNewRomanPSMT"/>
          <w:color w:val="auto"/>
          <w:kern w:val="0"/>
          <w:szCs w:val="21"/>
          <w:highlight w:val="none"/>
        </w:rPr>
        <w:t>招标人在投标人须知前附表中规定的开标时间、地点开标，</w:t>
      </w:r>
      <w:r>
        <w:rPr>
          <w:rFonts w:hint="eastAsia" w:ascii="宋体" w:hAnsi="宋体" w:cs="TimesNewRomanPSMT"/>
          <w:b/>
          <w:color w:val="auto"/>
          <w:kern w:val="0"/>
          <w:szCs w:val="21"/>
          <w:highlight w:val="none"/>
        </w:rPr>
        <w:t>所有投标人须准时参加并按照程序要求解密投标文件</w:t>
      </w:r>
      <w:r>
        <w:rPr>
          <w:rFonts w:hint="eastAsia" w:ascii="宋体" w:hAnsi="宋体" w:cs="TimesNewRomanPSMT"/>
          <w:color w:val="auto"/>
          <w:kern w:val="0"/>
          <w:szCs w:val="21"/>
          <w:highlight w:val="none"/>
        </w:rPr>
        <w:t>，否则不予接受其投标文件。</w:t>
      </w:r>
    </w:p>
    <w:p w14:paraId="01131177">
      <w:pPr>
        <w:autoSpaceDE w:val="0"/>
        <w:autoSpaceDN w:val="0"/>
        <w:adjustRightInd w:val="0"/>
        <w:spacing w:line="360" w:lineRule="auto"/>
        <w:jc w:val="left"/>
        <w:rPr>
          <w:rFonts w:ascii="宋体" w:cs="TimesNewRomanPSMT"/>
          <w:color w:val="auto"/>
          <w:kern w:val="0"/>
          <w:szCs w:val="21"/>
          <w:highlight w:val="none"/>
        </w:rPr>
      </w:pPr>
      <w:r>
        <w:rPr>
          <w:rFonts w:hint="eastAsia" w:ascii="宋体" w:hAnsi="宋体" w:cs="TimesNewRomanPSMT"/>
          <w:color w:val="auto"/>
          <w:kern w:val="0"/>
          <w:szCs w:val="21"/>
          <w:highlight w:val="none"/>
        </w:rPr>
        <w:t>4.2 开标程序</w:t>
      </w:r>
    </w:p>
    <w:p w14:paraId="5391A37F">
      <w:pPr>
        <w:spacing w:line="360" w:lineRule="auto"/>
        <w:ind w:firstLine="420"/>
        <w:rPr>
          <w:rFonts w:hint="eastAsia" w:ascii="宋体" w:hAnsi="宋体" w:cs="宋体"/>
          <w:color w:val="auto"/>
          <w:szCs w:val="22"/>
          <w:highlight w:val="none"/>
        </w:rPr>
      </w:pPr>
      <w:bookmarkStart w:id="206" w:name="_Toc5669"/>
      <w:bookmarkStart w:id="207" w:name="_Toc238613292"/>
      <w:bookmarkStart w:id="208" w:name="_Toc3044"/>
      <w:bookmarkStart w:id="209" w:name="_Toc239235319"/>
      <w:bookmarkStart w:id="210" w:name="_Toc257210912"/>
      <w:bookmarkStart w:id="211" w:name="_Toc402979493"/>
      <w:r>
        <w:rPr>
          <w:rFonts w:hint="eastAsia" w:ascii="宋体" w:hAnsi="宋体" w:cs="宋体"/>
          <w:color w:val="auto"/>
          <w:szCs w:val="22"/>
          <w:highlight w:val="none"/>
        </w:rPr>
        <w:t>4.2.1本项目采用“远程不见面”电子开标。到投标截止时间止，各投标人在规定时间内对电子投标文件进行解密。解密完成后各投标人的电子投标文件的实质性内容将自动显示在网页中。投标人在投标截止时间前未上传电子投标文件的将视为放弃投标。（系统解密时长默认为40分钟错过解密时长者视为自动放弃本次投标）。</w:t>
      </w:r>
    </w:p>
    <w:p w14:paraId="153A31DB">
      <w:pPr>
        <w:spacing w:line="360" w:lineRule="auto"/>
        <w:ind w:firstLine="420"/>
        <w:rPr>
          <w:rFonts w:hint="eastAsia" w:ascii="宋体" w:hAnsi="宋体" w:cs="宋体"/>
          <w:color w:val="auto"/>
          <w:szCs w:val="22"/>
          <w:highlight w:val="none"/>
        </w:rPr>
      </w:pPr>
      <w:r>
        <w:rPr>
          <w:rFonts w:hint="eastAsia" w:ascii="宋体" w:hAnsi="宋体" w:cs="宋体"/>
          <w:color w:val="auto"/>
          <w:szCs w:val="22"/>
          <w:highlight w:val="none"/>
        </w:rPr>
        <w:t>4.2.2因投标人原因造成投标文件未解密的，视为撤销其投标文件。部分投标人的投标文件未解密的，其他投标人的投标文件的开标会议可以继续进行。一个标段解密的投标文件不足三家时该标段不再继续进行。</w:t>
      </w:r>
    </w:p>
    <w:p w14:paraId="74976104">
      <w:pPr>
        <w:spacing w:line="360" w:lineRule="auto"/>
        <w:ind w:firstLine="420"/>
        <w:rPr>
          <w:rFonts w:hint="eastAsia" w:ascii="宋体" w:hAnsi="宋体" w:cs="宋体"/>
          <w:color w:val="auto"/>
          <w:szCs w:val="22"/>
          <w:highlight w:val="none"/>
        </w:rPr>
      </w:pPr>
      <w:r>
        <w:rPr>
          <w:rFonts w:hint="eastAsia" w:ascii="宋体" w:hAnsi="宋体" w:cs="宋体"/>
          <w:color w:val="auto"/>
          <w:szCs w:val="22"/>
          <w:highlight w:val="none"/>
        </w:rPr>
        <w:t>4.2.3开标会议结束，各投标人可在开标会议过程中至开标会议结束后5分钟之内对开标会议开标过程涉及内容提出质疑，否则视为对开标过程涉及内容会议无异议。</w:t>
      </w:r>
    </w:p>
    <w:p w14:paraId="6E71DB13">
      <w:pPr>
        <w:spacing w:line="360" w:lineRule="auto"/>
        <w:ind w:firstLine="420"/>
        <w:rPr>
          <w:rFonts w:hint="eastAsia" w:ascii="宋体" w:hAnsi="宋体" w:cs="宋体"/>
          <w:color w:val="auto"/>
          <w:szCs w:val="22"/>
          <w:highlight w:val="none"/>
        </w:rPr>
      </w:pPr>
      <w:r>
        <w:rPr>
          <w:rFonts w:hint="eastAsia" w:ascii="宋体" w:hAnsi="宋体" w:cs="宋体"/>
          <w:color w:val="auto"/>
          <w:szCs w:val="22"/>
          <w:highlight w:val="none"/>
        </w:rPr>
        <w:t>4.2.4各投标人从参与项目开始至结束，应时刻关注电子交易系统中的项目进度和状态，留意变更公告等内容，特别是项目开标后，评审小组向投标人提出的澄清要求、报价要求等，投标人应自系统发出30分钟（另有约定的从其约定）内回复。错过重要信息或超过30分钟回复者，投标人自行承担责任。</w:t>
      </w:r>
    </w:p>
    <w:p w14:paraId="20EE553A">
      <w:pPr>
        <w:spacing w:line="360" w:lineRule="auto"/>
        <w:ind w:firstLine="420"/>
        <w:rPr>
          <w:rFonts w:hint="eastAsia" w:ascii="宋体" w:hAnsi="宋体" w:cs="宋体"/>
          <w:color w:val="auto"/>
          <w:szCs w:val="22"/>
          <w:highlight w:val="none"/>
        </w:rPr>
      </w:pPr>
      <w:r>
        <w:rPr>
          <w:rFonts w:hint="eastAsia" w:ascii="宋体" w:hAnsi="宋体" w:cs="宋体"/>
          <w:color w:val="auto"/>
          <w:szCs w:val="22"/>
          <w:highlight w:val="none"/>
        </w:rPr>
        <w:t>4.2.5相关不见面操作流程详见“开封市公共资源交易中心-重要通知”。</w:t>
      </w:r>
    </w:p>
    <w:p w14:paraId="72484625">
      <w:pPr>
        <w:pStyle w:val="37"/>
        <w:spacing w:line="360" w:lineRule="auto"/>
        <w:outlineLvl w:val="1"/>
        <w:rPr>
          <w:rFonts w:hint="eastAsia" w:hAnsi="宋体" w:cs="TimesNewRomanPSMT"/>
          <w:b/>
          <w:color w:val="auto"/>
          <w:sz w:val="21"/>
          <w:szCs w:val="21"/>
          <w:highlight w:val="none"/>
        </w:rPr>
      </w:pPr>
      <w:bookmarkStart w:id="212" w:name="_Toc19501"/>
      <w:r>
        <w:rPr>
          <w:rFonts w:hint="eastAsia" w:hAnsi="宋体" w:cs="TimesNewRomanPSMT"/>
          <w:b/>
          <w:color w:val="auto"/>
          <w:sz w:val="21"/>
          <w:szCs w:val="21"/>
          <w:highlight w:val="none"/>
        </w:rPr>
        <w:t>5  评标</w:t>
      </w:r>
      <w:bookmarkEnd w:id="206"/>
      <w:bookmarkEnd w:id="207"/>
      <w:bookmarkEnd w:id="208"/>
      <w:bookmarkEnd w:id="209"/>
      <w:bookmarkEnd w:id="210"/>
      <w:bookmarkEnd w:id="211"/>
      <w:bookmarkEnd w:id="212"/>
    </w:p>
    <w:p w14:paraId="59B7DC7F">
      <w:pPr>
        <w:autoSpaceDE w:val="0"/>
        <w:autoSpaceDN w:val="0"/>
        <w:adjustRightInd w:val="0"/>
        <w:spacing w:line="360" w:lineRule="auto"/>
        <w:jc w:val="left"/>
        <w:rPr>
          <w:rFonts w:ascii="宋体" w:cs="TimesNewRomanPSMT"/>
          <w:color w:val="auto"/>
          <w:kern w:val="0"/>
          <w:szCs w:val="21"/>
          <w:highlight w:val="none"/>
        </w:rPr>
      </w:pPr>
      <w:r>
        <w:rPr>
          <w:rFonts w:hint="eastAsia" w:ascii="宋体" w:hAnsi="宋体" w:cs="TimesNewRomanPSMT"/>
          <w:color w:val="auto"/>
          <w:kern w:val="0"/>
          <w:szCs w:val="21"/>
          <w:highlight w:val="none"/>
        </w:rPr>
        <w:t>5.1 评标委员会</w:t>
      </w:r>
    </w:p>
    <w:p w14:paraId="7D92D311">
      <w:pPr>
        <w:autoSpaceDE w:val="0"/>
        <w:autoSpaceDN w:val="0"/>
        <w:adjustRightInd w:val="0"/>
        <w:spacing w:line="360" w:lineRule="auto"/>
        <w:ind w:firstLine="420" w:firstLineChars="200"/>
        <w:jc w:val="left"/>
        <w:rPr>
          <w:rFonts w:ascii="宋体" w:cs="??_GB2312"/>
          <w:color w:val="auto"/>
          <w:kern w:val="0"/>
          <w:szCs w:val="21"/>
          <w:highlight w:val="none"/>
        </w:rPr>
      </w:pPr>
      <w:r>
        <w:rPr>
          <w:rFonts w:hint="eastAsia" w:ascii="宋体" w:hAnsi="宋体" w:cs="TimesNewRomanPSMT"/>
          <w:color w:val="auto"/>
          <w:kern w:val="0"/>
          <w:szCs w:val="21"/>
          <w:highlight w:val="none"/>
        </w:rPr>
        <w:t>5.1.1 评标由招标人依法组建的评标委员会负责。评标委员会由招标人代表以及有关技术、经济等方面的专家组成。评标委员会成员人数以及技术、经济等方面专家的确定方式见投标人须知</w:t>
      </w:r>
      <w:r>
        <w:rPr>
          <w:rFonts w:hint="eastAsia" w:ascii="宋体" w:hAnsi="宋体" w:cs="??_GB2312"/>
          <w:color w:val="auto"/>
          <w:kern w:val="0"/>
          <w:szCs w:val="21"/>
          <w:highlight w:val="none"/>
        </w:rPr>
        <w:t>前附表。</w:t>
      </w:r>
    </w:p>
    <w:p w14:paraId="04B838B4">
      <w:pPr>
        <w:autoSpaceDE w:val="0"/>
        <w:autoSpaceDN w:val="0"/>
        <w:adjustRightInd w:val="0"/>
        <w:spacing w:line="360" w:lineRule="auto"/>
        <w:ind w:firstLine="420" w:firstLineChars="200"/>
        <w:jc w:val="left"/>
        <w:rPr>
          <w:rFonts w:ascii="宋体" w:cs="??_GB2312"/>
          <w:color w:val="auto"/>
          <w:kern w:val="0"/>
          <w:szCs w:val="21"/>
          <w:highlight w:val="none"/>
        </w:rPr>
      </w:pPr>
      <w:r>
        <w:rPr>
          <w:rFonts w:hint="eastAsia" w:ascii="宋体" w:hAnsi="宋体" w:cs="TimesNewRomanPSMT"/>
          <w:color w:val="auto"/>
          <w:kern w:val="0"/>
          <w:szCs w:val="21"/>
          <w:highlight w:val="none"/>
        </w:rPr>
        <w:t xml:space="preserve">5.1.2 </w:t>
      </w:r>
      <w:r>
        <w:rPr>
          <w:rFonts w:hint="eastAsia" w:ascii="宋体" w:hAnsi="宋体" w:cs="??_GB2312"/>
          <w:color w:val="auto"/>
          <w:kern w:val="0"/>
          <w:szCs w:val="21"/>
          <w:highlight w:val="none"/>
        </w:rPr>
        <w:t>评标委员会成员有下列情形之一的，应当回避：</w:t>
      </w:r>
    </w:p>
    <w:p w14:paraId="2A63F8E1">
      <w:pPr>
        <w:autoSpaceDE w:val="0"/>
        <w:autoSpaceDN w:val="0"/>
        <w:adjustRightInd w:val="0"/>
        <w:spacing w:line="360" w:lineRule="auto"/>
        <w:ind w:firstLine="987" w:firstLineChars="470"/>
        <w:jc w:val="left"/>
        <w:rPr>
          <w:rFonts w:ascii="宋体" w:cs="??_GB2312"/>
          <w:color w:val="auto"/>
          <w:kern w:val="0"/>
          <w:szCs w:val="21"/>
          <w:highlight w:val="none"/>
        </w:rPr>
      </w:pPr>
      <w:r>
        <w:rPr>
          <w:rFonts w:hint="eastAsia" w:ascii="宋体" w:hAnsi="宋体" w:cs="??_GB2312"/>
          <w:color w:val="auto"/>
          <w:kern w:val="0"/>
          <w:szCs w:val="21"/>
          <w:highlight w:val="none"/>
        </w:rPr>
        <w:t>（</w:t>
      </w:r>
      <w:r>
        <w:rPr>
          <w:rFonts w:hint="eastAsia" w:ascii="宋体" w:hAnsi="宋体" w:cs="TimesNewRomanPSMT"/>
          <w:color w:val="auto"/>
          <w:kern w:val="0"/>
          <w:szCs w:val="21"/>
          <w:highlight w:val="none"/>
        </w:rPr>
        <w:t>1</w:t>
      </w:r>
      <w:r>
        <w:rPr>
          <w:rFonts w:hint="eastAsia" w:ascii="宋体" w:hAnsi="宋体" w:cs="??_GB2312"/>
          <w:color w:val="auto"/>
          <w:kern w:val="0"/>
          <w:szCs w:val="21"/>
          <w:highlight w:val="none"/>
        </w:rPr>
        <w:t>）招标人或投标人的主要负责人的近亲属；</w:t>
      </w:r>
    </w:p>
    <w:p w14:paraId="584F9F03">
      <w:pPr>
        <w:autoSpaceDE w:val="0"/>
        <w:autoSpaceDN w:val="0"/>
        <w:adjustRightInd w:val="0"/>
        <w:spacing w:line="360" w:lineRule="auto"/>
        <w:ind w:firstLine="987" w:firstLineChars="470"/>
        <w:jc w:val="left"/>
        <w:rPr>
          <w:rFonts w:ascii="宋体" w:cs="??_GB2312"/>
          <w:color w:val="auto"/>
          <w:kern w:val="0"/>
          <w:szCs w:val="21"/>
          <w:highlight w:val="none"/>
        </w:rPr>
      </w:pPr>
      <w:r>
        <w:rPr>
          <w:rFonts w:hint="eastAsia" w:ascii="宋体" w:hAnsi="宋体" w:cs="??_GB2312"/>
          <w:color w:val="auto"/>
          <w:kern w:val="0"/>
          <w:szCs w:val="21"/>
          <w:highlight w:val="none"/>
        </w:rPr>
        <w:t>（</w:t>
      </w:r>
      <w:r>
        <w:rPr>
          <w:rFonts w:hint="eastAsia" w:ascii="宋体" w:hAnsi="宋体" w:cs="TimesNewRomanPSMT"/>
          <w:color w:val="auto"/>
          <w:kern w:val="0"/>
          <w:szCs w:val="21"/>
          <w:highlight w:val="none"/>
        </w:rPr>
        <w:t>2</w:t>
      </w:r>
      <w:r>
        <w:rPr>
          <w:rFonts w:hint="eastAsia" w:ascii="宋体" w:hAnsi="宋体" w:cs="??_GB2312"/>
          <w:color w:val="auto"/>
          <w:kern w:val="0"/>
          <w:szCs w:val="21"/>
          <w:highlight w:val="none"/>
        </w:rPr>
        <w:t>）项目主管部门或者行政监督部门的人员；</w:t>
      </w:r>
    </w:p>
    <w:p w14:paraId="019416AD">
      <w:pPr>
        <w:autoSpaceDE w:val="0"/>
        <w:autoSpaceDN w:val="0"/>
        <w:adjustRightInd w:val="0"/>
        <w:spacing w:line="360" w:lineRule="auto"/>
        <w:ind w:firstLine="987" w:firstLineChars="470"/>
        <w:jc w:val="left"/>
        <w:rPr>
          <w:rFonts w:ascii="宋体" w:cs="??_GB2312"/>
          <w:color w:val="auto"/>
          <w:kern w:val="0"/>
          <w:szCs w:val="21"/>
          <w:highlight w:val="none"/>
        </w:rPr>
      </w:pPr>
      <w:r>
        <w:rPr>
          <w:rFonts w:hint="eastAsia" w:ascii="宋体" w:hAnsi="宋体" w:cs="??_GB2312"/>
          <w:color w:val="auto"/>
          <w:kern w:val="0"/>
          <w:szCs w:val="21"/>
          <w:highlight w:val="none"/>
        </w:rPr>
        <w:t>（</w:t>
      </w:r>
      <w:r>
        <w:rPr>
          <w:rFonts w:hint="eastAsia" w:ascii="宋体" w:hAnsi="宋体" w:cs="TimesNewRomanPSMT"/>
          <w:color w:val="auto"/>
          <w:kern w:val="0"/>
          <w:szCs w:val="21"/>
          <w:highlight w:val="none"/>
        </w:rPr>
        <w:t>3</w:t>
      </w:r>
      <w:r>
        <w:rPr>
          <w:rFonts w:hint="eastAsia" w:ascii="宋体" w:hAnsi="宋体" w:cs="??_GB2312"/>
          <w:color w:val="auto"/>
          <w:kern w:val="0"/>
          <w:szCs w:val="21"/>
          <w:highlight w:val="none"/>
        </w:rPr>
        <w:t>）与投标人有经济利益关系，可能影响对投标公正评审的；</w:t>
      </w:r>
    </w:p>
    <w:p w14:paraId="2936A37F">
      <w:pPr>
        <w:autoSpaceDE w:val="0"/>
        <w:autoSpaceDN w:val="0"/>
        <w:adjustRightInd w:val="0"/>
        <w:spacing w:line="360" w:lineRule="auto"/>
        <w:ind w:left="1081" w:leftChars="465" w:hanging="105" w:hangingChars="50"/>
        <w:jc w:val="left"/>
        <w:rPr>
          <w:rFonts w:ascii="宋体" w:cs="??_GB2312"/>
          <w:color w:val="auto"/>
          <w:kern w:val="0"/>
          <w:szCs w:val="21"/>
          <w:highlight w:val="none"/>
        </w:rPr>
      </w:pPr>
      <w:r>
        <w:rPr>
          <w:rFonts w:hint="eastAsia" w:ascii="宋体" w:hAnsi="宋体" w:cs="??_GB2312"/>
          <w:color w:val="auto"/>
          <w:kern w:val="0"/>
          <w:szCs w:val="21"/>
          <w:highlight w:val="none"/>
        </w:rPr>
        <w:t>（</w:t>
      </w:r>
      <w:r>
        <w:rPr>
          <w:rFonts w:hint="eastAsia" w:ascii="宋体" w:hAnsi="宋体" w:cs="TimesNewRomanPSMT"/>
          <w:color w:val="auto"/>
          <w:kern w:val="0"/>
          <w:szCs w:val="21"/>
          <w:highlight w:val="none"/>
        </w:rPr>
        <w:t>4</w:t>
      </w:r>
      <w:r>
        <w:rPr>
          <w:rFonts w:hint="eastAsia" w:ascii="宋体" w:hAnsi="宋体" w:cs="??_GB2312"/>
          <w:color w:val="auto"/>
          <w:kern w:val="0"/>
          <w:szCs w:val="21"/>
          <w:highlight w:val="none"/>
        </w:rPr>
        <w:t>）曾因在招标、评标以及其他与招标投标有关活动中从事违法行为而受过行政处罚或刑事处罚的。</w:t>
      </w:r>
    </w:p>
    <w:p w14:paraId="302AFEE7">
      <w:pPr>
        <w:autoSpaceDE w:val="0"/>
        <w:autoSpaceDN w:val="0"/>
        <w:adjustRightInd w:val="0"/>
        <w:spacing w:line="360" w:lineRule="auto"/>
        <w:jc w:val="left"/>
        <w:rPr>
          <w:rFonts w:ascii="宋体" w:cs="??_GB2312"/>
          <w:color w:val="auto"/>
          <w:kern w:val="0"/>
          <w:szCs w:val="21"/>
          <w:highlight w:val="none"/>
        </w:rPr>
      </w:pPr>
      <w:r>
        <w:rPr>
          <w:rFonts w:hint="eastAsia" w:ascii="宋体" w:hAnsi="宋体" w:cs="??_GB2312"/>
          <w:color w:val="auto"/>
          <w:kern w:val="0"/>
          <w:szCs w:val="21"/>
          <w:highlight w:val="none"/>
        </w:rPr>
        <w:t>5.2 评标原则</w:t>
      </w:r>
    </w:p>
    <w:p w14:paraId="7C81B8FF">
      <w:pPr>
        <w:autoSpaceDE w:val="0"/>
        <w:autoSpaceDN w:val="0"/>
        <w:adjustRightInd w:val="0"/>
        <w:spacing w:line="360" w:lineRule="auto"/>
        <w:ind w:firstLine="420" w:firstLineChars="200"/>
        <w:jc w:val="left"/>
        <w:rPr>
          <w:rFonts w:ascii="宋体" w:cs="??_GB2312"/>
          <w:color w:val="auto"/>
          <w:kern w:val="0"/>
          <w:szCs w:val="21"/>
          <w:highlight w:val="none"/>
        </w:rPr>
      </w:pPr>
      <w:r>
        <w:rPr>
          <w:rFonts w:hint="eastAsia" w:ascii="宋体" w:hAnsi="宋体" w:cs="??_GB2312"/>
          <w:color w:val="auto"/>
          <w:kern w:val="0"/>
          <w:szCs w:val="21"/>
          <w:highlight w:val="none"/>
        </w:rPr>
        <w:t>评标活动遵循公平、公正、科学和择优的原则。</w:t>
      </w:r>
    </w:p>
    <w:p w14:paraId="17A3055D">
      <w:pPr>
        <w:autoSpaceDE w:val="0"/>
        <w:autoSpaceDN w:val="0"/>
        <w:adjustRightInd w:val="0"/>
        <w:spacing w:line="360" w:lineRule="auto"/>
        <w:jc w:val="left"/>
        <w:rPr>
          <w:rFonts w:ascii="宋体" w:cs="??_GB2312"/>
          <w:color w:val="auto"/>
          <w:kern w:val="0"/>
          <w:szCs w:val="21"/>
          <w:highlight w:val="none"/>
        </w:rPr>
      </w:pPr>
      <w:r>
        <w:rPr>
          <w:rFonts w:hint="eastAsia" w:ascii="宋体" w:hAnsi="宋体" w:cs="??_GB2312"/>
          <w:color w:val="auto"/>
          <w:kern w:val="0"/>
          <w:szCs w:val="21"/>
          <w:highlight w:val="none"/>
        </w:rPr>
        <w:t>5.3 评标</w:t>
      </w:r>
    </w:p>
    <w:p w14:paraId="6411803F">
      <w:pPr>
        <w:autoSpaceDE w:val="0"/>
        <w:autoSpaceDN w:val="0"/>
        <w:adjustRightInd w:val="0"/>
        <w:spacing w:line="360" w:lineRule="auto"/>
        <w:ind w:firstLine="420" w:firstLineChars="200"/>
        <w:jc w:val="left"/>
        <w:rPr>
          <w:rFonts w:ascii="宋体" w:cs="??_GB2312"/>
          <w:color w:val="auto"/>
          <w:kern w:val="0"/>
          <w:szCs w:val="21"/>
          <w:highlight w:val="none"/>
        </w:rPr>
      </w:pPr>
      <w:r>
        <w:rPr>
          <w:rFonts w:hint="eastAsia" w:ascii="宋体" w:hAnsi="宋体" w:cs="??_GB2312"/>
          <w:color w:val="auto"/>
          <w:kern w:val="0"/>
          <w:szCs w:val="21"/>
          <w:highlight w:val="none"/>
        </w:rPr>
        <w:t>评标委员会按照第四章“评标办法”规定的方法、评审因素、标准和程序对投标文件进行评审。第四章“评标办法”没有规定的方法、评审因素和标准，不作为评标依据。</w:t>
      </w:r>
    </w:p>
    <w:p w14:paraId="0E71EB53">
      <w:pPr>
        <w:pStyle w:val="37"/>
        <w:spacing w:line="360" w:lineRule="auto"/>
        <w:outlineLvl w:val="1"/>
        <w:rPr>
          <w:rFonts w:hint="eastAsia" w:hAnsi="宋体" w:cs="??_GB2312"/>
          <w:b/>
          <w:color w:val="auto"/>
          <w:sz w:val="21"/>
          <w:szCs w:val="21"/>
          <w:highlight w:val="none"/>
        </w:rPr>
      </w:pPr>
      <w:bookmarkStart w:id="213" w:name="_Toc17622"/>
      <w:bookmarkStart w:id="214" w:name="_Toc30366"/>
      <w:bookmarkStart w:id="215" w:name="_Toc238613293"/>
      <w:bookmarkStart w:id="216" w:name="_Toc26206"/>
      <w:bookmarkStart w:id="217" w:name="_Toc402979494"/>
      <w:bookmarkStart w:id="218" w:name="_Toc257210913"/>
      <w:bookmarkStart w:id="219" w:name="_Toc239235320"/>
      <w:r>
        <w:rPr>
          <w:rFonts w:hint="eastAsia" w:hAnsi="宋体" w:cs="??_GB2312"/>
          <w:b/>
          <w:color w:val="auto"/>
          <w:sz w:val="21"/>
          <w:szCs w:val="21"/>
          <w:highlight w:val="none"/>
        </w:rPr>
        <w:t>6  合同授予</w:t>
      </w:r>
      <w:bookmarkEnd w:id="213"/>
      <w:bookmarkEnd w:id="214"/>
      <w:bookmarkEnd w:id="215"/>
      <w:bookmarkEnd w:id="216"/>
      <w:bookmarkEnd w:id="217"/>
      <w:bookmarkEnd w:id="218"/>
      <w:bookmarkEnd w:id="219"/>
    </w:p>
    <w:p w14:paraId="435D7AFC">
      <w:pPr>
        <w:autoSpaceDE w:val="0"/>
        <w:autoSpaceDN w:val="0"/>
        <w:adjustRightInd w:val="0"/>
        <w:spacing w:line="360" w:lineRule="auto"/>
        <w:jc w:val="left"/>
        <w:rPr>
          <w:rFonts w:ascii="宋体" w:cs="??_GB2312"/>
          <w:color w:val="auto"/>
          <w:kern w:val="0"/>
          <w:szCs w:val="21"/>
          <w:highlight w:val="none"/>
        </w:rPr>
      </w:pPr>
      <w:r>
        <w:rPr>
          <w:rFonts w:hint="eastAsia" w:ascii="宋体" w:hAnsi="宋体" w:cs="??_GB2312"/>
          <w:color w:val="auto"/>
          <w:kern w:val="0"/>
          <w:szCs w:val="21"/>
          <w:highlight w:val="none"/>
        </w:rPr>
        <w:t>6.1 定标方式</w:t>
      </w:r>
    </w:p>
    <w:p w14:paraId="7443F959">
      <w:pPr>
        <w:autoSpaceDE w:val="0"/>
        <w:autoSpaceDN w:val="0"/>
        <w:adjustRightInd w:val="0"/>
        <w:spacing w:line="360" w:lineRule="auto"/>
        <w:ind w:firstLine="420" w:firstLineChars="200"/>
        <w:jc w:val="left"/>
        <w:rPr>
          <w:rFonts w:ascii="宋体" w:cs="??_GB2312"/>
          <w:color w:val="auto"/>
          <w:kern w:val="0"/>
          <w:szCs w:val="21"/>
          <w:highlight w:val="none"/>
        </w:rPr>
      </w:pPr>
      <w:r>
        <w:rPr>
          <w:rFonts w:hint="eastAsia" w:ascii="宋体" w:hAnsi="宋体" w:cs="??_GB2312"/>
          <w:color w:val="auto"/>
          <w:kern w:val="0"/>
          <w:szCs w:val="21"/>
          <w:highlight w:val="none"/>
        </w:rPr>
        <w:t>6.1.1招标人依据评标委员会推荐的中标候选人确定中标人，评标委员会推荐中标候选人的人数见投标人须知前附表。</w:t>
      </w:r>
      <w:r>
        <w:rPr>
          <w:rFonts w:ascii="宋体" w:hAnsi="宋体" w:cs="??_GB2312"/>
          <w:color w:val="auto"/>
          <w:kern w:val="0"/>
          <w:szCs w:val="21"/>
          <w:highlight w:val="none"/>
        </w:rPr>
        <w:t>排名第一的中标候选人</w:t>
      </w:r>
      <w:r>
        <w:rPr>
          <w:rFonts w:hint="eastAsia" w:ascii="宋体" w:hAnsi="宋体" w:cs="??_GB2312"/>
          <w:color w:val="auto"/>
          <w:kern w:val="0"/>
          <w:szCs w:val="21"/>
          <w:highlight w:val="none"/>
        </w:rPr>
        <w:t>因不可抗力或者自身原因不能履行政府采购合同的</w:t>
      </w:r>
      <w:r>
        <w:rPr>
          <w:rFonts w:ascii="宋体" w:hAnsi="宋体" w:cs="??_GB2312"/>
          <w:color w:val="auto"/>
          <w:kern w:val="0"/>
          <w:szCs w:val="21"/>
          <w:highlight w:val="none"/>
        </w:rPr>
        <w:t>，招标人可以确定排名第二的中标候选人为中标人</w:t>
      </w:r>
      <w:r>
        <w:rPr>
          <w:rFonts w:hint="eastAsia" w:ascii="宋体" w:hAnsi="宋体" w:cs="??_GB2312"/>
          <w:color w:val="auto"/>
          <w:kern w:val="0"/>
          <w:szCs w:val="21"/>
          <w:highlight w:val="none"/>
        </w:rPr>
        <w:t>。也可重新招标。</w:t>
      </w:r>
    </w:p>
    <w:p w14:paraId="6EC1C96F">
      <w:pPr>
        <w:autoSpaceDE w:val="0"/>
        <w:autoSpaceDN w:val="0"/>
        <w:adjustRightInd w:val="0"/>
        <w:spacing w:line="360" w:lineRule="auto"/>
        <w:jc w:val="left"/>
        <w:rPr>
          <w:rFonts w:ascii="宋体" w:cs="??_GB2312"/>
          <w:color w:val="auto"/>
          <w:kern w:val="0"/>
          <w:szCs w:val="21"/>
          <w:highlight w:val="none"/>
        </w:rPr>
      </w:pPr>
      <w:r>
        <w:rPr>
          <w:rFonts w:hint="eastAsia" w:ascii="宋体" w:hAnsi="宋体" w:cs="??_GB2312"/>
          <w:color w:val="auto"/>
          <w:kern w:val="0"/>
          <w:szCs w:val="21"/>
          <w:highlight w:val="none"/>
        </w:rPr>
        <w:t>6.2 中标通知</w:t>
      </w:r>
    </w:p>
    <w:p w14:paraId="1B599C24">
      <w:pPr>
        <w:autoSpaceDE w:val="0"/>
        <w:autoSpaceDN w:val="0"/>
        <w:adjustRightInd w:val="0"/>
        <w:spacing w:line="360" w:lineRule="auto"/>
        <w:ind w:firstLine="420" w:firstLineChars="200"/>
        <w:jc w:val="left"/>
        <w:rPr>
          <w:rFonts w:ascii="宋体" w:cs="??_GB2312"/>
          <w:color w:val="auto"/>
          <w:kern w:val="0"/>
          <w:szCs w:val="21"/>
          <w:highlight w:val="none"/>
        </w:rPr>
      </w:pPr>
      <w:r>
        <w:rPr>
          <w:rFonts w:hint="eastAsia" w:ascii="宋体" w:hAnsi="宋体" w:cs="??_GB2312"/>
          <w:color w:val="auto"/>
          <w:kern w:val="0"/>
          <w:szCs w:val="21"/>
          <w:highlight w:val="none"/>
        </w:rPr>
        <w:t>在投标人须知前附表中规定的投标有效期内，招标人以书面形式向中标投标人发出中标通知书。</w:t>
      </w:r>
    </w:p>
    <w:p w14:paraId="57C7CB72">
      <w:pPr>
        <w:autoSpaceDE w:val="0"/>
        <w:autoSpaceDN w:val="0"/>
        <w:adjustRightInd w:val="0"/>
        <w:spacing w:line="360" w:lineRule="auto"/>
        <w:jc w:val="left"/>
        <w:rPr>
          <w:rFonts w:ascii="宋体" w:cs="??_GB2312"/>
          <w:color w:val="auto"/>
          <w:kern w:val="0"/>
          <w:szCs w:val="21"/>
          <w:highlight w:val="none"/>
        </w:rPr>
      </w:pPr>
      <w:r>
        <w:rPr>
          <w:rFonts w:hint="eastAsia" w:ascii="宋体" w:hAnsi="宋体" w:cs="??_GB2312"/>
          <w:color w:val="auto"/>
          <w:kern w:val="0"/>
          <w:szCs w:val="21"/>
          <w:highlight w:val="none"/>
        </w:rPr>
        <w:t>6.3 签订合同</w:t>
      </w:r>
    </w:p>
    <w:p w14:paraId="26D4C15D">
      <w:pPr>
        <w:autoSpaceDE w:val="0"/>
        <w:autoSpaceDN w:val="0"/>
        <w:adjustRightInd w:val="0"/>
        <w:spacing w:line="360" w:lineRule="auto"/>
        <w:ind w:firstLine="420" w:firstLineChars="200"/>
        <w:jc w:val="left"/>
        <w:rPr>
          <w:rFonts w:ascii="宋体" w:cs="??_GB2312"/>
          <w:color w:val="auto"/>
          <w:kern w:val="0"/>
          <w:szCs w:val="21"/>
          <w:highlight w:val="none"/>
        </w:rPr>
      </w:pPr>
      <w:r>
        <w:rPr>
          <w:rFonts w:hint="eastAsia" w:ascii="宋体" w:hAnsi="宋体" w:cs="??_GB2312"/>
          <w:color w:val="auto"/>
          <w:kern w:val="0"/>
          <w:szCs w:val="21"/>
          <w:highlight w:val="none"/>
        </w:rPr>
        <w:t>6.3.1 招标人和中标投标人应当在中标通知书指定的时间内，根据招标文件和中标投标人的投标文件订立书面合同。中标投标人无正当理由拒签合同的，招标人取消其中标资格；给招标人造成的损失的，中标投标人还应当予以赔偿。</w:t>
      </w:r>
    </w:p>
    <w:p w14:paraId="4B0AC44F">
      <w:pPr>
        <w:autoSpaceDE w:val="0"/>
        <w:autoSpaceDN w:val="0"/>
        <w:adjustRightInd w:val="0"/>
        <w:spacing w:line="360" w:lineRule="auto"/>
        <w:ind w:firstLine="420" w:firstLineChars="200"/>
        <w:jc w:val="left"/>
        <w:rPr>
          <w:rFonts w:ascii="宋体" w:cs="??_GB2312"/>
          <w:color w:val="auto"/>
          <w:kern w:val="0"/>
          <w:szCs w:val="21"/>
          <w:highlight w:val="none"/>
        </w:rPr>
      </w:pPr>
      <w:r>
        <w:rPr>
          <w:rFonts w:hint="eastAsia" w:ascii="宋体" w:hAnsi="宋体" w:cs="??_GB2312"/>
          <w:color w:val="auto"/>
          <w:kern w:val="0"/>
          <w:szCs w:val="21"/>
          <w:highlight w:val="none"/>
        </w:rPr>
        <w:t>6.3.2 发出中标通知书后，招标人无正当理由拒签合同的；给中标投标人造成损失的，还应当赔偿损失。</w:t>
      </w:r>
    </w:p>
    <w:p w14:paraId="7719D506">
      <w:pPr>
        <w:pStyle w:val="37"/>
        <w:spacing w:line="360" w:lineRule="auto"/>
        <w:outlineLvl w:val="1"/>
        <w:rPr>
          <w:rFonts w:hint="eastAsia" w:hAnsi="宋体" w:cs="??_GB2312"/>
          <w:b/>
          <w:color w:val="auto"/>
          <w:sz w:val="21"/>
          <w:szCs w:val="21"/>
          <w:highlight w:val="none"/>
        </w:rPr>
      </w:pPr>
      <w:bookmarkStart w:id="220" w:name="_Toc257210914"/>
      <w:bookmarkStart w:id="221" w:name="_Toc24090"/>
      <w:bookmarkStart w:id="222" w:name="_Toc239235321"/>
      <w:bookmarkStart w:id="223" w:name="_Toc18509"/>
      <w:bookmarkStart w:id="224" w:name="_Toc402979495"/>
      <w:bookmarkStart w:id="225" w:name="_Toc238613294"/>
      <w:bookmarkStart w:id="226" w:name="_Toc25876"/>
      <w:r>
        <w:rPr>
          <w:rFonts w:hint="eastAsia" w:hAnsi="宋体" w:cs="??_GB2312"/>
          <w:b/>
          <w:color w:val="auto"/>
          <w:sz w:val="21"/>
          <w:szCs w:val="21"/>
          <w:highlight w:val="none"/>
        </w:rPr>
        <w:t>7  重新招标</w:t>
      </w:r>
      <w:bookmarkEnd w:id="220"/>
      <w:bookmarkEnd w:id="221"/>
      <w:bookmarkEnd w:id="222"/>
      <w:bookmarkEnd w:id="223"/>
      <w:bookmarkEnd w:id="224"/>
      <w:bookmarkEnd w:id="225"/>
      <w:bookmarkEnd w:id="226"/>
    </w:p>
    <w:p w14:paraId="350E4E93">
      <w:pPr>
        <w:autoSpaceDE w:val="0"/>
        <w:autoSpaceDN w:val="0"/>
        <w:adjustRightInd w:val="0"/>
        <w:spacing w:line="360" w:lineRule="auto"/>
        <w:jc w:val="left"/>
        <w:rPr>
          <w:rFonts w:ascii="宋体" w:cs="??_GB2312"/>
          <w:color w:val="auto"/>
          <w:kern w:val="0"/>
          <w:szCs w:val="21"/>
          <w:highlight w:val="none"/>
        </w:rPr>
      </w:pPr>
      <w:r>
        <w:rPr>
          <w:rFonts w:hint="eastAsia" w:ascii="宋体" w:hAnsi="宋体" w:cs="??_GB2312"/>
          <w:color w:val="auto"/>
          <w:kern w:val="0"/>
          <w:szCs w:val="21"/>
          <w:highlight w:val="none"/>
        </w:rPr>
        <w:t>7.1 重新招标</w:t>
      </w:r>
    </w:p>
    <w:p w14:paraId="00E93FF0">
      <w:pPr>
        <w:autoSpaceDE w:val="0"/>
        <w:autoSpaceDN w:val="0"/>
        <w:adjustRightInd w:val="0"/>
        <w:spacing w:line="360" w:lineRule="auto"/>
        <w:ind w:firstLine="539" w:firstLineChars="257"/>
        <w:jc w:val="left"/>
        <w:rPr>
          <w:rFonts w:ascii="宋体" w:cs="??_GB2312"/>
          <w:color w:val="auto"/>
          <w:kern w:val="0"/>
          <w:szCs w:val="21"/>
          <w:highlight w:val="none"/>
        </w:rPr>
      </w:pPr>
      <w:r>
        <w:rPr>
          <w:rFonts w:hint="eastAsia" w:ascii="宋体" w:hAnsi="宋体" w:cs="??_GB2312"/>
          <w:color w:val="auto"/>
          <w:kern w:val="0"/>
          <w:szCs w:val="21"/>
          <w:highlight w:val="none"/>
        </w:rPr>
        <w:t>有下列情形之一的，招标人将重新招标：</w:t>
      </w:r>
    </w:p>
    <w:p w14:paraId="0F468832">
      <w:pPr>
        <w:autoSpaceDE w:val="0"/>
        <w:autoSpaceDN w:val="0"/>
        <w:adjustRightInd w:val="0"/>
        <w:spacing w:line="360" w:lineRule="auto"/>
        <w:ind w:firstLine="539" w:firstLineChars="257"/>
        <w:jc w:val="left"/>
        <w:rPr>
          <w:rFonts w:ascii="宋体" w:cs="??_GB2312"/>
          <w:color w:val="auto"/>
          <w:kern w:val="0"/>
          <w:szCs w:val="21"/>
          <w:highlight w:val="none"/>
        </w:rPr>
      </w:pPr>
      <w:r>
        <w:rPr>
          <w:rFonts w:hint="eastAsia" w:ascii="宋体" w:hAnsi="宋体" w:cs="??_GB2312"/>
          <w:color w:val="auto"/>
          <w:kern w:val="0"/>
          <w:szCs w:val="21"/>
          <w:highlight w:val="none"/>
        </w:rPr>
        <w:t>（1）投标截止时间止，投标人少于3家的；</w:t>
      </w:r>
    </w:p>
    <w:p w14:paraId="1FE3ADE0">
      <w:pPr>
        <w:autoSpaceDE w:val="0"/>
        <w:autoSpaceDN w:val="0"/>
        <w:adjustRightInd w:val="0"/>
        <w:spacing w:line="360" w:lineRule="auto"/>
        <w:ind w:firstLine="539" w:firstLineChars="257"/>
        <w:jc w:val="left"/>
        <w:rPr>
          <w:rFonts w:ascii="宋体" w:cs="??_GB2312"/>
          <w:color w:val="auto"/>
          <w:kern w:val="0"/>
          <w:szCs w:val="21"/>
          <w:highlight w:val="none"/>
        </w:rPr>
      </w:pPr>
      <w:r>
        <w:rPr>
          <w:rFonts w:hint="eastAsia" w:ascii="宋体" w:hAnsi="宋体" w:cs="??_GB2312"/>
          <w:color w:val="auto"/>
          <w:kern w:val="0"/>
          <w:szCs w:val="21"/>
          <w:highlight w:val="none"/>
        </w:rPr>
        <w:t>（2）经评标委员会评审后否决所有投标的。</w:t>
      </w:r>
    </w:p>
    <w:p w14:paraId="7C9222D5">
      <w:pPr>
        <w:pStyle w:val="37"/>
        <w:spacing w:line="360" w:lineRule="auto"/>
        <w:outlineLvl w:val="1"/>
        <w:rPr>
          <w:rFonts w:hint="eastAsia" w:hAnsi="宋体" w:cs="??_GB2312"/>
          <w:b/>
          <w:color w:val="auto"/>
          <w:sz w:val="21"/>
          <w:szCs w:val="21"/>
          <w:highlight w:val="none"/>
        </w:rPr>
      </w:pPr>
      <w:bookmarkStart w:id="227" w:name="_Toc239235322"/>
      <w:bookmarkStart w:id="228" w:name="_Toc238613295"/>
      <w:bookmarkStart w:id="229" w:name="_Toc5390"/>
      <w:bookmarkStart w:id="230" w:name="_Toc14817"/>
      <w:bookmarkStart w:id="231" w:name="_Toc257210915"/>
      <w:bookmarkStart w:id="232" w:name="_Toc402979496"/>
      <w:bookmarkStart w:id="233" w:name="_Toc3050"/>
      <w:r>
        <w:rPr>
          <w:rFonts w:hint="eastAsia" w:hAnsi="宋体" w:cs="??_GB2312"/>
          <w:b/>
          <w:color w:val="auto"/>
          <w:sz w:val="21"/>
          <w:szCs w:val="21"/>
          <w:highlight w:val="none"/>
        </w:rPr>
        <w:t>8  纪律和监督</w:t>
      </w:r>
      <w:bookmarkEnd w:id="227"/>
      <w:bookmarkEnd w:id="228"/>
      <w:bookmarkEnd w:id="229"/>
      <w:bookmarkEnd w:id="230"/>
      <w:bookmarkEnd w:id="231"/>
      <w:bookmarkEnd w:id="232"/>
      <w:bookmarkEnd w:id="233"/>
    </w:p>
    <w:p w14:paraId="0D4F2D45">
      <w:pPr>
        <w:autoSpaceDE w:val="0"/>
        <w:autoSpaceDN w:val="0"/>
        <w:adjustRightInd w:val="0"/>
        <w:spacing w:line="360" w:lineRule="auto"/>
        <w:jc w:val="left"/>
        <w:rPr>
          <w:rFonts w:ascii="宋体" w:cs="??_GB2312"/>
          <w:color w:val="auto"/>
          <w:kern w:val="0"/>
          <w:szCs w:val="21"/>
          <w:highlight w:val="none"/>
        </w:rPr>
      </w:pPr>
      <w:r>
        <w:rPr>
          <w:rFonts w:hint="eastAsia" w:ascii="宋体" w:hAnsi="宋体" w:cs="??_GB2312"/>
          <w:color w:val="auto"/>
          <w:kern w:val="0"/>
          <w:szCs w:val="21"/>
          <w:highlight w:val="none"/>
        </w:rPr>
        <w:t>8.1 对招标人的纪律要求</w:t>
      </w:r>
    </w:p>
    <w:p w14:paraId="318870E1">
      <w:pPr>
        <w:autoSpaceDE w:val="0"/>
        <w:autoSpaceDN w:val="0"/>
        <w:adjustRightInd w:val="0"/>
        <w:spacing w:line="360" w:lineRule="auto"/>
        <w:ind w:firstLine="420" w:firstLineChars="200"/>
        <w:jc w:val="left"/>
        <w:rPr>
          <w:rFonts w:ascii="宋体" w:cs="??_GB2312"/>
          <w:color w:val="auto"/>
          <w:kern w:val="0"/>
          <w:szCs w:val="21"/>
          <w:highlight w:val="none"/>
        </w:rPr>
      </w:pPr>
      <w:r>
        <w:rPr>
          <w:rFonts w:hint="eastAsia" w:ascii="宋体" w:hAnsi="宋体" w:cs="??_GB2312"/>
          <w:color w:val="auto"/>
          <w:kern w:val="0"/>
          <w:szCs w:val="21"/>
          <w:highlight w:val="none"/>
        </w:rPr>
        <w:t>招标人不得泄漏招标投标活动中应当保密的情况和资料，不得与投标人串通损害国家利益、社会公共利益或者他人合法权益。</w:t>
      </w:r>
    </w:p>
    <w:p w14:paraId="5A5F4626">
      <w:pPr>
        <w:autoSpaceDE w:val="0"/>
        <w:autoSpaceDN w:val="0"/>
        <w:adjustRightInd w:val="0"/>
        <w:spacing w:line="360" w:lineRule="auto"/>
        <w:jc w:val="left"/>
        <w:rPr>
          <w:rFonts w:ascii="宋体" w:cs="??_GB2312"/>
          <w:color w:val="auto"/>
          <w:kern w:val="0"/>
          <w:szCs w:val="21"/>
          <w:highlight w:val="none"/>
        </w:rPr>
      </w:pPr>
      <w:r>
        <w:rPr>
          <w:rFonts w:hint="eastAsia" w:ascii="宋体" w:hAnsi="宋体" w:cs="??_GB2312"/>
          <w:color w:val="auto"/>
          <w:kern w:val="0"/>
          <w:szCs w:val="21"/>
          <w:highlight w:val="none"/>
        </w:rPr>
        <w:t>8.2 对投标人的纪律要求</w:t>
      </w:r>
    </w:p>
    <w:p w14:paraId="1412F48D">
      <w:pPr>
        <w:autoSpaceDE w:val="0"/>
        <w:autoSpaceDN w:val="0"/>
        <w:adjustRightInd w:val="0"/>
        <w:spacing w:line="360" w:lineRule="auto"/>
        <w:ind w:firstLine="420" w:firstLineChars="200"/>
        <w:jc w:val="left"/>
        <w:rPr>
          <w:rFonts w:ascii="宋体" w:cs="??_GB2312"/>
          <w:color w:val="auto"/>
          <w:kern w:val="0"/>
          <w:szCs w:val="21"/>
          <w:highlight w:val="none"/>
        </w:rPr>
      </w:pPr>
      <w:r>
        <w:rPr>
          <w:rFonts w:hint="eastAsia" w:ascii="宋体" w:hAnsi="宋体" w:cs="??_GB2312"/>
          <w:color w:val="auto"/>
          <w:kern w:val="0"/>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363C8969">
      <w:pPr>
        <w:autoSpaceDE w:val="0"/>
        <w:autoSpaceDN w:val="0"/>
        <w:adjustRightInd w:val="0"/>
        <w:spacing w:line="360" w:lineRule="auto"/>
        <w:jc w:val="left"/>
        <w:rPr>
          <w:rFonts w:ascii="宋体" w:cs="??_GB2312"/>
          <w:color w:val="auto"/>
          <w:kern w:val="0"/>
          <w:szCs w:val="21"/>
          <w:highlight w:val="none"/>
        </w:rPr>
      </w:pPr>
      <w:r>
        <w:rPr>
          <w:rFonts w:hint="eastAsia" w:ascii="宋体" w:hAnsi="宋体" w:cs="??_GB2312"/>
          <w:color w:val="auto"/>
          <w:kern w:val="0"/>
          <w:szCs w:val="21"/>
          <w:highlight w:val="none"/>
        </w:rPr>
        <w:t>8.3 对评标委员会成员的纪律要求</w:t>
      </w:r>
    </w:p>
    <w:p w14:paraId="4B703FDC">
      <w:pPr>
        <w:autoSpaceDE w:val="0"/>
        <w:autoSpaceDN w:val="0"/>
        <w:adjustRightInd w:val="0"/>
        <w:spacing w:line="360" w:lineRule="auto"/>
        <w:ind w:firstLine="420" w:firstLineChars="200"/>
        <w:jc w:val="left"/>
        <w:rPr>
          <w:rFonts w:ascii="宋体" w:cs="??_GB2312"/>
          <w:color w:val="auto"/>
          <w:kern w:val="0"/>
          <w:szCs w:val="21"/>
          <w:highlight w:val="none"/>
        </w:rPr>
      </w:pPr>
      <w:r>
        <w:rPr>
          <w:rFonts w:hint="eastAsia" w:ascii="宋体" w:hAnsi="宋体" w:cs="??_GB2312"/>
          <w:color w:val="auto"/>
          <w:kern w:val="0"/>
          <w:szCs w:val="21"/>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四章“评标办法”没有规定的评审因素和标准进行评标。</w:t>
      </w:r>
    </w:p>
    <w:p w14:paraId="2C4EB609">
      <w:pPr>
        <w:autoSpaceDE w:val="0"/>
        <w:autoSpaceDN w:val="0"/>
        <w:adjustRightInd w:val="0"/>
        <w:spacing w:line="360" w:lineRule="auto"/>
        <w:jc w:val="left"/>
        <w:rPr>
          <w:rFonts w:ascii="宋体" w:cs="??_GB2312"/>
          <w:color w:val="auto"/>
          <w:kern w:val="0"/>
          <w:szCs w:val="21"/>
          <w:highlight w:val="none"/>
        </w:rPr>
      </w:pPr>
      <w:r>
        <w:rPr>
          <w:rFonts w:hint="eastAsia" w:ascii="宋体" w:hAnsi="宋体" w:cs="??_GB2312"/>
          <w:color w:val="auto"/>
          <w:kern w:val="0"/>
          <w:szCs w:val="21"/>
          <w:highlight w:val="none"/>
        </w:rPr>
        <w:t>8.4 对与评标活动有关的工作人员的纪律要求</w:t>
      </w:r>
    </w:p>
    <w:p w14:paraId="62AA4C50">
      <w:pPr>
        <w:autoSpaceDE w:val="0"/>
        <w:autoSpaceDN w:val="0"/>
        <w:adjustRightInd w:val="0"/>
        <w:spacing w:line="360" w:lineRule="auto"/>
        <w:ind w:firstLine="420" w:firstLineChars="200"/>
        <w:jc w:val="left"/>
        <w:rPr>
          <w:rFonts w:ascii="宋体" w:cs="??_GB2312"/>
          <w:color w:val="auto"/>
          <w:kern w:val="0"/>
          <w:szCs w:val="21"/>
          <w:highlight w:val="none"/>
        </w:rPr>
      </w:pPr>
      <w:r>
        <w:rPr>
          <w:rFonts w:hint="eastAsia" w:ascii="宋体" w:hAnsi="宋体" w:cs="??_GB2312"/>
          <w:color w:val="auto"/>
          <w:kern w:val="0"/>
          <w:szCs w:val="21"/>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3A3E791F">
      <w:pPr>
        <w:autoSpaceDE w:val="0"/>
        <w:autoSpaceDN w:val="0"/>
        <w:adjustRightInd w:val="0"/>
        <w:spacing w:line="360" w:lineRule="auto"/>
        <w:jc w:val="left"/>
        <w:rPr>
          <w:rFonts w:ascii="宋体" w:cs="??_GB2312"/>
          <w:color w:val="auto"/>
          <w:kern w:val="0"/>
          <w:szCs w:val="21"/>
          <w:highlight w:val="none"/>
        </w:rPr>
      </w:pPr>
      <w:r>
        <w:rPr>
          <w:rFonts w:hint="eastAsia" w:ascii="宋体" w:hAnsi="宋体" w:cs="??_GB2312"/>
          <w:color w:val="auto"/>
          <w:kern w:val="0"/>
          <w:szCs w:val="21"/>
          <w:highlight w:val="none"/>
        </w:rPr>
        <w:t>8.5 投诉</w:t>
      </w:r>
    </w:p>
    <w:p w14:paraId="09B96EDC">
      <w:pPr>
        <w:autoSpaceDE w:val="0"/>
        <w:autoSpaceDN w:val="0"/>
        <w:adjustRightInd w:val="0"/>
        <w:spacing w:line="360" w:lineRule="auto"/>
        <w:ind w:firstLine="420" w:firstLineChars="200"/>
        <w:jc w:val="left"/>
        <w:rPr>
          <w:rFonts w:hint="eastAsia" w:ascii="宋体" w:hAnsi="宋体" w:cs="??_GB2312"/>
          <w:color w:val="auto"/>
          <w:kern w:val="0"/>
          <w:szCs w:val="21"/>
          <w:highlight w:val="none"/>
        </w:rPr>
      </w:pPr>
      <w:r>
        <w:rPr>
          <w:rFonts w:hint="eastAsia" w:ascii="宋体" w:hAnsi="宋体" w:cs="??_GB2312"/>
          <w:color w:val="auto"/>
          <w:kern w:val="0"/>
          <w:szCs w:val="21"/>
          <w:highlight w:val="none"/>
        </w:rPr>
        <w:t>投标人认为本次招标活动违反法律、法规和规章规定的，有权向有关行政监督部门投诉。</w:t>
      </w:r>
    </w:p>
    <w:p w14:paraId="29DEA42C">
      <w:pPr>
        <w:pStyle w:val="37"/>
        <w:spacing w:line="360" w:lineRule="auto"/>
        <w:outlineLvl w:val="1"/>
        <w:rPr>
          <w:rFonts w:hint="eastAsia" w:hAnsi="宋体" w:cs="??_GB2312"/>
          <w:b/>
          <w:color w:val="auto"/>
          <w:sz w:val="21"/>
          <w:szCs w:val="21"/>
          <w:highlight w:val="none"/>
        </w:rPr>
      </w:pPr>
      <w:bookmarkStart w:id="234" w:name="_Toc402979497"/>
      <w:bookmarkStart w:id="235" w:name="_Toc12656"/>
      <w:bookmarkStart w:id="236" w:name="_Toc19357"/>
      <w:bookmarkStart w:id="237" w:name="_Toc239235323"/>
      <w:bookmarkStart w:id="238" w:name="_Toc257210916"/>
      <w:bookmarkStart w:id="239" w:name="_Toc15665"/>
      <w:bookmarkStart w:id="240" w:name="_Toc238613296"/>
      <w:r>
        <w:rPr>
          <w:rFonts w:hint="eastAsia" w:hAnsi="宋体" w:cs="??_GB2312"/>
          <w:b/>
          <w:color w:val="auto"/>
          <w:sz w:val="21"/>
          <w:szCs w:val="21"/>
          <w:highlight w:val="none"/>
        </w:rPr>
        <w:t>9   项目款的支付</w:t>
      </w:r>
      <w:bookmarkEnd w:id="234"/>
      <w:bookmarkEnd w:id="235"/>
      <w:bookmarkEnd w:id="236"/>
      <w:bookmarkEnd w:id="237"/>
      <w:bookmarkEnd w:id="238"/>
      <w:bookmarkEnd w:id="239"/>
      <w:bookmarkEnd w:id="240"/>
      <w:bookmarkStart w:id="241" w:name="_Toc238613297"/>
      <w:bookmarkEnd w:id="241"/>
    </w:p>
    <w:p w14:paraId="21EF4F14">
      <w:pPr>
        <w:spacing w:line="360" w:lineRule="auto"/>
        <w:rPr>
          <w:rFonts w:hint="eastAsia" w:hAnsi="宋体" w:cs="??_GB2312"/>
          <w:color w:val="auto"/>
          <w:sz w:val="21"/>
          <w:szCs w:val="21"/>
          <w:highlight w:val="none"/>
          <w:lang w:val="en-US" w:eastAsia="zh-CN"/>
        </w:rPr>
      </w:pPr>
      <w:bookmarkStart w:id="242" w:name="_Toc7683"/>
      <w:bookmarkStart w:id="243" w:name="_Toc402979498"/>
      <w:bookmarkStart w:id="244" w:name="_Toc28308"/>
      <w:bookmarkStart w:id="245" w:name="_Toc257210918"/>
      <w:bookmarkStart w:id="246" w:name="_Toc3917"/>
      <w:r>
        <w:rPr>
          <w:rFonts w:hint="eastAsia" w:hAnsi="宋体" w:cs="??_GB2312"/>
          <w:color w:val="auto"/>
          <w:sz w:val="21"/>
          <w:szCs w:val="21"/>
          <w:highlight w:val="none"/>
          <w:lang w:val="en-US" w:eastAsia="zh-CN"/>
        </w:rPr>
        <w:t>详见“投标人须知前附表”第11条规定。</w:t>
      </w:r>
    </w:p>
    <w:p w14:paraId="23D214C0">
      <w:pPr>
        <w:spacing w:line="360" w:lineRule="auto"/>
        <w:rPr>
          <w:rFonts w:hint="eastAsia" w:ascii="宋体" w:hAnsi="宋体" w:cs="宋体"/>
          <w:b/>
          <w:color w:val="000000"/>
          <w:sz w:val="21"/>
          <w:szCs w:val="21"/>
          <w:highlight w:val="none"/>
        </w:rPr>
      </w:pPr>
      <w:r>
        <w:rPr>
          <w:rFonts w:hint="eastAsia" w:ascii="宋体" w:hAnsi="宋体" w:cs="??_GB2312"/>
          <w:b/>
          <w:color w:val="auto"/>
          <w:kern w:val="0"/>
          <w:szCs w:val="21"/>
          <w:highlight w:val="none"/>
        </w:rPr>
        <w:t xml:space="preserve">10 </w:t>
      </w:r>
      <w:bookmarkEnd w:id="242"/>
      <w:bookmarkEnd w:id="243"/>
      <w:bookmarkEnd w:id="244"/>
      <w:bookmarkEnd w:id="245"/>
      <w:bookmarkEnd w:id="246"/>
      <w:r>
        <w:rPr>
          <w:rFonts w:hint="eastAsia" w:ascii="宋体" w:hAnsi="宋体" w:cs="宋体"/>
          <w:b/>
          <w:color w:val="000000"/>
          <w:sz w:val="21"/>
          <w:szCs w:val="21"/>
          <w:highlight w:val="none"/>
        </w:rPr>
        <w:t>.</w:t>
      </w:r>
      <w:bookmarkStart w:id="247" w:name="_Toc419645323"/>
      <w:r>
        <w:rPr>
          <w:rFonts w:hint="eastAsia" w:ascii="宋体" w:hAnsi="宋体" w:cs="宋体"/>
          <w:b/>
          <w:color w:val="000000"/>
          <w:sz w:val="21"/>
          <w:szCs w:val="21"/>
          <w:highlight w:val="none"/>
        </w:rPr>
        <w:t>政府采购政策</w:t>
      </w:r>
    </w:p>
    <w:p w14:paraId="4F690EB9">
      <w:pPr>
        <w:spacing w:before="120"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10.1</w:t>
      </w:r>
      <w:r>
        <w:rPr>
          <w:rFonts w:hint="eastAsia" w:ascii="宋体" w:hAnsi="宋体" w:cs="宋体"/>
          <w:b/>
          <w:color w:val="000000"/>
          <w:sz w:val="21"/>
          <w:szCs w:val="21"/>
          <w:highlight w:val="none"/>
        </w:rPr>
        <w:t>政府采购政策</w:t>
      </w:r>
      <w:r>
        <w:rPr>
          <w:rFonts w:hint="eastAsia" w:ascii="宋体" w:hAnsi="宋体" w:cs="宋体"/>
          <w:b/>
          <w:bCs/>
          <w:color w:val="000000"/>
          <w:sz w:val="21"/>
          <w:szCs w:val="21"/>
          <w:highlight w:val="none"/>
        </w:rPr>
        <w:t>的规定</w:t>
      </w:r>
      <w:bookmarkEnd w:id="247"/>
    </w:p>
    <w:p w14:paraId="39BA2438">
      <w:pPr>
        <w:spacing w:line="360" w:lineRule="auto"/>
        <w:jc w:val="left"/>
        <w:rPr>
          <w:rFonts w:hint="eastAsia" w:ascii="宋体" w:hAnsi="宋体" w:eastAsia="宋体" w:cs="宋体"/>
          <w:b/>
          <w:bCs/>
          <w:color w:val="000000"/>
          <w:sz w:val="21"/>
          <w:szCs w:val="21"/>
          <w:highlight w:val="none"/>
          <w:lang w:eastAsia="zh-CN"/>
        </w:rPr>
      </w:pPr>
      <w:r>
        <w:rPr>
          <w:rFonts w:hint="eastAsia" w:ascii="宋体" w:hAnsi="宋体" w:cs="宋体"/>
          <w:color w:val="000000"/>
          <w:sz w:val="21"/>
          <w:szCs w:val="21"/>
          <w:highlight w:val="none"/>
        </w:rPr>
        <w:t>10.1.1根据《政府采购促进中小企业发展管理办法》(财库[2020]46号)的规定，对于非专门面向中小企业的项目，对小型和微型企业制造产品的价格给予</w:t>
      </w:r>
      <w:r>
        <w:rPr>
          <w:rFonts w:hint="eastAsia" w:ascii="宋体" w:hAnsi="宋体" w:cs="宋体"/>
          <w:color w:val="000000"/>
          <w:sz w:val="21"/>
          <w:szCs w:val="21"/>
          <w:highlight w:val="none"/>
          <w:lang w:val="en-US" w:eastAsia="zh-CN"/>
        </w:rPr>
        <w:t>20</w:t>
      </w:r>
      <w:r>
        <w:rPr>
          <w:rFonts w:hint="eastAsia" w:ascii="宋体" w:hAnsi="宋体" w:cs="宋体"/>
          <w:color w:val="000000"/>
          <w:sz w:val="21"/>
          <w:szCs w:val="21"/>
          <w:highlight w:val="none"/>
        </w:rPr>
        <w:t>%的扣除，用扣除后的价格参与评审，但不作为成交价和</w:t>
      </w:r>
      <w:r>
        <w:rPr>
          <w:rFonts w:hint="eastAsia" w:ascii="宋体" w:hAnsi="宋体" w:cs="宋体"/>
          <w:color w:val="auto"/>
          <w:sz w:val="21"/>
          <w:szCs w:val="21"/>
          <w:highlight w:val="none"/>
        </w:rPr>
        <w:t>合同签约价，成交价和合同签约价仍以其最终报价为准。</w:t>
      </w:r>
      <w:r>
        <w:rPr>
          <w:rFonts w:hint="eastAsia" w:ascii="宋体" w:hAnsi="宋体" w:eastAsia="宋体" w:cs="Times New Roman"/>
          <w:b/>
          <w:bCs/>
          <w:color w:val="auto"/>
          <w:highlight w:val="none"/>
          <w:lang w:val="en-US" w:eastAsia="zh-CN"/>
        </w:rPr>
        <w:t>本项目专门面向中小企业招标，不在执行价格折扣</w:t>
      </w:r>
      <w:r>
        <w:rPr>
          <w:rFonts w:hint="eastAsia" w:ascii="宋体" w:hAnsi="宋体" w:cs="宋体"/>
          <w:color w:val="auto"/>
          <w:sz w:val="21"/>
          <w:szCs w:val="21"/>
          <w:highlight w:val="none"/>
        </w:rPr>
        <w:t>。</w:t>
      </w:r>
      <w:r>
        <w:rPr>
          <w:rFonts w:hint="eastAsia" w:ascii="宋体" w:hAnsi="宋体" w:cs="宋体"/>
          <w:b/>
          <w:bCs/>
          <w:color w:val="auto"/>
          <w:sz w:val="21"/>
          <w:szCs w:val="21"/>
          <w:highlight w:val="none"/>
        </w:rPr>
        <w:t>非中小企业参与的将视为无效响应。（注：中小企业提供《中小企业声明函》，残疾人福利性单位提供《残疾人福利性单位声明函》，监狱企业提供由省级以上监狱管理局、戒毒管理局(含新疆生产建设兵团)出具的属于监狱企业的证明文件）。</w:t>
      </w:r>
    </w:p>
    <w:p w14:paraId="335CEA7B">
      <w:pPr>
        <w:spacing w:line="360" w:lineRule="auto"/>
        <w:jc w:val="lef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注：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6C5600D2">
      <w:pPr>
        <w:spacing w:line="360" w:lineRule="auto"/>
        <w:jc w:val="lef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符合中小企业划分标准的个体工商户，在政府采购活动中视同中小企业。中小企业参加政府采购活动，应当出具《中小企业声明函》（详见响应文件格式），否则不得享受相关中小企业扶持政策。</w:t>
      </w:r>
    </w:p>
    <w:p w14:paraId="10E966B2">
      <w:pPr>
        <w:spacing w:line="360" w:lineRule="auto"/>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10.1.2享受扶持政策获得政府采购合同的，小微企业不得将合同分包给大中型企业，中型企业不得将合同分包给大型企业。</w:t>
      </w:r>
    </w:p>
    <w:p w14:paraId="415C4486">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10.1.3本次采购标的对应的中小企业划分标准符合小型、微型企业划分标准（按照“关于印发中小企业划型标准规定的通知”（工信部联企业【2011】300号）的规定划分）；所属行业为</w:t>
      </w:r>
      <w:r>
        <w:rPr>
          <w:rFonts w:hint="eastAsia" w:ascii="宋体" w:hAnsi="宋体" w:cs="宋体"/>
          <w:b/>
          <w:bCs/>
          <w:color w:val="000000"/>
          <w:sz w:val="21"/>
          <w:szCs w:val="21"/>
          <w:highlight w:val="none"/>
        </w:rPr>
        <w:t>租赁和商务服务行业</w:t>
      </w:r>
      <w:r>
        <w:rPr>
          <w:rFonts w:hint="eastAsia" w:ascii="宋体" w:hAnsi="宋体" w:cs="宋体"/>
          <w:color w:val="000000"/>
          <w:sz w:val="21"/>
          <w:szCs w:val="21"/>
          <w:highlight w:val="none"/>
        </w:rPr>
        <w:t>。</w:t>
      </w:r>
    </w:p>
    <w:p w14:paraId="27920EE7">
      <w:pPr>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10.1.4中标、成交供应商享受本办法规定的中小企业扶持政策的，采购人、采购代理机构随中标、成交结果公开中标、成交供应商的《中小企业声明函》。供应商按照本办法规定提供声明函内容不实的，属于提供虚假材料谋取中标、成交，依照《中华人民共和国政府采购法》等国家有关规定追究相应责任。</w:t>
      </w:r>
    </w:p>
    <w:p w14:paraId="7CA68EF3">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10.1.5根据《财政部、司法部关于政府采购支持监狱企业发展有关问题的通知》（财库[2014]68号）规定，本项目支持监狱企业参与政府采购活动。提供由省级以上监狱管理局、戒毒管理局（含新疆生产建设兵团）出具的属于监狱企业的证明文件的，视同小型、微型企业，享受评审中价格扣除等政府采购促进中小企业发展的政府采购政策</w:t>
      </w:r>
      <w:r>
        <w:rPr>
          <w:rFonts w:hint="eastAsia" w:ascii="宋体" w:hAnsi="宋体" w:cs="宋体"/>
          <w:b/>
          <w:color w:val="000000"/>
          <w:sz w:val="21"/>
          <w:szCs w:val="21"/>
          <w:highlight w:val="none"/>
        </w:rPr>
        <w:t>。</w:t>
      </w:r>
    </w:p>
    <w:p w14:paraId="70E99641">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10.1.6根据《财政部民政部中国残疾人联合会关于促进残疾人就业政府采购政策的通知》(财库〔2017〕141号)的规定，在政府采购活动中，残疾人福利性单位符合本通知规定的条件、提供本通知规定的《残疾人福利性单位声明函》，并对声明的真实性负责的，视同小型、微型企业，享受评审中价格扣除等促进中小企业发展的政府采购政策</w:t>
      </w:r>
      <w:r>
        <w:rPr>
          <w:rFonts w:hint="eastAsia" w:ascii="宋体" w:hAnsi="宋体" w:cs="宋体"/>
          <w:b/>
          <w:color w:val="000000"/>
          <w:sz w:val="21"/>
          <w:szCs w:val="21"/>
          <w:highlight w:val="none"/>
        </w:rPr>
        <w:t>。</w:t>
      </w:r>
    </w:p>
    <w:p w14:paraId="03C8EE96">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10.1.7涉及节能产品的，将按根据《财政部发展改革委生态环境部市场监管总局关于调整优化节能产品环境标志产品政府采购执行机制的通知》（财库〔2019〕9号），的规定执行。</w:t>
      </w:r>
    </w:p>
    <w:p w14:paraId="7921CD52">
      <w:pPr>
        <w:spacing w:line="360" w:lineRule="auto"/>
        <w:ind w:firstLine="210"/>
        <w:rPr>
          <w:rFonts w:hint="eastAsia" w:ascii="宋体" w:hAnsi="宋体" w:cs="宋体"/>
          <w:color w:val="000000"/>
          <w:sz w:val="21"/>
          <w:szCs w:val="21"/>
          <w:highlight w:val="none"/>
        </w:rPr>
      </w:pPr>
      <w:r>
        <w:rPr>
          <w:rFonts w:hint="eastAsia" w:ascii="宋体" w:hAnsi="宋体" w:cs="宋体"/>
          <w:color w:val="000000"/>
          <w:sz w:val="21"/>
          <w:szCs w:val="21"/>
          <w:highlight w:val="none"/>
        </w:rPr>
        <w:t>采购人拟采购的产品如属于品目清单范围的，采购人及其委托的采购代理机构应当根据国家确定的认证机构出具的、处于有效期之内的节能产品、环境标志产品认证证书，对获得证书的产品实施政府优先采购或强制采购。</w:t>
      </w:r>
    </w:p>
    <w:p w14:paraId="7F3A8249">
      <w:pPr>
        <w:spacing w:line="360" w:lineRule="auto"/>
        <w:ind w:firstLine="210"/>
        <w:rPr>
          <w:rFonts w:hint="eastAsia" w:ascii="宋体" w:hAnsi="宋体" w:cs="宋体"/>
          <w:color w:val="000000"/>
          <w:sz w:val="21"/>
          <w:szCs w:val="21"/>
          <w:highlight w:val="none"/>
        </w:rPr>
      </w:pPr>
      <w:r>
        <w:rPr>
          <w:rFonts w:hint="eastAsia" w:ascii="宋体" w:hAnsi="宋体" w:cs="宋体"/>
          <w:color w:val="000000"/>
          <w:sz w:val="21"/>
          <w:szCs w:val="21"/>
          <w:highlight w:val="none"/>
        </w:rPr>
        <w:t>10.1.8</w:t>
      </w:r>
      <w:r>
        <w:rPr>
          <w:rFonts w:hint="eastAsia" w:ascii="宋体" w:hAnsi="宋体" w:cs="宋体"/>
          <w:bCs/>
          <w:color w:val="000000"/>
          <w:sz w:val="21"/>
          <w:szCs w:val="21"/>
          <w:highlight w:val="none"/>
        </w:rPr>
        <w:t>根据财政部、国家环保总局联合印发《关于环境标志产品政府采购实施的意见》（财库[2006]90号），如供应商所提供产品属于被列入最新一期环境标志产品政府采购清单产品，将给以优先采购。</w:t>
      </w:r>
    </w:p>
    <w:p w14:paraId="2F2E8222">
      <w:pPr>
        <w:spacing w:line="360" w:lineRule="auto"/>
        <w:ind w:firstLine="210"/>
        <w:rPr>
          <w:rFonts w:hint="eastAsia" w:ascii="宋体" w:hAnsi="宋体" w:cs="宋体"/>
          <w:color w:val="000000"/>
          <w:sz w:val="21"/>
          <w:szCs w:val="21"/>
          <w:highlight w:val="none"/>
        </w:rPr>
      </w:pPr>
      <w:r>
        <w:rPr>
          <w:rFonts w:hint="eastAsia" w:ascii="宋体" w:hAnsi="宋体" w:cs="宋体"/>
          <w:color w:val="000000"/>
          <w:sz w:val="21"/>
          <w:szCs w:val="21"/>
          <w:highlight w:val="none"/>
        </w:rPr>
        <w:t>10.1.9根据《政府采购进口产品管理办法》（财库[2007]119号）规定，政府采购应当采购本国产品，不允许采购进口产品，确需采购进口产品的，实行审核管理。本办法所称进口产品是指通过中国海关报关验放进入中国境内且产自关境外的产品。根据《财政部办公厅关于政府采购进口产品管理有关问题的通知》（财办库[2008]248号）规定，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视为进口产品；未在采购文件中明确规定不允许进口产品参加的，视为拒绝进口产品参加。财政部门审核同意购买进口产品的，将在采购文件中明确规定可以采购进口产品。</w:t>
      </w:r>
    </w:p>
    <w:p w14:paraId="2C5FBC3F">
      <w:pPr>
        <w:pStyle w:val="37"/>
        <w:spacing w:line="360" w:lineRule="auto"/>
        <w:ind w:firstLine="420" w:firstLineChars="200"/>
        <w:rPr>
          <w:rFonts w:hint="eastAsia" w:hAnsi="宋体" w:cs="??_GB2312"/>
          <w:color w:val="auto"/>
          <w:sz w:val="21"/>
          <w:szCs w:val="21"/>
          <w:highlight w:val="none"/>
        </w:rPr>
      </w:pPr>
      <w:r>
        <w:rPr>
          <w:rFonts w:hint="eastAsia" w:ascii="宋体" w:hAnsi="宋体" w:cs="宋体"/>
          <w:color w:val="000000"/>
          <w:sz w:val="21"/>
          <w:szCs w:val="21"/>
          <w:highlight w:val="none"/>
        </w:rPr>
        <w:t>10.1.10其它未尽事宜，按国家有关法律、法规执行。</w:t>
      </w:r>
    </w:p>
    <w:bookmarkEnd w:id="100"/>
    <w:bookmarkEnd w:id="101"/>
    <w:bookmarkEnd w:id="102"/>
    <w:bookmarkEnd w:id="103"/>
    <w:bookmarkEnd w:id="104"/>
    <w:bookmarkEnd w:id="105"/>
    <w:bookmarkEnd w:id="106"/>
    <w:bookmarkEnd w:id="107"/>
    <w:bookmarkEnd w:id="108"/>
    <w:bookmarkEnd w:id="109"/>
    <w:bookmarkEnd w:id="110"/>
    <w:bookmarkEnd w:id="111"/>
    <w:bookmarkEnd w:id="112"/>
    <w:p w14:paraId="47053DB3">
      <w:pPr>
        <w:jc w:val="left"/>
        <w:rPr>
          <w:rFonts w:hint="eastAsia" w:ascii="宋体" w:hAnsi="宋体" w:cs="宋体"/>
          <w:color w:val="auto"/>
          <w:sz w:val="20"/>
          <w:szCs w:val="20"/>
          <w:highlight w:val="none"/>
        </w:rPr>
      </w:pPr>
    </w:p>
    <w:p w14:paraId="2F1CD3D8">
      <w:pPr>
        <w:rPr>
          <w:rFonts w:hint="eastAsia" w:ascii="宋体" w:hAnsi="宋体" w:cs="宋体"/>
          <w:color w:val="auto"/>
          <w:sz w:val="48"/>
          <w:szCs w:val="48"/>
          <w:highlight w:val="none"/>
        </w:rPr>
      </w:pPr>
      <w:bookmarkStart w:id="248" w:name="_Toc445450456"/>
    </w:p>
    <w:p w14:paraId="7B3AD205">
      <w:pPr>
        <w:pStyle w:val="2"/>
        <w:rPr>
          <w:rFonts w:hint="eastAsia" w:ascii="宋体" w:hAnsi="宋体" w:cs="宋体"/>
          <w:color w:val="auto"/>
          <w:sz w:val="48"/>
          <w:szCs w:val="48"/>
          <w:highlight w:val="none"/>
        </w:rPr>
      </w:pPr>
    </w:p>
    <w:p w14:paraId="779B78E7">
      <w:pPr>
        <w:rPr>
          <w:rFonts w:hint="eastAsia" w:ascii="宋体" w:hAnsi="宋体" w:cs="宋体"/>
          <w:color w:val="auto"/>
          <w:sz w:val="48"/>
          <w:szCs w:val="48"/>
          <w:highlight w:val="none"/>
        </w:rPr>
      </w:pPr>
    </w:p>
    <w:p w14:paraId="33FFB710">
      <w:pPr>
        <w:pStyle w:val="2"/>
        <w:rPr>
          <w:rFonts w:hint="eastAsia" w:ascii="宋体" w:hAnsi="宋体" w:cs="宋体"/>
          <w:color w:val="auto"/>
          <w:sz w:val="48"/>
          <w:szCs w:val="48"/>
          <w:highlight w:val="none"/>
        </w:rPr>
      </w:pPr>
    </w:p>
    <w:p w14:paraId="4B050165">
      <w:pPr>
        <w:rPr>
          <w:rFonts w:hint="eastAsia" w:ascii="宋体" w:hAnsi="宋体" w:cs="宋体"/>
          <w:color w:val="auto"/>
          <w:sz w:val="48"/>
          <w:szCs w:val="48"/>
          <w:highlight w:val="none"/>
        </w:rPr>
      </w:pPr>
    </w:p>
    <w:p w14:paraId="2755E0D3">
      <w:pPr>
        <w:pStyle w:val="2"/>
        <w:rPr>
          <w:rFonts w:hint="eastAsia" w:ascii="宋体" w:hAnsi="宋体" w:cs="宋体"/>
          <w:color w:val="auto"/>
          <w:sz w:val="48"/>
          <w:szCs w:val="48"/>
          <w:highlight w:val="none"/>
        </w:rPr>
      </w:pPr>
    </w:p>
    <w:p w14:paraId="24D6737A">
      <w:pPr>
        <w:rPr>
          <w:rFonts w:hint="eastAsia" w:ascii="宋体" w:hAnsi="宋体" w:cs="宋体"/>
          <w:color w:val="auto"/>
          <w:sz w:val="48"/>
          <w:szCs w:val="48"/>
          <w:highlight w:val="none"/>
        </w:rPr>
      </w:pPr>
    </w:p>
    <w:p w14:paraId="1483F4C7">
      <w:pPr>
        <w:pStyle w:val="2"/>
        <w:rPr>
          <w:rFonts w:hint="eastAsia" w:ascii="宋体" w:hAnsi="宋体" w:cs="宋体"/>
          <w:color w:val="auto"/>
          <w:sz w:val="48"/>
          <w:szCs w:val="48"/>
          <w:highlight w:val="none"/>
        </w:rPr>
      </w:pPr>
    </w:p>
    <w:p w14:paraId="14F7A88C">
      <w:pPr>
        <w:rPr>
          <w:rFonts w:hint="eastAsia" w:ascii="宋体" w:hAnsi="宋体" w:cs="宋体"/>
          <w:color w:val="auto"/>
          <w:sz w:val="48"/>
          <w:szCs w:val="48"/>
          <w:highlight w:val="none"/>
        </w:rPr>
      </w:pPr>
    </w:p>
    <w:bookmarkEnd w:id="248"/>
    <w:p w14:paraId="5A9E6E09">
      <w:pPr>
        <w:autoSpaceDE w:val="0"/>
        <w:autoSpaceDN w:val="0"/>
        <w:adjustRightInd w:val="0"/>
        <w:jc w:val="center"/>
        <w:outlineLvl w:val="0"/>
        <w:rPr>
          <w:rFonts w:hint="eastAsia" w:ascii="宋体" w:hAnsi="宋体" w:cs="宋体"/>
          <w:b/>
          <w:color w:val="auto"/>
          <w:spacing w:val="-26"/>
          <w:kern w:val="0"/>
          <w:sz w:val="44"/>
          <w:szCs w:val="44"/>
          <w:highlight w:val="none"/>
        </w:rPr>
      </w:pPr>
      <w:bookmarkStart w:id="249" w:name="_Toc445450458"/>
      <w:bookmarkStart w:id="250" w:name="_Toc27080"/>
    </w:p>
    <w:p w14:paraId="7FF7DACF">
      <w:pPr>
        <w:autoSpaceDE w:val="0"/>
        <w:autoSpaceDN w:val="0"/>
        <w:adjustRightInd w:val="0"/>
        <w:jc w:val="center"/>
        <w:outlineLvl w:val="0"/>
        <w:rPr>
          <w:rFonts w:hint="eastAsia" w:ascii="宋体" w:hAnsi="宋体" w:cs="宋体"/>
          <w:b/>
          <w:color w:val="auto"/>
          <w:spacing w:val="-26"/>
          <w:kern w:val="0"/>
          <w:sz w:val="44"/>
          <w:szCs w:val="44"/>
          <w:highlight w:val="none"/>
        </w:rPr>
      </w:pPr>
      <w:r>
        <w:rPr>
          <w:rFonts w:hint="eastAsia" w:ascii="宋体" w:hAnsi="宋体" w:cs="宋体"/>
          <w:b/>
          <w:color w:val="auto"/>
          <w:spacing w:val="-26"/>
          <w:kern w:val="0"/>
          <w:sz w:val="44"/>
          <w:szCs w:val="44"/>
          <w:highlight w:val="none"/>
        </w:rPr>
        <w:t xml:space="preserve"> </w:t>
      </w:r>
      <w:bookmarkStart w:id="251" w:name="_Toc26611"/>
      <w:r>
        <w:rPr>
          <w:rFonts w:hint="eastAsia" w:ascii="宋体" w:hAnsi="宋体" w:cs="宋体"/>
          <w:b/>
          <w:color w:val="auto"/>
          <w:spacing w:val="-26"/>
          <w:kern w:val="0"/>
          <w:sz w:val="44"/>
          <w:szCs w:val="44"/>
          <w:highlight w:val="none"/>
        </w:rPr>
        <w:t>第三章 采购需求及要求</w:t>
      </w:r>
      <w:bookmarkEnd w:id="251"/>
    </w:p>
    <w:p w14:paraId="62923321">
      <w:pPr>
        <w:autoSpaceDE w:val="0"/>
        <w:autoSpaceDN w:val="0"/>
        <w:adjustRightInd w:val="0"/>
        <w:spacing w:line="360" w:lineRule="auto"/>
        <w:jc w:val="left"/>
        <w:rPr>
          <w:rFonts w:hint="eastAsia" w:ascii="宋体" w:hAnsi="宋体" w:cs="??_GB2312"/>
          <w:color w:val="auto"/>
          <w:kern w:val="0"/>
          <w:szCs w:val="21"/>
          <w:highlight w:val="none"/>
        </w:rPr>
      </w:pPr>
    </w:p>
    <w:p w14:paraId="37A88998">
      <w:pPr>
        <w:pStyle w:val="4"/>
        <w:spacing w:line="360" w:lineRule="auto"/>
        <w:ind w:firstLine="562"/>
        <w:jc w:val="left"/>
        <w:rPr>
          <w:rFonts w:hint="eastAsia" w:ascii="宋体" w:hAnsi="宋体" w:cs="宋体"/>
          <w:szCs w:val="28"/>
          <w:highlight w:val="none"/>
        </w:rPr>
      </w:pPr>
      <w:r>
        <w:rPr>
          <w:rFonts w:hint="eastAsia" w:ascii="宋体" w:hAnsi="宋体" w:cs="宋体"/>
          <w:szCs w:val="28"/>
          <w:highlight w:val="none"/>
        </w:rPr>
        <w:t>一、项目要求</w:t>
      </w:r>
    </w:p>
    <w:p w14:paraId="3453BEF4">
      <w:pPr>
        <w:spacing w:line="360" w:lineRule="auto"/>
        <w:ind w:firstLine="420" w:firstLineChars="200"/>
        <w:jc w:val="left"/>
        <w:rPr>
          <w:rFonts w:hint="eastAsia" w:ascii="宋体" w:hAnsi="宋体" w:cs="宋体"/>
          <w:szCs w:val="28"/>
          <w:highlight w:val="none"/>
        </w:rPr>
      </w:pPr>
      <w:r>
        <w:rPr>
          <w:rFonts w:hint="eastAsia" w:ascii="宋体" w:hAnsi="宋体" w:cs="宋体"/>
          <w:szCs w:val="28"/>
          <w:highlight w:val="none"/>
        </w:rPr>
        <w:t>根据《工伤预防五年行动计划（2021-2025年）》《河南省工伤预防费使用管理暂行办法》及《开封市工伤预防联防联控机制实施方案》要求开展项目。项目重点召开市级工伤预防部署会，组织开展车辆伤害事故（厂内和厂外）工伤事故预防大型培训及工伤预防领导力能力提升培训，制作工伤预防警示教育片45部；组织60家重点企业开展动态风险精准治理；制作《开封市工伤预防五年成效》专题宣传片，系统总结推广经验；同步建立标准化项目档案管理体系，并通过主流媒体开展系列深度报道。资金严格执行预算绩效目标，确保重点行业覆盖率达90%以上，全面提升企业工伤预防标准化水平。</w:t>
      </w:r>
    </w:p>
    <w:p w14:paraId="36B71EAF">
      <w:pPr>
        <w:spacing w:line="360" w:lineRule="auto"/>
        <w:rPr>
          <w:rFonts w:hint="eastAsia" w:ascii="宋体" w:hAnsi="宋体" w:eastAsia="宋体"/>
          <w:color w:val="auto"/>
          <w:sz w:val="22"/>
          <w:szCs w:val="22"/>
          <w:highlight w:val="none"/>
          <w:lang w:eastAsia="zh-CN"/>
        </w:rPr>
      </w:pPr>
      <w:r>
        <w:rPr>
          <w:rFonts w:hint="eastAsia"/>
          <w:color w:val="auto"/>
          <w:sz w:val="22"/>
          <w:szCs w:val="22"/>
          <w:highlight w:val="none"/>
        </w:rPr>
        <w:t>服务地点：开封市，具体地点以采购人实际要求的为准</w:t>
      </w:r>
      <w:r>
        <w:rPr>
          <w:rFonts w:hint="eastAsia"/>
          <w:color w:val="auto"/>
          <w:sz w:val="22"/>
          <w:szCs w:val="22"/>
          <w:highlight w:val="none"/>
          <w:lang w:eastAsia="zh-CN"/>
        </w:rPr>
        <w:t>；</w:t>
      </w:r>
    </w:p>
    <w:p w14:paraId="649EB043">
      <w:pPr>
        <w:spacing w:line="360" w:lineRule="auto"/>
        <w:rPr>
          <w:rFonts w:hint="default" w:ascii="宋体" w:hAnsi="宋体" w:eastAsia="宋体"/>
          <w:color w:val="auto"/>
          <w:sz w:val="22"/>
          <w:szCs w:val="22"/>
          <w:highlight w:val="none"/>
          <w:lang w:val="en-US" w:eastAsia="zh-CN"/>
        </w:rPr>
      </w:pPr>
      <w:r>
        <w:rPr>
          <w:rFonts w:ascii="宋体" w:hAnsi="宋体"/>
          <w:color w:val="auto"/>
          <w:sz w:val="22"/>
          <w:szCs w:val="22"/>
          <w:highlight w:val="none"/>
        </w:rPr>
        <w:t>服务期限：</w:t>
      </w:r>
      <w:r>
        <w:rPr>
          <w:rFonts w:hint="eastAsia" w:ascii="宋体" w:hAnsi="宋体"/>
          <w:color w:val="auto"/>
          <w:sz w:val="22"/>
          <w:szCs w:val="22"/>
          <w:highlight w:val="none"/>
        </w:rPr>
        <w:t>2025年</w:t>
      </w:r>
      <w:r>
        <w:rPr>
          <w:rFonts w:hint="eastAsia" w:ascii="宋体" w:hAnsi="宋体"/>
          <w:color w:val="auto"/>
          <w:sz w:val="22"/>
          <w:szCs w:val="22"/>
          <w:highlight w:val="none"/>
          <w:lang w:val="en-US" w:eastAsia="zh-CN"/>
        </w:rPr>
        <w:t>12</w:t>
      </w:r>
      <w:r>
        <w:rPr>
          <w:rFonts w:hint="eastAsia" w:ascii="宋体" w:hAnsi="宋体"/>
          <w:color w:val="auto"/>
          <w:sz w:val="22"/>
          <w:szCs w:val="22"/>
          <w:highlight w:val="none"/>
        </w:rPr>
        <w:t>月</w:t>
      </w:r>
      <w:r>
        <w:rPr>
          <w:rFonts w:hint="eastAsia" w:ascii="宋体" w:hAnsi="宋体"/>
          <w:color w:val="auto"/>
          <w:sz w:val="22"/>
          <w:szCs w:val="22"/>
          <w:highlight w:val="none"/>
          <w:lang w:val="en-US" w:eastAsia="zh-CN"/>
        </w:rPr>
        <w:t>10</w:t>
      </w:r>
      <w:r>
        <w:rPr>
          <w:rFonts w:hint="eastAsia" w:ascii="宋体" w:hAnsi="宋体"/>
          <w:color w:val="auto"/>
          <w:sz w:val="22"/>
          <w:szCs w:val="22"/>
          <w:highlight w:val="none"/>
        </w:rPr>
        <w:t>日前完成全部服务工作</w:t>
      </w:r>
      <w:r>
        <w:rPr>
          <w:rFonts w:hint="eastAsia" w:ascii="宋体" w:hAnsi="宋体"/>
          <w:color w:val="auto"/>
          <w:sz w:val="22"/>
          <w:szCs w:val="22"/>
          <w:highlight w:val="none"/>
          <w:lang w:eastAsia="zh-CN"/>
        </w:rPr>
        <w:t>（</w:t>
      </w:r>
      <w:r>
        <w:rPr>
          <w:rFonts w:hint="eastAsia" w:ascii="宋体" w:hAnsi="宋体"/>
          <w:color w:val="auto"/>
          <w:sz w:val="22"/>
          <w:szCs w:val="22"/>
          <w:highlight w:val="none"/>
          <w:lang w:val="en-US" w:eastAsia="zh-CN"/>
        </w:rPr>
        <w:t>如遇不可抗拒因素，可协商）</w:t>
      </w:r>
    </w:p>
    <w:p w14:paraId="0B08BC1B">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t>质量要求</w:t>
      </w:r>
      <w:r>
        <w:rPr>
          <w:rFonts w:hint="eastAsia" w:ascii="宋体" w:hAnsi="宋体" w:cs="宋体"/>
          <w:color w:val="auto"/>
          <w:sz w:val="22"/>
          <w:szCs w:val="22"/>
          <w:highlight w:val="none"/>
        </w:rPr>
        <w:t>：合格，符合相关行业标准；</w:t>
      </w:r>
    </w:p>
    <w:p w14:paraId="38A026A1">
      <w:pPr>
        <w:pStyle w:val="2"/>
        <w:rPr>
          <w:rFonts w:hint="eastAsia"/>
          <w:highlight w:val="none"/>
        </w:rPr>
      </w:pPr>
    </w:p>
    <w:p w14:paraId="2A021893">
      <w:pPr>
        <w:pStyle w:val="4"/>
        <w:spacing w:line="360" w:lineRule="auto"/>
        <w:ind w:firstLine="562"/>
        <w:jc w:val="left"/>
        <w:rPr>
          <w:rFonts w:hint="eastAsia" w:ascii="宋体" w:hAnsi="宋体" w:cs="宋体"/>
          <w:szCs w:val="28"/>
          <w:highlight w:val="none"/>
        </w:rPr>
      </w:pPr>
      <w:r>
        <w:rPr>
          <w:rFonts w:hint="eastAsia" w:ascii="宋体" w:hAnsi="宋体" w:cs="宋体"/>
          <w:szCs w:val="28"/>
          <w:highlight w:val="none"/>
        </w:rPr>
        <w:t>二、项目重点</w:t>
      </w:r>
    </w:p>
    <w:p w14:paraId="719458A7">
      <w:pPr>
        <w:spacing w:line="360" w:lineRule="auto"/>
        <w:ind w:firstLine="420" w:firstLineChars="200"/>
        <w:jc w:val="left"/>
        <w:rPr>
          <w:rFonts w:hint="eastAsia" w:ascii="宋体" w:hAnsi="宋体" w:cs="宋体"/>
          <w:szCs w:val="28"/>
          <w:highlight w:val="none"/>
        </w:rPr>
      </w:pPr>
      <w:r>
        <w:rPr>
          <w:rFonts w:hint="eastAsia" w:ascii="宋体" w:hAnsi="宋体" w:cs="宋体"/>
          <w:szCs w:val="28"/>
          <w:highlight w:val="none"/>
        </w:rPr>
        <w:t>2025年，开封市工伤预防工作要结合安全生产管理、职业病防治和工伤保险工作实际，紧盯工伤预防重点行业，主要实施宣传和培训两类项目，同时要完成工伤预防五年行动等工作任务。</w:t>
      </w:r>
    </w:p>
    <w:p w14:paraId="07370BBB">
      <w:pPr>
        <w:spacing w:line="360" w:lineRule="auto"/>
        <w:jc w:val="left"/>
        <w:rPr>
          <w:rFonts w:hint="eastAsia" w:ascii="宋体" w:hAnsi="宋体" w:cs="宋体"/>
          <w:szCs w:val="28"/>
          <w:highlight w:val="none"/>
        </w:rPr>
      </w:pPr>
      <w:r>
        <w:rPr>
          <w:rFonts w:hint="eastAsia" w:ascii="宋体" w:hAnsi="宋体" w:cs="宋体"/>
          <w:szCs w:val="28"/>
          <w:highlight w:val="none"/>
        </w:rPr>
        <w:t>2025年，全市工伤预防的重点行业、单位及重点人群为：</w:t>
      </w:r>
    </w:p>
    <w:p w14:paraId="710C87C9">
      <w:pPr>
        <w:spacing w:line="360" w:lineRule="auto"/>
        <w:jc w:val="left"/>
        <w:rPr>
          <w:rFonts w:hint="eastAsia" w:ascii="宋体" w:hAnsi="宋体" w:cs="宋体"/>
          <w:szCs w:val="28"/>
          <w:highlight w:val="none"/>
        </w:rPr>
      </w:pPr>
      <w:r>
        <w:rPr>
          <w:rFonts w:hint="eastAsia" w:ascii="宋体" w:hAnsi="宋体" w:cs="宋体"/>
          <w:szCs w:val="28"/>
          <w:highlight w:val="none"/>
        </w:rPr>
        <w:t>（一）全市危化、机械制造、建筑施工、交通运输等重点行业的重点企业。</w:t>
      </w:r>
    </w:p>
    <w:p w14:paraId="58DA30C3">
      <w:pPr>
        <w:spacing w:line="360" w:lineRule="auto"/>
        <w:jc w:val="left"/>
        <w:rPr>
          <w:rFonts w:hint="eastAsia" w:ascii="宋体" w:hAnsi="宋体" w:cs="宋体"/>
          <w:szCs w:val="28"/>
          <w:highlight w:val="none"/>
        </w:rPr>
      </w:pPr>
      <w:r>
        <w:rPr>
          <w:rFonts w:hint="eastAsia" w:ascii="宋体" w:hAnsi="宋体" w:cs="宋体"/>
          <w:szCs w:val="28"/>
          <w:highlight w:val="none"/>
        </w:rPr>
        <w:t>（二）工伤事故和职业病发生率高、工亡和高等级伤残工伤职工多、工伤保险费支缴率高的用人单位。</w:t>
      </w:r>
    </w:p>
    <w:p w14:paraId="2C222120">
      <w:pPr>
        <w:spacing w:line="360" w:lineRule="auto"/>
        <w:jc w:val="left"/>
        <w:rPr>
          <w:rFonts w:hint="eastAsia" w:ascii="宋体" w:hAnsi="宋体" w:cs="宋体"/>
          <w:szCs w:val="28"/>
          <w:highlight w:val="none"/>
        </w:rPr>
      </w:pPr>
      <w:r>
        <w:rPr>
          <w:rFonts w:hint="eastAsia" w:ascii="宋体" w:hAnsi="宋体" w:cs="宋体"/>
          <w:szCs w:val="28"/>
          <w:highlight w:val="none"/>
        </w:rPr>
        <w:t>（三）结合开封市十大民生实事，将高危行业从业人员、学校教职工作为工伤预防重点人群。同时，按照“人人持证、技能河南” 建设要求，将工伤预防培训融入到职业技能培训当中，提升从业人员工伤预防意识和能力，从根本上减少工伤事故，为从业人员提供安全的就业环境。</w:t>
      </w:r>
    </w:p>
    <w:p w14:paraId="24AA53D8">
      <w:pPr>
        <w:spacing w:line="360" w:lineRule="auto"/>
        <w:jc w:val="left"/>
        <w:rPr>
          <w:rFonts w:hint="eastAsia" w:ascii="宋体" w:hAnsi="宋体" w:cs="宋体"/>
          <w:szCs w:val="28"/>
          <w:highlight w:val="none"/>
        </w:rPr>
      </w:pPr>
      <w:r>
        <w:rPr>
          <w:rFonts w:hint="eastAsia" w:ascii="宋体" w:hAnsi="宋体" w:cs="宋体"/>
          <w:szCs w:val="28"/>
          <w:highlight w:val="none"/>
        </w:rPr>
        <w:t>在项目实施前要坚持问题导向，通过实际数据筛选，对开封市工伤预防工作进行综合研判，始终将降低和消除安全生产事故隐患和职业病危害作为实施项目的重点目标，按照开封市工伤预防实际需要确定项目规模和编制实施方案，经开封市工伤预防工作联席会议审议同意后组织实施。</w:t>
      </w:r>
    </w:p>
    <w:p w14:paraId="1AC17C63">
      <w:pPr>
        <w:pStyle w:val="4"/>
        <w:spacing w:line="360" w:lineRule="auto"/>
        <w:ind w:firstLine="562"/>
        <w:jc w:val="left"/>
        <w:rPr>
          <w:rFonts w:hint="eastAsia" w:ascii="宋体" w:hAnsi="宋体" w:cs="宋体"/>
          <w:szCs w:val="28"/>
          <w:highlight w:val="none"/>
        </w:rPr>
      </w:pPr>
      <w:r>
        <w:rPr>
          <w:rFonts w:hint="eastAsia" w:ascii="宋体" w:hAnsi="宋体" w:cs="宋体"/>
          <w:szCs w:val="28"/>
          <w:highlight w:val="none"/>
        </w:rPr>
        <w:t>三、项目清单</w:t>
      </w:r>
    </w:p>
    <w:tbl>
      <w:tblPr>
        <w:tblStyle w:val="28"/>
        <w:tblW w:w="4998" w:type="pct"/>
        <w:jc w:val="center"/>
        <w:tblLayout w:type="autofit"/>
        <w:tblCellMar>
          <w:top w:w="0" w:type="dxa"/>
          <w:left w:w="108" w:type="dxa"/>
          <w:bottom w:w="0" w:type="dxa"/>
          <w:right w:w="108" w:type="dxa"/>
        </w:tblCellMar>
      </w:tblPr>
      <w:tblGrid>
        <w:gridCol w:w="620"/>
        <w:gridCol w:w="1325"/>
        <w:gridCol w:w="3838"/>
        <w:gridCol w:w="3384"/>
        <w:gridCol w:w="791"/>
      </w:tblGrid>
      <w:tr w14:paraId="2CF3E9C0">
        <w:tblPrEx>
          <w:tblCellMar>
            <w:top w:w="0" w:type="dxa"/>
            <w:left w:w="108" w:type="dxa"/>
            <w:bottom w:w="0" w:type="dxa"/>
            <w:right w:w="108" w:type="dxa"/>
          </w:tblCellMar>
        </w:tblPrEx>
        <w:trPr>
          <w:trHeight w:val="566"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43102387">
            <w:pPr>
              <w:widowControl/>
              <w:ind w:firstLine="0" w:firstLineChars="0"/>
              <w:jc w:val="center"/>
              <w:textAlignment w:val="center"/>
              <w:rPr>
                <w:rFonts w:hint="eastAsia" w:ascii="宋体" w:hAnsi="宋体" w:cs="宋体"/>
                <w:b/>
                <w:bCs/>
                <w:color w:val="000000"/>
                <w:sz w:val="22"/>
                <w:szCs w:val="22"/>
                <w:highlight w:val="none"/>
              </w:rPr>
            </w:pPr>
            <w:r>
              <w:rPr>
                <w:rFonts w:hint="eastAsia" w:ascii="宋体" w:hAnsi="宋体" w:cs="宋体"/>
                <w:b/>
                <w:bCs/>
                <w:color w:val="000000"/>
                <w:kern w:val="0"/>
                <w:sz w:val="22"/>
                <w:szCs w:val="22"/>
                <w:highlight w:val="none"/>
                <w:lang w:bidi="ar"/>
              </w:rPr>
              <w:t>序号</w:t>
            </w:r>
          </w:p>
        </w:tc>
        <w:tc>
          <w:tcPr>
            <w:tcW w:w="665" w:type="pct"/>
            <w:tcBorders>
              <w:top w:val="single" w:color="000000" w:sz="4" w:space="0"/>
              <w:left w:val="single" w:color="000000" w:sz="4" w:space="0"/>
              <w:bottom w:val="single" w:color="000000" w:sz="4" w:space="0"/>
              <w:right w:val="single" w:color="000000" w:sz="4" w:space="0"/>
            </w:tcBorders>
            <w:noWrap w:val="0"/>
            <w:vAlign w:val="center"/>
          </w:tcPr>
          <w:p w14:paraId="190360B2">
            <w:pPr>
              <w:widowControl/>
              <w:ind w:firstLine="0" w:firstLineChars="0"/>
              <w:jc w:val="center"/>
              <w:textAlignment w:val="center"/>
              <w:rPr>
                <w:rFonts w:hint="eastAsia" w:ascii="宋体" w:hAnsi="宋体" w:cs="宋体"/>
                <w:b/>
                <w:bCs/>
                <w:color w:val="000000"/>
                <w:sz w:val="22"/>
                <w:szCs w:val="22"/>
                <w:highlight w:val="none"/>
              </w:rPr>
            </w:pPr>
            <w:r>
              <w:rPr>
                <w:rFonts w:hint="eastAsia" w:ascii="宋体" w:hAnsi="宋体" w:cs="宋体"/>
                <w:b/>
                <w:bCs/>
                <w:color w:val="000000"/>
                <w:kern w:val="0"/>
                <w:sz w:val="22"/>
                <w:szCs w:val="22"/>
                <w:highlight w:val="none"/>
                <w:lang w:bidi="ar"/>
              </w:rPr>
              <w:t>项目</w:t>
            </w:r>
            <w:r>
              <w:rPr>
                <w:rFonts w:hint="eastAsia" w:ascii="宋体" w:hAnsi="宋体" w:cs="宋体"/>
                <w:b/>
                <w:bCs/>
                <w:color w:val="000000"/>
                <w:kern w:val="0"/>
                <w:sz w:val="22"/>
                <w:szCs w:val="22"/>
                <w:highlight w:val="none"/>
                <w:lang w:bidi="ar"/>
              </w:rPr>
              <w:br w:type="textWrapping"/>
            </w:r>
            <w:r>
              <w:rPr>
                <w:rFonts w:hint="eastAsia" w:ascii="宋体" w:hAnsi="宋体" w:cs="宋体"/>
                <w:b/>
                <w:bCs/>
                <w:color w:val="000000"/>
                <w:kern w:val="0"/>
                <w:sz w:val="22"/>
                <w:szCs w:val="22"/>
                <w:highlight w:val="none"/>
                <w:lang w:bidi="ar"/>
              </w:rPr>
              <w:t>类型</w:t>
            </w:r>
          </w:p>
        </w:tc>
        <w:tc>
          <w:tcPr>
            <w:tcW w:w="1926" w:type="pct"/>
            <w:tcBorders>
              <w:top w:val="single" w:color="000000" w:sz="4" w:space="0"/>
              <w:left w:val="single" w:color="000000" w:sz="4" w:space="0"/>
              <w:bottom w:val="single" w:color="000000" w:sz="4" w:space="0"/>
              <w:right w:val="single" w:color="000000" w:sz="4" w:space="0"/>
            </w:tcBorders>
            <w:noWrap w:val="0"/>
            <w:vAlign w:val="center"/>
          </w:tcPr>
          <w:p w14:paraId="5E5EDDB2">
            <w:pPr>
              <w:widowControl/>
              <w:ind w:firstLine="0" w:firstLineChars="0"/>
              <w:jc w:val="center"/>
              <w:textAlignment w:val="center"/>
              <w:rPr>
                <w:rFonts w:hint="eastAsia" w:ascii="宋体" w:hAnsi="宋体" w:cs="宋体"/>
                <w:b/>
                <w:bCs/>
                <w:color w:val="000000"/>
                <w:sz w:val="22"/>
                <w:szCs w:val="22"/>
                <w:highlight w:val="none"/>
              </w:rPr>
            </w:pPr>
            <w:r>
              <w:rPr>
                <w:rFonts w:hint="eastAsia" w:ascii="宋体" w:hAnsi="宋体" w:cs="宋体"/>
                <w:b/>
                <w:bCs/>
                <w:color w:val="000000"/>
                <w:kern w:val="0"/>
                <w:sz w:val="22"/>
                <w:szCs w:val="22"/>
                <w:highlight w:val="none"/>
                <w:lang w:bidi="ar"/>
              </w:rPr>
              <w:t>服务内容</w:t>
            </w:r>
          </w:p>
        </w:tc>
        <w:tc>
          <w:tcPr>
            <w:tcW w:w="1698" w:type="pct"/>
            <w:tcBorders>
              <w:top w:val="single" w:color="000000" w:sz="4" w:space="0"/>
              <w:left w:val="single" w:color="000000" w:sz="4" w:space="0"/>
              <w:bottom w:val="single" w:color="000000" w:sz="4" w:space="0"/>
              <w:right w:val="single" w:color="000000" w:sz="4" w:space="0"/>
            </w:tcBorders>
            <w:noWrap w:val="0"/>
            <w:vAlign w:val="center"/>
          </w:tcPr>
          <w:p w14:paraId="7A5664FC">
            <w:pPr>
              <w:widowControl/>
              <w:ind w:firstLine="0" w:firstLineChars="0"/>
              <w:jc w:val="center"/>
              <w:textAlignment w:val="center"/>
              <w:rPr>
                <w:rFonts w:hint="eastAsia" w:ascii="宋体" w:hAnsi="宋体" w:cs="宋体"/>
                <w:b/>
                <w:bCs/>
                <w:color w:val="000000"/>
                <w:sz w:val="22"/>
                <w:szCs w:val="22"/>
                <w:highlight w:val="none"/>
              </w:rPr>
            </w:pPr>
            <w:r>
              <w:rPr>
                <w:rFonts w:hint="eastAsia" w:ascii="宋体" w:hAnsi="宋体" w:cs="宋体"/>
                <w:b/>
                <w:bCs/>
                <w:color w:val="000000"/>
                <w:kern w:val="0"/>
                <w:sz w:val="22"/>
                <w:szCs w:val="22"/>
                <w:highlight w:val="none"/>
                <w:lang w:bidi="ar"/>
              </w:rPr>
              <w:t>具体措施</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758C3320">
            <w:pPr>
              <w:widowControl/>
              <w:ind w:firstLine="0" w:firstLineChars="0"/>
              <w:jc w:val="center"/>
              <w:textAlignment w:val="center"/>
              <w:rPr>
                <w:rFonts w:hint="eastAsia" w:ascii="宋体" w:hAnsi="宋体" w:cs="宋体"/>
                <w:b/>
                <w:bCs/>
                <w:color w:val="000000"/>
                <w:sz w:val="22"/>
                <w:szCs w:val="22"/>
                <w:highlight w:val="none"/>
              </w:rPr>
            </w:pPr>
            <w:r>
              <w:rPr>
                <w:rFonts w:hint="eastAsia" w:ascii="宋体" w:hAnsi="宋体" w:cs="宋体"/>
                <w:b/>
                <w:bCs/>
                <w:color w:val="000000"/>
                <w:kern w:val="0"/>
                <w:sz w:val="22"/>
                <w:szCs w:val="22"/>
                <w:highlight w:val="none"/>
                <w:lang w:bidi="ar"/>
              </w:rPr>
              <w:t>数量</w:t>
            </w:r>
          </w:p>
        </w:tc>
      </w:tr>
      <w:tr w14:paraId="4E711BE5">
        <w:tblPrEx>
          <w:tblCellMar>
            <w:top w:w="0" w:type="dxa"/>
            <w:left w:w="108" w:type="dxa"/>
            <w:bottom w:w="0" w:type="dxa"/>
            <w:right w:w="108" w:type="dxa"/>
          </w:tblCellMar>
        </w:tblPrEx>
        <w:trPr>
          <w:trHeight w:val="1131"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67F28D96">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w:t>
            </w:r>
          </w:p>
        </w:tc>
        <w:tc>
          <w:tcPr>
            <w:tcW w:w="665" w:type="pct"/>
            <w:tcBorders>
              <w:top w:val="single" w:color="000000" w:sz="4" w:space="0"/>
              <w:left w:val="single" w:color="000000" w:sz="4" w:space="0"/>
              <w:bottom w:val="single" w:color="000000" w:sz="4" w:space="0"/>
              <w:right w:val="single" w:color="000000" w:sz="4" w:space="0"/>
            </w:tcBorders>
            <w:noWrap w:val="0"/>
            <w:vAlign w:val="center"/>
          </w:tcPr>
          <w:p w14:paraId="3B3A29CD">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开封市2025年工伤预防项目部署会</w:t>
            </w:r>
          </w:p>
        </w:tc>
        <w:tc>
          <w:tcPr>
            <w:tcW w:w="1926" w:type="pct"/>
            <w:tcBorders>
              <w:top w:val="single" w:color="000000" w:sz="4" w:space="0"/>
              <w:left w:val="single" w:color="000000" w:sz="4" w:space="0"/>
              <w:bottom w:val="single" w:color="000000" w:sz="4" w:space="0"/>
              <w:right w:val="single" w:color="000000" w:sz="4" w:space="0"/>
            </w:tcBorders>
            <w:noWrap w:val="0"/>
            <w:vAlign w:val="center"/>
          </w:tcPr>
          <w:p w14:paraId="35469E5B">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举行工伤预防部署会，邀请市工伤预防联席会议成员单位、市重点企业、相关企业代表、主要媒体等参加，通过启动会，树立工伤预防年度工作目标，引起企业对工伤预防工作的重视，为后续工伤预防项目开展打下基础。</w:t>
            </w:r>
          </w:p>
        </w:tc>
        <w:tc>
          <w:tcPr>
            <w:tcW w:w="1698" w:type="pct"/>
            <w:tcBorders>
              <w:top w:val="single" w:color="000000" w:sz="4" w:space="0"/>
              <w:left w:val="single" w:color="000000" w:sz="4" w:space="0"/>
              <w:bottom w:val="single" w:color="000000" w:sz="4" w:space="0"/>
              <w:right w:val="single" w:color="000000" w:sz="4" w:space="0"/>
            </w:tcBorders>
            <w:noWrap w:val="0"/>
            <w:vAlign w:val="center"/>
          </w:tcPr>
          <w:p w14:paraId="2003C7DB">
            <w:pPr>
              <w:widowControl/>
              <w:ind w:firstLine="0" w:firstLineChars="0"/>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回顾总结上年度工作，部署本年度工作重点。</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360015D1">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1场</w:t>
            </w:r>
          </w:p>
        </w:tc>
      </w:tr>
      <w:tr w14:paraId="56F0ED25">
        <w:tblPrEx>
          <w:tblCellMar>
            <w:top w:w="0" w:type="dxa"/>
            <w:left w:w="108" w:type="dxa"/>
            <w:bottom w:w="0" w:type="dxa"/>
            <w:right w:w="108" w:type="dxa"/>
          </w:tblCellMar>
        </w:tblPrEx>
        <w:trPr>
          <w:trHeight w:val="3103"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20B9C594">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2</w:t>
            </w:r>
          </w:p>
        </w:tc>
        <w:tc>
          <w:tcPr>
            <w:tcW w:w="665" w:type="pct"/>
            <w:tcBorders>
              <w:top w:val="single" w:color="000000" w:sz="4" w:space="0"/>
              <w:left w:val="single" w:color="000000" w:sz="4" w:space="0"/>
              <w:bottom w:val="single" w:color="000000" w:sz="4" w:space="0"/>
              <w:right w:val="single" w:color="000000" w:sz="4" w:space="0"/>
            </w:tcBorders>
            <w:noWrap w:val="0"/>
            <w:vAlign w:val="center"/>
          </w:tcPr>
          <w:p w14:paraId="21540391">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工伤预防警示教育片</w:t>
            </w:r>
          </w:p>
        </w:tc>
        <w:tc>
          <w:tcPr>
            <w:tcW w:w="1926" w:type="pct"/>
            <w:tcBorders>
              <w:top w:val="single" w:color="000000" w:sz="4" w:space="0"/>
              <w:left w:val="single" w:color="000000" w:sz="4" w:space="0"/>
              <w:bottom w:val="single" w:color="000000" w:sz="4" w:space="0"/>
              <w:right w:val="single" w:color="000000" w:sz="4" w:space="0"/>
            </w:tcBorders>
            <w:noWrap w:val="0"/>
            <w:vAlign w:val="center"/>
          </w:tcPr>
          <w:p w14:paraId="5451FD91">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制作45部重点行业、工种的工伤预防警示教育片制作</w:t>
            </w:r>
          </w:p>
        </w:tc>
        <w:tc>
          <w:tcPr>
            <w:tcW w:w="1698" w:type="pct"/>
            <w:tcBorders>
              <w:top w:val="single" w:color="000000" w:sz="4" w:space="0"/>
              <w:left w:val="single" w:color="000000" w:sz="4" w:space="0"/>
              <w:bottom w:val="single" w:color="000000" w:sz="4" w:space="0"/>
              <w:right w:val="single" w:color="000000" w:sz="4" w:space="0"/>
            </w:tcBorders>
            <w:noWrap w:val="0"/>
            <w:vAlign w:val="center"/>
          </w:tcPr>
          <w:p w14:paraId="2034795F">
            <w:pPr>
              <w:widowControl/>
              <w:ind w:firstLine="0" w:firstLineChars="0"/>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通过对开封工伤数据分析，综合事故频数、工亡频数和职业病事故数等，结合工伤高发行业、岗位及伤害类型，定向开发45部重点行业工伤预防警示教育片，让重点工种作业人员了解各类工种必要的理论知识，加强实际技能操作，提高解决现场问题的能力，通过警示教育片使各类从业人员能够“看得懂、记得住、用得上”。企业可用于日常安全培训、岗前培训和企业内部场所（如新员工培训室、职工食堂）轮播投放。视频为版权片、非定制，MG动画形式，时长：5min±30s，分辨率：1920×1080（16:9），码率：≥20mbps，帧率：30fps，音频赫兹：44100Hz。</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51081145">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45部</w:t>
            </w:r>
          </w:p>
        </w:tc>
      </w:tr>
      <w:tr w14:paraId="3815CED0">
        <w:tblPrEx>
          <w:tblCellMar>
            <w:top w:w="0" w:type="dxa"/>
            <w:left w:w="108" w:type="dxa"/>
            <w:bottom w:w="0" w:type="dxa"/>
            <w:right w:w="108" w:type="dxa"/>
          </w:tblCellMar>
        </w:tblPrEx>
        <w:trPr>
          <w:trHeight w:val="849"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2819AAD9">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3</w:t>
            </w:r>
          </w:p>
        </w:tc>
        <w:tc>
          <w:tcPr>
            <w:tcW w:w="665" w:type="pct"/>
            <w:tcBorders>
              <w:top w:val="single" w:color="000000" w:sz="4" w:space="0"/>
              <w:left w:val="single" w:color="000000" w:sz="4" w:space="0"/>
              <w:bottom w:val="single" w:color="000000" w:sz="4" w:space="0"/>
              <w:right w:val="single" w:color="000000" w:sz="4" w:space="0"/>
            </w:tcBorders>
            <w:noWrap w:val="0"/>
            <w:vAlign w:val="center"/>
          </w:tcPr>
          <w:p w14:paraId="52FA183B">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车辆伤害事故（厂内和厂外）工伤事故预防大型培训</w:t>
            </w:r>
          </w:p>
        </w:tc>
        <w:tc>
          <w:tcPr>
            <w:tcW w:w="1926" w:type="pct"/>
            <w:tcBorders>
              <w:top w:val="single" w:color="000000" w:sz="4" w:space="0"/>
              <w:left w:val="single" w:color="000000" w:sz="4" w:space="0"/>
              <w:bottom w:val="single" w:color="000000" w:sz="4" w:space="0"/>
              <w:right w:val="single" w:color="000000" w:sz="4" w:space="0"/>
            </w:tcBorders>
            <w:noWrap w:val="0"/>
            <w:vAlign w:val="center"/>
          </w:tcPr>
          <w:p w14:paraId="6FAB67FA">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针对辖区内车辆伤害事故高发的218家企业，结合事故主要的岗位、事故场景和特点，面向生产运输工人、一线操作工人，开展车辆伤害事故（厂内和厂外）工伤事故预防大型培训。</w:t>
            </w:r>
          </w:p>
        </w:tc>
        <w:tc>
          <w:tcPr>
            <w:tcW w:w="1698" w:type="pct"/>
            <w:tcBorders>
              <w:top w:val="single" w:color="000000" w:sz="4" w:space="0"/>
              <w:left w:val="single" w:color="000000" w:sz="4" w:space="0"/>
              <w:bottom w:val="single" w:color="000000" w:sz="4" w:space="0"/>
              <w:right w:val="single" w:color="000000" w:sz="4" w:space="0"/>
            </w:tcBorders>
            <w:noWrap w:val="0"/>
            <w:vAlign w:val="center"/>
          </w:tcPr>
          <w:p w14:paraId="76C83474">
            <w:pPr>
              <w:widowControl/>
              <w:ind w:firstLine="0" w:firstLineChars="0"/>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计划每场培训80人左右，培训时长4学时。</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0D9222CC">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3场</w:t>
            </w:r>
          </w:p>
        </w:tc>
      </w:tr>
      <w:tr w14:paraId="105B0479">
        <w:tblPrEx>
          <w:tblCellMar>
            <w:top w:w="0" w:type="dxa"/>
            <w:left w:w="108" w:type="dxa"/>
            <w:bottom w:w="0" w:type="dxa"/>
            <w:right w:w="108" w:type="dxa"/>
          </w:tblCellMar>
        </w:tblPrEx>
        <w:trPr>
          <w:trHeight w:val="1697"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42399DF1">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4</w:t>
            </w:r>
          </w:p>
        </w:tc>
        <w:tc>
          <w:tcPr>
            <w:tcW w:w="665" w:type="pct"/>
            <w:tcBorders>
              <w:top w:val="single" w:color="000000" w:sz="4" w:space="0"/>
              <w:left w:val="single" w:color="000000" w:sz="4" w:space="0"/>
              <w:bottom w:val="single" w:color="000000" w:sz="4" w:space="0"/>
              <w:right w:val="single" w:color="000000" w:sz="4" w:space="0"/>
            </w:tcBorders>
            <w:noWrap w:val="0"/>
            <w:vAlign w:val="center"/>
          </w:tcPr>
          <w:p w14:paraId="4EF23E7D">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工伤预防领导力能力提升培训</w:t>
            </w:r>
          </w:p>
        </w:tc>
        <w:tc>
          <w:tcPr>
            <w:tcW w:w="1926" w:type="pct"/>
            <w:tcBorders>
              <w:top w:val="single" w:color="000000" w:sz="4" w:space="0"/>
              <w:left w:val="single" w:color="000000" w:sz="4" w:space="0"/>
              <w:bottom w:val="single" w:color="000000" w:sz="4" w:space="0"/>
              <w:right w:val="single" w:color="000000" w:sz="4" w:space="0"/>
            </w:tcBorders>
            <w:noWrap w:val="0"/>
            <w:vAlign w:val="center"/>
          </w:tcPr>
          <w:p w14:paraId="5F0103E4">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组织行业工伤高发企业主要负责人、安全负责人、安全部管理人员，开展工伤预防领导力大型培训，以假设企业发生恶性事故为切入点，为企业主要负责人等算法律责任账、刑事责任追究账、企业经济损失账、工人家庭悲剧账，唤醒企业主要负责人的现存的侥幸心理，提高企业及分管安全负责人的安全领导意识和责任。</w:t>
            </w:r>
          </w:p>
        </w:tc>
        <w:tc>
          <w:tcPr>
            <w:tcW w:w="1698" w:type="pct"/>
            <w:tcBorders>
              <w:top w:val="single" w:color="000000" w:sz="4" w:space="0"/>
              <w:left w:val="single" w:color="000000" w:sz="4" w:space="0"/>
              <w:bottom w:val="single" w:color="000000" w:sz="4" w:space="0"/>
              <w:right w:val="single" w:color="000000" w:sz="4" w:space="0"/>
            </w:tcBorders>
            <w:noWrap w:val="0"/>
            <w:vAlign w:val="center"/>
          </w:tcPr>
          <w:p w14:paraId="55DEC5CA">
            <w:pPr>
              <w:widowControl/>
              <w:ind w:firstLine="0" w:firstLineChars="0"/>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计划每场培训80人左右，培训时长4学时。</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7B04C3C7">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1场</w:t>
            </w:r>
          </w:p>
        </w:tc>
      </w:tr>
      <w:tr w14:paraId="055EAC7B">
        <w:tblPrEx>
          <w:tblCellMar>
            <w:top w:w="0" w:type="dxa"/>
            <w:left w:w="108" w:type="dxa"/>
            <w:bottom w:w="0" w:type="dxa"/>
            <w:right w:w="108" w:type="dxa"/>
          </w:tblCellMar>
        </w:tblPrEx>
        <w:trPr>
          <w:trHeight w:val="3239"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72070611">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5</w:t>
            </w:r>
          </w:p>
        </w:tc>
        <w:tc>
          <w:tcPr>
            <w:tcW w:w="665" w:type="pct"/>
            <w:vMerge w:val="restart"/>
            <w:tcBorders>
              <w:top w:val="single" w:color="000000" w:sz="4" w:space="0"/>
              <w:left w:val="single" w:color="000000" w:sz="4" w:space="0"/>
              <w:bottom w:val="single" w:color="000000" w:sz="4" w:space="0"/>
              <w:right w:val="single" w:color="000000" w:sz="4" w:space="0"/>
            </w:tcBorders>
            <w:noWrap w:val="0"/>
            <w:vAlign w:val="center"/>
          </w:tcPr>
          <w:p w14:paraId="3338D6C0">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重点企业动态精准治理</w:t>
            </w:r>
          </w:p>
        </w:tc>
        <w:tc>
          <w:tcPr>
            <w:tcW w:w="1926" w:type="pct"/>
            <w:tcBorders>
              <w:top w:val="single" w:color="000000" w:sz="4" w:space="0"/>
              <w:left w:val="single" w:color="000000" w:sz="4" w:space="0"/>
              <w:bottom w:val="single" w:color="000000" w:sz="4" w:space="0"/>
              <w:right w:val="single" w:color="000000" w:sz="4" w:space="0"/>
            </w:tcBorders>
            <w:noWrap w:val="0"/>
            <w:vAlign w:val="center"/>
          </w:tcPr>
          <w:p w14:paraId="14E10679">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针对企业选取不准、新增企业存在无法覆盖等问题，引入动态精准治理，通过将区域内60家工伤高发企业全面纳入动态精准治理，根据其历史事故发生情况、行业特征形成智能工伤触发模型，配套工伤快报服务，实现对工伤态势的动态监测</w:t>
            </w:r>
          </w:p>
        </w:tc>
        <w:tc>
          <w:tcPr>
            <w:tcW w:w="1698" w:type="pct"/>
            <w:tcBorders>
              <w:top w:val="single" w:color="000000" w:sz="4" w:space="0"/>
              <w:left w:val="single" w:color="000000" w:sz="4" w:space="0"/>
              <w:bottom w:val="single" w:color="000000" w:sz="4" w:space="0"/>
              <w:right w:val="single" w:color="000000" w:sz="4" w:space="0"/>
            </w:tcBorders>
            <w:noWrap w:val="0"/>
            <w:vAlign w:val="center"/>
          </w:tcPr>
          <w:p w14:paraId="682A0114">
            <w:pPr>
              <w:widowControl/>
              <w:ind w:firstLine="0" w:firstLineChars="0"/>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智能触发模型根据工伤类型触发不同的治理措施，包含不限于基于智能隐患排查系统的自查自纠（60家）、安全员事故辅助调查（135次）、安全专家入企治理（4次）、联合人社部门联合调研督促（1次）、联系应急等部门进行联合督导（1次）等形式。采用分层分级治理，真正实现工伤事故全域监测、精准治理、科学降数。每次辅助调查培训、安全专家入企辅导完成后需提交《隐患推荐清单》《调研报告》《历史事故四不放过报告》《工伤隐患报告》《培训资料包》（包含不限于企业培训课件、讲师手册、学员手册、训练题库、考试试卷的培训资料包，培训课件包内容需覆盖转训用人单位近三年90%工伤事故数所对应的工伤作业、伤害类型，前10大工伤岗位类型）。</w:t>
            </w:r>
          </w:p>
        </w:tc>
        <w:tc>
          <w:tcPr>
            <w:tcW w:w="397" w:type="pct"/>
            <w:tcBorders>
              <w:top w:val="single" w:color="000000" w:sz="4" w:space="0"/>
              <w:left w:val="single" w:color="000000" w:sz="4" w:space="0"/>
              <w:bottom w:val="single" w:color="000000" w:sz="4" w:space="0"/>
              <w:right w:val="single" w:color="000000" w:sz="4" w:space="0"/>
            </w:tcBorders>
            <w:noWrap/>
            <w:vAlign w:val="center"/>
          </w:tcPr>
          <w:p w14:paraId="49819D41">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60家</w:t>
            </w:r>
          </w:p>
        </w:tc>
      </w:tr>
      <w:tr w14:paraId="59C5AEDE">
        <w:tblPrEx>
          <w:tblCellMar>
            <w:top w:w="0" w:type="dxa"/>
            <w:left w:w="108" w:type="dxa"/>
            <w:bottom w:w="0" w:type="dxa"/>
            <w:right w:w="108" w:type="dxa"/>
          </w:tblCellMar>
        </w:tblPrEx>
        <w:trPr>
          <w:trHeight w:val="1980"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078B687A">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6</w:t>
            </w:r>
          </w:p>
        </w:tc>
        <w:tc>
          <w:tcPr>
            <w:tcW w:w="665"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52F111">
            <w:pPr>
              <w:widowControl/>
              <w:ind w:firstLine="0" w:firstLineChars="0"/>
              <w:jc w:val="center"/>
              <w:rPr>
                <w:rFonts w:hint="eastAsia" w:ascii="宋体" w:hAnsi="宋体" w:cs="宋体"/>
                <w:color w:val="000000"/>
                <w:sz w:val="22"/>
                <w:szCs w:val="22"/>
                <w:highlight w:val="none"/>
              </w:rPr>
            </w:pPr>
          </w:p>
        </w:tc>
        <w:tc>
          <w:tcPr>
            <w:tcW w:w="1926" w:type="pct"/>
            <w:tcBorders>
              <w:top w:val="single" w:color="000000" w:sz="4" w:space="0"/>
              <w:left w:val="single" w:color="000000" w:sz="4" w:space="0"/>
              <w:bottom w:val="single" w:color="000000" w:sz="4" w:space="0"/>
              <w:right w:val="single" w:color="000000" w:sz="4" w:space="0"/>
            </w:tcBorders>
            <w:noWrap w:val="0"/>
            <w:vAlign w:val="center"/>
          </w:tcPr>
          <w:p w14:paraId="6DFE457F">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重点企业TTT骨干人才培训</w:t>
            </w:r>
          </w:p>
        </w:tc>
        <w:tc>
          <w:tcPr>
            <w:tcW w:w="1698" w:type="pct"/>
            <w:tcBorders>
              <w:top w:val="single" w:color="000000" w:sz="4" w:space="0"/>
              <w:left w:val="single" w:color="000000" w:sz="4" w:space="0"/>
              <w:bottom w:val="single" w:color="000000" w:sz="4" w:space="0"/>
              <w:right w:val="single" w:color="000000" w:sz="4" w:space="0"/>
            </w:tcBorders>
            <w:noWrap w:val="0"/>
            <w:vAlign w:val="center"/>
          </w:tcPr>
          <w:p w14:paraId="40051A84">
            <w:pPr>
              <w:widowControl/>
              <w:ind w:firstLine="0" w:firstLineChars="0"/>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根据工伤数据，自动化分析工伤高发岗位、作业类型、伤害类型及应对措施、技巧，自动化生产培训课程包（包含不限于培训课件、讲师手册、学员手册、训练题库），面向企业安全管理人员开展TTT培训，教授工伤隐患排查知识、方法和技巧、事故预防的知识、企业自查自纠小程序和在线培训平台使用的方法、授课技巧。培训时长8学时，4学时理论培训，4学时培训实操与考核。</w:t>
            </w:r>
          </w:p>
        </w:tc>
        <w:tc>
          <w:tcPr>
            <w:tcW w:w="397" w:type="pct"/>
            <w:tcBorders>
              <w:top w:val="single" w:color="000000" w:sz="4" w:space="0"/>
              <w:left w:val="single" w:color="000000" w:sz="4" w:space="0"/>
              <w:bottom w:val="single" w:color="000000" w:sz="4" w:space="0"/>
              <w:right w:val="single" w:color="000000" w:sz="4" w:space="0"/>
            </w:tcBorders>
            <w:noWrap/>
            <w:vAlign w:val="center"/>
          </w:tcPr>
          <w:p w14:paraId="544D1BE1">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1场</w:t>
            </w:r>
          </w:p>
        </w:tc>
      </w:tr>
      <w:tr w14:paraId="3336868D">
        <w:tblPrEx>
          <w:tblCellMar>
            <w:top w:w="0" w:type="dxa"/>
            <w:left w:w="108" w:type="dxa"/>
            <w:bottom w:w="0" w:type="dxa"/>
            <w:right w:w="108" w:type="dxa"/>
          </w:tblCellMar>
        </w:tblPrEx>
        <w:trPr>
          <w:trHeight w:val="422"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2F210CA9">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7</w:t>
            </w:r>
          </w:p>
        </w:tc>
        <w:tc>
          <w:tcPr>
            <w:tcW w:w="665"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29AB92">
            <w:pPr>
              <w:widowControl/>
              <w:ind w:firstLine="0" w:firstLineChars="0"/>
              <w:jc w:val="center"/>
              <w:rPr>
                <w:rFonts w:hint="eastAsia" w:ascii="宋体" w:hAnsi="宋体" w:cs="宋体"/>
                <w:color w:val="000000"/>
                <w:sz w:val="22"/>
                <w:szCs w:val="22"/>
                <w:highlight w:val="none"/>
              </w:rPr>
            </w:pPr>
          </w:p>
        </w:tc>
        <w:tc>
          <w:tcPr>
            <w:tcW w:w="1926" w:type="pct"/>
            <w:tcBorders>
              <w:top w:val="single" w:color="000000" w:sz="4" w:space="0"/>
              <w:left w:val="single" w:color="000000" w:sz="4" w:space="0"/>
              <w:bottom w:val="single" w:color="000000" w:sz="4" w:space="0"/>
              <w:right w:val="single" w:color="000000" w:sz="4" w:space="0"/>
            </w:tcBorders>
            <w:noWrap w:val="0"/>
            <w:vAlign w:val="center"/>
          </w:tcPr>
          <w:p w14:paraId="6B44E412">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重点企业工伤预防转训</w:t>
            </w:r>
          </w:p>
        </w:tc>
        <w:tc>
          <w:tcPr>
            <w:tcW w:w="1698" w:type="pct"/>
            <w:tcBorders>
              <w:top w:val="single" w:color="000000" w:sz="4" w:space="0"/>
              <w:left w:val="single" w:color="000000" w:sz="4" w:space="0"/>
              <w:bottom w:val="nil"/>
              <w:right w:val="single" w:color="000000" w:sz="4" w:space="0"/>
            </w:tcBorders>
            <w:noWrap w:val="0"/>
            <w:vAlign w:val="center"/>
          </w:tcPr>
          <w:p w14:paraId="1ACE6758">
            <w:pPr>
              <w:widowControl/>
              <w:ind w:firstLine="0" w:firstLineChars="0"/>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由参与TTT的培训师通过培训平台开展转训工作。为保证培训质量，培训平台可提供可视化数据监测服务，为企业自动配置线上课程，供学员自主学习，平台根据受训企业工伤数据，自动化分析工伤高发岗位、作业类型、伤害类型及应对措施、技巧，自动化生产培训课程包（包含不限于培训课件、讲师手册、学员手册、训练题库）；通过系统智能分析培训人数、评估培训成效、自动生成培训档案、学员档案，确保培训过程可追溯。</w:t>
            </w:r>
            <w:r>
              <w:rPr>
                <w:rFonts w:hint="eastAsia" w:ascii="宋体" w:hAnsi="宋体" w:cs="宋体"/>
                <w:color w:val="000000"/>
                <w:kern w:val="0"/>
                <w:sz w:val="22"/>
                <w:szCs w:val="22"/>
                <w:highlight w:val="none"/>
                <w:lang w:bidi="ar"/>
              </w:rPr>
              <w:br w:type="textWrapping"/>
            </w:r>
            <w:r>
              <w:rPr>
                <w:rFonts w:hint="eastAsia" w:ascii="宋体" w:hAnsi="宋体" w:cs="宋体"/>
                <w:color w:val="000000"/>
                <w:kern w:val="0"/>
                <w:sz w:val="22"/>
                <w:szCs w:val="22"/>
                <w:highlight w:val="none"/>
                <w:lang w:bidi="ar"/>
              </w:rPr>
              <w:t>培训及课件包内容需覆盖转训用人单位近三年90%工伤事故数所对应的工伤作业、伤害类型，前10大工伤岗位类型</w:t>
            </w:r>
            <w:r>
              <w:rPr>
                <w:rFonts w:hint="eastAsia" w:ascii="宋体" w:hAnsi="宋体" w:cs="宋体"/>
                <w:color w:val="000000"/>
                <w:kern w:val="0"/>
                <w:sz w:val="22"/>
                <w:szCs w:val="22"/>
                <w:highlight w:val="none"/>
                <w:lang w:bidi="ar"/>
              </w:rPr>
              <w:br w:type="textWrapping"/>
            </w:r>
            <w:r>
              <w:rPr>
                <w:rFonts w:hint="eastAsia" w:ascii="宋体" w:hAnsi="宋体" w:cs="宋体"/>
                <w:color w:val="000000"/>
                <w:kern w:val="0"/>
                <w:sz w:val="22"/>
                <w:szCs w:val="22"/>
                <w:highlight w:val="none"/>
                <w:lang w:bidi="ar"/>
              </w:rPr>
              <w:t>转训考核得分不低于85分（满分100分），满意度不低于85%</w:t>
            </w:r>
            <w:r>
              <w:rPr>
                <w:rFonts w:hint="eastAsia" w:ascii="宋体" w:hAnsi="宋体" w:cs="宋体"/>
                <w:color w:val="000000"/>
                <w:kern w:val="0"/>
                <w:sz w:val="22"/>
                <w:szCs w:val="22"/>
                <w:highlight w:val="none"/>
                <w:lang w:bidi="ar"/>
              </w:rPr>
              <w:br w:type="textWrapping"/>
            </w:r>
            <w:r>
              <w:rPr>
                <w:rFonts w:hint="eastAsia" w:ascii="宋体" w:hAnsi="宋体" w:cs="宋体"/>
                <w:color w:val="000000"/>
                <w:kern w:val="0"/>
                <w:sz w:val="22"/>
                <w:szCs w:val="22"/>
                <w:highlight w:val="none"/>
                <w:lang w:bidi="ar"/>
              </w:rPr>
              <w:t>平台将提供可视化数据监测服务，实时监测全市转训工作实施进展，查看各企业转训业务推动情况，转训现场视频、签到人数、考核成绩统计、学员档案等内容</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04170A8E">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不低于2000人</w:t>
            </w:r>
          </w:p>
        </w:tc>
      </w:tr>
      <w:tr w14:paraId="1333543C">
        <w:tblPrEx>
          <w:tblCellMar>
            <w:top w:w="0" w:type="dxa"/>
            <w:left w:w="108" w:type="dxa"/>
            <w:bottom w:w="0" w:type="dxa"/>
            <w:right w:w="108" w:type="dxa"/>
          </w:tblCellMar>
        </w:tblPrEx>
        <w:trPr>
          <w:trHeight w:val="2263"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2EB6A107">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8</w:t>
            </w:r>
          </w:p>
        </w:tc>
        <w:tc>
          <w:tcPr>
            <w:tcW w:w="665"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03C1B4">
            <w:pPr>
              <w:widowControl/>
              <w:ind w:firstLine="0" w:firstLineChars="0"/>
              <w:jc w:val="center"/>
              <w:rPr>
                <w:rFonts w:hint="eastAsia" w:ascii="宋体" w:hAnsi="宋体" w:cs="宋体"/>
                <w:color w:val="000000"/>
                <w:sz w:val="22"/>
                <w:szCs w:val="22"/>
                <w:highlight w:val="none"/>
              </w:rPr>
            </w:pPr>
          </w:p>
        </w:tc>
        <w:tc>
          <w:tcPr>
            <w:tcW w:w="1926" w:type="pct"/>
            <w:tcBorders>
              <w:top w:val="single" w:color="000000" w:sz="4" w:space="0"/>
              <w:left w:val="single" w:color="000000" w:sz="4" w:space="0"/>
              <w:bottom w:val="single" w:color="000000" w:sz="4" w:space="0"/>
              <w:right w:val="single" w:color="000000" w:sz="4" w:space="0"/>
            </w:tcBorders>
            <w:noWrap w:val="0"/>
            <w:vAlign w:val="center"/>
          </w:tcPr>
          <w:p w14:paraId="4F8CCA79">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重点企业自查自纠系统使用</w:t>
            </w:r>
          </w:p>
        </w:tc>
        <w:tc>
          <w:tcPr>
            <w:tcW w:w="1698" w:type="pct"/>
            <w:tcBorders>
              <w:top w:val="single" w:color="000000" w:sz="4" w:space="0"/>
              <w:left w:val="single" w:color="000000" w:sz="4" w:space="0"/>
              <w:bottom w:val="single" w:color="000000" w:sz="4" w:space="0"/>
              <w:right w:val="single" w:color="000000" w:sz="4" w:space="0"/>
            </w:tcBorders>
            <w:noWrap w:val="0"/>
            <w:vAlign w:val="center"/>
          </w:tcPr>
          <w:p w14:paraId="4A43FD20">
            <w:pPr>
              <w:widowControl/>
              <w:ind w:firstLine="0" w:firstLineChars="0"/>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企业登录工伤隐患自查小程序，获取历史工伤事故数据及智能推荐隐患清单，对照隐患清单进行现场检查，对发现的隐患进行拍照取证，通过第三方服务机构的小程序上报隐患信息，并根据隐患自查结果通过小程序指派责任人进行隐患整改、进度查询、形成自查自纠报告，最终将报告提至人社局和应急局。人社局和应急局根据企业自查自纠情况进行汇总分析，形成总结报告，提出改进意见。</w:t>
            </w:r>
          </w:p>
        </w:tc>
        <w:tc>
          <w:tcPr>
            <w:tcW w:w="397" w:type="pct"/>
            <w:tcBorders>
              <w:top w:val="single" w:color="000000" w:sz="4" w:space="0"/>
              <w:left w:val="single" w:color="000000" w:sz="4" w:space="0"/>
              <w:bottom w:val="single" w:color="000000" w:sz="4" w:space="0"/>
              <w:right w:val="single" w:color="000000" w:sz="4" w:space="0"/>
            </w:tcBorders>
            <w:noWrap/>
            <w:vAlign w:val="center"/>
          </w:tcPr>
          <w:p w14:paraId="52FAD0B7">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1套</w:t>
            </w:r>
          </w:p>
        </w:tc>
      </w:tr>
      <w:tr w14:paraId="7555096C">
        <w:tblPrEx>
          <w:tblCellMar>
            <w:top w:w="0" w:type="dxa"/>
            <w:left w:w="108" w:type="dxa"/>
            <w:bottom w:w="0" w:type="dxa"/>
            <w:right w:w="108" w:type="dxa"/>
          </w:tblCellMar>
        </w:tblPrEx>
        <w:trPr>
          <w:trHeight w:val="849"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24FEF01C">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9</w:t>
            </w:r>
          </w:p>
        </w:tc>
        <w:tc>
          <w:tcPr>
            <w:tcW w:w="665" w:type="pct"/>
            <w:tcBorders>
              <w:top w:val="single" w:color="000000" w:sz="4" w:space="0"/>
              <w:left w:val="single" w:color="000000" w:sz="4" w:space="0"/>
              <w:bottom w:val="single" w:color="000000" w:sz="4" w:space="0"/>
              <w:right w:val="single" w:color="000000" w:sz="4" w:space="0"/>
            </w:tcBorders>
            <w:noWrap w:val="0"/>
            <w:vAlign w:val="center"/>
          </w:tcPr>
          <w:p w14:paraId="0FAC3D22">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制作工伤预防五年成效宣传片</w:t>
            </w:r>
          </w:p>
        </w:tc>
        <w:tc>
          <w:tcPr>
            <w:tcW w:w="1926" w:type="pct"/>
            <w:tcBorders>
              <w:top w:val="single" w:color="000000" w:sz="4" w:space="0"/>
              <w:left w:val="single" w:color="000000" w:sz="4" w:space="0"/>
              <w:bottom w:val="single" w:color="000000" w:sz="4" w:space="0"/>
              <w:right w:val="single" w:color="000000" w:sz="4" w:space="0"/>
            </w:tcBorders>
            <w:noWrap w:val="0"/>
            <w:vAlign w:val="center"/>
          </w:tcPr>
          <w:p w14:paraId="750E2F70">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对开封市工伤预防五年工作开展的关键节点及过程进行拍摄并剪辑，通过视频形式展现开封五年工伤预防工作开展中的亮点、做法及成效，提升职工工伤预防意识，拓宽宣传渠道。</w:t>
            </w:r>
          </w:p>
        </w:tc>
        <w:tc>
          <w:tcPr>
            <w:tcW w:w="1698" w:type="pct"/>
            <w:tcBorders>
              <w:top w:val="single" w:color="000000" w:sz="4" w:space="0"/>
              <w:left w:val="single" w:color="000000" w:sz="4" w:space="0"/>
              <w:bottom w:val="single" w:color="000000" w:sz="4" w:space="0"/>
              <w:right w:val="single" w:color="000000" w:sz="4" w:space="0"/>
            </w:tcBorders>
            <w:noWrap w:val="0"/>
            <w:vAlign w:val="center"/>
          </w:tcPr>
          <w:p w14:paraId="7DBC275E">
            <w:pPr>
              <w:widowControl/>
              <w:ind w:firstLine="0" w:firstLineChars="0"/>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项目总结片（产品规格：素材剪辑，时长：5min±30s，分辨率：1920×1080（16:9），码率：≥20mbps，帧率：30fps，音频赫兹：44100Hz。）</w:t>
            </w:r>
          </w:p>
        </w:tc>
        <w:tc>
          <w:tcPr>
            <w:tcW w:w="397" w:type="pct"/>
            <w:tcBorders>
              <w:top w:val="single" w:color="000000" w:sz="4" w:space="0"/>
              <w:left w:val="single" w:color="000000" w:sz="4" w:space="0"/>
              <w:bottom w:val="single" w:color="000000" w:sz="4" w:space="0"/>
              <w:right w:val="single" w:color="000000" w:sz="4" w:space="0"/>
            </w:tcBorders>
            <w:noWrap/>
            <w:vAlign w:val="center"/>
          </w:tcPr>
          <w:p w14:paraId="011BD802">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1部</w:t>
            </w:r>
          </w:p>
        </w:tc>
      </w:tr>
      <w:tr w14:paraId="6CEF5BFF">
        <w:tblPrEx>
          <w:tblCellMar>
            <w:top w:w="0" w:type="dxa"/>
            <w:left w:w="108" w:type="dxa"/>
            <w:bottom w:w="0" w:type="dxa"/>
            <w:right w:w="108" w:type="dxa"/>
          </w:tblCellMar>
        </w:tblPrEx>
        <w:trPr>
          <w:trHeight w:val="566"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5B6A0797">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10</w:t>
            </w:r>
          </w:p>
        </w:tc>
        <w:tc>
          <w:tcPr>
            <w:tcW w:w="665" w:type="pct"/>
            <w:tcBorders>
              <w:top w:val="single" w:color="000000" w:sz="4" w:space="0"/>
              <w:left w:val="single" w:color="000000" w:sz="4" w:space="0"/>
              <w:bottom w:val="single" w:color="000000" w:sz="4" w:space="0"/>
              <w:right w:val="single" w:color="000000" w:sz="4" w:space="0"/>
            </w:tcBorders>
            <w:noWrap w:val="0"/>
            <w:vAlign w:val="center"/>
          </w:tcPr>
          <w:p w14:paraId="38182C23">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标准化项目档案</w:t>
            </w:r>
          </w:p>
        </w:tc>
        <w:tc>
          <w:tcPr>
            <w:tcW w:w="1926" w:type="pct"/>
            <w:tcBorders>
              <w:top w:val="single" w:color="000000" w:sz="4" w:space="0"/>
              <w:left w:val="single" w:color="000000" w:sz="4" w:space="0"/>
              <w:bottom w:val="single" w:color="000000" w:sz="4" w:space="0"/>
              <w:right w:val="single" w:color="000000" w:sz="4" w:space="0"/>
            </w:tcBorders>
            <w:noWrap w:val="0"/>
            <w:vAlign w:val="center"/>
          </w:tcPr>
          <w:p w14:paraId="3C1E77B4">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根据国家档案标准，形成工伤预防培训、宣传标准化电子档案、纸质档案并移交给人社局存档。</w:t>
            </w:r>
          </w:p>
        </w:tc>
        <w:tc>
          <w:tcPr>
            <w:tcW w:w="1698" w:type="pct"/>
            <w:tcBorders>
              <w:top w:val="single" w:color="000000" w:sz="4" w:space="0"/>
              <w:left w:val="single" w:color="000000" w:sz="4" w:space="0"/>
              <w:bottom w:val="single" w:color="000000" w:sz="4" w:space="0"/>
              <w:right w:val="single" w:color="000000" w:sz="4" w:space="0"/>
            </w:tcBorders>
            <w:noWrap w:val="0"/>
            <w:vAlign w:val="center"/>
          </w:tcPr>
          <w:p w14:paraId="28158CC8">
            <w:pPr>
              <w:widowControl/>
              <w:ind w:firstLine="0" w:firstLineChars="0"/>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档案制作、成册、审核、打印、装订等</w:t>
            </w:r>
          </w:p>
        </w:tc>
        <w:tc>
          <w:tcPr>
            <w:tcW w:w="397" w:type="pct"/>
            <w:tcBorders>
              <w:top w:val="single" w:color="000000" w:sz="4" w:space="0"/>
              <w:left w:val="single" w:color="000000" w:sz="4" w:space="0"/>
              <w:bottom w:val="single" w:color="000000" w:sz="4" w:space="0"/>
              <w:right w:val="single" w:color="000000" w:sz="4" w:space="0"/>
            </w:tcBorders>
            <w:noWrap/>
            <w:vAlign w:val="center"/>
          </w:tcPr>
          <w:p w14:paraId="2C394F7A">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2套</w:t>
            </w:r>
          </w:p>
        </w:tc>
      </w:tr>
      <w:tr w14:paraId="366C9C90">
        <w:tblPrEx>
          <w:tblCellMar>
            <w:top w:w="0" w:type="dxa"/>
            <w:left w:w="108" w:type="dxa"/>
            <w:bottom w:w="0" w:type="dxa"/>
            <w:right w:w="108" w:type="dxa"/>
          </w:tblCellMar>
        </w:tblPrEx>
        <w:trPr>
          <w:trHeight w:val="1697" w:hRule="atLeast"/>
          <w:jc w:val="center"/>
        </w:trPr>
        <w:tc>
          <w:tcPr>
            <w:tcW w:w="311" w:type="pct"/>
            <w:tcBorders>
              <w:top w:val="single" w:color="000000" w:sz="4" w:space="0"/>
              <w:left w:val="single" w:color="000000" w:sz="4" w:space="0"/>
              <w:bottom w:val="single" w:color="000000" w:sz="4" w:space="0"/>
              <w:right w:val="single" w:color="000000" w:sz="4" w:space="0"/>
            </w:tcBorders>
            <w:noWrap w:val="0"/>
            <w:vAlign w:val="center"/>
          </w:tcPr>
          <w:p w14:paraId="3DE8B315">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11</w:t>
            </w:r>
          </w:p>
        </w:tc>
        <w:tc>
          <w:tcPr>
            <w:tcW w:w="665" w:type="pct"/>
            <w:tcBorders>
              <w:top w:val="single" w:color="000000" w:sz="4" w:space="0"/>
              <w:left w:val="single" w:color="000000" w:sz="4" w:space="0"/>
              <w:bottom w:val="single" w:color="000000" w:sz="4" w:space="0"/>
              <w:right w:val="single" w:color="000000" w:sz="4" w:space="0"/>
            </w:tcBorders>
            <w:noWrap w:val="0"/>
            <w:vAlign w:val="center"/>
          </w:tcPr>
          <w:p w14:paraId="3EFAD383">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媒体宣传</w:t>
            </w:r>
          </w:p>
        </w:tc>
        <w:tc>
          <w:tcPr>
            <w:tcW w:w="1926" w:type="pct"/>
            <w:tcBorders>
              <w:top w:val="single" w:color="000000" w:sz="4" w:space="0"/>
              <w:left w:val="single" w:color="000000" w:sz="4" w:space="0"/>
              <w:bottom w:val="single" w:color="000000" w:sz="4" w:space="0"/>
              <w:right w:val="single" w:color="000000" w:sz="4" w:space="0"/>
            </w:tcBorders>
            <w:noWrap w:val="0"/>
            <w:vAlign w:val="center"/>
          </w:tcPr>
          <w:p w14:paraId="730803BA">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权威媒体新闻稿件发布</w:t>
            </w:r>
          </w:p>
        </w:tc>
        <w:tc>
          <w:tcPr>
            <w:tcW w:w="1698" w:type="pct"/>
            <w:tcBorders>
              <w:top w:val="single" w:color="000000" w:sz="4" w:space="0"/>
              <w:left w:val="single" w:color="000000" w:sz="4" w:space="0"/>
              <w:bottom w:val="single" w:color="000000" w:sz="4" w:space="0"/>
              <w:right w:val="single" w:color="000000" w:sz="4" w:space="0"/>
            </w:tcBorders>
            <w:noWrap w:val="0"/>
            <w:vAlign w:val="center"/>
          </w:tcPr>
          <w:p w14:paraId="2BB14208">
            <w:pPr>
              <w:widowControl/>
              <w:ind w:firstLine="0" w:firstLineChars="0"/>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在工伤预防五年行动计划收官之际，针对开封市工伤预防工作开展的成果、亮点、标志性内容进行宣传，本次项目中共包含国家媒体（如《中国劳动保障报》纯文字报道）1条、国家级门户网站（如新华网、人民网、国际在线、中华网等）4条、省级媒体或新媒体2条、市级媒体或新媒体6条。</w:t>
            </w:r>
          </w:p>
        </w:tc>
        <w:tc>
          <w:tcPr>
            <w:tcW w:w="397" w:type="pct"/>
            <w:tcBorders>
              <w:top w:val="single" w:color="000000" w:sz="4" w:space="0"/>
              <w:left w:val="single" w:color="000000" w:sz="4" w:space="0"/>
              <w:bottom w:val="single" w:color="000000" w:sz="4" w:space="0"/>
              <w:right w:val="single" w:color="000000" w:sz="4" w:space="0"/>
            </w:tcBorders>
            <w:noWrap/>
            <w:vAlign w:val="center"/>
          </w:tcPr>
          <w:p w14:paraId="16DFD7B6">
            <w:pPr>
              <w:widowControl/>
              <w:ind w:firstLine="0" w:firstLineChars="0"/>
              <w:jc w:val="center"/>
              <w:textAlignment w:val="center"/>
              <w:rPr>
                <w:rFonts w:hint="eastAsia" w:ascii="宋体" w:hAnsi="宋体" w:cs="宋体"/>
                <w:color w:val="000000"/>
                <w:sz w:val="22"/>
                <w:szCs w:val="22"/>
                <w:highlight w:val="none"/>
              </w:rPr>
            </w:pPr>
            <w:r>
              <w:rPr>
                <w:rFonts w:hint="eastAsia" w:ascii="宋体" w:hAnsi="宋体" w:cs="宋体"/>
                <w:color w:val="000000"/>
                <w:kern w:val="0"/>
                <w:sz w:val="22"/>
                <w:szCs w:val="22"/>
                <w:highlight w:val="none"/>
                <w:lang w:bidi="ar"/>
              </w:rPr>
              <w:t>13条</w:t>
            </w:r>
          </w:p>
        </w:tc>
      </w:tr>
    </w:tbl>
    <w:p w14:paraId="4EEA211E">
      <w:pPr>
        <w:autoSpaceDE w:val="0"/>
        <w:autoSpaceDN w:val="0"/>
        <w:adjustRightInd w:val="0"/>
        <w:jc w:val="center"/>
        <w:outlineLvl w:val="0"/>
        <w:rPr>
          <w:rFonts w:hint="eastAsia" w:ascii="宋体" w:hAnsi="宋体" w:cs="宋体"/>
          <w:color w:val="auto"/>
          <w:sz w:val="28"/>
          <w:szCs w:val="28"/>
          <w:highlight w:val="none"/>
        </w:rPr>
      </w:pPr>
      <w:bookmarkStart w:id="252" w:name="_Toc11792"/>
      <w:r>
        <w:rPr>
          <w:rFonts w:hint="eastAsia" w:ascii="宋体" w:hAnsi="宋体" w:cs="宋体"/>
          <w:b/>
          <w:color w:val="auto"/>
          <w:spacing w:val="-26"/>
          <w:kern w:val="0"/>
          <w:sz w:val="44"/>
          <w:szCs w:val="44"/>
          <w:highlight w:val="none"/>
        </w:rPr>
        <w:t xml:space="preserve">第四章   </w:t>
      </w:r>
      <w:bookmarkEnd w:id="249"/>
      <w:bookmarkStart w:id="253" w:name="_Toc144974566"/>
      <w:bookmarkStart w:id="254" w:name="_Toc445450459"/>
      <w:bookmarkStart w:id="255" w:name="_Toc414277162"/>
      <w:bookmarkStart w:id="256" w:name="_Toc415575789"/>
      <w:bookmarkStart w:id="257" w:name="_Toc414112650"/>
      <w:bookmarkStart w:id="258" w:name="_Toc152042376"/>
      <w:bookmarkStart w:id="259" w:name="_Toc152045599"/>
      <w:r>
        <w:rPr>
          <w:rFonts w:hint="eastAsia" w:ascii="宋体" w:hAnsi="宋体" w:cs="宋体"/>
          <w:b/>
          <w:color w:val="auto"/>
          <w:spacing w:val="-26"/>
          <w:kern w:val="0"/>
          <w:sz w:val="44"/>
          <w:szCs w:val="44"/>
          <w:highlight w:val="none"/>
        </w:rPr>
        <w:t>评标办法</w:t>
      </w:r>
      <w:bookmarkEnd w:id="250"/>
      <w:bookmarkEnd w:id="252"/>
    </w:p>
    <w:bookmarkEnd w:id="253"/>
    <w:bookmarkEnd w:id="254"/>
    <w:bookmarkEnd w:id="255"/>
    <w:bookmarkEnd w:id="256"/>
    <w:bookmarkEnd w:id="257"/>
    <w:bookmarkEnd w:id="258"/>
    <w:bookmarkEnd w:id="259"/>
    <w:tbl>
      <w:tblPr>
        <w:tblStyle w:val="28"/>
        <w:tblpPr w:leftFromText="180" w:rightFromText="180" w:vertAnchor="text" w:horzAnchor="page" w:tblpXSpec="center" w:tblpY="313"/>
        <w:tblOverlap w:val="never"/>
        <w:tblW w:w="9540" w:type="dxa"/>
        <w:jc w:val="center"/>
        <w:tblLayout w:type="fixed"/>
        <w:tblCellMar>
          <w:top w:w="0" w:type="dxa"/>
          <w:left w:w="108" w:type="dxa"/>
          <w:bottom w:w="0" w:type="dxa"/>
          <w:right w:w="108" w:type="dxa"/>
        </w:tblCellMar>
      </w:tblPr>
      <w:tblGrid>
        <w:gridCol w:w="534"/>
        <w:gridCol w:w="1460"/>
        <w:gridCol w:w="2611"/>
        <w:gridCol w:w="4935"/>
      </w:tblGrid>
      <w:tr w14:paraId="330ED941">
        <w:tblPrEx>
          <w:tblCellMar>
            <w:top w:w="0" w:type="dxa"/>
            <w:left w:w="108" w:type="dxa"/>
            <w:bottom w:w="0" w:type="dxa"/>
            <w:right w:w="108" w:type="dxa"/>
          </w:tblCellMar>
        </w:tblPrEx>
        <w:trPr>
          <w:trHeight w:val="680" w:hRule="atLeast"/>
          <w:jc w:val="center"/>
        </w:trPr>
        <w:tc>
          <w:tcPr>
            <w:tcW w:w="1994" w:type="dxa"/>
            <w:gridSpan w:val="2"/>
            <w:tcBorders>
              <w:top w:val="single" w:color="auto" w:sz="4" w:space="0"/>
              <w:left w:val="single" w:color="auto" w:sz="4" w:space="0"/>
              <w:bottom w:val="single" w:color="auto" w:sz="4" w:space="0"/>
              <w:right w:val="single" w:color="000000" w:sz="2" w:space="0"/>
            </w:tcBorders>
            <w:shd w:val="clear" w:color="auto" w:fill="FFFFFF"/>
            <w:vAlign w:val="center"/>
          </w:tcPr>
          <w:p w14:paraId="07054D33">
            <w:pPr>
              <w:autoSpaceDE w:val="0"/>
              <w:autoSpaceDN w:val="0"/>
              <w:adjustRightInd w:val="0"/>
              <w:jc w:val="center"/>
              <w:rPr>
                <w:rFonts w:hint="eastAsia" w:ascii="宋体" w:hAnsi="宋体" w:cs="宋体"/>
                <w:color w:val="auto"/>
                <w:szCs w:val="21"/>
                <w:highlight w:val="none"/>
                <w:lang w:val="zh-CN"/>
              </w:rPr>
            </w:pPr>
            <w:bookmarkStart w:id="260" w:name="_Toc31547"/>
            <w:bookmarkStart w:id="261" w:name="_Toc17430"/>
            <w:bookmarkStart w:id="262" w:name="_Toc11184"/>
            <w:bookmarkStart w:id="263" w:name="_Toc20718"/>
            <w:bookmarkStart w:id="264" w:name="_Toc32043"/>
            <w:bookmarkStart w:id="265" w:name="_Toc16748"/>
            <w:bookmarkStart w:id="266" w:name="_Toc9707"/>
            <w:bookmarkStart w:id="267" w:name="_Toc30355"/>
            <w:bookmarkStart w:id="268" w:name="_Toc8657"/>
            <w:bookmarkStart w:id="269" w:name="_Toc457735651"/>
            <w:bookmarkStart w:id="270" w:name="_Toc457761147"/>
            <w:bookmarkStart w:id="271" w:name="_Toc5008"/>
            <w:bookmarkStart w:id="272" w:name="_Toc414277164"/>
            <w:bookmarkStart w:id="273" w:name="_Toc445450461"/>
            <w:bookmarkStart w:id="274" w:name="_Toc414112652"/>
            <w:bookmarkStart w:id="275" w:name="_Toc415575791"/>
            <w:bookmarkStart w:id="276" w:name="_Toc144974568"/>
            <w:bookmarkStart w:id="277" w:name="_Toc152042378"/>
            <w:bookmarkStart w:id="278" w:name="_Toc152045601"/>
            <w:r>
              <w:rPr>
                <w:rFonts w:hint="eastAsia" w:ascii="宋体" w:hAnsi="宋体" w:cs="宋体"/>
                <w:b/>
                <w:color w:val="auto"/>
                <w:szCs w:val="21"/>
                <w:highlight w:val="none"/>
                <w:lang w:val="zh-CN"/>
              </w:rPr>
              <w:t>条款号</w:t>
            </w:r>
          </w:p>
        </w:tc>
        <w:tc>
          <w:tcPr>
            <w:tcW w:w="2611" w:type="dxa"/>
            <w:tcBorders>
              <w:top w:val="single" w:color="auto" w:sz="4" w:space="0"/>
              <w:left w:val="single" w:color="000000" w:sz="2" w:space="0"/>
              <w:bottom w:val="single" w:color="000000" w:sz="2" w:space="0"/>
              <w:right w:val="single" w:color="000000" w:sz="2" w:space="0"/>
            </w:tcBorders>
            <w:shd w:val="clear" w:color="auto" w:fill="FFFFFF"/>
            <w:vAlign w:val="center"/>
          </w:tcPr>
          <w:p w14:paraId="716F5413">
            <w:pPr>
              <w:autoSpaceDE w:val="0"/>
              <w:autoSpaceDN w:val="0"/>
              <w:adjustRightInd w:val="0"/>
              <w:jc w:val="center"/>
              <w:rPr>
                <w:rFonts w:hint="eastAsia" w:ascii="宋体" w:hAnsi="宋体" w:cs="宋体"/>
                <w:color w:val="auto"/>
                <w:szCs w:val="21"/>
                <w:highlight w:val="none"/>
                <w:lang w:val="zh-CN"/>
              </w:rPr>
            </w:pPr>
            <w:r>
              <w:rPr>
                <w:rFonts w:hint="eastAsia" w:ascii="宋体" w:hAnsi="宋体" w:cs="宋体"/>
                <w:b/>
                <w:color w:val="auto"/>
                <w:szCs w:val="21"/>
                <w:highlight w:val="none"/>
                <w:lang w:val="zh-CN"/>
              </w:rPr>
              <w:t>评审因素</w:t>
            </w:r>
          </w:p>
        </w:tc>
        <w:tc>
          <w:tcPr>
            <w:tcW w:w="4935" w:type="dxa"/>
            <w:tcBorders>
              <w:top w:val="single" w:color="auto" w:sz="4" w:space="0"/>
              <w:left w:val="single" w:color="000000" w:sz="2" w:space="0"/>
              <w:bottom w:val="single" w:color="000000" w:sz="2" w:space="0"/>
              <w:right w:val="single" w:color="auto" w:sz="4" w:space="0"/>
            </w:tcBorders>
            <w:shd w:val="clear" w:color="auto" w:fill="FFFFFF"/>
            <w:vAlign w:val="center"/>
          </w:tcPr>
          <w:p w14:paraId="56F93FBB">
            <w:pPr>
              <w:autoSpaceDE w:val="0"/>
              <w:autoSpaceDN w:val="0"/>
              <w:adjustRightInd w:val="0"/>
              <w:jc w:val="center"/>
              <w:rPr>
                <w:rFonts w:hint="eastAsia" w:ascii="宋体" w:hAnsi="宋体" w:cs="宋体"/>
                <w:color w:val="auto"/>
                <w:szCs w:val="21"/>
                <w:highlight w:val="none"/>
                <w:lang w:val="zh-CN"/>
              </w:rPr>
            </w:pPr>
            <w:r>
              <w:rPr>
                <w:rFonts w:hint="eastAsia" w:ascii="宋体" w:hAnsi="宋体" w:cs="宋体"/>
                <w:b/>
                <w:color w:val="auto"/>
                <w:szCs w:val="21"/>
                <w:highlight w:val="none"/>
                <w:lang w:val="zh-CN"/>
              </w:rPr>
              <w:t>评审标准</w:t>
            </w:r>
          </w:p>
        </w:tc>
      </w:tr>
      <w:tr w14:paraId="5BB41BEB">
        <w:tblPrEx>
          <w:tblCellMar>
            <w:top w:w="0" w:type="dxa"/>
            <w:left w:w="108" w:type="dxa"/>
            <w:bottom w:w="0" w:type="dxa"/>
            <w:right w:w="108" w:type="dxa"/>
          </w:tblCellMar>
        </w:tblPrEx>
        <w:trPr>
          <w:trHeight w:val="680" w:hRule="atLeast"/>
          <w:jc w:val="center"/>
        </w:trPr>
        <w:tc>
          <w:tcPr>
            <w:tcW w:w="534" w:type="dxa"/>
            <w:vMerge w:val="restart"/>
            <w:tcBorders>
              <w:top w:val="single" w:color="auto" w:sz="4" w:space="0"/>
              <w:left w:val="single" w:color="auto" w:sz="4" w:space="0"/>
              <w:right w:val="single" w:color="auto" w:sz="4" w:space="0"/>
            </w:tcBorders>
            <w:shd w:val="clear" w:color="auto" w:fill="FFFFFF"/>
            <w:vAlign w:val="center"/>
          </w:tcPr>
          <w:p w14:paraId="5BB150CD">
            <w:pPr>
              <w:autoSpaceDE w:val="0"/>
              <w:autoSpaceDN w:val="0"/>
              <w:adjustRightInd w:val="0"/>
              <w:jc w:val="center"/>
              <w:rPr>
                <w:rFonts w:hint="eastAsia" w:ascii="宋体" w:hAnsi="宋体" w:cs="宋体"/>
                <w:color w:val="auto"/>
                <w:szCs w:val="21"/>
                <w:highlight w:val="none"/>
                <w:lang w:val="zh-CN"/>
              </w:rPr>
            </w:pPr>
            <w:r>
              <w:rPr>
                <w:rFonts w:hint="eastAsia" w:ascii="宋体" w:hAnsi="宋体" w:cs="宋体"/>
                <w:b/>
                <w:bCs/>
                <w:color w:val="auto"/>
                <w:szCs w:val="21"/>
                <w:highlight w:val="none"/>
              </w:rPr>
              <w:t>2.1</w:t>
            </w:r>
            <w:r>
              <w:rPr>
                <w:rFonts w:hint="eastAsia" w:ascii="宋体" w:hAnsi="宋体" w:cs="宋体"/>
                <w:b/>
                <w:bCs/>
                <w:color w:val="auto"/>
                <w:szCs w:val="21"/>
                <w:highlight w:val="none"/>
                <w:lang w:val="zh-CN"/>
              </w:rPr>
              <w:t>初步评审</w:t>
            </w:r>
          </w:p>
        </w:tc>
        <w:tc>
          <w:tcPr>
            <w:tcW w:w="1460" w:type="dxa"/>
            <w:vMerge w:val="restart"/>
            <w:tcBorders>
              <w:top w:val="single" w:color="auto" w:sz="4" w:space="0"/>
              <w:left w:val="single" w:color="auto" w:sz="4" w:space="0"/>
              <w:right w:val="single" w:color="auto" w:sz="4" w:space="0"/>
            </w:tcBorders>
            <w:shd w:val="clear" w:color="auto" w:fill="FFFFFF"/>
            <w:vAlign w:val="center"/>
          </w:tcPr>
          <w:p w14:paraId="3C75BF89">
            <w:pPr>
              <w:autoSpaceDE w:val="0"/>
              <w:autoSpaceDN w:val="0"/>
              <w:adjustRightInd w:val="0"/>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2.1.1</w:t>
            </w:r>
          </w:p>
          <w:p w14:paraId="0C41B64D">
            <w:pPr>
              <w:autoSpaceDE w:val="0"/>
              <w:autoSpaceDN w:val="0"/>
              <w:adjustRightInd w:val="0"/>
              <w:jc w:val="center"/>
              <w:rPr>
                <w:rFonts w:hint="eastAsia" w:ascii="宋体" w:hAnsi="宋体" w:cs="宋体"/>
                <w:color w:val="auto"/>
                <w:szCs w:val="21"/>
                <w:highlight w:val="none"/>
                <w:lang w:val="zh-CN"/>
              </w:rPr>
            </w:pPr>
            <w:r>
              <w:rPr>
                <w:rFonts w:hint="eastAsia" w:ascii="宋体" w:hAnsi="宋体" w:cs="宋体"/>
                <w:color w:val="auto"/>
                <w:szCs w:val="21"/>
                <w:highlight w:val="none"/>
              </w:rPr>
              <w:t>资格</w:t>
            </w:r>
            <w:r>
              <w:rPr>
                <w:rFonts w:hint="eastAsia" w:ascii="宋体" w:hAnsi="宋体" w:cs="宋体"/>
                <w:color w:val="auto"/>
                <w:szCs w:val="21"/>
                <w:highlight w:val="none"/>
                <w:lang w:val="zh-CN"/>
              </w:rPr>
              <w:t>评审标准</w:t>
            </w:r>
          </w:p>
        </w:tc>
        <w:tc>
          <w:tcPr>
            <w:tcW w:w="2611" w:type="dxa"/>
            <w:tcBorders>
              <w:top w:val="single" w:color="000000" w:sz="2" w:space="0"/>
              <w:left w:val="single" w:color="auto" w:sz="4" w:space="0"/>
              <w:bottom w:val="single" w:color="000000" w:sz="2" w:space="0"/>
              <w:right w:val="single" w:color="000000" w:sz="2" w:space="0"/>
            </w:tcBorders>
            <w:shd w:val="clear" w:color="auto" w:fill="FFFFFF"/>
            <w:vAlign w:val="center"/>
          </w:tcPr>
          <w:p w14:paraId="4FFB5F0B">
            <w:pPr>
              <w:spacing w:line="360" w:lineRule="exact"/>
              <w:ind w:left="107" w:hanging="107" w:hangingChars="51"/>
              <w:jc w:val="center"/>
              <w:rPr>
                <w:rFonts w:hint="eastAsia" w:ascii="宋体" w:hAnsi="宋体" w:cs="宋体"/>
                <w:color w:val="auto"/>
                <w:szCs w:val="21"/>
                <w:highlight w:val="none"/>
                <w:lang w:val="zh-CN"/>
              </w:rPr>
            </w:pPr>
            <w:r>
              <w:rPr>
                <w:rFonts w:hint="eastAsia" w:ascii="宋体" w:hAnsi="宋体"/>
                <w:color w:val="auto"/>
                <w:szCs w:val="21"/>
                <w:highlight w:val="none"/>
              </w:rPr>
              <w:t>营业执照</w:t>
            </w:r>
          </w:p>
        </w:tc>
        <w:tc>
          <w:tcPr>
            <w:tcW w:w="4935" w:type="dxa"/>
            <w:tcBorders>
              <w:top w:val="single" w:color="000000" w:sz="2" w:space="0"/>
              <w:left w:val="single" w:color="000000" w:sz="2" w:space="0"/>
              <w:bottom w:val="single" w:color="000000" w:sz="2" w:space="0"/>
              <w:right w:val="single" w:color="auto" w:sz="4" w:space="0"/>
            </w:tcBorders>
            <w:shd w:val="clear" w:color="auto" w:fill="FFFFFF"/>
            <w:vAlign w:val="center"/>
          </w:tcPr>
          <w:p w14:paraId="797A163D">
            <w:pPr>
              <w:shd w:val="clear" w:color="auto" w:fill="FFFFFF"/>
              <w:spacing w:line="360" w:lineRule="auto"/>
              <w:rPr>
                <w:rFonts w:hint="eastAsia" w:ascii="宋体" w:hAnsi="宋体" w:cs="宋体"/>
                <w:color w:val="auto"/>
                <w:szCs w:val="21"/>
                <w:highlight w:val="none"/>
                <w:lang w:val="zh-CN"/>
              </w:rPr>
            </w:pPr>
            <w:r>
              <w:rPr>
                <w:rFonts w:hint="eastAsia"/>
                <w:color w:val="auto"/>
                <w:highlight w:val="none"/>
              </w:rPr>
              <w:t>提供有效的营业执照</w:t>
            </w:r>
          </w:p>
        </w:tc>
      </w:tr>
      <w:tr w14:paraId="34A8FE9E">
        <w:tblPrEx>
          <w:tblCellMar>
            <w:top w:w="0" w:type="dxa"/>
            <w:left w:w="108" w:type="dxa"/>
            <w:bottom w:w="0" w:type="dxa"/>
            <w:right w:w="108" w:type="dxa"/>
          </w:tblCellMar>
        </w:tblPrEx>
        <w:trPr>
          <w:trHeight w:val="680" w:hRule="atLeast"/>
          <w:jc w:val="center"/>
        </w:trPr>
        <w:tc>
          <w:tcPr>
            <w:tcW w:w="534" w:type="dxa"/>
            <w:vMerge w:val="continue"/>
            <w:tcBorders>
              <w:left w:val="single" w:color="auto" w:sz="4" w:space="0"/>
              <w:right w:val="single" w:color="auto" w:sz="4" w:space="0"/>
            </w:tcBorders>
            <w:shd w:val="clear" w:color="auto" w:fill="FFFFFF"/>
            <w:vAlign w:val="center"/>
          </w:tcPr>
          <w:p w14:paraId="3475ED81">
            <w:pPr>
              <w:autoSpaceDE w:val="0"/>
              <w:autoSpaceDN w:val="0"/>
              <w:adjustRightInd w:val="0"/>
              <w:jc w:val="center"/>
              <w:rPr>
                <w:rFonts w:hint="eastAsia" w:ascii="宋体" w:hAnsi="宋体" w:cs="宋体"/>
                <w:b/>
                <w:bCs/>
                <w:color w:val="auto"/>
                <w:szCs w:val="21"/>
                <w:highlight w:val="none"/>
              </w:rPr>
            </w:pPr>
          </w:p>
        </w:tc>
        <w:tc>
          <w:tcPr>
            <w:tcW w:w="1460" w:type="dxa"/>
            <w:vMerge w:val="continue"/>
            <w:tcBorders>
              <w:left w:val="single" w:color="auto" w:sz="4" w:space="0"/>
              <w:right w:val="single" w:color="auto" w:sz="4" w:space="0"/>
            </w:tcBorders>
            <w:shd w:val="clear" w:color="auto" w:fill="FFFFFF"/>
            <w:vAlign w:val="center"/>
          </w:tcPr>
          <w:p w14:paraId="2B0C36B0">
            <w:pPr>
              <w:autoSpaceDE w:val="0"/>
              <w:autoSpaceDN w:val="0"/>
              <w:adjustRightInd w:val="0"/>
              <w:jc w:val="center"/>
              <w:rPr>
                <w:rFonts w:hint="eastAsia" w:ascii="宋体" w:hAnsi="宋体" w:cs="宋体"/>
                <w:color w:val="auto"/>
                <w:szCs w:val="21"/>
                <w:highlight w:val="none"/>
              </w:rPr>
            </w:pPr>
          </w:p>
        </w:tc>
        <w:tc>
          <w:tcPr>
            <w:tcW w:w="2611" w:type="dxa"/>
            <w:tcBorders>
              <w:top w:val="single" w:color="000000" w:sz="2" w:space="0"/>
              <w:left w:val="single" w:color="auto" w:sz="4" w:space="0"/>
              <w:bottom w:val="single" w:color="000000" w:sz="2" w:space="0"/>
              <w:right w:val="single" w:color="000000" w:sz="2" w:space="0"/>
            </w:tcBorders>
            <w:shd w:val="clear" w:color="auto" w:fill="FFFFFF"/>
            <w:vAlign w:val="center"/>
          </w:tcPr>
          <w:p w14:paraId="4D4E7049">
            <w:pPr>
              <w:autoSpaceDE w:val="0"/>
              <w:autoSpaceDN w:val="0"/>
              <w:adjustRightInd w:val="0"/>
              <w:spacing w:before="50" w:line="360" w:lineRule="auto"/>
              <w:ind w:right="97" w:rightChars="0" w:firstLine="58" w:firstLineChars="28"/>
              <w:jc w:val="center"/>
              <w:rPr>
                <w:rFonts w:hint="eastAsia" w:ascii="宋体" w:hAnsi="宋体"/>
                <w:color w:val="auto"/>
                <w:szCs w:val="21"/>
                <w:highlight w:val="none"/>
              </w:rPr>
            </w:pPr>
            <w:r>
              <w:rPr>
                <w:rFonts w:hint="eastAsia" w:ascii="宋体" w:hAnsi="宋体" w:eastAsia="宋体" w:cs="宋体"/>
                <w:color w:val="000000"/>
                <w:sz w:val="21"/>
                <w:szCs w:val="21"/>
                <w:highlight w:val="none"/>
              </w:rPr>
              <w:t>信用查询</w:t>
            </w:r>
          </w:p>
        </w:tc>
        <w:tc>
          <w:tcPr>
            <w:tcW w:w="4935" w:type="dxa"/>
            <w:tcBorders>
              <w:top w:val="single" w:color="000000" w:sz="2" w:space="0"/>
              <w:left w:val="single" w:color="000000" w:sz="2" w:space="0"/>
              <w:bottom w:val="single" w:color="000000" w:sz="2" w:space="0"/>
              <w:right w:val="single" w:color="auto" w:sz="4" w:space="0"/>
            </w:tcBorders>
            <w:shd w:val="clear" w:color="auto" w:fill="FFFFFF"/>
            <w:vAlign w:val="center"/>
          </w:tcPr>
          <w:p w14:paraId="72643E7A">
            <w:pPr>
              <w:autoSpaceDE w:val="0"/>
              <w:autoSpaceDN w:val="0"/>
              <w:adjustRightInd w:val="0"/>
              <w:spacing w:before="50" w:line="360" w:lineRule="auto"/>
              <w:ind w:right="97" w:rightChars="0"/>
              <w:jc w:val="left"/>
              <w:rPr>
                <w:rFonts w:hint="eastAsia"/>
                <w:color w:val="auto"/>
                <w:highlight w:val="none"/>
              </w:rPr>
            </w:pPr>
            <w:r>
              <w:rPr>
                <w:rFonts w:hint="eastAsia" w:ascii="宋体" w:hAnsi="宋体" w:cs="宋体"/>
                <w:color w:val="auto"/>
                <w:kern w:val="0"/>
                <w:szCs w:val="21"/>
                <w:highlight w:val="none"/>
              </w:rPr>
              <w:t>符合“</w:t>
            </w:r>
            <w:r>
              <w:rPr>
                <w:rFonts w:hint="eastAsia" w:ascii="宋体" w:hAnsi="宋体"/>
                <w:color w:val="auto"/>
                <w:szCs w:val="21"/>
                <w:highlight w:val="none"/>
              </w:rPr>
              <w:t>投标人须知前附表</w:t>
            </w:r>
            <w:r>
              <w:rPr>
                <w:rFonts w:hint="eastAsia" w:ascii="宋体" w:hAnsi="宋体" w:cs="宋体"/>
                <w:color w:val="auto"/>
                <w:kern w:val="0"/>
                <w:szCs w:val="21"/>
                <w:highlight w:val="none"/>
              </w:rPr>
              <w:t>”规定</w:t>
            </w:r>
          </w:p>
        </w:tc>
      </w:tr>
      <w:tr w14:paraId="38D86E85">
        <w:tblPrEx>
          <w:tblCellMar>
            <w:top w:w="0" w:type="dxa"/>
            <w:left w:w="108" w:type="dxa"/>
            <w:bottom w:w="0" w:type="dxa"/>
            <w:right w:w="108" w:type="dxa"/>
          </w:tblCellMar>
        </w:tblPrEx>
        <w:trPr>
          <w:trHeight w:val="680" w:hRule="atLeast"/>
          <w:jc w:val="center"/>
        </w:trPr>
        <w:tc>
          <w:tcPr>
            <w:tcW w:w="534" w:type="dxa"/>
            <w:vMerge w:val="continue"/>
            <w:tcBorders>
              <w:left w:val="single" w:color="auto" w:sz="4" w:space="0"/>
              <w:right w:val="single" w:color="auto" w:sz="4" w:space="0"/>
            </w:tcBorders>
            <w:shd w:val="clear" w:color="auto" w:fill="FFFFFF"/>
            <w:vAlign w:val="center"/>
          </w:tcPr>
          <w:p w14:paraId="30C4CADE">
            <w:pPr>
              <w:autoSpaceDE w:val="0"/>
              <w:autoSpaceDN w:val="0"/>
              <w:adjustRightInd w:val="0"/>
              <w:jc w:val="left"/>
              <w:rPr>
                <w:rFonts w:hint="eastAsia" w:ascii="宋体" w:hAnsi="宋体" w:cs="宋体"/>
                <w:color w:val="auto"/>
                <w:szCs w:val="21"/>
                <w:highlight w:val="none"/>
                <w:lang w:val="zh-CN"/>
              </w:rPr>
            </w:pPr>
          </w:p>
        </w:tc>
        <w:tc>
          <w:tcPr>
            <w:tcW w:w="1460" w:type="dxa"/>
            <w:vMerge w:val="continue"/>
            <w:tcBorders>
              <w:left w:val="single" w:color="auto" w:sz="4" w:space="0"/>
              <w:bottom w:val="single" w:color="000000" w:sz="2" w:space="0"/>
              <w:right w:val="single" w:color="auto" w:sz="4" w:space="0"/>
            </w:tcBorders>
            <w:shd w:val="clear" w:color="auto" w:fill="FFFFFF"/>
            <w:vAlign w:val="center"/>
          </w:tcPr>
          <w:p w14:paraId="3C607E2B">
            <w:pPr>
              <w:rPr>
                <w:rFonts w:hint="eastAsia" w:ascii="宋体" w:hAnsi="宋体" w:cs="宋体"/>
                <w:color w:val="auto"/>
                <w:szCs w:val="21"/>
                <w:highlight w:val="none"/>
              </w:rPr>
            </w:pPr>
          </w:p>
        </w:tc>
        <w:tc>
          <w:tcPr>
            <w:tcW w:w="2611" w:type="dxa"/>
            <w:tcBorders>
              <w:top w:val="single" w:color="000000" w:sz="2" w:space="0"/>
              <w:left w:val="single" w:color="auto" w:sz="4" w:space="0"/>
              <w:bottom w:val="single" w:color="000000" w:sz="2" w:space="0"/>
              <w:right w:val="single" w:color="000000" w:sz="2" w:space="0"/>
            </w:tcBorders>
            <w:shd w:val="clear" w:color="auto" w:fill="FFFFFF"/>
            <w:vAlign w:val="center"/>
          </w:tcPr>
          <w:p w14:paraId="5CD507DE">
            <w:pPr>
              <w:spacing w:line="420" w:lineRule="exact"/>
              <w:ind w:leftChars="-51" w:hanging="107" w:hangingChars="51"/>
              <w:jc w:val="center"/>
              <w:rPr>
                <w:rFonts w:hint="eastAsia" w:ascii="宋体" w:hAnsi="宋体" w:cs="宋体"/>
                <w:color w:val="auto"/>
                <w:szCs w:val="21"/>
                <w:highlight w:val="none"/>
                <w:lang w:val="zh-CN"/>
              </w:rPr>
            </w:pPr>
            <w:r>
              <w:rPr>
                <w:rFonts w:hint="eastAsia" w:ascii="宋体" w:hAnsi="宋体"/>
                <w:color w:val="auto"/>
                <w:kern w:val="0"/>
                <w:szCs w:val="21"/>
                <w:highlight w:val="none"/>
              </w:rPr>
              <w:t>其他资料</w:t>
            </w:r>
          </w:p>
        </w:tc>
        <w:tc>
          <w:tcPr>
            <w:tcW w:w="4935" w:type="dxa"/>
            <w:tcBorders>
              <w:top w:val="single" w:color="000000" w:sz="2" w:space="0"/>
              <w:left w:val="single" w:color="000000" w:sz="2" w:space="0"/>
              <w:bottom w:val="single" w:color="000000" w:sz="2" w:space="0"/>
              <w:right w:val="single" w:color="auto" w:sz="4" w:space="0"/>
            </w:tcBorders>
            <w:shd w:val="clear" w:color="auto" w:fill="FFFFFF"/>
            <w:vAlign w:val="center"/>
          </w:tcPr>
          <w:p w14:paraId="739BBE17">
            <w:pPr>
              <w:spacing w:line="420" w:lineRule="exact"/>
              <w:rPr>
                <w:rFonts w:hint="eastAsia" w:ascii="宋体" w:hAnsi="宋体" w:cs="宋体"/>
                <w:color w:val="auto"/>
                <w:szCs w:val="21"/>
                <w:highlight w:val="none"/>
                <w:lang w:val="zh-CN"/>
              </w:rPr>
            </w:pPr>
            <w:r>
              <w:rPr>
                <w:rFonts w:hint="eastAsia" w:ascii="宋体" w:hAnsi="宋体"/>
                <w:color w:val="auto"/>
                <w:szCs w:val="21"/>
                <w:highlight w:val="none"/>
              </w:rPr>
              <w:t>符合“投标人须知前附表”第12项规定的其他内容</w:t>
            </w:r>
          </w:p>
        </w:tc>
      </w:tr>
      <w:tr w14:paraId="0CBFAC7F">
        <w:tblPrEx>
          <w:tblCellMar>
            <w:top w:w="0" w:type="dxa"/>
            <w:left w:w="108" w:type="dxa"/>
            <w:bottom w:w="0" w:type="dxa"/>
            <w:right w:w="108" w:type="dxa"/>
          </w:tblCellMar>
        </w:tblPrEx>
        <w:trPr>
          <w:trHeight w:val="680" w:hRule="atLeast"/>
          <w:jc w:val="center"/>
        </w:trPr>
        <w:tc>
          <w:tcPr>
            <w:tcW w:w="534" w:type="dxa"/>
            <w:vMerge w:val="continue"/>
            <w:tcBorders>
              <w:left w:val="single" w:color="auto" w:sz="4" w:space="0"/>
              <w:right w:val="single" w:color="auto" w:sz="4" w:space="0"/>
            </w:tcBorders>
            <w:shd w:val="clear" w:color="auto" w:fill="FFFFFF"/>
            <w:vAlign w:val="center"/>
          </w:tcPr>
          <w:p w14:paraId="6214A906">
            <w:pPr>
              <w:autoSpaceDE w:val="0"/>
              <w:autoSpaceDN w:val="0"/>
              <w:adjustRightInd w:val="0"/>
              <w:jc w:val="center"/>
              <w:rPr>
                <w:rFonts w:hint="eastAsia" w:ascii="宋体" w:hAnsi="宋体" w:cs="宋体"/>
                <w:color w:val="auto"/>
                <w:szCs w:val="21"/>
                <w:highlight w:val="none"/>
                <w:lang w:val="zh-CN"/>
              </w:rPr>
            </w:pPr>
          </w:p>
        </w:tc>
        <w:tc>
          <w:tcPr>
            <w:tcW w:w="1460" w:type="dxa"/>
            <w:vMerge w:val="restart"/>
            <w:tcBorders>
              <w:top w:val="single" w:color="000000" w:sz="2" w:space="0"/>
              <w:left w:val="single" w:color="auto" w:sz="4" w:space="0"/>
              <w:right w:val="single" w:color="auto" w:sz="4" w:space="0"/>
            </w:tcBorders>
            <w:shd w:val="clear" w:color="auto" w:fill="FFFFFF"/>
            <w:vAlign w:val="center"/>
          </w:tcPr>
          <w:p w14:paraId="4DA53AAC">
            <w:pPr>
              <w:autoSpaceDE w:val="0"/>
              <w:autoSpaceDN w:val="0"/>
              <w:adjustRightInd w:val="0"/>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2.1.2</w:t>
            </w:r>
          </w:p>
          <w:p w14:paraId="56C8BD1D">
            <w:pPr>
              <w:autoSpaceDE w:val="0"/>
              <w:autoSpaceDN w:val="0"/>
              <w:adjustRightInd w:val="0"/>
              <w:jc w:val="center"/>
              <w:rPr>
                <w:rFonts w:hint="eastAsia" w:ascii="宋体" w:hAnsi="宋体" w:cs="宋体"/>
                <w:color w:val="auto"/>
                <w:szCs w:val="21"/>
                <w:highlight w:val="none"/>
                <w:lang w:val="zh-CN"/>
              </w:rPr>
            </w:pPr>
            <w:r>
              <w:rPr>
                <w:rFonts w:hint="eastAsia" w:ascii="宋体" w:hAnsi="宋体" w:cs="宋体"/>
                <w:color w:val="auto"/>
                <w:szCs w:val="21"/>
                <w:highlight w:val="none"/>
              </w:rPr>
              <w:t>符合性</w:t>
            </w:r>
            <w:r>
              <w:rPr>
                <w:rFonts w:hint="eastAsia" w:ascii="宋体" w:hAnsi="宋体" w:cs="宋体"/>
                <w:color w:val="auto"/>
                <w:szCs w:val="21"/>
                <w:highlight w:val="none"/>
                <w:lang w:val="zh-CN"/>
              </w:rPr>
              <w:t>评审标准</w:t>
            </w:r>
          </w:p>
        </w:tc>
        <w:tc>
          <w:tcPr>
            <w:tcW w:w="2611" w:type="dxa"/>
            <w:tcBorders>
              <w:top w:val="single" w:color="000000" w:sz="2" w:space="0"/>
              <w:left w:val="single" w:color="auto" w:sz="4" w:space="0"/>
              <w:bottom w:val="single" w:color="000000" w:sz="2" w:space="0"/>
              <w:right w:val="single" w:color="000000" w:sz="2" w:space="0"/>
            </w:tcBorders>
            <w:shd w:val="clear" w:color="auto" w:fill="FFFFFF"/>
            <w:vAlign w:val="center"/>
          </w:tcPr>
          <w:p w14:paraId="6E0BD933">
            <w:pPr>
              <w:spacing w:line="360" w:lineRule="exact"/>
              <w:ind w:left="107" w:hanging="107" w:hangingChars="51"/>
              <w:jc w:val="center"/>
              <w:rPr>
                <w:rFonts w:hint="eastAsia" w:ascii="宋体" w:hAnsi="宋体" w:cs="宋体"/>
                <w:color w:val="auto"/>
                <w:szCs w:val="21"/>
                <w:highlight w:val="none"/>
                <w:lang w:val="zh-CN"/>
              </w:rPr>
            </w:pPr>
            <w:r>
              <w:rPr>
                <w:rFonts w:hint="eastAsia" w:ascii="宋体" w:hAnsi="宋体"/>
                <w:color w:val="auto"/>
                <w:szCs w:val="21"/>
                <w:highlight w:val="none"/>
              </w:rPr>
              <w:t>投标人名称</w:t>
            </w:r>
          </w:p>
        </w:tc>
        <w:tc>
          <w:tcPr>
            <w:tcW w:w="4935" w:type="dxa"/>
            <w:tcBorders>
              <w:top w:val="single" w:color="000000" w:sz="2" w:space="0"/>
              <w:left w:val="single" w:color="000000" w:sz="2" w:space="0"/>
              <w:bottom w:val="single" w:color="000000" w:sz="2" w:space="0"/>
              <w:right w:val="single" w:color="auto" w:sz="4" w:space="0"/>
            </w:tcBorders>
            <w:shd w:val="clear" w:color="auto" w:fill="FFFFFF"/>
            <w:vAlign w:val="center"/>
          </w:tcPr>
          <w:p w14:paraId="5798674C">
            <w:pPr>
              <w:spacing w:line="360" w:lineRule="exact"/>
              <w:rPr>
                <w:rFonts w:hint="eastAsia" w:ascii="宋体" w:hAnsi="宋体" w:cs="宋体"/>
                <w:color w:val="auto"/>
                <w:szCs w:val="21"/>
                <w:highlight w:val="none"/>
                <w:lang w:val="zh-CN"/>
              </w:rPr>
            </w:pPr>
            <w:r>
              <w:rPr>
                <w:rFonts w:hint="eastAsia" w:ascii="宋体" w:hAnsi="宋体"/>
                <w:color w:val="auto"/>
                <w:szCs w:val="21"/>
                <w:highlight w:val="none"/>
              </w:rPr>
              <w:t>与营业执照一致</w:t>
            </w:r>
          </w:p>
        </w:tc>
      </w:tr>
      <w:tr w14:paraId="613B786A">
        <w:tblPrEx>
          <w:tblCellMar>
            <w:top w:w="0" w:type="dxa"/>
            <w:left w:w="108" w:type="dxa"/>
            <w:bottom w:w="0" w:type="dxa"/>
            <w:right w:w="108" w:type="dxa"/>
          </w:tblCellMar>
        </w:tblPrEx>
        <w:trPr>
          <w:trHeight w:val="680" w:hRule="atLeast"/>
          <w:jc w:val="center"/>
        </w:trPr>
        <w:tc>
          <w:tcPr>
            <w:tcW w:w="534" w:type="dxa"/>
            <w:vMerge w:val="continue"/>
            <w:tcBorders>
              <w:left w:val="single" w:color="auto" w:sz="4" w:space="0"/>
              <w:right w:val="single" w:color="auto" w:sz="4" w:space="0"/>
            </w:tcBorders>
            <w:shd w:val="clear" w:color="auto" w:fill="FFFFFF"/>
            <w:vAlign w:val="center"/>
          </w:tcPr>
          <w:p w14:paraId="30494E78">
            <w:pPr>
              <w:autoSpaceDE w:val="0"/>
              <w:autoSpaceDN w:val="0"/>
              <w:adjustRightInd w:val="0"/>
              <w:jc w:val="left"/>
              <w:rPr>
                <w:rFonts w:hint="eastAsia" w:ascii="宋体" w:hAnsi="宋体" w:cs="宋体"/>
                <w:color w:val="auto"/>
                <w:szCs w:val="21"/>
                <w:highlight w:val="none"/>
              </w:rPr>
            </w:pPr>
          </w:p>
        </w:tc>
        <w:tc>
          <w:tcPr>
            <w:tcW w:w="1460" w:type="dxa"/>
            <w:vMerge w:val="continue"/>
            <w:tcBorders>
              <w:left w:val="single" w:color="auto" w:sz="4" w:space="0"/>
              <w:right w:val="single" w:color="auto" w:sz="4" w:space="0"/>
            </w:tcBorders>
            <w:shd w:val="clear" w:color="auto" w:fill="FFFFFF"/>
            <w:vAlign w:val="center"/>
          </w:tcPr>
          <w:p w14:paraId="07540C44">
            <w:pPr>
              <w:rPr>
                <w:rFonts w:hint="eastAsia" w:ascii="宋体" w:hAnsi="宋体" w:cs="宋体"/>
                <w:color w:val="auto"/>
                <w:szCs w:val="21"/>
                <w:highlight w:val="none"/>
              </w:rPr>
            </w:pPr>
          </w:p>
        </w:tc>
        <w:tc>
          <w:tcPr>
            <w:tcW w:w="2611" w:type="dxa"/>
            <w:tcBorders>
              <w:top w:val="single" w:color="000000" w:sz="2" w:space="0"/>
              <w:left w:val="single" w:color="auto" w:sz="4" w:space="0"/>
              <w:bottom w:val="single" w:color="000000" w:sz="2" w:space="0"/>
              <w:right w:val="single" w:color="000000" w:sz="2" w:space="0"/>
            </w:tcBorders>
            <w:shd w:val="clear" w:color="auto" w:fill="FFFFFF"/>
            <w:vAlign w:val="center"/>
          </w:tcPr>
          <w:p w14:paraId="3E6748CC">
            <w:pPr>
              <w:spacing w:line="360" w:lineRule="exact"/>
              <w:ind w:left="107" w:hanging="107" w:hangingChars="51"/>
              <w:jc w:val="center"/>
              <w:rPr>
                <w:rFonts w:hint="eastAsia" w:ascii="宋体" w:hAnsi="宋体" w:cs="宋体"/>
                <w:color w:val="auto"/>
                <w:szCs w:val="21"/>
                <w:highlight w:val="none"/>
                <w:lang w:val="zh-CN"/>
              </w:rPr>
            </w:pPr>
            <w:r>
              <w:rPr>
                <w:rFonts w:hint="eastAsia" w:ascii="宋体" w:hAnsi="宋体"/>
                <w:color w:val="auto"/>
                <w:szCs w:val="21"/>
                <w:highlight w:val="none"/>
              </w:rPr>
              <w:t>投标函签字盖章</w:t>
            </w:r>
          </w:p>
        </w:tc>
        <w:tc>
          <w:tcPr>
            <w:tcW w:w="4935" w:type="dxa"/>
            <w:tcBorders>
              <w:top w:val="single" w:color="000000" w:sz="2" w:space="0"/>
              <w:left w:val="single" w:color="000000" w:sz="2" w:space="0"/>
              <w:bottom w:val="single" w:color="000000" w:sz="2" w:space="0"/>
              <w:right w:val="single" w:color="auto" w:sz="4" w:space="0"/>
            </w:tcBorders>
            <w:shd w:val="clear" w:color="auto" w:fill="FFFFFF"/>
            <w:vAlign w:val="center"/>
          </w:tcPr>
          <w:p w14:paraId="1B608783">
            <w:pPr>
              <w:spacing w:line="360" w:lineRule="exact"/>
              <w:jc w:val="left"/>
              <w:rPr>
                <w:rFonts w:hint="eastAsia" w:ascii="宋体" w:hAnsi="宋体" w:cs="宋体"/>
                <w:color w:val="auto"/>
                <w:szCs w:val="21"/>
                <w:highlight w:val="none"/>
                <w:lang w:val="zh-CN"/>
              </w:rPr>
            </w:pPr>
            <w:r>
              <w:rPr>
                <w:rFonts w:hint="eastAsia" w:ascii="宋体" w:hAnsi="宋体" w:cs="宋体"/>
                <w:color w:val="auto"/>
                <w:spacing w:val="1"/>
                <w:kern w:val="0"/>
                <w:szCs w:val="21"/>
                <w:highlight w:val="none"/>
              </w:rPr>
              <w:t>法定代表人或其委托代理人签字并加盖单位章</w:t>
            </w:r>
          </w:p>
        </w:tc>
      </w:tr>
      <w:tr w14:paraId="02415157">
        <w:tblPrEx>
          <w:tblCellMar>
            <w:top w:w="0" w:type="dxa"/>
            <w:left w:w="108" w:type="dxa"/>
            <w:bottom w:w="0" w:type="dxa"/>
            <w:right w:w="108" w:type="dxa"/>
          </w:tblCellMar>
        </w:tblPrEx>
        <w:trPr>
          <w:trHeight w:val="680" w:hRule="atLeast"/>
          <w:jc w:val="center"/>
        </w:trPr>
        <w:tc>
          <w:tcPr>
            <w:tcW w:w="534" w:type="dxa"/>
            <w:vMerge w:val="continue"/>
            <w:tcBorders>
              <w:left w:val="single" w:color="auto" w:sz="4" w:space="0"/>
              <w:right w:val="single" w:color="auto" w:sz="4" w:space="0"/>
            </w:tcBorders>
            <w:shd w:val="clear" w:color="auto" w:fill="FFFFFF"/>
            <w:vAlign w:val="center"/>
          </w:tcPr>
          <w:p w14:paraId="418773D1">
            <w:pPr>
              <w:autoSpaceDE w:val="0"/>
              <w:autoSpaceDN w:val="0"/>
              <w:adjustRightInd w:val="0"/>
              <w:jc w:val="left"/>
              <w:rPr>
                <w:rFonts w:hint="eastAsia" w:ascii="宋体" w:hAnsi="宋体" w:cs="宋体"/>
                <w:color w:val="auto"/>
                <w:szCs w:val="21"/>
                <w:highlight w:val="none"/>
              </w:rPr>
            </w:pPr>
          </w:p>
        </w:tc>
        <w:tc>
          <w:tcPr>
            <w:tcW w:w="1460" w:type="dxa"/>
            <w:vMerge w:val="continue"/>
            <w:tcBorders>
              <w:left w:val="single" w:color="auto" w:sz="4" w:space="0"/>
              <w:right w:val="single" w:color="auto" w:sz="4" w:space="0"/>
            </w:tcBorders>
            <w:shd w:val="clear" w:color="auto" w:fill="FFFFFF"/>
            <w:vAlign w:val="center"/>
          </w:tcPr>
          <w:p w14:paraId="0472F5B1">
            <w:pPr>
              <w:rPr>
                <w:rFonts w:hint="eastAsia" w:ascii="宋体" w:hAnsi="宋体" w:cs="宋体"/>
                <w:color w:val="auto"/>
                <w:szCs w:val="21"/>
                <w:highlight w:val="none"/>
              </w:rPr>
            </w:pPr>
          </w:p>
        </w:tc>
        <w:tc>
          <w:tcPr>
            <w:tcW w:w="2611" w:type="dxa"/>
            <w:tcBorders>
              <w:top w:val="single" w:color="000000" w:sz="2" w:space="0"/>
              <w:left w:val="single" w:color="auto" w:sz="4" w:space="0"/>
              <w:bottom w:val="single" w:color="000000" w:sz="2" w:space="0"/>
              <w:right w:val="single" w:color="000000" w:sz="2" w:space="0"/>
            </w:tcBorders>
            <w:shd w:val="clear" w:color="auto" w:fill="FFFFFF"/>
            <w:vAlign w:val="center"/>
          </w:tcPr>
          <w:p w14:paraId="494835D5">
            <w:pPr>
              <w:spacing w:line="360" w:lineRule="exact"/>
              <w:ind w:left="107" w:hanging="107" w:hangingChars="51"/>
              <w:jc w:val="center"/>
              <w:rPr>
                <w:rFonts w:hint="eastAsia" w:ascii="宋体" w:hAnsi="宋体" w:cs="宋体"/>
                <w:color w:val="auto"/>
                <w:szCs w:val="21"/>
                <w:highlight w:val="none"/>
              </w:rPr>
            </w:pPr>
            <w:r>
              <w:rPr>
                <w:rFonts w:hint="eastAsia" w:ascii="宋体" w:hAnsi="宋体"/>
                <w:color w:val="auto"/>
                <w:szCs w:val="21"/>
                <w:highlight w:val="none"/>
              </w:rPr>
              <w:t>投标文件格式</w:t>
            </w:r>
          </w:p>
        </w:tc>
        <w:tc>
          <w:tcPr>
            <w:tcW w:w="4935" w:type="dxa"/>
            <w:tcBorders>
              <w:top w:val="single" w:color="000000" w:sz="2" w:space="0"/>
              <w:left w:val="single" w:color="000000" w:sz="2" w:space="0"/>
              <w:bottom w:val="single" w:color="000000" w:sz="2" w:space="0"/>
              <w:right w:val="single" w:color="auto" w:sz="4" w:space="0"/>
            </w:tcBorders>
            <w:shd w:val="clear" w:color="auto" w:fill="FFFFFF"/>
            <w:vAlign w:val="center"/>
          </w:tcPr>
          <w:p w14:paraId="7245FE7F">
            <w:pPr>
              <w:spacing w:line="360" w:lineRule="exact"/>
              <w:jc w:val="left"/>
              <w:rPr>
                <w:rFonts w:hint="eastAsia" w:ascii="宋体" w:hAnsi="宋体" w:cs="宋体"/>
                <w:color w:val="auto"/>
                <w:szCs w:val="21"/>
                <w:highlight w:val="none"/>
              </w:rPr>
            </w:pPr>
            <w:r>
              <w:rPr>
                <w:rFonts w:hint="eastAsia" w:ascii="宋体" w:hAnsi="宋体"/>
                <w:color w:val="auto"/>
                <w:szCs w:val="21"/>
                <w:highlight w:val="none"/>
              </w:rPr>
              <w:t>符合本招标文件规定的“投标文件格式”的要求</w:t>
            </w:r>
          </w:p>
        </w:tc>
      </w:tr>
      <w:tr w14:paraId="5487A7AF">
        <w:tblPrEx>
          <w:tblCellMar>
            <w:top w:w="0" w:type="dxa"/>
            <w:left w:w="108" w:type="dxa"/>
            <w:bottom w:w="0" w:type="dxa"/>
            <w:right w:w="108" w:type="dxa"/>
          </w:tblCellMar>
        </w:tblPrEx>
        <w:trPr>
          <w:trHeight w:val="680" w:hRule="atLeast"/>
          <w:jc w:val="center"/>
        </w:trPr>
        <w:tc>
          <w:tcPr>
            <w:tcW w:w="534" w:type="dxa"/>
            <w:vMerge w:val="continue"/>
            <w:tcBorders>
              <w:left w:val="single" w:color="auto" w:sz="4" w:space="0"/>
              <w:right w:val="single" w:color="auto" w:sz="4" w:space="0"/>
            </w:tcBorders>
            <w:shd w:val="clear" w:color="auto" w:fill="FFFFFF"/>
            <w:vAlign w:val="center"/>
          </w:tcPr>
          <w:p w14:paraId="1EDA2C2E">
            <w:pPr>
              <w:autoSpaceDE w:val="0"/>
              <w:autoSpaceDN w:val="0"/>
              <w:adjustRightInd w:val="0"/>
              <w:jc w:val="left"/>
              <w:rPr>
                <w:rFonts w:hint="eastAsia" w:ascii="宋体" w:hAnsi="宋体" w:cs="宋体"/>
                <w:color w:val="auto"/>
                <w:szCs w:val="21"/>
                <w:highlight w:val="none"/>
              </w:rPr>
            </w:pPr>
          </w:p>
        </w:tc>
        <w:tc>
          <w:tcPr>
            <w:tcW w:w="1460" w:type="dxa"/>
            <w:vMerge w:val="continue"/>
            <w:tcBorders>
              <w:left w:val="single" w:color="auto" w:sz="4" w:space="0"/>
              <w:right w:val="single" w:color="auto" w:sz="4" w:space="0"/>
            </w:tcBorders>
            <w:shd w:val="clear" w:color="auto" w:fill="FFFFFF"/>
            <w:vAlign w:val="center"/>
          </w:tcPr>
          <w:p w14:paraId="32DDB5AF">
            <w:pPr>
              <w:rPr>
                <w:rFonts w:hint="eastAsia" w:ascii="宋体" w:hAnsi="宋体" w:cs="宋体"/>
                <w:color w:val="auto"/>
                <w:szCs w:val="21"/>
                <w:highlight w:val="none"/>
              </w:rPr>
            </w:pPr>
          </w:p>
        </w:tc>
        <w:tc>
          <w:tcPr>
            <w:tcW w:w="2611" w:type="dxa"/>
            <w:tcBorders>
              <w:top w:val="single" w:color="000000" w:sz="2" w:space="0"/>
              <w:left w:val="single" w:color="auto" w:sz="4" w:space="0"/>
              <w:bottom w:val="single" w:color="000000" w:sz="2" w:space="0"/>
              <w:right w:val="single" w:color="000000" w:sz="2" w:space="0"/>
            </w:tcBorders>
            <w:shd w:val="clear" w:color="auto" w:fill="FFFFFF"/>
            <w:vAlign w:val="center"/>
          </w:tcPr>
          <w:p w14:paraId="7E8FC44D">
            <w:pPr>
              <w:spacing w:line="360" w:lineRule="exact"/>
              <w:ind w:left="107" w:hanging="107" w:hangingChars="51"/>
              <w:jc w:val="center"/>
              <w:rPr>
                <w:rFonts w:hint="eastAsia" w:ascii="宋体" w:hAnsi="宋体" w:cs="宋体"/>
                <w:color w:val="auto"/>
                <w:szCs w:val="21"/>
                <w:highlight w:val="none"/>
              </w:rPr>
            </w:pPr>
            <w:r>
              <w:rPr>
                <w:rFonts w:hint="eastAsia" w:ascii="宋体" w:hAnsi="宋体"/>
                <w:color w:val="auto"/>
                <w:szCs w:val="21"/>
                <w:highlight w:val="none"/>
              </w:rPr>
              <w:t>报价唯一</w:t>
            </w:r>
          </w:p>
        </w:tc>
        <w:tc>
          <w:tcPr>
            <w:tcW w:w="4935" w:type="dxa"/>
            <w:tcBorders>
              <w:top w:val="single" w:color="000000" w:sz="2" w:space="0"/>
              <w:left w:val="single" w:color="000000" w:sz="2" w:space="0"/>
              <w:bottom w:val="single" w:color="000000" w:sz="2" w:space="0"/>
              <w:right w:val="single" w:color="auto" w:sz="4" w:space="0"/>
            </w:tcBorders>
            <w:shd w:val="clear" w:color="auto" w:fill="FFFFFF"/>
            <w:vAlign w:val="center"/>
          </w:tcPr>
          <w:p w14:paraId="6C6AB3FB">
            <w:pPr>
              <w:spacing w:line="360" w:lineRule="exact"/>
              <w:rPr>
                <w:rFonts w:hint="eastAsia" w:ascii="宋体" w:hAnsi="宋体" w:cs="宋体"/>
                <w:color w:val="auto"/>
                <w:szCs w:val="21"/>
                <w:highlight w:val="none"/>
              </w:rPr>
            </w:pPr>
            <w:r>
              <w:rPr>
                <w:rFonts w:hint="eastAsia" w:ascii="宋体" w:hAnsi="宋体"/>
                <w:color w:val="auto"/>
                <w:szCs w:val="21"/>
                <w:highlight w:val="none"/>
              </w:rPr>
              <w:t>只能有一个有效报价，且未超出该项目招标控制价</w:t>
            </w:r>
          </w:p>
        </w:tc>
      </w:tr>
      <w:tr w14:paraId="6EB303B0">
        <w:tblPrEx>
          <w:tblCellMar>
            <w:top w:w="0" w:type="dxa"/>
            <w:left w:w="108" w:type="dxa"/>
            <w:bottom w:w="0" w:type="dxa"/>
            <w:right w:w="108" w:type="dxa"/>
          </w:tblCellMar>
        </w:tblPrEx>
        <w:trPr>
          <w:trHeight w:val="680" w:hRule="atLeast"/>
          <w:jc w:val="center"/>
        </w:trPr>
        <w:tc>
          <w:tcPr>
            <w:tcW w:w="534" w:type="dxa"/>
            <w:vMerge w:val="continue"/>
            <w:tcBorders>
              <w:left w:val="single" w:color="auto" w:sz="4" w:space="0"/>
              <w:right w:val="single" w:color="auto" w:sz="4" w:space="0"/>
            </w:tcBorders>
            <w:shd w:val="clear" w:color="auto" w:fill="FFFFFF"/>
            <w:vAlign w:val="center"/>
          </w:tcPr>
          <w:p w14:paraId="7338B605">
            <w:pPr>
              <w:autoSpaceDE w:val="0"/>
              <w:autoSpaceDN w:val="0"/>
              <w:adjustRightInd w:val="0"/>
              <w:jc w:val="left"/>
              <w:rPr>
                <w:rFonts w:hint="eastAsia" w:ascii="宋体" w:hAnsi="宋体" w:cs="宋体"/>
                <w:color w:val="auto"/>
                <w:szCs w:val="21"/>
                <w:highlight w:val="none"/>
              </w:rPr>
            </w:pPr>
          </w:p>
        </w:tc>
        <w:tc>
          <w:tcPr>
            <w:tcW w:w="1460" w:type="dxa"/>
            <w:vMerge w:val="continue"/>
            <w:tcBorders>
              <w:left w:val="single" w:color="auto" w:sz="4" w:space="0"/>
              <w:right w:val="single" w:color="auto" w:sz="4" w:space="0"/>
            </w:tcBorders>
            <w:shd w:val="clear" w:color="auto" w:fill="FFFFFF"/>
            <w:vAlign w:val="center"/>
          </w:tcPr>
          <w:p w14:paraId="61ABC8AA">
            <w:pPr>
              <w:rPr>
                <w:rFonts w:hint="eastAsia" w:ascii="宋体" w:hAnsi="宋体" w:cs="宋体"/>
                <w:color w:val="auto"/>
                <w:szCs w:val="21"/>
                <w:highlight w:val="none"/>
              </w:rPr>
            </w:pPr>
          </w:p>
        </w:tc>
        <w:tc>
          <w:tcPr>
            <w:tcW w:w="2611" w:type="dxa"/>
            <w:tcBorders>
              <w:top w:val="single" w:color="000000" w:sz="2" w:space="0"/>
              <w:left w:val="single" w:color="auto" w:sz="4" w:space="0"/>
              <w:bottom w:val="single" w:color="000000" w:sz="2" w:space="0"/>
              <w:right w:val="single" w:color="000000" w:sz="2" w:space="0"/>
            </w:tcBorders>
            <w:shd w:val="clear" w:color="auto" w:fill="FFFFFF"/>
            <w:vAlign w:val="center"/>
          </w:tcPr>
          <w:p w14:paraId="163DFC80">
            <w:pPr>
              <w:spacing w:line="420" w:lineRule="exact"/>
              <w:jc w:val="center"/>
              <w:rPr>
                <w:rFonts w:hint="eastAsia" w:ascii="宋体" w:hAnsi="宋体"/>
                <w:color w:val="auto"/>
                <w:szCs w:val="21"/>
                <w:highlight w:val="none"/>
              </w:rPr>
            </w:pPr>
            <w:r>
              <w:rPr>
                <w:rFonts w:hint="eastAsia" w:ascii="宋体" w:hAnsi="宋体"/>
                <w:color w:val="auto"/>
                <w:szCs w:val="21"/>
                <w:highlight w:val="none"/>
              </w:rPr>
              <w:t>投标范围</w:t>
            </w:r>
          </w:p>
        </w:tc>
        <w:tc>
          <w:tcPr>
            <w:tcW w:w="4935" w:type="dxa"/>
            <w:tcBorders>
              <w:top w:val="single" w:color="000000" w:sz="2" w:space="0"/>
              <w:left w:val="single" w:color="000000" w:sz="2" w:space="0"/>
              <w:bottom w:val="single" w:color="000000" w:sz="2" w:space="0"/>
              <w:right w:val="single" w:color="auto" w:sz="4" w:space="0"/>
            </w:tcBorders>
            <w:shd w:val="clear" w:color="auto" w:fill="FFFFFF"/>
            <w:vAlign w:val="center"/>
          </w:tcPr>
          <w:p w14:paraId="630C6CB3">
            <w:pPr>
              <w:spacing w:line="420" w:lineRule="exact"/>
              <w:rPr>
                <w:rFonts w:hint="eastAsia" w:ascii="宋体" w:hAnsi="宋体" w:cs="宋体"/>
                <w:color w:val="auto"/>
                <w:kern w:val="0"/>
                <w:szCs w:val="21"/>
                <w:highlight w:val="none"/>
              </w:rPr>
            </w:pPr>
            <w:r>
              <w:rPr>
                <w:rFonts w:hint="eastAsia" w:ascii="宋体" w:hAnsi="宋体" w:cs="宋体"/>
                <w:color w:val="auto"/>
                <w:kern w:val="0"/>
                <w:szCs w:val="21"/>
                <w:highlight w:val="none"/>
              </w:rPr>
              <w:t>符合“</w:t>
            </w:r>
            <w:r>
              <w:rPr>
                <w:rFonts w:hint="eastAsia" w:ascii="宋体" w:hAnsi="宋体"/>
                <w:color w:val="auto"/>
                <w:szCs w:val="21"/>
                <w:highlight w:val="none"/>
              </w:rPr>
              <w:t>投标人须知前附表</w:t>
            </w:r>
            <w:r>
              <w:rPr>
                <w:rFonts w:hint="eastAsia" w:ascii="宋体" w:hAnsi="宋体" w:cs="宋体"/>
                <w:color w:val="auto"/>
                <w:kern w:val="0"/>
                <w:szCs w:val="21"/>
                <w:highlight w:val="none"/>
              </w:rPr>
              <w:t>”规定</w:t>
            </w:r>
          </w:p>
        </w:tc>
      </w:tr>
      <w:tr w14:paraId="1FE62309">
        <w:tblPrEx>
          <w:tblCellMar>
            <w:top w:w="0" w:type="dxa"/>
            <w:left w:w="108" w:type="dxa"/>
            <w:bottom w:w="0" w:type="dxa"/>
            <w:right w:w="108" w:type="dxa"/>
          </w:tblCellMar>
        </w:tblPrEx>
        <w:trPr>
          <w:trHeight w:val="680" w:hRule="atLeast"/>
          <w:jc w:val="center"/>
        </w:trPr>
        <w:tc>
          <w:tcPr>
            <w:tcW w:w="534" w:type="dxa"/>
            <w:vMerge w:val="continue"/>
            <w:tcBorders>
              <w:left w:val="single" w:color="auto" w:sz="4" w:space="0"/>
              <w:right w:val="single" w:color="auto" w:sz="4" w:space="0"/>
            </w:tcBorders>
            <w:shd w:val="clear" w:color="auto" w:fill="FFFFFF"/>
            <w:vAlign w:val="center"/>
          </w:tcPr>
          <w:p w14:paraId="64A17005">
            <w:pPr>
              <w:autoSpaceDE w:val="0"/>
              <w:autoSpaceDN w:val="0"/>
              <w:adjustRightInd w:val="0"/>
              <w:jc w:val="left"/>
              <w:rPr>
                <w:rFonts w:hint="eastAsia" w:ascii="宋体" w:hAnsi="宋体" w:cs="宋体"/>
                <w:color w:val="auto"/>
                <w:szCs w:val="21"/>
                <w:highlight w:val="none"/>
              </w:rPr>
            </w:pPr>
          </w:p>
        </w:tc>
        <w:tc>
          <w:tcPr>
            <w:tcW w:w="1460" w:type="dxa"/>
            <w:vMerge w:val="continue"/>
            <w:tcBorders>
              <w:left w:val="single" w:color="auto" w:sz="4" w:space="0"/>
              <w:right w:val="single" w:color="auto" w:sz="4" w:space="0"/>
            </w:tcBorders>
            <w:shd w:val="clear" w:color="auto" w:fill="FFFFFF"/>
            <w:vAlign w:val="center"/>
          </w:tcPr>
          <w:p w14:paraId="20535E0A">
            <w:pPr>
              <w:rPr>
                <w:rFonts w:hint="eastAsia" w:ascii="宋体" w:hAnsi="宋体" w:cs="宋体"/>
                <w:color w:val="auto"/>
                <w:szCs w:val="21"/>
                <w:highlight w:val="none"/>
              </w:rPr>
            </w:pPr>
          </w:p>
        </w:tc>
        <w:tc>
          <w:tcPr>
            <w:tcW w:w="2611" w:type="dxa"/>
            <w:tcBorders>
              <w:top w:val="single" w:color="000000" w:sz="2" w:space="0"/>
              <w:left w:val="single" w:color="auto" w:sz="4" w:space="0"/>
              <w:bottom w:val="single" w:color="000000" w:sz="2" w:space="0"/>
              <w:right w:val="single" w:color="000000" w:sz="2" w:space="0"/>
            </w:tcBorders>
            <w:shd w:val="clear" w:color="auto" w:fill="FFFFFF"/>
            <w:vAlign w:val="center"/>
          </w:tcPr>
          <w:p w14:paraId="394B6087">
            <w:pPr>
              <w:spacing w:line="420" w:lineRule="exact"/>
              <w:jc w:val="center"/>
              <w:rPr>
                <w:rFonts w:hint="eastAsia" w:ascii="宋体" w:hAnsi="宋体"/>
                <w:color w:val="auto"/>
                <w:szCs w:val="21"/>
                <w:highlight w:val="none"/>
              </w:rPr>
            </w:pPr>
            <w:r>
              <w:rPr>
                <w:rFonts w:hint="eastAsia" w:ascii="宋体" w:hAnsi="宋体" w:cs="宋体"/>
                <w:color w:val="auto"/>
                <w:kern w:val="0"/>
                <w:szCs w:val="21"/>
                <w:highlight w:val="none"/>
              </w:rPr>
              <w:t>服务期限</w:t>
            </w:r>
          </w:p>
        </w:tc>
        <w:tc>
          <w:tcPr>
            <w:tcW w:w="4935" w:type="dxa"/>
            <w:tcBorders>
              <w:top w:val="single" w:color="000000" w:sz="2" w:space="0"/>
              <w:left w:val="single" w:color="000000" w:sz="2" w:space="0"/>
              <w:bottom w:val="single" w:color="000000" w:sz="2" w:space="0"/>
              <w:right w:val="single" w:color="auto" w:sz="4" w:space="0"/>
            </w:tcBorders>
            <w:shd w:val="clear" w:color="auto" w:fill="FFFFFF"/>
            <w:vAlign w:val="center"/>
          </w:tcPr>
          <w:p w14:paraId="1BC2EC0B">
            <w:pPr>
              <w:tabs>
                <w:tab w:val="left" w:pos="2370"/>
              </w:tabs>
              <w:spacing w:line="420" w:lineRule="exact"/>
              <w:rPr>
                <w:rFonts w:hint="eastAsia" w:ascii="宋体" w:hAnsi="宋体" w:cs="宋体"/>
                <w:color w:val="auto"/>
                <w:kern w:val="0"/>
                <w:szCs w:val="21"/>
                <w:highlight w:val="none"/>
              </w:rPr>
            </w:pPr>
            <w:r>
              <w:rPr>
                <w:rFonts w:hint="eastAsia" w:ascii="宋体" w:hAnsi="宋体" w:cs="宋体"/>
                <w:color w:val="auto"/>
                <w:kern w:val="0"/>
                <w:szCs w:val="21"/>
                <w:highlight w:val="none"/>
              </w:rPr>
              <w:t>符合“</w:t>
            </w:r>
            <w:r>
              <w:rPr>
                <w:rFonts w:hint="eastAsia" w:ascii="宋体" w:hAnsi="宋体"/>
                <w:color w:val="auto"/>
                <w:szCs w:val="21"/>
                <w:highlight w:val="none"/>
              </w:rPr>
              <w:t>投标人须知前附表</w:t>
            </w:r>
            <w:r>
              <w:rPr>
                <w:rFonts w:hint="eastAsia" w:ascii="宋体" w:hAnsi="宋体" w:cs="宋体"/>
                <w:color w:val="auto"/>
                <w:kern w:val="0"/>
                <w:szCs w:val="21"/>
                <w:highlight w:val="none"/>
              </w:rPr>
              <w:t>”规定</w:t>
            </w:r>
          </w:p>
        </w:tc>
      </w:tr>
      <w:tr w14:paraId="5EAE0017">
        <w:tblPrEx>
          <w:tblCellMar>
            <w:top w:w="0" w:type="dxa"/>
            <w:left w:w="108" w:type="dxa"/>
            <w:bottom w:w="0" w:type="dxa"/>
            <w:right w:w="108" w:type="dxa"/>
          </w:tblCellMar>
        </w:tblPrEx>
        <w:trPr>
          <w:trHeight w:val="680" w:hRule="atLeast"/>
          <w:jc w:val="center"/>
        </w:trPr>
        <w:tc>
          <w:tcPr>
            <w:tcW w:w="534" w:type="dxa"/>
            <w:vMerge w:val="continue"/>
            <w:tcBorders>
              <w:left w:val="single" w:color="auto" w:sz="4" w:space="0"/>
              <w:right w:val="single" w:color="auto" w:sz="4" w:space="0"/>
            </w:tcBorders>
            <w:shd w:val="clear" w:color="auto" w:fill="FFFFFF"/>
            <w:vAlign w:val="center"/>
          </w:tcPr>
          <w:p w14:paraId="5ADADD38">
            <w:pPr>
              <w:autoSpaceDE w:val="0"/>
              <w:autoSpaceDN w:val="0"/>
              <w:adjustRightInd w:val="0"/>
              <w:jc w:val="left"/>
              <w:rPr>
                <w:rFonts w:hint="eastAsia" w:ascii="宋体" w:hAnsi="宋体" w:cs="宋体"/>
                <w:color w:val="auto"/>
                <w:szCs w:val="21"/>
                <w:highlight w:val="none"/>
              </w:rPr>
            </w:pPr>
          </w:p>
        </w:tc>
        <w:tc>
          <w:tcPr>
            <w:tcW w:w="1460" w:type="dxa"/>
            <w:vMerge w:val="continue"/>
            <w:tcBorders>
              <w:left w:val="single" w:color="auto" w:sz="4" w:space="0"/>
              <w:right w:val="single" w:color="auto" w:sz="4" w:space="0"/>
            </w:tcBorders>
            <w:shd w:val="clear" w:color="auto" w:fill="FFFFFF"/>
            <w:vAlign w:val="center"/>
          </w:tcPr>
          <w:p w14:paraId="19659C17">
            <w:pPr>
              <w:rPr>
                <w:rFonts w:hint="eastAsia" w:ascii="宋体" w:hAnsi="宋体" w:cs="宋体"/>
                <w:color w:val="auto"/>
                <w:szCs w:val="21"/>
                <w:highlight w:val="none"/>
              </w:rPr>
            </w:pPr>
          </w:p>
        </w:tc>
        <w:tc>
          <w:tcPr>
            <w:tcW w:w="2611" w:type="dxa"/>
            <w:tcBorders>
              <w:top w:val="single" w:color="000000" w:sz="2" w:space="0"/>
              <w:left w:val="single" w:color="auto" w:sz="4" w:space="0"/>
              <w:bottom w:val="single" w:color="000000" w:sz="2" w:space="0"/>
              <w:right w:val="single" w:color="000000" w:sz="2" w:space="0"/>
            </w:tcBorders>
            <w:shd w:val="clear" w:color="auto" w:fill="FFFFFF"/>
            <w:vAlign w:val="center"/>
          </w:tcPr>
          <w:p w14:paraId="6A21E3A9">
            <w:pPr>
              <w:spacing w:line="420" w:lineRule="exact"/>
              <w:jc w:val="center"/>
              <w:rPr>
                <w:rFonts w:hint="eastAsia" w:ascii="宋体" w:hAnsi="宋体" w:cs="宋体"/>
                <w:color w:val="auto"/>
                <w:szCs w:val="21"/>
                <w:highlight w:val="none"/>
              </w:rPr>
            </w:pPr>
            <w:r>
              <w:rPr>
                <w:rFonts w:hint="eastAsia" w:ascii="宋体" w:hAnsi="宋体"/>
                <w:color w:val="auto"/>
                <w:szCs w:val="21"/>
                <w:highlight w:val="none"/>
              </w:rPr>
              <w:t>投标质量</w:t>
            </w:r>
          </w:p>
        </w:tc>
        <w:tc>
          <w:tcPr>
            <w:tcW w:w="4935" w:type="dxa"/>
            <w:tcBorders>
              <w:top w:val="single" w:color="000000" w:sz="2" w:space="0"/>
              <w:left w:val="single" w:color="000000" w:sz="2" w:space="0"/>
              <w:bottom w:val="single" w:color="000000" w:sz="2" w:space="0"/>
              <w:right w:val="single" w:color="auto" w:sz="4" w:space="0"/>
            </w:tcBorders>
            <w:shd w:val="clear" w:color="auto" w:fill="FFFFFF"/>
            <w:vAlign w:val="center"/>
          </w:tcPr>
          <w:p w14:paraId="3127CB46">
            <w:pPr>
              <w:spacing w:line="420" w:lineRule="exact"/>
              <w:rPr>
                <w:rFonts w:hint="eastAsia" w:ascii="宋体" w:hAnsi="宋体" w:cs="宋体"/>
                <w:color w:val="auto"/>
                <w:szCs w:val="21"/>
                <w:highlight w:val="none"/>
              </w:rPr>
            </w:pPr>
            <w:r>
              <w:rPr>
                <w:rFonts w:hint="eastAsia" w:ascii="宋体" w:hAnsi="宋体" w:cs="宋体"/>
                <w:color w:val="auto"/>
                <w:kern w:val="0"/>
                <w:szCs w:val="21"/>
                <w:highlight w:val="none"/>
              </w:rPr>
              <w:t>符合“</w:t>
            </w:r>
            <w:r>
              <w:rPr>
                <w:rFonts w:hint="eastAsia" w:ascii="宋体" w:hAnsi="宋体"/>
                <w:color w:val="auto"/>
                <w:szCs w:val="21"/>
                <w:highlight w:val="none"/>
              </w:rPr>
              <w:t>投标人须知前附表</w:t>
            </w:r>
            <w:r>
              <w:rPr>
                <w:rFonts w:hint="eastAsia" w:ascii="宋体" w:hAnsi="宋体" w:cs="宋体"/>
                <w:color w:val="auto"/>
                <w:kern w:val="0"/>
                <w:szCs w:val="21"/>
                <w:highlight w:val="none"/>
              </w:rPr>
              <w:t>”规定</w:t>
            </w:r>
          </w:p>
        </w:tc>
      </w:tr>
      <w:tr w14:paraId="4E89E2A7">
        <w:tblPrEx>
          <w:tblCellMar>
            <w:top w:w="0" w:type="dxa"/>
            <w:left w:w="108" w:type="dxa"/>
            <w:bottom w:w="0" w:type="dxa"/>
            <w:right w:w="108" w:type="dxa"/>
          </w:tblCellMar>
        </w:tblPrEx>
        <w:trPr>
          <w:trHeight w:val="680" w:hRule="atLeast"/>
          <w:jc w:val="center"/>
        </w:trPr>
        <w:tc>
          <w:tcPr>
            <w:tcW w:w="534" w:type="dxa"/>
            <w:vMerge w:val="continue"/>
            <w:tcBorders>
              <w:left w:val="single" w:color="auto" w:sz="4" w:space="0"/>
              <w:bottom w:val="single" w:color="auto" w:sz="4" w:space="0"/>
              <w:right w:val="single" w:color="auto" w:sz="4" w:space="0"/>
            </w:tcBorders>
            <w:shd w:val="clear" w:color="auto" w:fill="FFFFFF"/>
            <w:vAlign w:val="center"/>
          </w:tcPr>
          <w:p w14:paraId="54464D05">
            <w:pPr>
              <w:jc w:val="left"/>
              <w:rPr>
                <w:rFonts w:hint="eastAsia" w:ascii="宋体" w:hAnsi="宋体" w:cs="宋体"/>
                <w:color w:val="auto"/>
                <w:szCs w:val="21"/>
                <w:highlight w:val="none"/>
                <w:lang w:val="zh-CN"/>
              </w:rPr>
            </w:pPr>
          </w:p>
        </w:tc>
        <w:tc>
          <w:tcPr>
            <w:tcW w:w="1460" w:type="dxa"/>
            <w:vMerge w:val="continue"/>
            <w:tcBorders>
              <w:left w:val="single" w:color="auto" w:sz="4" w:space="0"/>
              <w:bottom w:val="single" w:color="auto" w:sz="4" w:space="0"/>
              <w:right w:val="single" w:color="auto" w:sz="4" w:space="0"/>
            </w:tcBorders>
            <w:shd w:val="clear" w:color="auto" w:fill="FFFFFF"/>
            <w:vAlign w:val="center"/>
          </w:tcPr>
          <w:p w14:paraId="28058A6A">
            <w:pPr>
              <w:rPr>
                <w:rFonts w:hint="eastAsia" w:ascii="宋体" w:hAnsi="宋体" w:cs="宋体"/>
                <w:color w:val="auto"/>
                <w:szCs w:val="21"/>
                <w:highlight w:val="none"/>
              </w:rPr>
            </w:pPr>
          </w:p>
        </w:tc>
        <w:tc>
          <w:tcPr>
            <w:tcW w:w="2611" w:type="dxa"/>
            <w:tcBorders>
              <w:top w:val="single" w:color="000000" w:sz="2" w:space="0"/>
              <w:left w:val="single" w:color="auto" w:sz="4" w:space="0"/>
              <w:bottom w:val="single" w:color="auto" w:sz="4" w:space="0"/>
              <w:right w:val="single" w:color="000000" w:sz="2" w:space="0"/>
            </w:tcBorders>
            <w:shd w:val="clear" w:color="auto" w:fill="FFFFFF"/>
            <w:vAlign w:val="center"/>
          </w:tcPr>
          <w:p w14:paraId="779BD6ED">
            <w:pPr>
              <w:spacing w:line="420" w:lineRule="exact"/>
              <w:jc w:val="center"/>
              <w:rPr>
                <w:rFonts w:hint="eastAsia" w:ascii="宋体" w:hAnsi="宋体" w:cs="宋体"/>
                <w:color w:val="auto"/>
                <w:szCs w:val="21"/>
                <w:highlight w:val="none"/>
                <w:lang w:val="zh-CN"/>
              </w:rPr>
            </w:pPr>
            <w:r>
              <w:rPr>
                <w:rFonts w:hint="eastAsia" w:ascii="宋体" w:hAnsi="宋体"/>
                <w:color w:val="auto"/>
                <w:szCs w:val="21"/>
                <w:highlight w:val="none"/>
              </w:rPr>
              <w:t>投标有效期</w:t>
            </w:r>
          </w:p>
        </w:tc>
        <w:tc>
          <w:tcPr>
            <w:tcW w:w="4935" w:type="dxa"/>
            <w:tcBorders>
              <w:top w:val="single" w:color="000000" w:sz="2" w:space="0"/>
              <w:left w:val="single" w:color="000000" w:sz="2" w:space="0"/>
              <w:bottom w:val="single" w:color="auto" w:sz="4" w:space="0"/>
              <w:right w:val="single" w:color="auto" w:sz="4" w:space="0"/>
            </w:tcBorders>
            <w:shd w:val="clear" w:color="auto" w:fill="FFFFFF"/>
            <w:vAlign w:val="center"/>
          </w:tcPr>
          <w:p w14:paraId="30913ACF">
            <w:pPr>
              <w:spacing w:line="420" w:lineRule="exact"/>
              <w:rPr>
                <w:rFonts w:hint="eastAsia" w:ascii="宋体" w:hAnsi="宋体" w:cs="宋体"/>
                <w:color w:val="auto"/>
                <w:szCs w:val="21"/>
                <w:highlight w:val="none"/>
                <w:lang w:val="zh-CN"/>
              </w:rPr>
            </w:pPr>
            <w:r>
              <w:rPr>
                <w:rFonts w:hint="eastAsia" w:ascii="宋体" w:hAnsi="宋体" w:cs="宋体"/>
                <w:color w:val="auto"/>
                <w:kern w:val="0"/>
                <w:szCs w:val="21"/>
                <w:highlight w:val="none"/>
              </w:rPr>
              <w:t>符合“</w:t>
            </w:r>
            <w:r>
              <w:rPr>
                <w:rFonts w:hint="eastAsia" w:ascii="宋体" w:hAnsi="宋体"/>
                <w:color w:val="auto"/>
                <w:szCs w:val="21"/>
                <w:highlight w:val="none"/>
              </w:rPr>
              <w:t>投标人须知前附表</w:t>
            </w:r>
            <w:r>
              <w:rPr>
                <w:rFonts w:hint="eastAsia" w:ascii="宋体" w:hAnsi="宋体" w:cs="宋体"/>
                <w:color w:val="auto"/>
                <w:kern w:val="0"/>
                <w:szCs w:val="21"/>
                <w:highlight w:val="none"/>
              </w:rPr>
              <w:t>”规定</w:t>
            </w:r>
          </w:p>
        </w:tc>
      </w:tr>
    </w:tbl>
    <w:p w14:paraId="1AC8F723">
      <w:pPr>
        <w:autoSpaceDE w:val="0"/>
        <w:autoSpaceDN w:val="0"/>
        <w:adjustRightInd w:val="0"/>
        <w:ind w:firstLine="482"/>
        <w:jc w:val="center"/>
        <w:outlineLvl w:val="0"/>
        <w:rPr>
          <w:rFonts w:hint="eastAsia" w:ascii="宋体" w:hAnsi="宋体" w:cs="宋体"/>
          <w:b/>
          <w:color w:val="auto"/>
          <w:sz w:val="24"/>
          <w:highlight w:val="none"/>
          <w:lang w:val="zh-CN"/>
        </w:rPr>
      </w:pPr>
      <w:bookmarkStart w:id="279" w:name="_Toc22431"/>
      <w:bookmarkStart w:id="280" w:name="_Toc12167"/>
      <w:bookmarkStart w:id="281" w:name="_Toc25469"/>
      <w:bookmarkStart w:id="282" w:name="_Toc21946"/>
      <w:r>
        <w:rPr>
          <w:rFonts w:hint="eastAsia" w:ascii="宋体" w:hAnsi="宋体" w:cs="宋体"/>
          <w:b/>
          <w:color w:val="auto"/>
          <w:kern w:val="0"/>
          <w:sz w:val="24"/>
          <w:highlight w:val="none"/>
          <w:lang w:val="zh-CN"/>
        </w:rPr>
        <w:t>1、评标办法前附表</w:t>
      </w:r>
      <w:bookmarkEnd w:id="260"/>
      <w:bookmarkEnd w:id="261"/>
      <w:bookmarkEnd w:id="262"/>
      <w:bookmarkEnd w:id="263"/>
      <w:bookmarkEnd w:id="264"/>
      <w:bookmarkEnd w:id="265"/>
      <w:bookmarkEnd w:id="266"/>
      <w:bookmarkEnd w:id="267"/>
      <w:bookmarkEnd w:id="268"/>
      <w:bookmarkEnd w:id="269"/>
      <w:bookmarkEnd w:id="270"/>
      <w:bookmarkEnd w:id="271"/>
      <w:bookmarkEnd w:id="279"/>
      <w:bookmarkEnd w:id="280"/>
      <w:bookmarkEnd w:id="281"/>
      <w:bookmarkEnd w:id="282"/>
    </w:p>
    <w:p w14:paraId="2ABDC4B8">
      <w:pPr>
        <w:numPr>
          <w:ilvl w:val="0"/>
          <w:numId w:val="4"/>
        </w:numPr>
        <w:spacing w:line="271" w:lineRule="auto"/>
        <w:ind w:firstLine="3373" w:firstLineChars="1600"/>
        <w:jc w:val="left"/>
        <w:outlineLvl w:val="0"/>
        <w:rPr>
          <w:rFonts w:hint="eastAsia" w:ascii="宋体" w:hAnsi="宋体"/>
          <w:b/>
          <w:bCs/>
          <w:color w:val="auto"/>
          <w:szCs w:val="21"/>
          <w:highlight w:val="none"/>
        </w:rPr>
      </w:pPr>
      <w:bookmarkStart w:id="283" w:name="_Toc14534"/>
      <w:bookmarkStart w:id="284" w:name="_Toc1025"/>
      <w:bookmarkStart w:id="285" w:name="_Toc5277"/>
      <w:bookmarkStart w:id="286" w:name="_Toc25757"/>
      <w:bookmarkStart w:id="287" w:name="_Toc17232"/>
      <w:bookmarkStart w:id="288" w:name="_Toc25626"/>
      <w:bookmarkStart w:id="289" w:name="_Toc4736"/>
      <w:bookmarkStart w:id="290" w:name="_Toc32254"/>
      <w:bookmarkStart w:id="291" w:name="_Toc9311"/>
      <w:bookmarkStart w:id="292" w:name="_Toc20028"/>
      <w:bookmarkStart w:id="293" w:name="_Toc30096"/>
      <w:bookmarkStart w:id="294" w:name="_Toc1100"/>
      <w:bookmarkStart w:id="295" w:name="_Toc29704"/>
      <w:bookmarkStart w:id="296" w:name="_Toc7896"/>
      <w:r>
        <w:rPr>
          <w:rFonts w:hint="eastAsia" w:ascii="宋体" w:hAnsi="宋体"/>
          <w:b/>
          <w:bCs/>
          <w:color w:val="auto"/>
          <w:szCs w:val="21"/>
          <w:highlight w:val="none"/>
        </w:rPr>
        <w:t>评审标准</w:t>
      </w:r>
      <w:bookmarkEnd w:id="283"/>
      <w:bookmarkEnd w:id="284"/>
      <w:bookmarkEnd w:id="285"/>
      <w:bookmarkEnd w:id="286"/>
    </w:p>
    <w:tbl>
      <w:tblPr>
        <w:tblStyle w:val="28"/>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1269"/>
        <w:gridCol w:w="1116"/>
        <w:gridCol w:w="5836"/>
      </w:tblGrid>
      <w:tr w14:paraId="2FE15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76" w:type="dxa"/>
            <w:tcBorders>
              <w:top w:val="single" w:color="auto" w:sz="4" w:space="0"/>
              <w:left w:val="single" w:color="auto" w:sz="4" w:space="0"/>
              <w:bottom w:val="single" w:color="auto" w:sz="4" w:space="0"/>
              <w:right w:val="single" w:color="auto" w:sz="4" w:space="0"/>
            </w:tcBorders>
            <w:vAlign w:val="center"/>
          </w:tcPr>
          <w:p w14:paraId="4D3099DD">
            <w:pPr>
              <w:autoSpaceDE w:val="0"/>
              <w:autoSpaceDN w:val="0"/>
              <w:adjustRightInd w:val="0"/>
              <w:spacing w:line="360" w:lineRule="exact"/>
              <w:jc w:val="left"/>
              <w:rPr>
                <w:rFonts w:hint="eastAsia" w:ascii="宋体" w:hAnsi="宋体"/>
                <w:color w:val="auto"/>
                <w:kern w:val="0"/>
                <w:szCs w:val="21"/>
                <w:highlight w:val="none"/>
              </w:rPr>
            </w:pPr>
            <w:r>
              <w:rPr>
                <w:rFonts w:hint="eastAsia" w:ascii="宋体" w:hAnsi="宋体"/>
                <w:color w:val="auto"/>
                <w:kern w:val="0"/>
                <w:szCs w:val="21"/>
                <w:highlight w:val="none"/>
              </w:rPr>
              <w:t>2.2.1</w:t>
            </w:r>
          </w:p>
        </w:tc>
        <w:tc>
          <w:tcPr>
            <w:tcW w:w="2385" w:type="dxa"/>
            <w:gridSpan w:val="2"/>
            <w:tcBorders>
              <w:top w:val="single" w:color="auto" w:sz="4" w:space="0"/>
              <w:left w:val="nil"/>
              <w:bottom w:val="single" w:color="auto" w:sz="4" w:space="0"/>
              <w:right w:val="single" w:color="auto" w:sz="4" w:space="0"/>
            </w:tcBorders>
            <w:vAlign w:val="center"/>
          </w:tcPr>
          <w:p w14:paraId="5C8B9703">
            <w:pPr>
              <w:autoSpaceDE w:val="0"/>
              <w:autoSpaceDN w:val="0"/>
              <w:adjustRightInd w:val="0"/>
              <w:spacing w:line="360" w:lineRule="exact"/>
              <w:jc w:val="center"/>
              <w:rPr>
                <w:rFonts w:hint="eastAsia" w:ascii="宋体" w:hAnsi="宋体"/>
                <w:color w:val="auto"/>
                <w:kern w:val="0"/>
                <w:szCs w:val="21"/>
                <w:highlight w:val="none"/>
              </w:rPr>
            </w:pPr>
            <w:r>
              <w:rPr>
                <w:rFonts w:hint="eastAsia" w:ascii="宋体" w:hAnsi="宋体"/>
                <w:color w:val="auto"/>
                <w:kern w:val="0"/>
                <w:szCs w:val="21"/>
                <w:highlight w:val="none"/>
              </w:rPr>
              <w:t>分值组成</w:t>
            </w:r>
          </w:p>
          <w:p w14:paraId="722D4539">
            <w:pPr>
              <w:autoSpaceDE w:val="0"/>
              <w:autoSpaceDN w:val="0"/>
              <w:adjustRightInd w:val="0"/>
              <w:spacing w:line="360" w:lineRule="exact"/>
              <w:jc w:val="center"/>
              <w:rPr>
                <w:rFonts w:hint="eastAsia" w:ascii="宋体" w:hAnsi="宋体"/>
                <w:color w:val="auto"/>
                <w:kern w:val="0"/>
                <w:szCs w:val="21"/>
                <w:highlight w:val="none"/>
              </w:rPr>
            </w:pPr>
            <w:r>
              <w:rPr>
                <w:rFonts w:hint="eastAsia" w:ascii="宋体" w:hAnsi="宋体"/>
                <w:color w:val="auto"/>
                <w:kern w:val="0"/>
                <w:szCs w:val="21"/>
                <w:highlight w:val="none"/>
              </w:rPr>
              <w:t>（总分100分）</w:t>
            </w:r>
          </w:p>
        </w:tc>
        <w:tc>
          <w:tcPr>
            <w:tcW w:w="5836" w:type="dxa"/>
            <w:tcBorders>
              <w:top w:val="single" w:color="auto" w:sz="4" w:space="0"/>
              <w:left w:val="nil"/>
              <w:bottom w:val="single" w:color="auto" w:sz="4" w:space="0"/>
              <w:right w:val="single" w:color="auto" w:sz="4" w:space="0"/>
            </w:tcBorders>
            <w:vAlign w:val="center"/>
          </w:tcPr>
          <w:p w14:paraId="0F9A3A91">
            <w:pPr>
              <w:spacing w:line="360" w:lineRule="auto"/>
              <w:jc w:val="lef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报价</w:t>
            </w:r>
            <w:r>
              <w:rPr>
                <w:rFonts w:hint="eastAsia" w:ascii="宋体" w:hAnsi="宋体" w:eastAsia="宋体" w:cs="宋体"/>
                <w:color w:val="000000"/>
                <w:sz w:val="21"/>
                <w:szCs w:val="21"/>
                <w:highlight w:val="none"/>
              </w:rPr>
              <w:t>部分：</w:t>
            </w:r>
            <w:r>
              <w:rPr>
                <w:rFonts w:hint="eastAsia" w:ascii="宋体" w:hAnsi="宋体" w:eastAsia="宋体" w:cs="宋体"/>
                <w:color w:val="000000"/>
                <w:sz w:val="21"/>
                <w:szCs w:val="21"/>
                <w:highlight w:val="none"/>
                <w:u w:val="single"/>
                <w:lang w:val="en-US" w:eastAsia="zh-CN"/>
              </w:rPr>
              <w:t>10</w:t>
            </w:r>
            <w:r>
              <w:rPr>
                <w:rFonts w:hint="eastAsia" w:ascii="宋体" w:hAnsi="宋体" w:eastAsia="宋体" w:cs="宋体"/>
                <w:color w:val="000000"/>
                <w:sz w:val="21"/>
                <w:szCs w:val="21"/>
                <w:highlight w:val="none"/>
              </w:rPr>
              <w:t>分</w:t>
            </w:r>
          </w:p>
          <w:p w14:paraId="64492DDC">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技术部分：</w:t>
            </w:r>
            <w:r>
              <w:rPr>
                <w:rFonts w:hint="eastAsia" w:ascii="宋体" w:hAnsi="宋体" w:cs="宋体"/>
                <w:color w:val="000000"/>
                <w:sz w:val="21"/>
                <w:szCs w:val="21"/>
                <w:highlight w:val="none"/>
                <w:u w:val="single"/>
                <w:lang w:val="en-US" w:eastAsia="zh-CN"/>
              </w:rPr>
              <w:t>35</w:t>
            </w:r>
            <w:r>
              <w:rPr>
                <w:rFonts w:hint="eastAsia" w:ascii="宋体" w:hAnsi="宋体" w:eastAsia="宋体" w:cs="宋体"/>
                <w:color w:val="000000"/>
                <w:sz w:val="21"/>
                <w:szCs w:val="21"/>
                <w:highlight w:val="none"/>
              </w:rPr>
              <w:t>分</w:t>
            </w:r>
          </w:p>
          <w:p w14:paraId="2A0FC42C">
            <w:pPr>
              <w:autoSpaceDE w:val="0"/>
              <w:autoSpaceDN w:val="0"/>
              <w:adjustRightInd w:val="0"/>
              <w:spacing w:line="360" w:lineRule="exact"/>
              <w:jc w:val="left"/>
              <w:rPr>
                <w:rFonts w:hint="eastAsia" w:ascii="宋体" w:hAnsi="宋体"/>
                <w:color w:val="auto"/>
                <w:kern w:val="0"/>
                <w:szCs w:val="21"/>
                <w:highlight w:val="none"/>
              </w:rPr>
            </w:pPr>
            <w:r>
              <w:rPr>
                <w:rFonts w:hint="eastAsia" w:ascii="宋体" w:hAnsi="宋体" w:eastAsia="宋体" w:cs="宋体"/>
                <w:color w:val="000000"/>
                <w:sz w:val="21"/>
                <w:szCs w:val="21"/>
                <w:highlight w:val="none"/>
              </w:rPr>
              <w:t>综合部分：</w:t>
            </w:r>
            <w:r>
              <w:rPr>
                <w:rFonts w:hint="eastAsia" w:ascii="宋体" w:hAnsi="宋体" w:eastAsia="宋体" w:cs="宋体"/>
                <w:color w:val="000000"/>
                <w:sz w:val="21"/>
                <w:szCs w:val="21"/>
                <w:highlight w:val="none"/>
                <w:u w:val="single"/>
                <w:lang w:val="en-US" w:eastAsia="zh-CN"/>
              </w:rPr>
              <w:t>55</w:t>
            </w:r>
            <w:r>
              <w:rPr>
                <w:rFonts w:hint="eastAsia" w:ascii="宋体" w:hAnsi="宋体" w:eastAsia="宋体" w:cs="宋体"/>
                <w:color w:val="000000"/>
                <w:sz w:val="21"/>
                <w:szCs w:val="21"/>
                <w:highlight w:val="none"/>
              </w:rPr>
              <w:t>分</w:t>
            </w:r>
          </w:p>
        </w:tc>
      </w:tr>
      <w:tr w14:paraId="6CA88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76" w:type="dxa"/>
            <w:tcBorders>
              <w:top w:val="single" w:color="auto" w:sz="4" w:space="0"/>
              <w:left w:val="single" w:color="auto" w:sz="4" w:space="0"/>
              <w:bottom w:val="single" w:color="auto" w:sz="4" w:space="0"/>
              <w:right w:val="single" w:color="auto" w:sz="4" w:space="0"/>
            </w:tcBorders>
            <w:vAlign w:val="center"/>
          </w:tcPr>
          <w:p w14:paraId="72FC5266">
            <w:pPr>
              <w:pStyle w:val="37"/>
              <w:spacing w:line="420" w:lineRule="exact"/>
              <w:rPr>
                <w:rFonts w:hint="eastAsia" w:hAnsi="宋体"/>
                <w:color w:val="auto"/>
                <w:kern w:val="0"/>
                <w:szCs w:val="21"/>
                <w:highlight w:val="none"/>
              </w:rPr>
            </w:pPr>
            <w:r>
              <w:rPr>
                <w:rFonts w:hint="eastAsia" w:hAnsi="宋体"/>
                <w:bCs/>
                <w:color w:val="auto"/>
                <w:sz w:val="21"/>
                <w:szCs w:val="21"/>
                <w:highlight w:val="none"/>
              </w:rPr>
              <w:t>2.2.2</w:t>
            </w:r>
          </w:p>
        </w:tc>
        <w:tc>
          <w:tcPr>
            <w:tcW w:w="2385" w:type="dxa"/>
            <w:gridSpan w:val="2"/>
            <w:tcBorders>
              <w:top w:val="single" w:color="auto" w:sz="4" w:space="0"/>
              <w:left w:val="nil"/>
              <w:bottom w:val="single" w:color="auto" w:sz="4" w:space="0"/>
              <w:right w:val="single" w:color="auto" w:sz="4" w:space="0"/>
            </w:tcBorders>
            <w:vAlign w:val="center"/>
          </w:tcPr>
          <w:p w14:paraId="54F2052B">
            <w:pPr>
              <w:spacing w:line="320" w:lineRule="exact"/>
              <w:jc w:val="center"/>
              <w:rPr>
                <w:rFonts w:hint="eastAsia" w:ascii="宋体" w:hAnsi="宋体"/>
                <w:color w:val="auto"/>
                <w:kern w:val="0"/>
                <w:szCs w:val="21"/>
                <w:highlight w:val="none"/>
              </w:rPr>
            </w:pPr>
            <w:r>
              <w:rPr>
                <w:rFonts w:hint="eastAsia" w:ascii="宋体" w:hAnsi="宋体" w:cs="宋体"/>
                <w:bCs/>
                <w:color w:val="auto"/>
                <w:szCs w:val="21"/>
                <w:highlight w:val="none"/>
              </w:rPr>
              <w:t>评标基准值计算方法</w:t>
            </w:r>
          </w:p>
        </w:tc>
        <w:tc>
          <w:tcPr>
            <w:tcW w:w="5836" w:type="dxa"/>
            <w:tcBorders>
              <w:top w:val="single" w:color="auto" w:sz="4" w:space="0"/>
              <w:left w:val="nil"/>
              <w:bottom w:val="single" w:color="auto" w:sz="4" w:space="0"/>
              <w:right w:val="single" w:color="auto" w:sz="4" w:space="0"/>
            </w:tcBorders>
            <w:vAlign w:val="center"/>
          </w:tcPr>
          <w:p w14:paraId="63BD3509">
            <w:pPr>
              <w:spacing w:line="360" w:lineRule="auto"/>
              <w:jc w:val="center"/>
              <w:rPr>
                <w:rFonts w:hint="eastAsia" w:ascii="宋体" w:hAnsi="宋体"/>
                <w:color w:val="auto"/>
                <w:kern w:val="0"/>
                <w:szCs w:val="21"/>
                <w:highlight w:val="none"/>
              </w:rPr>
            </w:pPr>
            <w:r>
              <w:rPr>
                <w:rFonts w:hint="eastAsia" w:ascii="宋体" w:hAnsi="宋体" w:cs="宋体"/>
                <w:color w:val="auto"/>
                <w:kern w:val="0"/>
                <w:szCs w:val="21"/>
                <w:highlight w:val="none"/>
              </w:rPr>
              <w:t>评标基准值=满足采购文件要求且投标报价最低的投标报价。</w:t>
            </w:r>
          </w:p>
        </w:tc>
      </w:tr>
      <w:tr w14:paraId="13D61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76" w:type="dxa"/>
            <w:tcBorders>
              <w:top w:val="single" w:color="auto" w:sz="4" w:space="0"/>
              <w:left w:val="single" w:color="auto" w:sz="4" w:space="0"/>
              <w:bottom w:val="single" w:color="auto" w:sz="4" w:space="0"/>
              <w:right w:val="single" w:color="auto" w:sz="4" w:space="0"/>
            </w:tcBorders>
            <w:vAlign w:val="center"/>
          </w:tcPr>
          <w:p w14:paraId="1794AFAA">
            <w:pPr>
              <w:autoSpaceDE w:val="0"/>
              <w:autoSpaceDN w:val="0"/>
              <w:adjustRightInd w:val="0"/>
              <w:spacing w:line="360" w:lineRule="exact"/>
              <w:jc w:val="center"/>
              <w:rPr>
                <w:rFonts w:hint="eastAsia" w:ascii="宋体" w:hAnsi="宋体"/>
                <w:color w:val="auto"/>
                <w:kern w:val="0"/>
                <w:szCs w:val="21"/>
                <w:highlight w:val="none"/>
              </w:rPr>
            </w:pPr>
            <w:r>
              <w:rPr>
                <w:rFonts w:hint="eastAsia" w:ascii="宋体" w:hAnsi="宋体"/>
                <w:color w:val="auto"/>
                <w:kern w:val="0"/>
                <w:szCs w:val="21"/>
                <w:highlight w:val="none"/>
              </w:rPr>
              <w:t>条款号</w:t>
            </w:r>
          </w:p>
        </w:tc>
        <w:tc>
          <w:tcPr>
            <w:tcW w:w="2385" w:type="dxa"/>
            <w:gridSpan w:val="2"/>
            <w:tcBorders>
              <w:top w:val="single" w:color="auto" w:sz="4" w:space="0"/>
              <w:left w:val="nil"/>
              <w:bottom w:val="single" w:color="auto" w:sz="4" w:space="0"/>
              <w:right w:val="single" w:color="auto" w:sz="4" w:space="0"/>
            </w:tcBorders>
            <w:vAlign w:val="center"/>
          </w:tcPr>
          <w:p w14:paraId="3E23BC7D">
            <w:pPr>
              <w:autoSpaceDE w:val="0"/>
              <w:autoSpaceDN w:val="0"/>
              <w:adjustRightInd w:val="0"/>
              <w:spacing w:line="360" w:lineRule="exact"/>
              <w:jc w:val="center"/>
              <w:rPr>
                <w:rFonts w:hint="eastAsia" w:ascii="宋体" w:hAnsi="宋体"/>
                <w:color w:val="auto"/>
                <w:kern w:val="0"/>
                <w:szCs w:val="21"/>
                <w:highlight w:val="none"/>
              </w:rPr>
            </w:pPr>
            <w:r>
              <w:rPr>
                <w:rFonts w:hint="eastAsia" w:ascii="宋体" w:hAnsi="宋体"/>
                <w:color w:val="auto"/>
                <w:kern w:val="0"/>
                <w:szCs w:val="21"/>
                <w:highlight w:val="none"/>
              </w:rPr>
              <w:t>评分因素</w:t>
            </w:r>
          </w:p>
        </w:tc>
        <w:tc>
          <w:tcPr>
            <w:tcW w:w="5836" w:type="dxa"/>
            <w:tcBorders>
              <w:top w:val="single" w:color="auto" w:sz="4" w:space="0"/>
              <w:left w:val="nil"/>
              <w:bottom w:val="single" w:color="auto" w:sz="4" w:space="0"/>
              <w:right w:val="single" w:color="auto" w:sz="4" w:space="0"/>
            </w:tcBorders>
            <w:vAlign w:val="center"/>
          </w:tcPr>
          <w:p w14:paraId="7C02D5EF">
            <w:pPr>
              <w:autoSpaceDE w:val="0"/>
              <w:autoSpaceDN w:val="0"/>
              <w:adjustRightInd w:val="0"/>
              <w:spacing w:line="360" w:lineRule="exact"/>
              <w:jc w:val="center"/>
              <w:rPr>
                <w:rFonts w:hint="eastAsia" w:ascii="宋体" w:hAnsi="宋体"/>
                <w:color w:val="auto"/>
                <w:kern w:val="0"/>
                <w:szCs w:val="21"/>
                <w:highlight w:val="none"/>
              </w:rPr>
            </w:pPr>
            <w:r>
              <w:rPr>
                <w:rFonts w:hint="eastAsia" w:ascii="宋体" w:hAnsi="宋体"/>
                <w:color w:val="auto"/>
                <w:kern w:val="0"/>
                <w:szCs w:val="21"/>
                <w:highlight w:val="none"/>
              </w:rPr>
              <w:t>评分标准</w:t>
            </w:r>
          </w:p>
        </w:tc>
      </w:tr>
      <w:tr w14:paraId="12C28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6" w:type="dxa"/>
            <w:tcBorders>
              <w:top w:val="single" w:color="auto" w:sz="4" w:space="0"/>
              <w:left w:val="single" w:color="auto" w:sz="4" w:space="0"/>
              <w:bottom w:val="single" w:color="auto" w:sz="4" w:space="0"/>
              <w:right w:val="single" w:color="auto" w:sz="4" w:space="0"/>
            </w:tcBorders>
          </w:tcPr>
          <w:p w14:paraId="179B32B6">
            <w:pPr>
              <w:autoSpaceDE w:val="0"/>
              <w:autoSpaceDN w:val="0"/>
              <w:adjustRightInd w:val="0"/>
              <w:spacing w:line="360" w:lineRule="exact"/>
              <w:jc w:val="center"/>
              <w:rPr>
                <w:rFonts w:hint="eastAsia" w:ascii="宋体" w:hAnsi="宋体"/>
                <w:color w:val="auto"/>
                <w:kern w:val="0"/>
                <w:szCs w:val="21"/>
                <w:highlight w:val="none"/>
              </w:rPr>
            </w:pPr>
            <w:r>
              <w:rPr>
                <w:rFonts w:hint="eastAsia" w:ascii="宋体" w:hAnsi="宋体"/>
                <w:color w:val="auto"/>
                <w:kern w:val="0"/>
                <w:szCs w:val="21"/>
                <w:highlight w:val="none"/>
              </w:rPr>
              <w:t>评审因素</w:t>
            </w:r>
          </w:p>
        </w:tc>
        <w:tc>
          <w:tcPr>
            <w:tcW w:w="1269" w:type="dxa"/>
            <w:tcBorders>
              <w:top w:val="single" w:color="auto" w:sz="4" w:space="0"/>
              <w:left w:val="single" w:color="auto" w:sz="4" w:space="0"/>
              <w:bottom w:val="single" w:color="auto" w:sz="4" w:space="0"/>
              <w:right w:val="single" w:color="auto" w:sz="4" w:space="0"/>
            </w:tcBorders>
          </w:tcPr>
          <w:p w14:paraId="37F5331B">
            <w:pPr>
              <w:autoSpaceDE w:val="0"/>
              <w:autoSpaceDN w:val="0"/>
              <w:adjustRightInd w:val="0"/>
              <w:spacing w:line="360" w:lineRule="exact"/>
              <w:jc w:val="center"/>
              <w:rPr>
                <w:rFonts w:hint="eastAsia" w:ascii="宋体" w:hAnsi="宋体"/>
                <w:color w:val="auto"/>
                <w:kern w:val="0"/>
                <w:szCs w:val="21"/>
                <w:highlight w:val="none"/>
              </w:rPr>
            </w:pPr>
            <w:r>
              <w:rPr>
                <w:rFonts w:hint="eastAsia" w:ascii="宋体" w:hAnsi="宋体"/>
                <w:color w:val="auto"/>
                <w:kern w:val="0"/>
                <w:szCs w:val="21"/>
                <w:highlight w:val="none"/>
              </w:rPr>
              <w:t>评审内容</w:t>
            </w:r>
          </w:p>
        </w:tc>
        <w:tc>
          <w:tcPr>
            <w:tcW w:w="6952" w:type="dxa"/>
            <w:gridSpan w:val="2"/>
            <w:tcBorders>
              <w:top w:val="single" w:color="auto" w:sz="4" w:space="0"/>
              <w:left w:val="single" w:color="auto" w:sz="4" w:space="0"/>
              <w:bottom w:val="single" w:color="auto" w:sz="4" w:space="0"/>
              <w:right w:val="single" w:color="auto" w:sz="4" w:space="0"/>
            </w:tcBorders>
          </w:tcPr>
          <w:p w14:paraId="71EC5695">
            <w:pPr>
              <w:autoSpaceDE w:val="0"/>
              <w:autoSpaceDN w:val="0"/>
              <w:adjustRightInd w:val="0"/>
              <w:spacing w:line="460" w:lineRule="exact"/>
              <w:jc w:val="center"/>
              <w:rPr>
                <w:rFonts w:hint="eastAsia" w:ascii="宋体" w:hAnsi="宋体"/>
                <w:color w:val="auto"/>
                <w:kern w:val="0"/>
                <w:szCs w:val="21"/>
                <w:highlight w:val="none"/>
              </w:rPr>
            </w:pPr>
            <w:r>
              <w:rPr>
                <w:rFonts w:hint="eastAsia" w:ascii="宋体" w:hAnsi="宋体"/>
                <w:color w:val="auto"/>
                <w:kern w:val="0"/>
                <w:szCs w:val="21"/>
                <w:highlight w:val="none"/>
              </w:rPr>
              <w:t>评分标准</w:t>
            </w:r>
          </w:p>
        </w:tc>
      </w:tr>
      <w:tr w14:paraId="46921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1276" w:type="dxa"/>
            <w:tcBorders>
              <w:top w:val="single" w:color="auto" w:sz="4" w:space="0"/>
              <w:left w:val="single" w:color="auto" w:sz="4" w:space="0"/>
              <w:bottom w:val="single" w:color="auto" w:sz="4" w:space="0"/>
              <w:right w:val="single" w:color="auto" w:sz="4" w:space="0"/>
            </w:tcBorders>
            <w:vAlign w:val="center"/>
          </w:tcPr>
          <w:p w14:paraId="4BD6AB40">
            <w:pPr>
              <w:autoSpaceDE w:val="0"/>
              <w:autoSpaceDN w:val="0"/>
              <w:adjustRightInd w:val="0"/>
              <w:spacing w:line="360" w:lineRule="exact"/>
              <w:jc w:val="center"/>
              <w:rPr>
                <w:rFonts w:hint="eastAsia" w:ascii="宋体" w:hAnsi="宋体"/>
                <w:color w:val="auto"/>
                <w:kern w:val="0"/>
                <w:szCs w:val="21"/>
                <w:highlight w:val="none"/>
              </w:rPr>
            </w:pPr>
          </w:p>
          <w:p w14:paraId="0574823B">
            <w:pPr>
              <w:autoSpaceDE w:val="0"/>
              <w:autoSpaceDN w:val="0"/>
              <w:adjustRightInd w:val="0"/>
              <w:spacing w:line="360" w:lineRule="exact"/>
              <w:jc w:val="center"/>
              <w:rPr>
                <w:rFonts w:hint="eastAsia" w:ascii="宋体" w:hAnsi="宋体"/>
                <w:color w:val="auto"/>
                <w:kern w:val="0"/>
                <w:szCs w:val="21"/>
                <w:highlight w:val="none"/>
              </w:rPr>
            </w:pPr>
          </w:p>
          <w:p w14:paraId="61B4CBF3">
            <w:pPr>
              <w:autoSpaceDE w:val="0"/>
              <w:autoSpaceDN w:val="0"/>
              <w:adjustRightInd w:val="0"/>
              <w:spacing w:line="360" w:lineRule="exact"/>
              <w:jc w:val="center"/>
              <w:rPr>
                <w:rFonts w:hint="eastAsia" w:ascii="宋体" w:hAnsi="宋体"/>
                <w:color w:val="auto"/>
                <w:kern w:val="0"/>
                <w:szCs w:val="21"/>
                <w:highlight w:val="none"/>
              </w:rPr>
            </w:pPr>
          </w:p>
          <w:p w14:paraId="70012428">
            <w:pPr>
              <w:autoSpaceDE w:val="0"/>
              <w:autoSpaceDN w:val="0"/>
              <w:adjustRightInd w:val="0"/>
              <w:spacing w:line="360" w:lineRule="exact"/>
              <w:jc w:val="center"/>
              <w:rPr>
                <w:rFonts w:hint="eastAsia" w:ascii="宋体" w:hAnsi="宋体"/>
                <w:color w:val="auto"/>
                <w:kern w:val="0"/>
                <w:szCs w:val="21"/>
                <w:highlight w:val="none"/>
              </w:rPr>
            </w:pPr>
          </w:p>
          <w:p w14:paraId="76D50E89">
            <w:pPr>
              <w:autoSpaceDE w:val="0"/>
              <w:autoSpaceDN w:val="0"/>
              <w:adjustRightInd w:val="0"/>
              <w:spacing w:line="360" w:lineRule="exact"/>
              <w:jc w:val="center"/>
              <w:rPr>
                <w:rFonts w:hint="eastAsia" w:ascii="宋体" w:hAnsi="宋体"/>
                <w:color w:val="auto"/>
                <w:kern w:val="0"/>
                <w:szCs w:val="21"/>
                <w:highlight w:val="none"/>
              </w:rPr>
            </w:pPr>
          </w:p>
          <w:p w14:paraId="669B8F49">
            <w:pPr>
              <w:autoSpaceDE w:val="0"/>
              <w:autoSpaceDN w:val="0"/>
              <w:adjustRightInd w:val="0"/>
              <w:spacing w:line="360" w:lineRule="exact"/>
              <w:jc w:val="center"/>
              <w:rPr>
                <w:rFonts w:hint="eastAsia" w:ascii="宋体" w:hAnsi="宋体"/>
                <w:color w:val="auto"/>
                <w:kern w:val="0"/>
                <w:szCs w:val="21"/>
                <w:highlight w:val="none"/>
              </w:rPr>
            </w:pPr>
          </w:p>
          <w:p w14:paraId="78D4C48C">
            <w:pPr>
              <w:autoSpaceDE w:val="0"/>
              <w:autoSpaceDN w:val="0"/>
              <w:adjustRightInd w:val="0"/>
              <w:spacing w:line="360" w:lineRule="exact"/>
              <w:jc w:val="center"/>
              <w:rPr>
                <w:rFonts w:hint="eastAsia" w:ascii="宋体" w:hAnsi="宋体"/>
                <w:color w:val="auto"/>
                <w:kern w:val="0"/>
                <w:szCs w:val="21"/>
                <w:highlight w:val="none"/>
              </w:rPr>
            </w:pPr>
          </w:p>
          <w:p w14:paraId="158537AE">
            <w:pPr>
              <w:autoSpaceDE w:val="0"/>
              <w:autoSpaceDN w:val="0"/>
              <w:adjustRightInd w:val="0"/>
              <w:spacing w:line="360" w:lineRule="exact"/>
              <w:jc w:val="center"/>
              <w:rPr>
                <w:rFonts w:hint="eastAsia" w:ascii="宋体" w:hAnsi="宋体"/>
                <w:color w:val="auto"/>
                <w:kern w:val="0"/>
                <w:szCs w:val="21"/>
                <w:highlight w:val="none"/>
              </w:rPr>
            </w:pPr>
          </w:p>
          <w:p w14:paraId="32B5DBC3">
            <w:pPr>
              <w:autoSpaceDE w:val="0"/>
              <w:autoSpaceDN w:val="0"/>
              <w:adjustRightInd w:val="0"/>
              <w:spacing w:line="360" w:lineRule="exact"/>
              <w:jc w:val="center"/>
              <w:rPr>
                <w:rFonts w:hint="eastAsia" w:ascii="宋体" w:hAnsi="宋体"/>
                <w:color w:val="auto"/>
                <w:kern w:val="0"/>
                <w:szCs w:val="21"/>
                <w:highlight w:val="none"/>
              </w:rPr>
            </w:pPr>
          </w:p>
          <w:p w14:paraId="05BCA19C">
            <w:pPr>
              <w:autoSpaceDE w:val="0"/>
              <w:autoSpaceDN w:val="0"/>
              <w:adjustRightInd w:val="0"/>
              <w:spacing w:line="360" w:lineRule="exact"/>
              <w:jc w:val="center"/>
              <w:rPr>
                <w:rFonts w:hint="eastAsia" w:ascii="宋体" w:hAnsi="宋体"/>
                <w:color w:val="auto"/>
                <w:kern w:val="0"/>
                <w:szCs w:val="21"/>
                <w:highlight w:val="none"/>
              </w:rPr>
            </w:pPr>
          </w:p>
          <w:p w14:paraId="30908203">
            <w:pPr>
              <w:autoSpaceDE w:val="0"/>
              <w:autoSpaceDN w:val="0"/>
              <w:adjustRightInd w:val="0"/>
              <w:spacing w:line="360" w:lineRule="exact"/>
              <w:jc w:val="center"/>
              <w:rPr>
                <w:rFonts w:hint="eastAsia" w:ascii="宋体" w:hAnsi="宋体"/>
                <w:color w:val="auto"/>
                <w:kern w:val="0"/>
                <w:szCs w:val="21"/>
                <w:highlight w:val="none"/>
              </w:rPr>
            </w:pPr>
          </w:p>
          <w:p w14:paraId="32D88A9A">
            <w:pPr>
              <w:autoSpaceDE w:val="0"/>
              <w:autoSpaceDN w:val="0"/>
              <w:adjustRightInd w:val="0"/>
              <w:spacing w:line="360" w:lineRule="exact"/>
              <w:jc w:val="center"/>
              <w:rPr>
                <w:rFonts w:hint="eastAsia" w:ascii="宋体" w:hAnsi="宋体"/>
                <w:color w:val="auto"/>
                <w:kern w:val="0"/>
                <w:szCs w:val="21"/>
                <w:highlight w:val="none"/>
              </w:rPr>
            </w:pPr>
          </w:p>
          <w:p w14:paraId="384A03CC">
            <w:pPr>
              <w:autoSpaceDE w:val="0"/>
              <w:autoSpaceDN w:val="0"/>
              <w:adjustRightInd w:val="0"/>
              <w:spacing w:line="360" w:lineRule="exact"/>
              <w:jc w:val="center"/>
              <w:rPr>
                <w:rFonts w:hint="eastAsia" w:ascii="宋体" w:hAnsi="宋体"/>
                <w:color w:val="auto"/>
                <w:kern w:val="0"/>
                <w:szCs w:val="21"/>
                <w:highlight w:val="none"/>
              </w:rPr>
            </w:pPr>
          </w:p>
          <w:p w14:paraId="0A807863">
            <w:pPr>
              <w:autoSpaceDE w:val="0"/>
              <w:autoSpaceDN w:val="0"/>
              <w:adjustRightInd w:val="0"/>
              <w:spacing w:line="360" w:lineRule="exact"/>
              <w:jc w:val="center"/>
              <w:rPr>
                <w:rFonts w:hint="eastAsia" w:ascii="宋体" w:hAnsi="宋体"/>
                <w:color w:val="auto"/>
                <w:kern w:val="0"/>
                <w:szCs w:val="21"/>
                <w:highlight w:val="none"/>
              </w:rPr>
            </w:pPr>
          </w:p>
          <w:p w14:paraId="7D97282E">
            <w:pPr>
              <w:autoSpaceDE w:val="0"/>
              <w:autoSpaceDN w:val="0"/>
              <w:adjustRightInd w:val="0"/>
              <w:spacing w:line="360" w:lineRule="exact"/>
              <w:jc w:val="center"/>
              <w:rPr>
                <w:rFonts w:hint="eastAsia" w:ascii="宋体" w:hAnsi="宋体"/>
                <w:color w:val="auto"/>
                <w:kern w:val="0"/>
                <w:szCs w:val="21"/>
                <w:highlight w:val="none"/>
              </w:rPr>
            </w:pPr>
          </w:p>
          <w:p w14:paraId="2AED7216">
            <w:pPr>
              <w:autoSpaceDE w:val="0"/>
              <w:autoSpaceDN w:val="0"/>
              <w:adjustRightInd w:val="0"/>
              <w:spacing w:line="360" w:lineRule="exact"/>
              <w:jc w:val="center"/>
              <w:rPr>
                <w:rFonts w:hint="eastAsia" w:ascii="宋体" w:hAnsi="宋体"/>
                <w:color w:val="auto"/>
                <w:kern w:val="0"/>
                <w:szCs w:val="21"/>
                <w:highlight w:val="none"/>
              </w:rPr>
            </w:pPr>
            <w:r>
              <w:rPr>
                <w:rFonts w:hint="eastAsia" w:ascii="宋体" w:hAnsi="宋体"/>
                <w:color w:val="auto"/>
                <w:kern w:val="0"/>
                <w:szCs w:val="21"/>
                <w:highlight w:val="none"/>
              </w:rPr>
              <w:t>报价部分</w:t>
            </w:r>
          </w:p>
          <w:p w14:paraId="723E75C1">
            <w:pPr>
              <w:autoSpaceDE w:val="0"/>
              <w:autoSpaceDN w:val="0"/>
              <w:adjustRightInd w:val="0"/>
              <w:spacing w:line="360" w:lineRule="exact"/>
              <w:jc w:val="center"/>
              <w:rPr>
                <w:rFonts w:hint="eastAsia" w:ascii="宋体" w:hAnsi="宋体"/>
                <w:color w:val="auto"/>
                <w:kern w:val="0"/>
                <w:szCs w:val="21"/>
                <w:highlight w:val="none"/>
              </w:rPr>
            </w:pPr>
            <w:r>
              <w:rPr>
                <w:rFonts w:hint="eastAsia" w:ascii="宋体" w:hAnsi="宋体"/>
                <w:color w:val="auto"/>
                <w:kern w:val="0"/>
                <w:szCs w:val="21"/>
                <w:highlight w:val="none"/>
              </w:rPr>
              <w:t>（</w:t>
            </w:r>
            <w:r>
              <w:rPr>
                <w:rFonts w:hint="eastAsia" w:ascii="宋体" w:hAnsi="宋体"/>
                <w:color w:val="auto"/>
                <w:kern w:val="0"/>
                <w:szCs w:val="21"/>
                <w:highlight w:val="none"/>
                <w:lang w:val="en-US" w:eastAsia="zh-CN"/>
              </w:rPr>
              <w:t>10</w:t>
            </w:r>
            <w:r>
              <w:rPr>
                <w:rFonts w:hint="eastAsia" w:ascii="宋体" w:hAnsi="宋体"/>
                <w:color w:val="auto"/>
                <w:kern w:val="0"/>
                <w:szCs w:val="21"/>
                <w:highlight w:val="none"/>
              </w:rPr>
              <w:t>分）</w:t>
            </w:r>
          </w:p>
        </w:tc>
        <w:tc>
          <w:tcPr>
            <w:tcW w:w="1269" w:type="dxa"/>
            <w:tcBorders>
              <w:top w:val="single" w:color="auto" w:sz="4" w:space="0"/>
              <w:left w:val="single" w:color="auto" w:sz="4" w:space="0"/>
              <w:bottom w:val="single" w:color="auto" w:sz="4" w:space="0"/>
              <w:right w:val="single" w:color="auto" w:sz="4" w:space="0"/>
            </w:tcBorders>
            <w:vAlign w:val="center"/>
          </w:tcPr>
          <w:p w14:paraId="61385D0E">
            <w:pPr>
              <w:autoSpaceDE w:val="0"/>
              <w:autoSpaceDN w:val="0"/>
              <w:adjustRightInd w:val="0"/>
              <w:spacing w:line="360" w:lineRule="exact"/>
              <w:jc w:val="center"/>
              <w:rPr>
                <w:rFonts w:hint="eastAsia" w:ascii="宋体" w:hAnsi="宋体"/>
                <w:color w:val="auto"/>
                <w:kern w:val="0"/>
                <w:szCs w:val="21"/>
                <w:highlight w:val="none"/>
              </w:rPr>
            </w:pPr>
          </w:p>
          <w:p w14:paraId="4A56CA50">
            <w:pPr>
              <w:autoSpaceDE w:val="0"/>
              <w:autoSpaceDN w:val="0"/>
              <w:adjustRightInd w:val="0"/>
              <w:spacing w:line="360" w:lineRule="exact"/>
              <w:jc w:val="center"/>
              <w:rPr>
                <w:rFonts w:hint="eastAsia" w:ascii="宋体" w:hAnsi="宋体"/>
                <w:color w:val="auto"/>
                <w:kern w:val="0"/>
                <w:szCs w:val="21"/>
                <w:highlight w:val="none"/>
              </w:rPr>
            </w:pPr>
          </w:p>
          <w:p w14:paraId="7E9C2BEF">
            <w:pPr>
              <w:autoSpaceDE w:val="0"/>
              <w:autoSpaceDN w:val="0"/>
              <w:adjustRightInd w:val="0"/>
              <w:spacing w:line="360" w:lineRule="exact"/>
              <w:jc w:val="center"/>
              <w:rPr>
                <w:rFonts w:hint="eastAsia" w:ascii="宋体" w:hAnsi="宋体"/>
                <w:color w:val="auto"/>
                <w:kern w:val="0"/>
                <w:szCs w:val="21"/>
                <w:highlight w:val="none"/>
              </w:rPr>
            </w:pPr>
          </w:p>
          <w:p w14:paraId="484E7DF7">
            <w:pPr>
              <w:autoSpaceDE w:val="0"/>
              <w:autoSpaceDN w:val="0"/>
              <w:adjustRightInd w:val="0"/>
              <w:spacing w:line="360" w:lineRule="exact"/>
              <w:jc w:val="center"/>
              <w:rPr>
                <w:rFonts w:hint="eastAsia" w:ascii="宋体" w:hAnsi="宋体"/>
                <w:color w:val="auto"/>
                <w:kern w:val="0"/>
                <w:szCs w:val="21"/>
                <w:highlight w:val="none"/>
              </w:rPr>
            </w:pPr>
          </w:p>
          <w:p w14:paraId="0643363D">
            <w:pPr>
              <w:autoSpaceDE w:val="0"/>
              <w:autoSpaceDN w:val="0"/>
              <w:adjustRightInd w:val="0"/>
              <w:spacing w:line="360" w:lineRule="exact"/>
              <w:jc w:val="center"/>
              <w:rPr>
                <w:rFonts w:hint="eastAsia" w:ascii="宋体" w:hAnsi="宋体"/>
                <w:color w:val="auto"/>
                <w:kern w:val="0"/>
                <w:szCs w:val="21"/>
                <w:highlight w:val="none"/>
              </w:rPr>
            </w:pPr>
          </w:p>
          <w:p w14:paraId="5B847CE7">
            <w:pPr>
              <w:autoSpaceDE w:val="0"/>
              <w:autoSpaceDN w:val="0"/>
              <w:adjustRightInd w:val="0"/>
              <w:spacing w:line="360" w:lineRule="exact"/>
              <w:jc w:val="center"/>
              <w:rPr>
                <w:rFonts w:hint="eastAsia" w:ascii="宋体" w:hAnsi="宋体"/>
                <w:color w:val="auto"/>
                <w:kern w:val="0"/>
                <w:szCs w:val="21"/>
                <w:highlight w:val="none"/>
              </w:rPr>
            </w:pPr>
          </w:p>
          <w:p w14:paraId="04B89359">
            <w:pPr>
              <w:autoSpaceDE w:val="0"/>
              <w:autoSpaceDN w:val="0"/>
              <w:adjustRightInd w:val="0"/>
              <w:spacing w:line="360" w:lineRule="exact"/>
              <w:jc w:val="center"/>
              <w:rPr>
                <w:rFonts w:hint="eastAsia" w:ascii="宋体" w:hAnsi="宋体"/>
                <w:color w:val="auto"/>
                <w:kern w:val="0"/>
                <w:szCs w:val="21"/>
                <w:highlight w:val="none"/>
              </w:rPr>
            </w:pPr>
          </w:p>
          <w:p w14:paraId="37F96040">
            <w:pPr>
              <w:autoSpaceDE w:val="0"/>
              <w:autoSpaceDN w:val="0"/>
              <w:adjustRightInd w:val="0"/>
              <w:spacing w:line="360" w:lineRule="exact"/>
              <w:jc w:val="center"/>
              <w:rPr>
                <w:rFonts w:hint="eastAsia" w:ascii="宋体" w:hAnsi="宋体"/>
                <w:color w:val="auto"/>
                <w:kern w:val="0"/>
                <w:szCs w:val="21"/>
                <w:highlight w:val="none"/>
              </w:rPr>
            </w:pPr>
          </w:p>
          <w:p w14:paraId="74EE4373">
            <w:pPr>
              <w:autoSpaceDE w:val="0"/>
              <w:autoSpaceDN w:val="0"/>
              <w:adjustRightInd w:val="0"/>
              <w:spacing w:line="360" w:lineRule="exact"/>
              <w:jc w:val="center"/>
              <w:rPr>
                <w:rFonts w:hint="eastAsia" w:ascii="宋体" w:hAnsi="宋体"/>
                <w:color w:val="auto"/>
                <w:kern w:val="0"/>
                <w:szCs w:val="21"/>
                <w:highlight w:val="none"/>
              </w:rPr>
            </w:pPr>
          </w:p>
          <w:p w14:paraId="739E8890">
            <w:pPr>
              <w:autoSpaceDE w:val="0"/>
              <w:autoSpaceDN w:val="0"/>
              <w:adjustRightInd w:val="0"/>
              <w:spacing w:line="360" w:lineRule="exact"/>
              <w:jc w:val="center"/>
              <w:rPr>
                <w:rFonts w:hint="eastAsia" w:ascii="宋体" w:hAnsi="宋体"/>
                <w:color w:val="auto"/>
                <w:kern w:val="0"/>
                <w:szCs w:val="21"/>
                <w:highlight w:val="none"/>
              </w:rPr>
            </w:pPr>
          </w:p>
          <w:p w14:paraId="23E9EAD5">
            <w:pPr>
              <w:autoSpaceDE w:val="0"/>
              <w:autoSpaceDN w:val="0"/>
              <w:adjustRightInd w:val="0"/>
              <w:spacing w:line="360" w:lineRule="exact"/>
              <w:jc w:val="center"/>
              <w:rPr>
                <w:rFonts w:hint="eastAsia" w:ascii="宋体" w:hAnsi="宋体"/>
                <w:color w:val="auto"/>
                <w:kern w:val="0"/>
                <w:szCs w:val="21"/>
                <w:highlight w:val="none"/>
              </w:rPr>
            </w:pPr>
          </w:p>
          <w:p w14:paraId="5FE2C438">
            <w:pPr>
              <w:autoSpaceDE w:val="0"/>
              <w:autoSpaceDN w:val="0"/>
              <w:adjustRightInd w:val="0"/>
              <w:spacing w:line="360" w:lineRule="exact"/>
              <w:jc w:val="center"/>
              <w:rPr>
                <w:rFonts w:hint="eastAsia" w:ascii="宋体" w:hAnsi="宋体"/>
                <w:color w:val="auto"/>
                <w:kern w:val="0"/>
                <w:szCs w:val="21"/>
                <w:highlight w:val="none"/>
              </w:rPr>
            </w:pPr>
          </w:p>
          <w:p w14:paraId="198E8631">
            <w:pPr>
              <w:autoSpaceDE w:val="0"/>
              <w:autoSpaceDN w:val="0"/>
              <w:adjustRightInd w:val="0"/>
              <w:spacing w:line="360" w:lineRule="exact"/>
              <w:jc w:val="center"/>
              <w:rPr>
                <w:rFonts w:hint="eastAsia" w:ascii="宋体" w:hAnsi="宋体"/>
                <w:color w:val="auto"/>
                <w:kern w:val="0"/>
                <w:szCs w:val="21"/>
                <w:highlight w:val="none"/>
              </w:rPr>
            </w:pPr>
          </w:p>
          <w:p w14:paraId="0BBEC438">
            <w:pPr>
              <w:autoSpaceDE w:val="0"/>
              <w:autoSpaceDN w:val="0"/>
              <w:adjustRightInd w:val="0"/>
              <w:spacing w:line="360" w:lineRule="exact"/>
              <w:jc w:val="center"/>
              <w:rPr>
                <w:rFonts w:hint="eastAsia" w:ascii="宋体" w:hAnsi="宋体"/>
                <w:color w:val="auto"/>
                <w:kern w:val="0"/>
                <w:szCs w:val="21"/>
                <w:highlight w:val="none"/>
              </w:rPr>
            </w:pPr>
          </w:p>
          <w:p w14:paraId="307A5796">
            <w:pPr>
              <w:autoSpaceDE w:val="0"/>
              <w:autoSpaceDN w:val="0"/>
              <w:adjustRightInd w:val="0"/>
              <w:spacing w:line="360" w:lineRule="exact"/>
              <w:jc w:val="center"/>
              <w:rPr>
                <w:rFonts w:hint="eastAsia" w:ascii="宋体" w:hAnsi="宋体"/>
                <w:color w:val="auto"/>
                <w:kern w:val="0"/>
                <w:szCs w:val="21"/>
                <w:highlight w:val="none"/>
              </w:rPr>
            </w:pPr>
          </w:p>
          <w:p w14:paraId="607ED4A8">
            <w:pPr>
              <w:autoSpaceDE w:val="0"/>
              <w:autoSpaceDN w:val="0"/>
              <w:adjustRightInd w:val="0"/>
              <w:spacing w:line="360" w:lineRule="exact"/>
              <w:jc w:val="center"/>
              <w:rPr>
                <w:rFonts w:hint="eastAsia" w:ascii="宋体" w:hAnsi="宋体"/>
                <w:color w:val="auto"/>
                <w:kern w:val="0"/>
                <w:szCs w:val="21"/>
                <w:highlight w:val="none"/>
              </w:rPr>
            </w:pPr>
          </w:p>
          <w:p w14:paraId="7CB10F96">
            <w:pPr>
              <w:autoSpaceDE w:val="0"/>
              <w:autoSpaceDN w:val="0"/>
              <w:adjustRightInd w:val="0"/>
              <w:spacing w:line="360" w:lineRule="exact"/>
              <w:jc w:val="center"/>
              <w:rPr>
                <w:rFonts w:hint="eastAsia" w:ascii="宋体" w:hAnsi="宋体"/>
                <w:color w:val="auto"/>
                <w:kern w:val="0"/>
                <w:szCs w:val="21"/>
                <w:highlight w:val="none"/>
              </w:rPr>
            </w:pPr>
            <w:r>
              <w:rPr>
                <w:rFonts w:hint="eastAsia" w:ascii="宋体" w:hAnsi="宋体"/>
                <w:color w:val="auto"/>
                <w:kern w:val="0"/>
                <w:szCs w:val="21"/>
                <w:highlight w:val="none"/>
              </w:rPr>
              <w:t>报价</w:t>
            </w:r>
          </w:p>
        </w:tc>
        <w:tc>
          <w:tcPr>
            <w:tcW w:w="6952" w:type="dxa"/>
            <w:gridSpan w:val="2"/>
            <w:tcBorders>
              <w:top w:val="single" w:color="auto" w:sz="4" w:space="0"/>
              <w:left w:val="single" w:color="auto" w:sz="4" w:space="0"/>
              <w:bottom w:val="single" w:color="auto" w:sz="4" w:space="0"/>
              <w:right w:val="single" w:color="auto" w:sz="4" w:space="0"/>
            </w:tcBorders>
          </w:tcPr>
          <w:p w14:paraId="2FAFF68A">
            <w:pPr>
              <w:widowControl/>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价格扣除：对小型或微型企业参与投标的扶持：(如有）</w:t>
            </w:r>
          </w:p>
          <w:p w14:paraId="0C91C827">
            <w:pPr>
              <w:widowControl/>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1、按照《政府采购促进中小企业发展暂行办法》有关规定，中小企业的标准为：</w:t>
            </w:r>
          </w:p>
          <w:p w14:paraId="4FB8469A">
            <w:pPr>
              <w:widowControl/>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1.1、提供本企业制造的货物、承担的工程或者服务，或者提供其他中小企业制造的货物，不包括提供或使用大型企业注册商标的货物；</w:t>
            </w:r>
          </w:p>
          <w:p w14:paraId="6B7951E4">
            <w:pPr>
              <w:widowControl/>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1.2、本规定所称中小企业划分标准，是指国务院有关部门根据企业从业人员、营业收入、资产总额等指标制定的中小企业划型标准（工信部联企业[2011]300号）；</w:t>
            </w:r>
          </w:p>
          <w:p w14:paraId="284790C4">
            <w:pPr>
              <w:widowControl/>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1.3、小型、微型企业提供有中型企业制造的货物的，视同为中型企业；小型、微型、中型企业提供有大型企业制造的货物的，视同为大型企业。</w:t>
            </w:r>
          </w:p>
          <w:p w14:paraId="5C896945">
            <w:pPr>
              <w:widowControl/>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2、监狱企业视同小型、微型企业，享受小型、微型企业同等政策待遇。监狱企业参加政府采购活动时，应当提供省级以上监狱管理局、戒毒管理局（含新疆生产建设兵团）出具的属于监狱企业的证明文件。</w:t>
            </w:r>
          </w:p>
          <w:p w14:paraId="1E987381">
            <w:pPr>
              <w:widowControl/>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3、为了发挥政府采购促进残疾人就业的作用，进一步保障残疾人权益，根据财库【2017】141号的规定，给予残疾人福利性单位（投标人为残疾人福利性单位且提供的所有谈判产品均为残疾人福利性单位产品）价格20%的扣除，用扣除后的价格参与评审，残疾人福利性单位谈判报价=残疾人福利性单位报价×（1-20%）。</w:t>
            </w:r>
          </w:p>
          <w:p w14:paraId="5993E3DE">
            <w:pPr>
              <w:widowControl/>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4、小微企业产品、监狱、残疾人福利性企业的产品仅给予一次价格20%的扣除，不重复享受政策。</w:t>
            </w:r>
          </w:p>
          <w:p w14:paraId="1999AAD8">
            <w:pPr>
              <w:widowControl/>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　　价格分采用低价优先法计算，即满足招标文件要求且评标报价最低的评标报价为评标基准价，其价格分为满分。其他投标人的价格分统一按照下列公式计算：</w:t>
            </w:r>
          </w:p>
          <w:p w14:paraId="373BE93A">
            <w:pPr>
              <w:widowControl/>
              <w:spacing w:line="360" w:lineRule="auto"/>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rPr>
              <w:t>投标报价得分=(评标基准价/投标报价)×</w:t>
            </w:r>
            <w:r>
              <w:rPr>
                <w:rFonts w:hint="eastAsia" w:ascii="宋体" w:hAnsi="宋体" w:cs="宋体"/>
                <w:color w:val="auto"/>
                <w:kern w:val="0"/>
                <w:szCs w:val="21"/>
                <w:highlight w:val="none"/>
                <w:lang w:val="en-US" w:eastAsia="zh-CN"/>
              </w:rPr>
              <w:t>10</w:t>
            </w:r>
          </w:p>
          <w:p w14:paraId="66F505F1">
            <w:pPr>
              <w:pStyle w:val="2"/>
              <w:rPr>
                <w:rFonts w:hint="eastAsia"/>
                <w:highlight w:val="none"/>
              </w:rPr>
            </w:pPr>
            <w:r>
              <w:rPr>
                <w:rFonts w:hint="eastAsia" w:ascii="宋体" w:hAnsi="宋体" w:cs="宋体"/>
                <w:color w:val="auto"/>
                <w:kern w:val="0"/>
                <w:szCs w:val="21"/>
                <w:highlight w:val="none"/>
              </w:rPr>
              <w:t>价格扣除：</w:t>
            </w:r>
            <w:r>
              <w:rPr>
                <w:rFonts w:hint="eastAsia" w:ascii="宋体" w:hAnsi="宋体" w:eastAsia="宋体" w:cs="Times New Roman"/>
                <w:b/>
                <w:bCs/>
                <w:color w:val="auto"/>
                <w:highlight w:val="none"/>
                <w:lang w:val="en-US" w:eastAsia="zh-CN"/>
              </w:rPr>
              <w:t>本项目专门面向中小企业招标，不在执行价格折扣</w:t>
            </w:r>
            <w:r>
              <w:rPr>
                <w:rFonts w:hint="eastAsia" w:ascii="宋体" w:hAnsi="宋体" w:cs="宋体"/>
                <w:color w:val="auto"/>
                <w:sz w:val="21"/>
                <w:szCs w:val="21"/>
                <w:highlight w:val="none"/>
              </w:rPr>
              <w:t>。</w:t>
            </w:r>
            <w:r>
              <w:rPr>
                <w:rFonts w:hint="eastAsia" w:ascii="宋体" w:hAnsi="宋体" w:cs="宋体"/>
                <w:b/>
                <w:bCs/>
                <w:color w:val="auto"/>
                <w:sz w:val="21"/>
                <w:szCs w:val="21"/>
                <w:highlight w:val="none"/>
              </w:rPr>
              <w:t>非中小企业参与的将视为无效响应。（注：中小企业提供《中小企业声明函》，残疾人福利性单位提供《残疾人福利性单位声明函》，监狱企业提供由省级以上监狱管理局、戒毒管理局(含新疆生产建设兵团)出具的属于监狱企业的证明文件）。</w:t>
            </w:r>
          </w:p>
          <w:p w14:paraId="106F17DC">
            <w:pPr>
              <w:widowControl/>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注：小微型企业或监狱企业或残疾人福利性企业参与计算的投标报价=投标报价×（1-20%），其余单位投标报价=投标报价。</w:t>
            </w:r>
          </w:p>
          <w:p w14:paraId="5926F501">
            <w:pPr>
              <w:widowControl/>
              <w:spacing w:line="360" w:lineRule="auto"/>
              <w:rPr>
                <w:rFonts w:hint="eastAsia" w:ascii="宋体" w:hAnsi="宋体"/>
                <w:color w:val="auto"/>
                <w:kern w:val="0"/>
                <w:szCs w:val="21"/>
                <w:highlight w:val="none"/>
              </w:rPr>
            </w:pPr>
            <w:r>
              <w:rPr>
                <w:rFonts w:hint="eastAsia" w:ascii="宋体" w:hAnsi="宋体" w:cs="宋体"/>
                <w:color w:val="auto"/>
                <w:kern w:val="0"/>
                <w:szCs w:val="21"/>
                <w:highlight w:val="none"/>
              </w:rPr>
              <w:t>投标报价得分保留小数点后两位。</w:t>
            </w:r>
          </w:p>
        </w:tc>
      </w:tr>
      <w:bookmarkEnd w:id="272"/>
      <w:bookmarkEnd w:id="273"/>
      <w:bookmarkEnd w:id="274"/>
      <w:bookmarkEnd w:id="275"/>
      <w:bookmarkEnd w:id="276"/>
      <w:bookmarkEnd w:id="277"/>
      <w:bookmarkEnd w:id="278"/>
      <w:bookmarkEnd w:id="287"/>
      <w:bookmarkEnd w:id="288"/>
      <w:bookmarkEnd w:id="289"/>
      <w:bookmarkEnd w:id="290"/>
      <w:bookmarkEnd w:id="291"/>
      <w:bookmarkEnd w:id="292"/>
      <w:bookmarkEnd w:id="293"/>
      <w:bookmarkEnd w:id="294"/>
      <w:bookmarkEnd w:id="295"/>
      <w:bookmarkEnd w:id="296"/>
      <w:tr w14:paraId="79F6C62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700" w:hRule="atLeast"/>
          <w:jc w:val="center"/>
        </w:trPr>
        <w:tc>
          <w:tcPr>
            <w:tcW w:w="1276" w:type="dxa"/>
            <w:vMerge w:val="restart"/>
            <w:tcBorders>
              <w:top w:val="nil"/>
              <w:left w:val="single" w:color="auto" w:sz="4" w:space="0"/>
              <w:right w:val="single" w:color="auto" w:sz="4" w:space="0"/>
            </w:tcBorders>
            <w:shd w:val="clear" w:color="auto" w:fill="auto"/>
            <w:vAlign w:val="center"/>
          </w:tcPr>
          <w:p w14:paraId="6CB79D5E">
            <w:pPr>
              <w:widowControl/>
              <w:jc w:val="center"/>
              <w:rPr>
                <w:rFonts w:hint="eastAsia" w:ascii="宋体" w:hAnsi="宋体" w:cs="宋体"/>
                <w:color w:val="auto"/>
                <w:kern w:val="0"/>
                <w:szCs w:val="21"/>
                <w:highlight w:val="none"/>
              </w:rPr>
            </w:pPr>
            <w:bookmarkStart w:id="297" w:name="_Toc445450436"/>
          </w:p>
          <w:p w14:paraId="368996C2">
            <w:pPr>
              <w:pStyle w:val="2"/>
              <w:rPr>
                <w:rFonts w:hint="eastAsia" w:ascii="宋体" w:hAnsi="宋体" w:cs="宋体"/>
                <w:color w:val="auto"/>
                <w:kern w:val="0"/>
                <w:szCs w:val="21"/>
                <w:highlight w:val="none"/>
              </w:rPr>
            </w:pPr>
          </w:p>
          <w:p w14:paraId="179A356B">
            <w:pPr>
              <w:rPr>
                <w:rFonts w:hint="eastAsia" w:ascii="宋体" w:hAnsi="宋体" w:cs="宋体"/>
                <w:color w:val="auto"/>
                <w:kern w:val="0"/>
                <w:szCs w:val="21"/>
                <w:highlight w:val="none"/>
              </w:rPr>
            </w:pPr>
          </w:p>
          <w:p w14:paraId="399E3D66">
            <w:pPr>
              <w:pStyle w:val="2"/>
              <w:rPr>
                <w:rFonts w:hint="eastAsia" w:ascii="宋体" w:hAnsi="宋体" w:cs="宋体"/>
                <w:color w:val="auto"/>
                <w:kern w:val="0"/>
                <w:szCs w:val="21"/>
                <w:highlight w:val="none"/>
              </w:rPr>
            </w:pPr>
          </w:p>
          <w:p w14:paraId="6F763130">
            <w:pPr>
              <w:rPr>
                <w:rFonts w:hint="eastAsia" w:ascii="宋体" w:hAnsi="宋体" w:cs="宋体"/>
                <w:color w:val="auto"/>
                <w:kern w:val="0"/>
                <w:szCs w:val="21"/>
                <w:highlight w:val="none"/>
              </w:rPr>
            </w:pPr>
          </w:p>
          <w:p w14:paraId="6D46ECD2">
            <w:pPr>
              <w:pStyle w:val="2"/>
              <w:rPr>
                <w:rFonts w:hint="eastAsia" w:ascii="宋体" w:hAnsi="宋体" w:cs="宋体"/>
                <w:color w:val="auto"/>
                <w:kern w:val="0"/>
                <w:szCs w:val="21"/>
                <w:highlight w:val="none"/>
              </w:rPr>
            </w:pPr>
          </w:p>
          <w:p w14:paraId="501160C6">
            <w:pPr>
              <w:rPr>
                <w:rFonts w:hint="eastAsia" w:ascii="宋体" w:hAnsi="宋体" w:cs="宋体"/>
                <w:color w:val="auto"/>
                <w:kern w:val="0"/>
                <w:szCs w:val="21"/>
                <w:highlight w:val="none"/>
              </w:rPr>
            </w:pPr>
          </w:p>
          <w:p w14:paraId="2B2E6F71">
            <w:pPr>
              <w:pStyle w:val="2"/>
              <w:rPr>
                <w:rFonts w:hint="eastAsia" w:ascii="宋体" w:hAnsi="宋体" w:cs="宋体"/>
                <w:color w:val="auto"/>
                <w:kern w:val="0"/>
                <w:szCs w:val="21"/>
                <w:highlight w:val="none"/>
              </w:rPr>
            </w:pPr>
          </w:p>
          <w:p w14:paraId="364BC51A">
            <w:pPr>
              <w:rPr>
                <w:rFonts w:hint="eastAsia" w:ascii="宋体" w:hAnsi="宋体" w:cs="宋体"/>
                <w:color w:val="auto"/>
                <w:kern w:val="0"/>
                <w:szCs w:val="21"/>
                <w:highlight w:val="none"/>
              </w:rPr>
            </w:pPr>
          </w:p>
          <w:p w14:paraId="0B302118">
            <w:pPr>
              <w:pStyle w:val="2"/>
              <w:rPr>
                <w:rFonts w:hint="eastAsia" w:ascii="宋体" w:hAnsi="宋体" w:cs="宋体"/>
                <w:color w:val="auto"/>
                <w:kern w:val="0"/>
                <w:szCs w:val="21"/>
                <w:highlight w:val="none"/>
              </w:rPr>
            </w:pPr>
          </w:p>
          <w:p w14:paraId="5BD21FDC">
            <w:pPr>
              <w:rPr>
                <w:rFonts w:hint="eastAsia" w:ascii="宋体" w:hAnsi="宋体" w:cs="宋体"/>
                <w:color w:val="auto"/>
                <w:kern w:val="0"/>
                <w:szCs w:val="21"/>
                <w:highlight w:val="none"/>
              </w:rPr>
            </w:pPr>
          </w:p>
          <w:p w14:paraId="1E0E235A">
            <w:pPr>
              <w:pStyle w:val="2"/>
              <w:rPr>
                <w:rFonts w:hint="eastAsia" w:ascii="宋体" w:hAnsi="宋体" w:cs="宋体"/>
                <w:color w:val="auto"/>
                <w:kern w:val="0"/>
                <w:szCs w:val="21"/>
                <w:highlight w:val="none"/>
              </w:rPr>
            </w:pPr>
          </w:p>
          <w:p w14:paraId="52810BD1">
            <w:pPr>
              <w:rPr>
                <w:rFonts w:hint="eastAsia" w:ascii="宋体" w:hAnsi="宋体" w:cs="宋体"/>
                <w:color w:val="auto"/>
                <w:kern w:val="0"/>
                <w:szCs w:val="21"/>
                <w:highlight w:val="none"/>
              </w:rPr>
            </w:pPr>
          </w:p>
          <w:p w14:paraId="483F2F20">
            <w:pPr>
              <w:pStyle w:val="2"/>
              <w:rPr>
                <w:rFonts w:hint="eastAsia" w:ascii="宋体" w:hAnsi="宋体" w:cs="宋体"/>
                <w:color w:val="auto"/>
                <w:kern w:val="0"/>
                <w:szCs w:val="21"/>
                <w:highlight w:val="none"/>
              </w:rPr>
            </w:pPr>
          </w:p>
          <w:p w14:paraId="5BBEFF27">
            <w:pPr>
              <w:rPr>
                <w:rFonts w:hint="eastAsia" w:ascii="宋体" w:hAnsi="宋体" w:cs="宋体"/>
                <w:color w:val="auto"/>
                <w:kern w:val="0"/>
                <w:szCs w:val="21"/>
                <w:highlight w:val="none"/>
              </w:rPr>
            </w:pPr>
          </w:p>
          <w:p w14:paraId="48BDE57E">
            <w:pPr>
              <w:pStyle w:val="2"/>
              <w:rPr>
                <w:rFonts w:hint="eastAsia" w:ascii="宋体" w:hAnsi="宋体" w:cs="宋体"/>
                <w:color w:val="auto"/>
                <w:kern w:val="0"/>
                <w:szCs w:val="21"/>
                <w:highlight w:val="none"/>
              </w:rPr>
            </w:pPr>
          </w:p>
          <w:p w14:paraId="3A8DA6FB">
            <w:pPr>
              <w:rPr>
                <w:rFonts w:hint="eastAsia" w:ascii="宋体" w:hAnsi="宋体" w:cs="宋体"/>
                <w:color w:val="auto"/>
                <w:kern w:val="0"/>
                <w:szCs w:val="21"/>
                <w:highlight w:val="none"/>
              </w:rPr>
            </w:pPr>
          </w:p>
          <w:p w14:paraId="515D51F0">
            <w:pPr>
              <w:pStyle w:val="2"/>
              <w:rPr>
                <w:rFonts w:hint="eastAsia" w:ascii="宋体" w:hAnsi="宋体" w:cs="宋体"/>
                <w:color w:val="auto"/>
                <w:kern w:val="0"/>
                <w:szCs w:val="21"/>
                <w:highlight w:val="none"/>
              </w:rPr>
            </w:pPr>
          </w:p>
          <w:p w14:paraId="4951AC0F">
            <w:pPr>
              <w:rPr>
                <w:rFonts w:hint="eastAsia" w:ascii="宋体" w:hAnsi="宋体" w:cs="宋体"/>
                <w:color w:val="auto"/>
                <w:kern w:val="0"/>
                <w:szCs w:val="21"/>
                <w:highlight w:val="none"/>
              </w:rPr>
            </w:pPr>
          </w:p>
          <w:p w14:paraId="6A60886D">
            <w:pPr>
              <w:pStyle w:val="2"/>
              <w:rPr>
                <w:rFonts w:hint="eastAsia" w:ascii="宋体" w:hAnsi="宋体" w:cs="宋体"/>
                <w:color w:val="auto"/>
                <w:kern w:val="0"/>
                <w:szCs w:val="21"/>
                <w:highlight w:val="none"/>
              </w:rPr>
            </w:pPr>
          </w:p>
          <w:p w14:paraId="21722CAC">
            <w:pPr>
              <w:rPr>
                <w:rFonts w:hint="eastAsia" w:ascii="宋体" w:hAnsi="宋体" w:cs="宋体"/>
                <w:color w:val="auto"/>
                <w:kern w:val="0"/>
                <w:szCs w:val="21"/>
                <w:highlight w:val="none"/>
              </w:rPr>
            </w:pPr>
          </w:p>
          <w:p w14:paraId="1009EDD5">
            <w:pPr>
              <w:pStyle w:val="2"/>
              <w:rPr>
                <w:rFonts w:hint="eastAsia" w:ascii="宋体" w:hAnsi="宋体" w:cs="宋体"/>
                <w:color w:val="auto"/>
                <w:kern w:val="0"/>
                <w:szCs w:val="21"/>
                <w:highlight w:val="none"/>
              </w:rPr>
            </w:pPr>
          </w:p>
          <w:p w14:paraId="5C066A85">
            <w:pPr>
              <w:rPr>
                <w:rFonts w:hint="eastAsia" w:ascii="宋体" w:hAnsi="宋体" w:cs="宋体"/>
                <w:color w:val="auto"/>
                <w:kern w:val="0"/>
                <w:szCs w:val="21"/>
                <w:highlight w:val="none"/>
              </w:rPr>
            </w:pPr>
          </w:p>
          <w:p w14:paraId="5B1AFDDE">
            <w:pPr>
              <w:pStyle w:val="2"/>
              <w:rPr>
                <w:rFonts w:hint="eastAsia" w:ascii="宋体" w:hAnsi="宋体" w:cs="宋体"/>
                <w:color w:val="auto"/>
                <w:kern w:val="0"/>
                <w:szCs w:val="21"/>
                <w:highlight w:val="none"/>
              </w:rPr>
            </w:pPr>
          </w:p>
          <w:p w14:paraId="0A44B802">
            <w:pPr>
              <w:rPr>
                <w:rFonts w:hint="eastAsia" w:ascii="宋体" w:hAnsi="宋体" w:cs="宋体"/>
                <w:color w:val="auto"/>
                <w:kern w:val="0"/>
                <w:szCs w:val="21"/>
                <w:highlight w:val="none"/>
              </w:rPr>
            </w:pPr>
          </w:p>
          <w:p w14:paraId="3D0DF516">
            <w:pPr>
              <w:pStyle w:val="2"/>
              <w:rPr>
                <w:rFonts w:hint="eastAsia" w:ascii="宋体" w:hAnsi="宋体" w:cs="宋体"/>
                <w:color w:val="auto"/>
                <w:kern w:val="0"/>
                <w:szCs w:val="21"/>
                <w:highlight w:val="none"/>
              </w:rPr>
            </w:pPr>
          </w:p>
          <w:p w14:paraId="4D722BFF">
            <w:pPr>
              <w:rPr>
                <w:rFonts w:hint="eastAsia" w:ascii="宋体" w:hAnsi="宋体" w:cs="宋体"/>
                <w:color w:val="auto"/>
                <w:kern w:val="0"/>
                <w:szCs w:val="21"/>
                <w:highlight w:val="none"/>
              </w:rPr>
            </w:pPr>
          </w:p>
          <w:p w14:paraId="345358CD">
            <w:pPr>
              <w:pStyle w:val="2"/>
              <w:rPr>
                <w:rFonts w:hint="eastAsia" w:ascii="宋体" w:hAnsi="宋体" w:cs="宋体"/>
                <w:color w:val="auto"/>
                <w:kern w:val="0"/>
                <w:szCs w:val="21"/>
                <w:highlight w:val="none"/>
              </w:rPr>
            </w:pPr>
          </w:p>
          <w:p w14:paraId="0C0A8524">
            <w:pPr>
              <w:rPr>
                <w:rFonts w:hint="eastAsia" w:ascii="宋体" w:hAnsi="宋体" w:cs="宋体"/>
                <w:color w:val="auto"/>
                <w:kern w:val="0"/>
                <w:szCs w:val="21"/>
                <w:highlight w:val="none"/>
              </w:rPr>
            </w:pPr>
          </w:p>
          <w:p w14:paraId="4F40FA72">
            <w:pPr>
              <w:pStyle w:val="2"/>
              <w:rPr>
                <w:rFonts w:hint="eastAsia" w:ascii="宋体" w:hAnsi="宋体" w:cs="宋体"/>
                <w:color w:val="auto"/>
                <w:kern w:val="0"/>
                <w:szCs w:val="21"/>
                <w:highlight w:val="none"/>
              </w:rPr>
            </w:pPr>
          </w:p>
          <w:p w14:paraId="0F878B87">
            <w:pPr>
              <w:rPr>
                <w:rFonts w:hint="eastAsia" w:ascii="宋体" w:hAnsi="宋体" w:cs="宋体"/>
                <w:color w:val="auto"/>
                <w:kern w:val="0"/>
                <w:szCs w:val="21"/>
                <w:highlight w:val="none"/>
              </w:rPr>
            </w:pPr>
          </w:p>
          <w:p w14:paraId="04D02DE6">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技术部分</w:t>
            </w:r>
          </w:p>
          <w:p w14:paraId="417D7C77">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w:t>
            </w:r>
            <w:r>
              <w:rPr>
                <w:rFonts w:hint="eastAsia" w:ascii="宋体" w:hAnsi="宋体" w:cs="宋体"/>
                <w:color w:val="auto"/>
                <w:kern w:val="0"/>
                <w:szCs w:val="21"/>
                <w:highlight w:val="none"/>
                <w:lang w:val="en-US" w:eastAsia="zh-CN"/>
              </w:rPr>
              <w:t>35</w:t>
            </w:r>
            <w:r>
              <w:rPr>
                <w:rFonts w:hint="eastAsia" w:ascii="宋体" w:hAnsi="宋体" w:cs="宋体"/>
                <w:color w:val="auto"/>
                <w:kern w:val="0"/>
                <w:szCs w:val="21"/>
                <w:highlight w:val="none"/>
              </w:rPr>
              <w:t>分）</w:t>
            </w:r>
          </w:p>
        </w:tc>
        <w:tc>
          <w:tcPr>
            <w:tcW w:w="1269" w:type="dxa"/>
            <w:vMerge w:val="restart"/>
            <w:tcBorders>
              <w:top w:val="single" w:color="auto" w:sz="4" w:space="0"/>
              <w:left w:val="single" w:color="auto" w:sz="4" w:space="0"/>
              <w:right w:val="single" w:color="auto" w:sz="4" w:space="0"/>
            </w:tcBorders>
            <w:shd w:val="clear" w:color="auto" w:fill="auto"/>
            <w:vAlign w:val="center"/>
          </w:tcPr>
          <w:p w14:paraId="4D31D8E9">
            <w:pPr>
              <w:widowControl/>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大数据分析能力</w:t>
            </w:r>
          </w:p>
          <w:p w14:paraId="4C48425E">
            <w:pPr>
              <w:widowControl/>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000000"/>
                <w:sz w:val="21"/>
                <w:szCs w:val="21"/>
                <w:highlight w:val="none"/>
                <w:lang w:val="en-US" w:eastAsia="zh-CN"/>
              </w:rPr>
              <w:t>分</w:t>
            </w:r>
            <w:r>
              <w:rPr>
                <w:rFonts w:hint="eastAsia" w:ascii="宋体" w:hAnsi="宋体" w:eastAsia="宋体" w:cs="宋体"/>
                <w:color w:val="auto"/>
                <w:kern w:val="0"/>
                <w:szCs w:val="21"/>
                <w:highlight w:val="none"/>
              </w:rPr>
              <w:t>）</w:t>
            </w:r>
          </w:p>
          <w:p w14:paraId="61DC5CD1">
            <w:pPr>
              <w:widowControl/>
              <w:spacing w:line="360" w:lineRule="auto"/>
              <w:jc w:val="center"/>
              <w:rPr>
                <w:rFonts w:hint="eastAsia" w:ascii="宋体" w:hAnsi="宋体" w:cs="宋体"/>
                <w:color w:val="auto"/>
                <w:kern w:val="0"/>
                <w:szCs w:val="21"/>
                <w:highlight w:val="none"/>
              </w:rPr>
            </w:pPr>
          </w:p>
        </w:tc>
        <w:tc>
          <w:tcPr>
            <w:tcW w:w="6952" w:type="dxa"/>
            <w:gridSpan w:val="2"/>
            <w:tcBorders>
              <w:top w:val="single" w:color="auto" w:sz="4" w:space="0"/>
              <w:left w:val="nil"/>
              <w:bottom w:val="single" w:color="auto" w:sz="4" w:space="0"/>
              <w:right w:val="single" w:color="auto" w:sz="4" w:space="0"/>
            </w:tcBorders>
            <w:shd w:val="clear" w:color="auto" w:fill="auto"/>
            <w:vAlign w:val="center"/>
          </w:tcPr>
          <w:p w14:paraId="6F69C91B">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分析能力：根据供应商提供的过往工伤大数据分析报告进行评审，报告内容包括但不限于：（1）整体数据分析；（2）行业数据分析；（3）特殊数据分析；（4）趋势数据分析等，本项最高得2分，每缺1项扣0.5分，扣完为止。</w:t>
            </w:r>
          </w:p>
          <w:p w14:paraId="1CDB4966">
            <w:pPr>
              <w:widowControl/>
              <w:spacing w:line="360" w:lineRule="auto"/>
              <w:rPr>
                <w:rFonts w:hint="eastAsia" w:ascii="宋体" w:hAnsi="宋体" w:cs="宋体"/>
                <w:color w:val="auto"/>
                <w:kern w:val="0"/>
                <w:szCs w:val="21"/>
                <w:highlight w:val="none"/>
              </w:rPr>
            </w:pPr>
            <w:r>
              <w:rPr>
                <w:rFonts w:hint="eastAsia" w:ascii="宋体" w:hAnsi="宋体" w:eastAsia="宋体" w:cs="宋体"/>
                <w:b/>
                <w:bCs/>
                <w:color w:val="auto"/>
                <w:kern w:val="0"/>
                <w:szCs w:val="21"/>
                <w:highlight w:val="none"/>
              </w:rPr>
              <w:t>注：提供过往工伤大数据分析报告证明材料，不提供的不得分。</w:t>
            </w:r>
          </w:p>
        </w:tc>
      </w:tr>
      <w:tr w14:paraId="4DD2AE7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395" w:hRule="atLeast"/>
          <w:jc w:val="center"/>
        </w:trPr>
        <w:tc>
          <w:tcPr>
            <w:tcW w:w="1276" w:type="dxa"/>
            <w:vMerge w:val="continue"/>
            <w:tcBorders>
              <w:left w:val="single" w:color="auto" w:sz="4" w:space="0"/>
              <w:right w:val="single" w:color="auto" w:sz="4" w:space="0"/>
            </w:tcBorders>
            <w:vAlign w:val="center"/>
          </w:tcPr>
          <w:p w14:paraId="0B1BF938">
            <w:pPr>
              <w:widowControl/>
              <w:jc w:val="left"/>
              <w:rPr>
                <w:rFonts w:hint="eastAsia" w:ascii="宋体" w:hAnsi="宋体" w:cs="宋体"/>
                <w:color w:val="auto"/>
                <w:kern w:val="0"/>
                <w:szCs w:val="21"/>
                <w:highlight w:val="none"/>
              </w:rPr>
            </w:pPr>
          </w:p>
        </w:tc>
        <w:tc>
          <w:tcPr>
            <w:tcW w:w="1269" w:type="dxa"/>
            <w:vMerge w:val="continue"/>
            <w:tcBorders>
              <w:left w:val="single" w:color="auto" w:sz="4" w:space="0"/>
              <w:bottom w:val="single" w:color="auto" w:sz="4" w:space="0"/>
              <w:right w:val="single" w:color="auto" w:sz="4" w:space="0"/>
            </w:tcBorders>
            <w:vAlign w:val="center"/>
          </w:tcPr>
          <w:p w14:paraId="2518F22C">
            <w:pPr>
              <w:widowControl/>
              <w:spacing w:line="360" w:lineRule="auto"/>
              <w:rPr>
                <w:color w:val="auto"/>
                <w:highlight w:val="none"/>
              </w:rPr>
            </w:pPr>
          </w:p>
        </w:tc>
        <w:tc>
          <w:tcPr>
            <w:tcW w:w="6952" w:type="dxa"/>
            <w:gridSpan w:val="2"/>
            <w:tcBorders>
              <w:top w:val="single" w:color="auto" w:sz="4" w:space="0"/>
              <w:left w:val="nil"/>
              <w:bottom w:val="single" w:color="auto" w:sz="4" w:space="0"/>
              <w:right w:val="single" w:color="auto" w:sz="4" w:space="0"/>
            </w:tcBorders>
            <w:shd w:val="clear" w:color="auto" w:fill="auto"/>
            <w:vAlign w:val="center"/>
          </w:tcPr>
          <w:p w14:paraId="38D49130">
            <w:pPr>
              <w:widowControl/>
              <w:spacing w:line="360" w:lineRule="auto"/>
              <w:rPr>
                <w:rFonts w:hint="eastAsia" w:ascii="宋体" w:hAnsi="宋体" w:cs="宋体"/>
                <w:color w:val="auto"/>
                <w:kern w:val="0"/>
                <w:szCs w:val="21"/>
                <w:highlight w:val="none"/>
              </w:rPr>
            </w:pPr>
            <w:r>
              <w:rPr>
                <w:rFonts w:hint="eastAsia" w:ascii="宋体" w:hAnsi="宋体" w:eastAsia="宋体" w:cs="宋体"/>
                <w:color w:val="auto"/>
                <w:kern w:val="0"/>
                <w:szCs w:val="21"/>
                <w:highlight w:val="none"/>
              </w:rPr>
              <w:t>分析团队能力：提供相关人员毕业证书和教育部学信网查询证明。数据分析团队计算机与应用、数学与应用数学、应用统计、软件工程、计算机科学与技术等专业本科学历以上人员的，每具备1个得0.5分。本项最高得1分。</w:t>
            </w:r>
          </w:p>
        </w:tc>
      </w:tr>
      <w:tr w14:paraId="1E2A463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99" w:hRule="atLeast"/>
          <w:jc w:val="center"/>
        </w:trPr>
        <w:tc>
          <w:tcPr>
            <w:tcW w:w="1276" w:type="dxa"/>
            <w:vMerge w:val="continue"/>
            <w:tcBorders>
              <w:left w:val="single" w:color="auto" w:sz="4" w:space="0"/>
              <w:right w:val="single" w:color="auto" w:sz="4" w:space="0"/>
            </w:tcBorders>
            <w:vAlign w:val="center"/>
          </w:tcPr>
          <w:p w14:paraId="267BBE69">
            <w:pPr>
              <w:widowControl/>
              <w:jc w:val="left"/>
              <w:rPr>
                <w:rFonts w:hint="eastAsia" w:ascii="宋体" w:hAnsi="宋体" w:cs="宋体"/>
                <w:color w:val="auto"/>
                <w:kern w:val="0"/>
                <w:szCs w:val="21"/>
                <w:highlight w:val="none"/>
              </w:rPr>
            </w:pPr>
          </w:p>
        </w:tc>
        <w:tc>
          <w:tcPr>
            <w:tcW w:w="1269" w:type="dxa"/>
            <w:tcBorders>
              <w:top w:val="single" w:color="auto" w:sz="4" w:space="0"/>
              <w:left w:val="single" w:color="auto" w:sz="4" w:space="0"/>
              <w:bottom w:val="single" w:color="auto" w:sz="4" w:space="0"/>
              <w:right w:val="single" w:color="auto" w:sz="4" w:space="0"/>
            </w:tcBorders>
            <w:vAlign w:val="center"/>
          </w:tcPr>
          <w:p w14:paraId="2D8E5832">
            <w:pPr>
              <w:widowControl/>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宣传服务方案</w:t>
            </w:r>
          </w:p>
          <w:p w14:paraId="751439E2">
            <w:pPr>
              <w:widowControl/>
              <w:spacing w:line="360" w:lineRule="auto"/>
              <w:jc w:val="center"/>
              <w:rPr>
                <w:color w:val="auto"/>
                <w:highlight w:val="none"/>
              </w:rPr>
            </w:pPr>
            <w:r>
              <w:rPr>
                <w:rFonts w:hint="eastAsia" w:ascii="宋体" w:hAnsi="宋体" w:eastAsia="宋体" w:cs="宋体"/>
                <w:color w:val="auto"/>
                <w:kern w:val="0"/>
                <w:szCs w:val="21"/>
                <w:highlight w:val="none"/>
              </w:rPr>
              <w:t>（8</w:t>
            </w:r>
            <w:r>
              <w:rPr>
                <w:rFonts w:hint="eastAsia" w:ascii="宋体" w:hAnsi="宋体" w:eastAsia="宋体" w:cs="宋体"/>
                <w:color w:val="000000"/>
                <w:sz w:val="21"/>
                <w:szCs w:val="21"/>
                <w:highlight w:val="none"/>
                <w:lang w:val="en-US" w:eastAsia="zh-CN"/>
              </w:rPr>
              <w:t>分</w:t>
            </w:r>
            <w:r>
              <w:rPr>
                <w:rFonts w:hint="eastAsia" w:ascii="宋体" w:hAnsi="宋体" w:eastAsia="宋体" w:cs="宋体"/>
                <w:color w:val="auto"/>
                <w:kern w:val="0"/>
                <w:szCs w:val="21"/>
                <w:highlight w:val="none"/>
              </w:rPr>
              <w:t>）</w:t>
            </w:r>
          </w:p>
        </w:tc>
        <w:tc>
          <w:tcPr>
            <w:tcW w:w="6952" w:type="dxa"/>
            <w:gridSpan w:val="2"/>
            <w:tcBorders>
              <w:top w:val="single" w:color="auto" w:sz="4" w:space="0"/>
              <w:left w:val="nil"/>
              <w:bottom w:val="single" w:color="auto" w:sz="4" w:space="0"/>
              <w:right w:val="single" w:color="auto" w:sz="4" w:space="0"/>
            </w:tcBorders>
            <w:shd w:val="clear" w:color="auto" w:fill="auto"/>
            <w:vAlign w:val="center"/>
          </w:tcPr>
          <w:p w14:paraId="48599288">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据供应商提供的宣传服务方案进行评审，包括：（1）宣传团队的人员安排及分工；（2）针对本项目宣传技术要求的具体服务内容；（3）宣传资料展示；（4）过往宣传案例图文展示等。本项最高得8分，每缺一项扣2分。在此基础上，方案中存在瑕疵，每有一处扣1分，扣完为止。</w:t>
            </w:r>
          </w:p>
          <w:p w14:paraId="612E39EF">
            <w:pPr>
              <w:widowControl/>
              <w:spacing w:line="360" w:lineRule="auto"/>
              <w:rPr>
                <w:rFonts w:hint="eastAsia" w:ascii="宋体" w:hAnsi="宋体" w:cs="宋体"/>
                <w:color w:val="auto"/>
                <w:kern w:val="0"/>
                <w:szCs w:val="21"/>
                <w:highlight w:val="none"/>
              </w:rPr>
            </w:pPr>
            <w:r>
              <w:rPr>
                <w:rFonts w:hint="eastAsia" w:ascii="宋体" w:hAnsi="宋体" w:eastAsia="宋体" w:cs="宋体"/>
                <w:b/>
                <w:bCs/>
                <w:color w:val="auto"/>
                <w:kern w:val="0"/>
                <w:szCs w:val="21"/>
                <w:highlight w:val="none"/>
              </w:rPr>
              <w:t>注：瑕疵是指方案存在不适用项目实际情况的情形、凭空编造、逻辑漏洞、科学原理错误以及不可能实现的夸大情形等情况。</w:t>
            </w:r>
          </w:p>
        </w:tc>
      </w:tr>
      <w:tr w14:paraId="35070AF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 w:hRule="atLeast"/>
          <w:jc w:val="center"/>
        </w:trPr>
        <w:tc>
          <w:tcPr>
            <w:tcW w:w="1276" w:type="dxa"/>
            <w:vMerge w:val="continue"/>
            <w:tcBorders>
              <w:left w:val="single" w:color="auto" w:sz="4" w:space="0"/>
              <w:right w:val="single" w:color="auto" w:sz="4" w:space="0"/>
            </w:tcBorders>
            <w:vAlign w:val="center"/>
          </w:tcPr>
          <w:p w14:paraId="56D4BF97">
            <w:pPr>
              <w:widowControl/>
              <w:jc w:val="left"/>
              <w:rPr>
                <w:rFonts w:hint="eastAsia" w:ascii="宋体" w:hAnsi="宋体" w:cs="宋体"/>
                <w:color w:val="auto"/>
                <w:kern w:val="0"/>
                <w:szCs w:val="21"/>
                <w:highlight w:val="none"/>
              </w:rPr>
            </w:pPr>
          </w:p>
        </w:tc>
        <w:tc>
          <w:tcPr>
            <w:tcW w:w="1269" w:type="dxa"/>
            <w:tcBorders>
              <w:top w:val="single" w:color="auto" w:sz="4" w:space="0"/>
              <w:left w:val="single" w:color="auto" w:sz="4" w:space="0"/>
              <w:bottom w:val="single" w:color="auto" w:sz="4" w:space="0"/>
              <w:right w:val="single" w:color="auto" w:sz="4" w:space="0"/>
            </w:tcBorders>
            <w:vAlign w:val="center"/>
          </w:tcPr>
          <w:p w14:paraId="2AF3E54A">
            <w:pPr>
              <w:spacing w:line="240" w:lineRule="auto"/>
              <w:ind w:firstLine="0" w:firstLineChars="0"/>
              <w:jc w:val="center"/>
              <w:textAlignment w:val="center"/>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培训服务方案</w:t>
            </w:r>
          </w:p>
          <w:p w14:paraId="1A1DCC63">
            <w:pPr>
              <w:spacing w:line="240" w:lineRule="auto"/>
              <w:ind w:firstLine="0" w:firstLineChars="0"/>
              <w:jc w:val="center"/>
              <w:textAlignment w:val="center"/>
              <w:rPr>
                <w:rFonts w:hint="eastAsia" w:ascii="宋体" w:hAnsi="宋体"/>
                <w:color w:val="auto"/>
                <w:szCs w:val="21"/>
                <w:highlight w:val="none"/>
              </w:rPr>
            </w:pPr>
            <w:r>
              <w:rPr>
                <w:rFonts w:hint="eastAsia" w:ascii="宋体" w:hAnsi="宋体" w:cs="宋体"/>
                <w:color w:val="000000"/>
                <w:sz w:val="22"/>
                <w:szCs w:val="22"/>
                <w:highlight w:val="none"/>
                <w:lang w:bidi="ar"/>
              </w:rPr>
              <w:t>（16</w:t>
            </w:r>
            <w:r>
              <w:rPr>
                <w:rFonts w:hint="eastAsia" w:ascii="宋体" w:hAnsi="宋体" w:eastAsia="宋体" w:cs="宋体"/>
                <w:color w:val="000000"/>
                <w:sz w:val="21"/>
                <w:szCs w:val="21"/>
                <w:highlight w:val="none"/>
                <w:lang w:val="en-US" w:eastAsia="zh-CN"/>
              </w:rPr>
              <w:t>分</w:t>
            </w:r>
            <w:r>
              <w:rPr>
                <w:rFonts w:hint="eastAsia" w:ascii="宋体" w:hAnsi="宋体" w:cs="宋体"/>
                <w:color w:val="000000"/>
                <w:sz w:val="22"/>
                <w:szCs w:val="22"/>
                <w:highlight w:val="none"/>
                <w:lang w:bidi="ar"/>
              </w:rPr>
              <w:t>）</w:t>
            </w:r>
          </w:p>
        </w:tc>
        <w:tc>
          <w:tcPr>
            <w:tcW w:w="6952" w:type="dxa"/>
            <w:gridSpan w:val="2"/>
            <w:tcBorders>
              <w:top w:val="single" w:color="auto" w:sz="4" w:space="0"/>
              <w:left w:val="nil"/>
              <w:bottom w:val="single" w:color="auto" w:sz="4" w:space="0"/>
              <w:right w:val="single" w:color="auto" w:sz="4" w:space="0"/>
            </w:tcBorders>
            <w:shd w:val="clear" w:color="auto" w:fill="auto"/>
            <w:vAlign w:val="center"/>
          </w:tcPr>
          <w:p w14:paraId="4C9A1BF0">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1.根据供应商提供的培训服务方案进行评审，包括：</w:t>
            </w:r>
          </w:p>
          <w:p w14:paraId="3301DAE1">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培训团队的人员安排及分工；（2）培训技术要求的具体服务内容；（3）培训资料展示；（4）过往培训案例图文展示等。本项最高得4分，每缺一项扣1分。在此基础上，方案中存在瑕疵，每有一处扣0.5分，扣完为止。</w:t>
            </w:r>
          </w:p>
          <w:p w14:paraId="0CF62AFF">
            <w:pPr>
              <w:widowControl/>
              <w:spacing w:line="360" w:lineRule="auto"/>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注：瑕疵是指方案存在不适用项目实际情况的情形、凭空编造、逻辑漏洞、科学原理错误以及不可能实现的夸大情形等情况。</w:t>
            </w:r>
          </w:p>
          <w:p w14:paraId="3926600D">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2.根据供应商提供的TTT培训方案进行评审，包括：</w:t>
            </w:r>
          </w:p>
          <w:p w14:paraId="326DA742">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TTT培训具体服务内容；（2）支持TTT培训实施的信息化服务系统，功能包括但不限于自动化分析工伤数据、自动化分析工伤高发岗位、作业类型、伤害类型及应对措施；（3）转训方案的具体服务内容；（4）支持转训服务的信息系统，包括但不限于自动化分析工伤高发岗位、作业类型、伤害类型及应对措施、技巧，自动化为企业生产培训课件及配套资料；系统智能分析培训人数、评估培训成效、自动生成培训档案、学员档案；（5）大数据赋能重点企业治理的具体实施内容；（6）支持重点企业治理，隐患排查发现的保障措施，技术手段、专业方法等。本项最高得12分，每缺一项扣2分。在此基础上，方案中存在瑕疵，每有一处扣1分，扣完为止。</w:t>
            </w:r>
          </w:p>
          <w:p w14:paraId="58954D62">
            <w:pPr>
              <w:widowControl/>
              <w:spacing w:line="360" w:lineRule="auto"/>
              <w:rPr>
                <w:rFonts w:hint="eastAsia" w:ascii="宋体" w:hAnsi="宋体" w:cs="宋体"/>
                <w:color w:val="auto"/>
                <w:kern w:val="0"/>
                <w:szCs w:val="21"/>
                <w:highlight w:val="none"/>
              </w:rPr>
            </w:pPr>
            <w:r>
              <w:rPr>
                <w:rFonts w:hint="eastAsia" w:ascii="宋体" w:hAnsi="宋体" w:eastAsia="宋体" w:cs="宋体"/>
                <w:b/>
                <w:bCs/>
                <w:color w:val="auto"/>
                <w:kern w:val="0"/>
                <w:szCs w:val="21"/>
                <w:highlight w:val="none"/>
              </w:rPr>
              <w:t>注：瑕疵是指方案存在不适用项目实际情况的情形、凭空编造、逻辑漏洞、科学原理错误以及不可能实现的夸大情形等情况。</w:t>
            </w:r>
          </w:p>
        </w:tc>
      </w:tr>
      <w:tr w14:paraId="3747030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818" w:hRule="atLeast"/>
          <w:jc w:val="center"/>
        </w:trPr>
        <w:tc>
          <w:tcPr>
            <w:tcW w:w="1276" w:type="dxa"/>
            <w:vMerge w:val="continue"/>
            <w:tcBorders>
              <w:left w:val="single" w:color="auto" w:sz="4" w:space="0"/>
              <w:right w:val="single" w:color="auto" w:sz="4" w:space="0"/>
            </w:tcBorders>
            <w:vAlign w:val="center"/>
          </w:tcPr>
          <w:p w14:paraId="6A3D71A9">
            <w:pPr>
              <w:widowControl/>
              <w:jc w:val="left"/>
              <w:rPr>
                <w:rFonts w:hint="eastAsia" w:ascii="宋体" w:hAnsi="宋体" w:cs="宋体"/>
                <w:color w:val="auto"/>
                <w:kern w:val="0"/>
                <w:szCs w:val="21"/>
                <w:highlight w:val="none"/>
              </w:rPr>
            </w:pPr>
          </w:p>
        </w:tc>
        <w:tc>
          <w:tcPr>
            <w:tcW w:w="1269" w:type="dxa"/>
            <w:tcBorders>
              <w:top w:val="single" w:color="auto" w:sz="4" w:space="0"/>
              <w:left w:val="single" w:color="auto" w:sz="4" w:space="0"/>
              <w:bottom w:val="single" w:color="auto" w:sz="4" w:space="0"/>
              <w:right w:val="single" w:color="auto" w:sz="4" w:space="0"/>
            </w:tcBorders>
            <w:vAlign w:val="center"/>
          </w:tcPr>
          <w:p w14:paraId="54ADB329">
            <w:pPr>
              <w:spacing w:line="240" w:lineRule="auto"/>
              <w:ind w:firstLine="0" w:firstLineChars="0"/>
              <w:jc w:val="center"/>
              <w:textAlignment w:val="center"/>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档案管理方案</w:t>
            </w:r>
          </w:p>
          <w:p w14:paraId="69C8DBB7">
            <w:pPr>
              <w:spacing w:line="240" w:lineRule="auto"/>
              <w:ind w:firstLine="0" w:firstLineChars="0"/>
              <w:jc w:val="center"/>
              <w:textAlignment w:val="center"/>
              <w:rPr>
                <w:rFonts w:hint="eastAsia" w:ascii="宋体" w:hAnsi="宋体" w:cs="宋体"/>
                <w:color w:val="auto"/>
                <w:kern w:val="0"/>
                <w:szCs w:val="21"/>
                <w:highlight w:val="none"/>
              </w:rPr>
            </w:pPr>
            <w:r>
              <w:rPr>
                <w:rFonts w:hint="eastAsia" w:ascii="宋体" w:hAnsi="宋体" w:cs="宋体"/>
                <w:color w:val="000000"/>
                <w:sz w:val="22"/>
                <w:szCs w:val="22"/>
                <w:highlight w:val="none"/>
                <w:lang w:bidi="ar"/>
              </w:rPr>
              <w:t>（4</w:t>
            </w:r>
            <w:r>
              <w:rPr>
                <w:rFonts w:hint="eastAsia" w:ascii="宋体" w:hAnsi="宋体" w:eastAsia="宋体" w:cs="宋体"/>
                <w:color w:val="000000"/>
                <w:sz w:val="21"/>
                <w:szCs w:val="21"/>
                <w:highlight w:val="none"/>
                <w:lang w:val="en-US" w:eastAsia="zh-CN"/>
              </w:rPr>
              <w:t>分</w:t>
            </w:r>
            <w:r>
              <w:rPr>
                <w:rFonts w:hint="eastAsia" w:ascii="宋体" w:hAnsi="宋体" w:cs="宋体"/>
                <w:color w:val="000000"/>
                <w:sz w:val="22"/>
                <w:szCs w:val="22"/>
                <w:highlight w:val="none"/>
                <w:lang w:bidi="ar"/>
              </w:rPr>
              <w:t>）</w:t>
            </w:r>
          </w:p>
        </w:tc>
        <w:tc>
          <w:tcPr>
            <w:tcW w:w="6952" w:type="dxa"/>
            <w:gridSpan w:val="2"/>
            <w:tcBorders>
              <w:top w:val="single" w:color="auto" w:sz="4" w:space="0"/>
              <w:left w:val="nil"/>
              <w:bottom w:val="single" w:color="auto" w:sz="4" w:space="0"/>
              <w:right w:val="single" w:color="auto" w:sz="4" w:space="0"/>
            </w:tcBorders>
            <w:shd w:val="clear" w:color="auto" w:fill="auto"/>
            <w:vAlign w:val="center"/>
          </w:tcPr>
          <w:p w14:paraId="7C2DA91C">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据供应商提供的档案管理方案进行评审，包括：（1）可交付的数量及形式（2）交付的形式（3）档案管理办法（4）项目文件归档范围制定与审核流程（5）档案保密管理（6）档案借阅管理（7）档案移交备查（8）有专门的房间存放，专人把关等。本项最高得4分，每缺一项扣0.5分。在此基础上，方案中存在瑕疵，每有一处扣0.25分，扣完为止。</w:t>
            </w:r>
          </w:p>
          <w:p w14:paraId="0F2F3C14">
            <w:pPr>
              <w:widowControl/>
              <w:spacing w:line="360" w:lineRule="auto"/>
              <w:rPr>
                <w:rFonts w:hint="eastAsia" w:ascii="宋体" w:hAnsi="宋体" w:cs="宋体"/>
                <w:color w:val="auto"/>
                <w:kern w:val="0"/>
                <w:szCs w:val="21"/>
                <w:highlight w:val="none"/>
              </w:rPr>
            </w:pPr>
            <w:r>
              <w:rPr>
                <w:rFonts w:hint="eastAsia" w:ascii="宋体" w:hAnsi="宋体" w:eastAsia="宋体" w:cs="宋体"/>
                <w:b/>
                <w:bCs/>
                <w:color w:val="auto"/>
                <w:kern w:val="0"/>
                <w:szCs w:val="21"/>
                <w:highlight w:val="none"/>
              </w:rPr>
              <w:t>注：瑕疵是指方案存在不适用项目实际情况的情形、凭空编造、逻辑漏洞、科学原理错误以及不可能实现的夸大情形等情况。</w:t>
            </w:r>
          </w:p>
        </w:tc>
      </w:tr>
      <w:tr w14:paraId="543A2C6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818" w:hRule="atLeast"/>
          <w:jc w:val="center"/>
        </w:trPr>
        <w:tc>
          <w:tcPr>
            <w:tcW w:w="1276" w:type="dxa"/>
            <w:vMerge w:val="continue"/>
            <w:tcBorders>
              <w:left w:val="single" w:color="auto" w:sz="4" w:space="0"/>
              <w:bottom w:val="single" w:color="000000" w:sz="4" w:space="0"/>
              <w:right w:val="single" w:color="auto" w:sz="4" w:space="0"/>
            </w:tcBorders>
            <w:vAlign w:val="center"/>
          </w:tcPr>
          <w:p w14:paraId="38EA86AB">
            <w:pPr>
              <w:widowControl/>
              <w:jc w:val="left"/>
              <w:rPr>
                <w:rFonts w:hint="eastAsia" w:ascii="宋体" w:hAnsi="宋体" w:cs="宋体"/>
                <w:color w:val="auto"/>
                <w:kern w:val="0"/>
                <w:szCs w:val="21"/>
                <w:highlight w:val="none"/>
              </w:rPr>
            </w:pPr>
          </w:p>
        </w:tc>
        <w:tc>
          <w:tcPr>
            <w:tcW w:w="1269" w:type="dxa"/>
            <w:tcBorders>
              <w:top w:val="single" w:color="auto" w:sz="4" w:space="0"/>
              <w:left w:val="single" w:color="auto" w:sz="4" w:space="0"/>
              <w:bottom w:val="single" w:color="auto" w:sz="4" w:space="0"/>
              <w:right w:val="single" w:color="auto" w:sz="4" w:space="0"/>
            </w:tcBorders>
            <w:vAlign w:val="center"/>
          </w:tcPr>
          <w:p w14:paraId="226715B9">
            <w:pPr>
              <w:spacing w:line="240" w:lineRule="auto"/>
              <w:ind w:firstLine="0" w:firstLineChars="0"/>
              <w:jc w:val="center"/>
              <w:textAlignment w:val="center"/>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应急预案（4</w:t>
            </w:r>
            <w:r>
              <w:rPr>
                <w:rFonts w:hint="eastAsia" w:ascii="宋体" w:hAnsi="宋体" w:eastAsia="宋体" w:cs="宋体"/>
                <w:color w:val="000000"/>
                <w:sz w:val="21"/>
                <w:szCs w:val="21"/>
                <w:highlight w:val="none"/>
                <w:lang w:val="en-US" w:eastAsia="zh-CN"/>
              </w:rPr>
              <w:t>分</w:t>
            </w:r>
            <w:r>
              <w:rPr>
                <w:rFonts w:hint="eastAsia" w:ascii="宋体" w:hAnsi="宋体" w:cs="宋体"/>
                <w:color w:val="000000"/>
                <w:sz w:val="22"/>
                <w:szCs w:val="22"/>
                <w:highlight w:val="none"/>
                <w:lang w:bidi="ar"/>
              </w:rPr>
              <w:t>）</w:t>
            </w:r>
          </w:p>
        </w:tc>
        <w:tc>
          <w:tcPr>
            <w:tcW w:w="6952" w:type="dxa"/>
            <w:gridSpan w:val="2"/>
            <w:tcBorders>
              <w:top w:val="single" w:color="auto" w:sz="4" w:space="0"/>
              <w:left w:val="nil"/>
              <w:bottom w:val="single" w:color="auto" w:sz="4" w:space="0"/>
              <w:right w:val="single" w:color="auto" w:sz="4" w:space="0"/>
            </w:tcBorders>
            <w:shd w:val="clear" w:color="auto" w:fill="auto"/>
            <w:vAlign w:val="center"/>
          </w:tcPr>
          <w:p w14:paraId="55E2A8B8">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据供应商提供的档案管理方案进行评审，包括：（1）应急处理流程；（2）应急管理制度；（3）培训活动应急处理措施；（4）宣传活动应急处理措施等等。本项最高得4分，每缺一项扣1分。在此基础上，方案中存在瑕疵，每有一处扣1分，扣完为止。</w:t>
            </w:r>
          </w:p>
          <w:p w14:paraId="1C66934D">
            <w:pPr>
              <w:widowControl/>
              <w:spacing w:line="360" w:lineRule="auto"/>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注：瑕疵是指方案存在不适用项目实际情况的情形、凭空编造、逻辑漏洞、科学原理错误以及不可能实现的夸大情形等情况。</w:t>
            </w:r>
          </w:p>
        </w:tc>
      </w:tr>
      <w:tr w14:paraId="74874D5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389" w:hRule="atLeast"/>
          <w:jc w:val="center"/>
        </w:trPr>
        <w:tc>
          <w:tcPr>
            <w:tcW w:w="1276" w:type="dxa"/>
            <w:vMerge w:val="restart"/>
            <w:tcBorders>
              <w:top w:val="nil"/>
              <w:left w:val="single" w:color="auto" w:sz="4" w:space="0"/>
              <w:right w:val="single" w:color="auto" w:sz="4" w:space="0"/>
            </w:tcBorders>
            <w:shd w:val="clear" w:color="auto" w:fill="auto"/>
            <w:vAlign w:val="center"/>
          </w:tcPr>
          <w:p w14:paraId="6384F7CA">
            <w:pPr>
              <w:widowControl/>
              <w:jc w:val="center"/>
              <w:rPr>
                <w:rFonts w:hint="eastAsia" w:ascii="宋体" w:hAnsi="宋体" w:cs="宋体"/>
                <w:color w:val="auto"/>
                <w:kern w:val="0"/>
                <w:szCs w:val="21"/>
                <w:highlight w:val="none"/>
              </w:rPr>
            </w:pPr>
          </w:p>
          <w:p w14:paraId="7FA9098B">
            <w:pPr>
              <w:widowControl/>
              <w:jc w:val="center"/>
              <w:rPr>
                <w:rFonts w:hint="eastAsia" w:ascii="宋体" w:hAnsi="宋体" w:cs="宋体"/>
                <w:color w:val="auto"/>
                <w:kern w:val="0"/>
                <w:szCs w:val="21"/>
                <w:highlight w:val="none"/>
              </w:rPr>
            </w:pPr>
          </w:p>
          <w:p w14:paraId="12E01488">
            <w:pPr>
              <w:widowControl/>
              <w:jc w:val="center"/>
              <w:rPr>
                <w:rFonts w:hint="eastAsia" w:ascii="宋体" w:hAnsi="宋体" w:cs="宋体"/>
                <w:color w:val="auto"/>
                <w:kern w:val="0"/>
                <w:szCs w:val="21"/>
                <w:highlight w:val="none"/>
              </w:rPr>
            </w:pPr>
          </w:p>
          <w:p w14:paraId="398062C6">
            <w:pPr>
              <w:widowControl/>
              <w:jc w:val="center"/>
              <w:rPr>
                <w:rFonts w:hint="eastAsia" w:ascii="宋体" w:hAnsi="宋体" w:cs="宋体"/>
                <w:color w:val="auto"/>
                <w:kern w:val="0"/>
                <w:szCs w:val="21"/>
                <w:highlight w:val="none"/>
              </w:rPr>
            </w:pPr>
          </w:p>
          <w:p w14:paraId="0D5A16B5">
            <w:pPr>
              <w:widowControl/>
              <w:jc w:val="center"/>
              <w:rPr>
                <w:rFonts w:hint="eastAsia" w:ascii="宋体" w:hAnsi="宋体" w:cs="宋体"/>
                <w:color w:val="auto"/>
                <w:kern w:val="0"/>
                <w:szCs w:val="21"/>
                <w:highlight w:val="none"/>
              </w:rPr>
            </w:pPr>
          </w:p>
          <w:p w14:paraId="5425C9E3">
            <w:pPr>
              <w:widowControl/>
              <w:jc w:val="center"/>
              <w:rPr>
                <w:rFonts w:hint="eastAsia" w:ascii="宋体" w:hAnsi="宋体" w:cs="宋体"/>
                <w:color w:val="auto"/>
                <w:kern w:val="0"/>
                <w:szCs w:val="21"/>
                <w:highlight w:val="none"/>
              </w:rPr>
            </w:pPr>
          </w:p>
          <w:p w14:paraId="48BEE2C7">
            <w:pPr>
              <w:widowControl/>
              <w:jc w:val="center"/>
              <w:rPr>
                <w:rFonts w:hint="eastAsia" w:ascii="宋体" w:hAnsi="宋体" w:cs="宋体"/>
                <w:color w:val="auto"/>
                <w:kern w:val="0"/>
                <w:szCs w:val="21"/>
                <w:highlight w:val="none"/>
              </w:rPr>
            </w:pPr>
          </w:p>
          <w:p w14:paraId="54A89E1F">
            <w:pPr>
              <w:pStyle w:val="2"/>
              <w:rPr>
                <w:rFonts w:hint="eastAsia" w:ascii="宋体" w:hAnsi="宋体" w:cs="宋体"/>
                <w:color w:val="auto"/>
                <w:kern w:val="0"/>
                <w:szCs w:val="21"/>
                <w:highlight w:val="none"/>
              </w:rPr>
            </w:pPr>
          </w:p>
          <w:p w14:paraId="54A86846">
            <w:pPr>
              <w:rPr>
                <w:rFonts w:hint="eastAsia" w:ascii="宋体" w:hAnsi="宋体" w:cs="宋体"/>
                <w:color w:val="auto"/>
                <w:kern w:val="0"/>
                <w:szCs w:val="21"/>
                <w:highlight w:val="none"/>
              </w:rPr>
            </w:pPr>
          </w:p>
          <w:p w14:paraId="38C72F96">
            <w:pPr>
              <w:pStyle w:val="2"/>
              <w:rPr>
                <w:rFonts w:hint="eastAsia" w:ascii="宋体" w:hAnsi="宋体" w:cs="宋体"/>
                <w:color w:val="auto"/>
                <w:kern w:val="0"/>
                <w:szCs w:val="21"/>
                <w:highlight w:val="none"/>
              </w:rPr>
            </w:pPr>
          </w:p>
          <w:p w14:paraId="1844F2A0">
            <w:pPr>
              <w:rPr>
                <w:rFonts w:hint="eastAsia" w:ascii="宋体" w:hAnsi="宋体" w:cs="宋体"/>
                <w:color w:val="auto"/>
                <w:kern w:val="0"/>
                <w:szCs w:val="21"/>
                <w:highlight w:val="none"/>
              </w:rPr>
            </w:pPr>
          </w:p>
          <w:p w14:paraId="3B7AC496">
            <w:pPr>
              <w:pStyle w:val="2"/>
              <w:rPr>
                <w:rFonts w:hint="eastAsia"/>
                <w:highlight w:val="none"/>
              </w:rPr>
            </w:pPr>
          </w:p>
          <w:p w14:paraId="783C35A4">
            <w:pPr>
              <w:rPr>
                <w:rFonts w:hint="eastAsia"/>
                <w:highlight w:val="none"/>
              </w:rPr>
            </w:pPr>
          </w:p>
          <w:p w14:paraId="50F919BE">
            <w:pPr>
              <w:pStyle w:val="2"/>
              <w:rPr>
                <w:rFonts w:hint="eastAsia"/>
                <w:highlight w:val="none"/>
              </w:rPr>
            </w:pPr>
          </w:p>
          <w:p w14:paraId="457A00DB">
            <w:pPr>
              <w:pStyle w:val="2"/>
              <w:rPr>
                <w:rFonts w:hint="eastAsia"/>
                <w:highlight w:val="none"/>
              </w:rPr>
            </w:pPr>
          </w:p>
          <w:p w14:paraId="5DE1959A">
            <w:pPr>
              <w:pStyle w:val="2"/>
              <w:rPr>
                <w:rFonts w:hint="eastAsia"/>
                <w:highlight w:val="none"/>
              </w:rPr>
            </w:pPr>
          </w:p>
          <w:p w14:paraId="5C13827D">
            <w:pPr>
              <w:rPr>
                <w:rFonts w:hint="eastAsia"/>
                <w:highlight w:val="none"/>
              </w:rPr>
            </w:pPr>
          </w:p>
          <w:p w14:paraId="014ED946">
            <w:pPr>
              <w:pStyle w:val="2"/>
              <w:rPr>
                <w:rFonts w:hint="eastAsia"/>
                <w:highlight w:val="none"/>
              </w:rPr>
            </w:pPr>
          </w:p>
          <w:p w14:paraId="78C52094">
            <w:pPr>
              <w:rPr>
                <w:rFonts w:hint="eastAsia"/>
                <w:highlight w:val="none"/>
              </w:rPr>
            </w:pPr>
          </w:p>
          <w:p w14:paraId="3C0C1035">
            <w:pPr>
              <w:pStyle w:val="2"/>
              <w:rPr>
                <w:rFonts w:hint="eastAsia"/>
                <w:highlight w:val="none"/>
              </w:rPr>
            </w:pPr>
          </w:p>
          <w:p w14:paraId="5E0ED9E9">
            <w:pPr>
              <w:widowControl/>
              <w:jc w:val="center"/>
              <w:rPr>
                <w:rFonts w:hint="eastAsia" w:ascii="宋体" w:hAnsi="宋体" w:cs="宋体"/>
                <w:color w:val="auto"/>
                <w:kern w:val="0"/>
                <w:szCs w:val="21"/>
                <w:highlight w:val="none"/>
              </w:rPr>
            </w:pPr>
          </w:p>
          <w:p w14:paraId="7ACAB5E1">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综合</w:t>
            </w:r>
            <w:r>
              <w:rPr>
                <w:rFonts w:hint="eastAsia" w:ascii="宋体" w:hAnsi="宋体" w:cs="宋体"/>
                <w:color w:val="auto"/>
                <w:kern w:val="0"/>
                <w:szCs w:val="21"/>
                <w:highlight w:val="none"/>
              </w:rPr>
              <w:t>部分</w:t>
            </w:r>
          </w:p>
          <w:p w14:paraId="4DB06AB4">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w:t>
            </w:r>
            <w:r>
              <w:rPr>
                <w:rFonts w:hint="eastAsia" w:ascii="宋体" w:hAnsi="宋体" w:cs="宋体"/>
                <w:color w:val="auto"/>
                <w:kern w:val="0"/>
                <w:szCs w:val="21"/>
                <w:highlight w:val="none"/>
                <w:lang w:val="en-US" w:eastAsia="zh-CN"/>
              </w:rPr>
              <w:t>55</w:t>
            </w:r>
            <w:r>
              <w:rPr>
                <w:rFonts w:hint="eastAsia" w:ascii="宋体" w:hAnsi="宋体" w:cs="宋体"/>
                <w:color w:val="auto"/>
                <w:kern w:val="0"/>
                <w:szCs w:val="21"/>
                <w:highlight w:val="none"/>
              </w:rPr>
              <w:t>分）</w:t>
            </w:r>
          </w:p>
        </w:tc>
        <w:tc>
          <w:tcPr>
            <w:tcW w:w="1269" w:type="dxa"/>
            <w:tcBorders>
              <w:top w:val="single" w:color="auto" w:sz="4" w:space="0"/>
              <w:left w:val="nil"/>
              <w:bottom w:val="single" w:color="auto" w:sz="4" w:space="0"/>
              <w:right w:val="single" w:color="auto" w:sz="4" w:space="0"/>
            </w:tcBorders>
            <w:shd w:val="clear" w:color="auto" w:fill="auto"/>
            <w:vAlign w:val="center"/>
          </w:tcPr>
          <w:p w14:paraId="2F165876">
            <w:pPr>
              <w:widowControl/>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类似业绩</w:t>
            </w:r>
          </w:p>
          <w:p w14:paraId="746C8579">
            <w:pPr>
              <w:widowControl/>
              <w:spacing w:line="360" w:lineRule="auto"/>
              <w:jc w:val="center"/>
              <w:rPr>
                <w:rFonts w:hint="eastAsia" w:ascii="宋体" w:hAnsi="宋体" w:cs="宋体"/>
                <w:color w:val="auto"/>
                <w:kern w:val="0"/>
                <w:szCs w:val="21"/>
                <w:highlight w:val="none"/>
              </w:rPr>
            </w:pPr>
            <w:r>
              <w:rPr>
                <w:rFonts w:hint="eastAsia" w:ascii="宋体" w:hAnsi="宋体" w:eastAsia="宋体" w:cs="宋体"/>
                <w:color w:val="auto"/>
                <w:kern w:val="0"/>
                <w:szCs w:val="21"/>
                <w:highlight w:val="none"/>
              </w:rPr>
              <w:t>（5</w:t>
            </w:r>
            <w:r>
              <w:rPr>
                <w:rFonts w:hint="eastAsia" w:ascii="宋体" w:hAnsi="宋体" w:eastAsia="宋体" w:cs="宋体"/>
                <w:color w:val="auto"/>
                <w:kern w:val="0"/>
                <w:szCs w:val="21"/>
                <w:highlight w:val="none"/>
                <w:lang w:val="en-US" w:eastAsia="zh-CN"/>
              </w:rPr>
              <w:t>分</w:t>
            </w:r>
            <w:r>
              <w:rPr>
                <w:rFonts w:hint="eastAsia" w:ascii="宋体" w:hAnsi="宋体" w:eastAsia="宋体" w:cs="宋体"/>
                <w:color w:val="auto"/>
                <w:kern w:val="0"/>
                <w:szCs w:val="21"/>
                <w:highlight w:val="none"/>
              </w:rPr>
              <w:t>）</w:t>
            </w:r>
          </w:p>
        </w:tc>
        <w:tc>
          <w:tcPr>
            <w:tcW w:w="6952" w:type="dxa"/>
            <w:gridSpan w:val="2"/>
            <w:tcBorders>
              <w:top w:val="single" w:color="auto" w:sz="4" w:space="0"/>
              <w:left w:val="nil"/>
              <w:bottom w:val="single" w:color="auto" w:sz="4" w:space="0"/>
              <w:right w:val="single" w:color="auto" w:sz="4" w:space="0"/>
            </w:tcBorders>
            <w:shd w:val="clear" w:color="auto" w:fill="auto"/>
            <w:vAlign w:val="center"/>
          </w:tcPr>
          <w:p w14:paraId="3D157B4B">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1.供应商提供</w:t>
            </w:r>
            <w:r>
              <w:rPr>
                <w:rFonts w:hint="eastAsia" w:ascii="宋体" w:hAnsi="宋体" w:eastAsia="宋体" w:cs="宋体"/>
                <w:color w:val="auto"/>
                <w:kern w:val="0"/>
                <w:szCs w:val="21"/>
                <w:highlight w:val="none"/>
                <w:lang w:val="en-US" w:eastAsia="zh-CN"/>
              </w:rPr>
              <w:t>自</w:t>
            </w:r>
            <w:r>
              <w:rPr>
                <w:rFonts w:hint="eastAsia" w:ascii="宋体" w:hAnsi="宋体" w:eastAsia="宋体" w:cs="宋体"/>
                <w:color w:val="auto"/>
                <w:kern w:val="0"/>
                <w:szCs w:val="21"/>
                <w:highlight w:val="none"/>
              </w:rPr>
              <w:t>2023年1月1日（含）至今承担过</w:t>
            </w:r>
            <w:r>
              <w:rPr>
                <w:rFonts w:hint="eastAsia" w:ascii="宋体" w:hAnsi="宋体" w:eastAsia="宋体" w:cs="宋体"/>
                <w:color w:val="auto"/>
                <w:kern w:val="0"/>
                <w:szCs w:val="21"/>
                <w:highlight w:val="none"/>
                <w:lang w:val="en-US" w:eastAsia="zh-CN"/>
              </w:rPr>
              <w:t>类似</w:t>
            </w:r>
            <w:r>
              <w:rPr>
                <w:rFonts w:hint="eastAsia" w:ascii="宋体" w:hAnsi="宋体" w:eastAsia="宋体" w:cs="宋体"/>
                <w:color w:val="auto"/>
                <w:kern w:val="0"/>
                <w:szCs w:val="21"/>
                <w:highlight w:val="none"/>
              </w:rPr>
              <w:t>项目业绩，每有一个验收服务评价为优秀（或评价得分≥90分）的，得0.5分，最高得2.5分。</w:t>
            </w:r>
          </w:p>
          <w:p w14:paraId="0C736BA7">
            <w:pPr>
              <w:widowControl/>
              <w:spacing w:line="360" w:lineRule="auto"/>
              <w:rPr>
                <w:rFonts w:hint="eastAsia" w:ascii="宋体" w:hAnsi="宋体" w:cs="宋体"/>
                <w:color w:val="auto"/>
                <w:kern w:val="0"/>
                <w:szCs w:val="21"/>
                <w:highlight w:val="none"/>
              </w:rPr>
            </w:pPr>
            <w:r>
              <w:rPr>
                <w:rFonts w:hint="eastAsia" w:ascii="宋体" w:hAnsi="宋体" w:eastAsia="宋体" w:cs="宋体"/>
                <w:b/>
                <w:bCs/>
                <w:color w:val="auto"/>
                <w:kern w:val="0"/>
                <w:szCs w:val="21"/>
                <w:highlight w:val="none"/>
              </w:rPr>
              <w:t>注：供应商提供的以上类似业绩合同复印件</w:t>
            </w:r>
            <w:r>
              <w:rPr>
                <w:rFonts w:hint="eastAsia" w:ascii="宋体" w:hAnsi="宋体" w:eastAsia="宋体" w:cs="宋体"/>
                <w:b/>
                <w:bCs/>
                <w:color w:val="auto"/>
                <w:kern w:val="0"/>
                <w:szCs w:val="21"/>
                <w:highlight w:val="none"/>
                <w:lang w:eastAsia="zh-CN"/>
              </w:rPr>
              <w:t>、</w:t>
            </w:r>
            <w:r>
              <w:rPr>
                <w:rFonts w:hint="eastAsia" w:ascii="宋体" w:hAnsi="宋体" w:eastAsia="宋体" w:cs="宋体"/>
                <w:b/>
                <w:bCs/>
                <w:color w:val="auto"/>
                <w:kern w:val="0"/>
                <w:szCs w:val="21"/>
                <w:highlight w:val="none"/>
              </w:rPr>
              <w:t>合同款项发票证明复印件</w:t>
            </w:r>
            <w:r>
              <w:rPr>
                <w:rFonts w:hint="eastAsia" w:ascii="宋体" w:hAnsi="宋体" w:eastAsia="宋体" w:cs="宋体"/>
                <w:b/>
                <w:bCs/>
                <w:color w:val="auto"/>
                <w:kern w:val="0"/>
                <w:szCs w:val="21"/>
                <w:highlight w:val="none"/>
                <w:lang w:eastAsia="zh-CN"/>
              </w:rPr>
              <w:t>、</w:t>
            </w:r>
            <w:r>
              <w:rPr>
                <w:rFonts w:hint="eastAsia" w:ascii="宋体" w:hAnsi="宋体" w:eastAsia="宋体" w:cs="宋体"/>
                <w:b/>
                <w:bCs/>
                <w:color w:val="auto"/>
                <w:kern w:val="0"/>
                <w:szCs w:val="21"/>
                <w:highlight w:val="none"/>
              </w:rPr>
              <w:t>评价证明材料，未提供或提供不全的不得分。同一采购单位的项目不重复计分。评价证明材料需提供业主方单位的验收服务评价材料并加盖公章，未提供不得分。</w:t>
            </w:r>
          </w:p>
        </w:tc>
      </w:tr>
      <w:tr w14:paraId="79FD765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728" w:hRule="atLeast"/>
          <w:jc w:val="center"/>
        </w:trPr>
        <w:tc>
          <w:tcPr>
            <w:tcW w:w="1276" w:type="dxa"/>
            <w:vMerge w:val="continue"/>
            <w:tcBorders>
              <w:left w:val="single" w:color="auto" w:sz="4" w:space="0"/>
              <w:right w:val="single" w:color="auto" w:sz="4" w:space="0"/>
            </w:tcBorders>
            <w:vAlign w:val="center"/>
          </w:tcPr>
          <w:p w14:paraId="1C330DA2">
            <w:pPr>
              <w:widowControl/>
              <w:jc w:val="left"/>
              <w:rPr>
                <w:rFonts w:hint="eastAsia" w:ascii="宋体" w:hAnsi="宋体" w:cs="宋体"/>
                <w:color w:val="auto"/>
                <w:kern w:val="0"/>
                <w:szCs w:val="21"/>
                <w:highlight w:val="none"/>
              </w:rPr>
            </w:pPr>
          </w:p>
        </w:tc>
        <w:tc>
          <w:tcPr>
            <w:tcW w:w="1269" w:type="dxa"/>
            <w:tcBorders>
              <w:top w:val="nil"/>
              <w:left w:val="single" w:color="auto" w:sz="4" w:space="0"/>
              <w:bottom w:val="single" w:color="auto" w:sz="4" w:space="0"/>
              <w:right w:val="single" w:color="auto" w:sz="4" w:space="0"/>
            </w:tcBorders>
            <w:shd w:val="clear" w:color="auto" w:fill="auto"/>
            <w:vAlign w:val="center"/>
          </w:tcPr>
          <w:p w14:paraId="0E57E767">
            <w:pPr>
              <w:widowControl/>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管理能力</w:t>
            </w:r>
          </w:p>
          <w:p w14:paraId="672E74A0">
            <w:pPr>
              <w:widowControl/>
              <w:spacing w:line="360" w:lineRule="auto"/>
              <w:jc w:val="center"/>
              <w:rPr>
                <w:rFonts w:hint="eastAsia" w:ascii="宋体" w:hAnsi="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kern w:val="0"/>
                <w:szCs w:val="21"/>
                <w:highlight w:val="none"/>
                <w:lang w:val="en-US" w:eastAsia="zh-CN"/>
              </w:rPr>
              <w:t>分</w:t>
            </w:r>
            <w:r>
              <w:rPr>
                <w:rFonts w:hint="eastAsia" w:ascii="宋体" w:hAnsi="宋体" w:eastAsia="宋体" w:cs="宋体"/>
                <w:color w:val="auto"/>
                <w:kern w:val="0"/>
                <w:szCs w:val="21"/>
                <w:highlight w:val="none"/>
              </w:rPr>
              <w:t>）</w:t>
            </w:r>
          </w:p>
        </w:tc>
        <w:tc>
          <w:tcPr>
            <w:tcW w:w="6952" w:type="dxa"/>
            <w:gridSpan w:val="2"/>
            <w:tcBorders>
              <w:top w:val="single" w:color="auto" w:sz="4" w:space="0"/>
              <w:left w:val="nil"/>
              <w:bottom w:val="single" w:color="auto" w:sz="4" w:space="0"/>
              <w:right w:val="single" w:color="auto" w:sz="4" w:space="0"/>
            </w:tcBorders>
            <w:shd w:val="clear" w:color="auto" w:fill="auto"/>
            <w:vAlign w:val="center"/>
          </w:tcPr>
          <w:p w14:paraId="13C2CFDF">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1.供应商具有质量管理体系证书得1分；</w:t>
            </w:r>
          </w:p>
          <w:p w14:paraId="28926D0A">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2.供应商具有职业健康安全管理体系证书得1分；</w:t>
            </w:r>
          </w:p>
          <w:p w14:paraId="0ECBF71F">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3.供应商具有培训服务管理体系证书得1分；</w:t>
            </w:r>
          </w:p>
          <w:p w14:paraId="7F98B209">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4.供应商具有信息安全管理体系证书得1分；</w:t>
            </w:r>
          </w:p>
          <w:p w14:paraId="01D9DDA4">
            <w:pPr>
              <w:widowControl/>
              <w:spacing w:line="360" w:lineRule="auto"/>
              <w:rPr>
                <w:rFonts w:hint="eastAsia" w:ascii="宋体" w:hAnsi="宋体" w:cs="宋体"/>
                <w:color w:val="auto"/>
                <w:kern w:val="0"/>
                <w:szCs w:val="21"/>
                <w:highlight w:val="none"/>
              </w:rPr>
            </w:pPr>
            <w:r>
              <w:rPr>
                <w:rFonts w:hint="eastAsia" w:ascii="宋体" w:hAnsi="宋体" w:eastAsia="宋体" w:cs="宋体"/>
                <w:b/>
                <w:bCs/>
                <w:color w:val="auto"/>
                <w:kern w:val="0"/>
                <w:szCs w:val="21"/>
                <w:highlight w:val="none"/>
              </w:rPr>
              <w:t>注：提供证书复印件及全国认证认可信息公共服务平台网站有效查询截图。认证范围须至少包含：工伤预防相关内容。</w:t>
            </w:r>
          </w:p>
        </w:tc>
      </w:tr>
      <w:tr w14:paraId="69F71B2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728" w:hRule="atLeast"/>
          <w:jc w:val="center"/>
        </w:trPr>
        <w:tc>
          <w:tcPr>
            <w:tcW w:w="1276" w:type="dxa"/>
            <w:vMerge w:val="continue"/>
            <w:tcBorders>
              <w:left w:val="single" w:color="auto" w:sz="4" w:space="0"/>
              <w:right w:val="single" w:color="auto" w:sz="4" w:space="0"/>
            </w:tcBorders>
            <w:vAlign w:val="center"/>
          </w:tcPr>
          <w:p w14:paraId="627C6F6D">
            <w:pPr>
              <w:widowControl/>
              <w:jc w:val="left"/>
              <w:rPr>
                <w:rFonts w:hint="eastAsia" w:ascii="宋体" w:hAnsi="宋体" w:cs="宋体"/>
                <w:color w:val="auto"/>
                <w:kern w:val="0"/>
                <w:szCs w:val="21"/>
                <w:highlight w:val="none"/>
              </w:rPr>
            </w:pP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6FF90662">
            <w:pPr>
              <w:widowControl/>
              <w:spacing w:line="360" w:lineRule="auto"/>
              <w:jc w:val="center"/>
              <w:rPr>
                <w:rFonts w:hint="eastAsia" w:ascii="宋体" w:hAnsi="宋体" w:cs="宋体"/>
                <w:color w:val="auto"/>
                <w:kern w:val="0"/>
                <w:szCs w:val="21"/>
                <w:highlight w:val="none"/>
              </w:rPr>
            </w:pPr>
            <w:r>
              <w:rPr>
                <w:rFonts w:hint="eastAsia" w:ascii="宋体" w:hAnsi="宋体" w:eastAsia="宋体" w:cs="宋体"/>
                <w:color w:val="auto"/>
                <w:kern w:val="0"/>
                <w:szCs w:val="21"/>
                <w:highlight w:val="none"/>
              </w:rPr>
              <w:t>专业人员（15</w:t>
            </w:r>
            <w:r>
              <w:rPr>
                <w:rFonts w:hint="eastAsia" w:ascii="宋体" w:hAnsi="宋体" w:eastAsia="宋体" w:cs="宋体"/>
                <w:color w:val="auto"/>
                <w:kern w:val="0"/>
                <w:szCs w:val="21"/>
                <w:highlight w:val="none"/>
                <w:lang w:val="en-US" w:eastAsia="zh-CN"/>
              </w:rPr>
              <w:t>分</w:t>
            </w:r>
            <w:r>
              <w:rPr>
                <w:rFonts w:hint="eastAsia" w:ascii="宋体" w:hAnsi="宋体" w:eastAsia="宋体" w:cs="宋体"/>
                <w:color w:val="auto"/>
                <w:kern w:val="0"/>
                <w:szCs w:val="21"/>
                <w:highlight w:val="none"/>
              </w:rPr>
              <w:t>）</w:t>
            </w:r>
          </w:p>
        </w:tc>
        <w:tc>
          <w:tcPr>
            <w:tcW w:w="6952" w:type="dxa"/>
            <w:gridSpan w:val="2"/>
            <w:tcBorders>
              <w:top w:val="single" w:color="auto" w:sz="4" w:space="0"/>
              <w:left w:val="nil"/>
              <w:bottom w:val="single" w:color="auto" w:sz="4" w:space="0"/>
              <w:right w:val="single" w:color="auto" w:sz="4" w:space="0"/>
            </w:tcBorders>
            <w:shd w:val="clear" w:color="auto" w:fill="auto"/>
            <w:vAlign w:val="center"/>
          </w:tcPr>
          <w:p w14:paraId="7ADD59C7">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1.供应商有健全的培训管理组织能力，以保障项目的开展：</w:t>
            </w:r>
          </w:p>
          <w:p w14:paraId="3BD4A512">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（1）供应商拟配置的项目负责人具有注册安全工程师的得1分；</w:t>
            </w:r>
          </w:p>
          <w:p w14:paraId="41DC8CA4">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（2）供应商须具备专职培训管理人员，每有一名具有注册安全工程师的得1分，</w:t>
            </w:r>
            <w:r>
              <w:rPr>
                <w:rFonts w:hint="eastAsia" w:ascii="宋体" w:hAnsi="宋体" w:eastAsia="宋体" w:cs="宋体"/>
                <w:color w:val="auto"/>
                <w:kern w:val="0"/>
                <w:szCs w:val="21"/>
                <w:highlight w:val="none"/>
                <w:lang w:val="en-US" w:eastAsia="zh-CN"/>
              </w:rPr>
              <w:t>此项</w:t>
            </w:r>
            <w:r>
              <w:rPr>
                <w:rFonts w:hint="eastAsia" w:ascii="宋体" w:hAnsi="宋体" w:eastAsia="宋体" w:cs="宋体"/>
                <w:color w:val="auto"/>
                <w:kern w:val="0"/>
                <w:szCs w:val="21"/>
                <w:highlight w:val="none"/>
              </w:rPr>
              <w:t>最多得5分；</w:t>
            </w:r>
          </w:p>
          <w:p w14:paraId="05608DBD">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（3）供应商须具备专职培训老师，每有一名具有安全评价师的得1分，此项最多得4分；</w:t>
            </w:r>
          </w:p>
          <w:p w14:paraId="272454CC">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其他后端保障性团队及宣传能力，具有人力资源管理师得1分，具有心理健康指导师或心理健康管理师得1分，具有红十字救护员资格得1分，具有全国广播电视编辑记者证的得1分，具有新闻采编人员资格证书的得1分，此项最多得5分；</w:t>
            </w:r>
          </w:p>
          <w:p w14:paraId="6FF83122">
            <w:pPr>
              <w:widowControl/>
              <w:spacing w:line="360" w:lineRule="auto"/>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注：</w:t>
            </w:r>
          </w:p>
          <w:p w14:paraId="4580C6EA">
            <w:pPr>
              <w:widowControl/>
              <w:spacing w:line="360" w:lineRule="auto"/>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（1）以上人员须提供有效的身份证复印件、相关证书复印件、劳动合同复印件，未按以上要求提供的不得分。</w:t>
            </w:r>
          </w:p>
          <w:p w14:paraId="345F08ED">
            <w:pPr>
              <w:widowControl/>
              <w:spacing w:line="360" w:lineRule="auto"/>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（2）注册安全工程师为注册类证书，须注册在投标人本单位，提供查询截图或证书证明，否则不予认定</w:t>
            </w:r>
          </w:p>
          <w:p w14:paraId="52D8ED9F">
            <w:pPr>
              <w:widowControl/>
              <w:spacing w:line="360" w:lineRule="auto"/>
              <w:rPr>
                <w:rFonts w:hint="eastAsia" w:ascii="宋体" w:hAnsi="宋体" w:cs="宋体"/>
                <w:color w:val="auto"/>
                <w:kern w:val="0"/>
                <w:szCs w:val="21"/>
                <w:highlight w:val="none"/>
              </w:rPr>
            </w:pPr>
            <w:r>
              <w:rPr>
                <w:rFonts w:hint="eastAsia" w:ascii="宋体" w:hAnsi="宋体" w:eastAsia="宋体" w:cs="宋体"/>
                <w:b/>
                <w:bCs/>
                <w:color w:val="auto"/>
                <w:kern w:val="0"/>
                <w:szCs w:val="21"/>
                <w:highlight w:val="none"/>
              </w:rPr>
              <w:t>（3）以上人员除项目负责人以外具有两个及以上证书的不重复得分，持有多证的按照评分顺序计取得分</w:t>
            </w:r>
            <w:r>
              <w:rPr>
                <w:rFonts w:hint="eastAsia" w:ascii="宋体" w:hAnsi="宋体" w:eastAsia="宋体" w:cs="宋体"/>
                <w:color w:val="auto"/>
                <w:kern w:val="0"/>
                <w:szCs w:val="21"/>
                <w:highlight w:val="none"/>
              </w:rPr>
              <w:t>。</w:t>
            </w:r>
          </w:p>
        </w:tc>
      </w:tr>
      <w:tr w14:paraId="617E38F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728" w:hRule="atLeast"/>
          <w:jc w:val="center"/>
        </w:trPr>
        <w:tc>
          <w:tcPr>
            <w:tcW w:w="1276" w:type="dxa"/>
            <w:vMerge w:val="continue"/>
            <w:tcBorders>
              <w:left w:val="single" w:color="auto" w:sz="4" w:space="0"/>
              <w:right w:val="single" w:color="auto" w:sz="4" w:space="0"/>
            </w:tcBorders>
            <w:vAlign w:val="center"/>
          </w:tcPr>
          <w:p w14:paraId="15F8C94A">
            <w:pPr>
              <w:widowControl/>
              <w:jc w:val="left"/>
              <w:rPr>
                <w:rFonts w:hint="eastAsia" w:ascii="宋体" w:hAnsi="宋体" w:cs="宋体"/>
                <w:color w:val="auto"/>
                <w:kern w:val="0"/>
                <w:szCs w:val="21"/>
                <w:highlight w:val="none"/>
              </w:rPr>
            </w:pP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086BE449">
            <w:pPr>
              <w:widowControl/>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课程保障能力</w:t>
            </w:r>
          </w:p>
          <w:p w14:paraId="64BA1CCB">
            <w:pPr>
              <w:widowControl/>
              <w:spacing w:line="360" w:lineRule="auto"/>
              <w:jc w:val="center"/>
              <w:rPr>
                <w:rFonts w:hint="eastAsia" w:ascii="宋体" w:hAnsi="宋体" w:cs="宋体"/>
                <w:color w:val="auto"/>
                <w:kern w:val="0"/>
                <w:szCs w:val="21"/>
                <w:highlight w:val="none"/>
              </w:rPr>
            </w:pPr>
            <w:r>
              <w:rPr>
                <w:rFonts w:hint="eastAsia" w:ascii="宋体" w:hAnsi="宋体" w:eastAsia="宋体" w:cs="宋体"/>
                <w:color w:val="auto"/>
                <w:kern w:val="0"/>
                <w:szCs w:val="21"/>
                <w:highlight w:val="none"/>
              </w:rPr>
              <w:t>(15</w:t>
            </w:r>
            <w:r>
              <w:rPr>
                <w:rFonts w:hint="eastAsia" w:ascii="宋体" w:hAnsi="宋体" w:eastAsia="宋体" w:cs="宋体"/>
                <w:color w:val="auto"/>
                <w:kern w:val="0"/>
                <w:szCs w:val="21"/>
                <w:highlight w:val="none"/>
                <w:lang w:val="en-US" w:eastAsia="zh-CN"/>
              </w:rPr>
              <w:t>分</w:t>
            </w:r>
            <w:r>
              <w:rPr>
                <w:rFonts w:hint="eastAsia" w:ascii="宋体" w:hAnsi="宋体" w:eastAsia="宋体" w:cs="宋体"/>
                <w:color w:val="auto"/>
                <w:kern w:val="0"/>
                <w:szCs w:val="21"/>
                <w:highlight w:val="none"/>
              </w:rPr>
              <w:t>)</w:t>
            </w:r>
          </w:p>
        </w:tc>
        <w:tc>
          <w:tcPr>
            <w:tcW w:w="6952" w:type="dxa"/>
            <w:gridSpan w:val="2"/>
            <w:tcBorders>
              <w:top w:val="single" w:color="auto" w:sz="4" w:space="0"/>
              <w:left w:val="nil"/>
              <w:bottom w:val="single" w:color="auto" w:sz="4" w:space="0"/>
              <w:right w:val="single" w:color="auto" w:sz="4" w:space="0"/>
            </w:tcBorders>
            <w:shd w:val="clear" w:color="auto" w:fill="auto"/>
            <w:vAlign w:val="center"/>
          </w:tcPr>
          <w:p w14:paraId="41F6EEF0">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w:t>
            </w:r>
            <w:r>
              <w:rPr>
                <w:rFonts w:hint="eastAsia" w:ascii="宋体" w:hAnsi="宋体" w:eastAsia="宋体" w:cs="宋体"/>
                <w:color w:val="auto"/>
                <w:kern w:val="0"/>
                <w:szCs w:val="21"/>
                <w:highlight w:val="none"/>
                <w:lang w:val="en-US" w:eastAsia="zh-CN"/>
              </w:rPr>
              <w:t>须</w:t>
            </w:r>
            <w:r>
              <w:rPr>
                <w:rFonts w:hint="eastAsia" w:ascii="宋体" w:hAnsi="宋体" w:eastAsia="宋体" w:cs="宋体"/>
                <w:color w:val="auto"/>
                <w:kern w:val="0"/>
                <w:szCs w:val="21"/>
                <w:highlight w:val="none"/>
              </w:rPr>
              <w:t>具有符合大纲要求的数字培训课程，培训课程无知识产权争议，无违法违规内容。</w:t>
            </w:r>
          </w:p>
          <w:p w14:paraId="061ED177">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供应商具有危化类行业的培训大纲的作品登记证书，每有1个得1分，</w:t>
            </w:r>
            <w:r>
              <w:rPr>
                <w:rFonts w:hint="eastAsia" w:ascii="宋体" w:hAnsi="宋体" w:eastAsia="宋体" w:cs="宋体"/>
                <w:color w:val="auto"/>
                <w:kern w:val="0"/>
                <w:szCs w:val="21"/>
                <w:highlight w:val="none"/>
                <w:lang w:val="en-US" w:eastAsia="zh-CN"/>
              </w:rPr>
              <w:t>此项</w:t>
            </w:r>
            <w:r>
              <w:rPr>
                <w:rFonts w:hint="eastAsia" w:ascii="宋体" w:hAnsi="宋体" w:eastAsia="宋体" w:cs="宋体"/>
                <w:color w:val="auto"/>
                <w:kern w:val="0"/>
                <w:szCs w:val="21"/>
                <w:highlight w:val="none"/>
              </w:rPr>
              <w:t>最高得5分。</w:t>
            </w:r>
          </w:p>
          <w:p w14:paraId="288F22F1">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供应商具有建筑类行业的培训大纲的作品登记证书，每有1个得1分，</w:t>
            </w:r>
            <w:r>
              <w:rPr>
                <w:rFonts w:hint="eastAsia" w:ascii="宋体" w:hAnsi="宋体" w:eastAsia="宋体" w:cs="宋体"/>
                <w:color w:val="auto"/>
                <w:kern w:val="0"/>
                <w:szCs w:val="21"/>
                <w:highlight w:val="none"/>
                <w:lang w:val="en-US" w:eastAsia="zh-CN"/>
              </w:rPr>
              <w:t>此项</w:t>
            </w:r>
            <w:r>
              <w:rPr>
                <w:rFonts w:hint="eastAsia" w:ascii="宋体" w:hAnsi="宋体" w:eastAsia="宋体" w:cs="宋体"/>
                <w:color w:val="auto"/>
                <w:kern w:val="0"/>
                <w:szCs w:val="21"/>
                <w:highlight w:val="none"/>
              </w:rPr>
              <w:t>最高得5分。</w:t>
            </w:r>
          </w:p>
          <w:p w14:paraId="0ADA38B6">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3</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供应商具有制造类行业的培训大纲的作品登记证书，每有1个得1分，</w:t>
            </w:r>
            <w:r>
              <w:rPr>
                <w:rFonts w:hint="eastAsia" w:ascii="宋体" w:hAnsi="宋体" w:eastAsia="宋体" w:cs="宋体"/>
                <w:color w:val="auto"/>
                <w:kern w:val="0"/>
                <w:szCs w:val="21"/>
                <w:highlight w:val="none"/>
                <w:lang w:val="en-US" w:eastAsia="zh-CN"/>
              </w:rPr>
              <w:t>此项</w:t>
            </w:r>
            <w:r>
              <w:rPr>
                <w:rFonts w:hint="eastAsia" w:ascii="宋体" w:hAnsi="宋体" w:eastAsia="宋体" w:cs="宋体"/>
                <w:color w:val="auto"/>
                <w:kern w:val="0"/>
                <w:szCs w:val="21"/>
                <w:highlight w:val="none"/>
              </w:rPr>
              <w:t>最高得5分。</w:t>
            </w:r>
          </w:p>
          <w:p w14:paraId="0D2BAA01">
            <w:pPr>
              <w:widowControl/>
              <w:spacing w:line="360" w:lineRule="auto"/>
              <w:rPr>
                <w:rFonts w:hint="eastAsia" w:ascii="宋体" w:hAnsi="宋体" w:cs="宋体"/>
                <w:color w:val="auto"/>
                <w:kern w:val="0"/>
                <w:szCs w:val="21"/>
                <w:highlight w:val="none"/>
              </w:rPr>
            </w:pPr>
            <w:r>
              <w:rPr>
                <w:rFonts w:hint="eastAsia" w:ascii="宋体" w:hAnsi="宋体" w:eastAsia="宋体" w:cs="宋体"/>
                <w:b/>
                <w:bCs/>
                <w:color w:val="auto"/>
                <w:kern w:val="0"/>
                <w:szCs w:val="21"/>
                <w:highlight w:val="none"/>
              </w:rPr>
              <w:t>注：提供证书复印件以及中国版权保护中心（或全国作品登记信息数据库管理平台）查询截图并加盖公章，证书需体现以上行业相关的，否则不得分。</w:t>
            </w:r>
          </w:p>
        </w:tc>
      </w:tr>
      <w:tr w14:paraId="3D0D0C5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728" w:hRule="atLeast"/>
          <w:jc w:val="center"/>
        </w:trPr>
        <w:tc>
          <w:tcPr>
            <w:tcW w:w="1276" w:type="dxa"/>
            <w:vMerge w:val="continue"/>
            <w:tcBorders>
              <w:left w:val="single" w:color="auto" w:sz="4" w:space="0"/>
              <w:right w:val="single" w:color="auto" w:sz="4" w:space="0"/>
            </w:tcBorders>
            <w:vAlign w:val="center"/>
          </w:tcPr>
          <w:p w14:paraId="65E38380">
            <w:pPr>
              <w:widowControl/>
              <w:jc w:val="left"/>
              <w:rPr>
                <w:rFonts w:hint="eastAsia" w:ascii="宋体" w:hAnsi="宋体" w:cs="宋体"/>
                <w:color w:val="auto"/>
                <w:kern w:val="0"/>
                <w:szCs w:val="21"/>
                <w:highlight w:val="none"/>
              </w:rPr>
            </w:pP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1307C963">
            <w:pPr>
              <w:widowControl/>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服务设备</w:t>
            </w:r>
          </w:p>
          <w:p w14:paraId="04EBE141">
            <w:pPr>
              <w:widowControl/>
              <w:spacing w:line="360" w:lineRule="auto"/>
              <w:jc w:val="center"/>
              <w:rPr>
                <w:rFonts w:hint="eastAsia" w:ascii="宋体" w:hAnsi="宋体" w:cs="宋体"/>
                <w:color w:val="auto"/>
                <w:kern w:val="0"/>
                <w:szCs w:val="21"/>
                <w:highlight w:val="none"/>
              </w:rPr>
            </w:pPr>
            <w:r>
              <w:rPr>
                <w:rFonts w:hint="eastAsia" w:ascii="宋体" w:hAnsi="宋体" w:eastAsia="宋体" w:cs="宋体"/>
                <w:color w:val="auto"/>
                <w:kern w:val="0"/>
                <w:szCs w:val="21"/>
                <w:highlight w:val="none"/>
              </w:rPr>
              <w:t>（8</w:t>
            </w:r>
            <w:r>
              <w:rPr>
                <w:rFonts w:hint="eastAsia" w:ascii="宋体" w:hAnsi="宋体" w:eastAsia="宋体" w:cs="宋体"/>
                <w:color w:val="auto"/>
                <w:kern w:val="0"/>
                <w:szCs w:val="21"/>
                <w:highlight w:val="none"/>
                <w:lang w:val="en-US" w:eastAsia="zh-CN"/>
              </w:rPr>
              <w:t>分</w:t>
            </w:r>
            <w:r>
              <w:rPr>
                <w:rFonts w:hint="eastAsia" w:ascii="宋体" w:hAnsi="宋体" w:eastAsia="宋体" w:cs="宋体"/>
                <w:color w:val="auto"/>
                <w:kern w:val="0"/>
                <w:szCs w:val="21"/>
                <w:highlight w:val="none"/>
              </w:rPr>
              <w:t>）</w:t>
            </w:r>
          </w:p>
        </w:tc>
        <w:tc>
          <w:tcPr>
            <w:tcW w:w="6952" w:type="dxa"/>
            <w:gridSpan w:val="2"/>
            <w:tcBorders>
              <w:top w:val="single" w:color="auto" w:sz="4" w:space="0"/>
              <w:left w:val="nil"/>
              <w:bottom w:val="single" w:color="auto" w:sz="4" w:space="0"/>
              <w:right w:val="single" w:color="auto" w:sz="4" w:space="0"/>
            </w:tcBorders>
            <w:shd w:val="clear" w:color="auto" w:fill="auto"/>
            <w:vAlign w:val="center"/>
          </w:tcPr>
          <w:p w14:paraId="1EF54C54">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w:t>
            </w:r>
            <w:r>
              <w:rPr>
                <w:rFonts w:hint="eastAsia" w:ascii="宋体" w:hAnsi="宋体" w:eastAsia="宋体" w:cs="宋体"/>
                <w:color w:val="auto"/>
                <w:kern w:val="0"/>
                <w:szCs w:val="21"/>
                <w:highlight w:val="none"/>
                <w:lang w:val="en-US" w:eastAsia="zh-CN"/>
              </w:rPr>
              <w:t>须</w:t>
            </w:r>
            <w:r>
              <w:rPr>
                <w:rFonts w:hint="eastAsia" w:ascii="宋体" w:hAnsi="宋体" w:eastAsia="宋体" w:cs="宋体"/>
                <w:color w:val="auto"/>
                <w:kern w:val="0"/>
                <w:szCs w:val="21"/>
                <w:highlight w:val="none"/>
              </w:rPr>
              <w:t>具有用于工伤预防宣传培训相关专业教学体验的服务设备，设备包括：（1）心肺复苏体验仪、（2）VR安全体验仪、（3）触电体验仪、（4）模拟灭火体验器、（5）火灾逃生体验屋、（6）醉驾模拟体验仪、（7）工伤预防知识抢答系统、（8）工伤预防隐患查找系统等，每提供一种以上设备的得1分，最高得8分。</w:t>
            </w:r>
          </w:p>
          <w:p w14:paraId="54DD65C3">
            <w:pPr>
              <w:widowControl/>
              <w:spacing w:line="360" w:lineRule="auto"/>
              <w:rPr>
                <w:rFonts w:hint="eastAsia" w:ascii="宋体" w:hAnsi="宋体" w:cs="宋体"/>
                <w:color w:val="auto"/>
                <w:kern w:val="0"/>
                <w:szCs w:val="21"/>
                <w:highlight w:val="none"/>
              </w:rPr>
            </w:pPr>
            <w:r>
              <w:rPr>
                <w:rFonts w:hint="eastAsia" w:ascii="宋体" w:hAnsi="宋体" w:eastAsia="宋体" w:cs="宋体"/>
                <w:b/>
                <w:bCs/>
                <w:color w:val="auto"/>
                <w:kern w:val="0"/>
                <w:szCs w:val="21"/>
                <w:highlight w:val="none"/>
              </w:rPr>
              <w:t>注：①为供应商自有的，供应商须提供相关设备图片、设备购置发票复印件；②为供应商租赁的，供应商须提供相关设备图片、租赁合同复印件及出租方设备购置发票复印件。证明材料未提供或提供不全的不得分。</w:t>
            </w:r>
          </w:p>
        </w:tc>
      </w:tr>
      <w:tr w14:paraId="2799EA1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343" w:hRule="atLeast"/>
          <w:jc w:val="center"/>
        </w:trPr>
        <w:tc>
          <w:tcPr>
            <w:tcW w:w="1276" w:type="dxa"/>
            <w:vMerge w:val="continue"/>
            <w:tcBorders>
              <w:left w:val="single" w:color="auto" w:sz="4" w:space="0"/>
              <w:right w:val="single" w:color="auto" w:sz="4" w:space="0"/>
            </w:tcBorders>
            <w:vAlign w:val="center"/>
          </w:tcPr>
          <w:p w14:paraId="34D835CC">
            <w:pPr>
              <w:widowControl/>
              <w:jc w:val="left"/>
              <w:rPr>
                <w:rFonts w:hint="eastAsia" w:ascii="宋体" w:hAnsi="宋体" w:cs="宋体"/>
                <w:color w:val="auto"/>
                <w:kern w:val="0"/>
                <w:szCs w:val="21"/>
                <w:highlight w:val="none"/>
              </w:rPr>
            </w:pP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4A3C9F00">
            <w:pPr>
              <w:widowControl/>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在线培训平台</w:t>
            </w:r>
          </w:p>
          <w:p w14:paraId="3B401C92">
            <w:pPr>
              <w:widowControl/>
              <w:spacing w:line="360" w:lineRule="auto"/>
              <w:jc w:val="center"/>
              <w:rPr>
                <w:rFonts w:hint="eastAsia" w:ascii="宋体" w:hAnsi="宋体" w:cs="宋体"/>
                <w:color w:val="auto"/>
                <w:kern w:val="0"/>
                <w:szCs w:val="21"/>
                <w:highlight w:val="none"/>
              </w:rPr>
            </w:pPr>
            <w:r>
              <w:rPr>
                <w:rFonts w:hint="eastAsia" w:ascii="宋体" w:hAnsi="宋体" w:eastAsia="宋体" w:cs="宋体"/>
                <w:color w:val="auto"/>
                <w:kern w:val="0"/>
                <w:szCs w:val="21"/>
                <w:highlight w:val="none"/>
              </w:rPr>
              <w:t>（8</w:t>
            </w:r>
            <w:r>
              <w:rPr>
                <w:rFonts w:hint="eastAsia" w:ascii="宋体" w:hAnsi="宋体" w:eastAsia="宋体" w:cs="宋体"/>
                <w:color w:val="auto"/>
                <w:kern w:val="0"/>
                <w:szCs w:val="21"/>
                <w:highlight w:val="none"/>
                <w:lang w:val="en-US" w:eastAsia="zh-CN"/>
              </w:rPr>
              <w:t>分</w:t>
            </w:r>
            <w:r>
              <w:rPr>
                <w:rFonts w:hint="eastAsia" w:ascii="宋体" w:hAnsi="宋体" w:eastAsia="宋体" w:cs="宋体"/>
                <w:color w:val="auto"/>
                <w:kern w:val="0"/>
                <w:szCs w:val="21"/>
                <w:highlight w:val="none"/>
              </w:rPr>
              <w:t>）</w:t>
            </w:r>
          </w:p>
        </w:tc>
        <w:tc>
          <w:tcPr>
            <w:tcW w:w="6952" w:type="dxa"/>
            <w:gridSpan w:val="2"/>
            <w:tcBorders>
              <w:top w:val="single" w:color="auto" w:sz="4" w:space="0"/>
              <w:left w:val="nil"/>
              <w:bottom w:val="single" w:color="auto" w:sz="4" w:space="0"/>
              <w:right w:val="single" w:color="auto" w:sz="4" w:space="0"/>
            </w:tcBorders>
            <w:shd w:val="clear" w:color="auto" w:fill="auto"/>
            <w:vAlign w:val="center"/>
          </w:tcPr>
          <w:p w14:paraId="62025428">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1.供应商具备工伤预防线上培训的服务网络培训平台的得2分。</w:t>
            </w:r>
          </w:p>
          <w:p w14:paraId="65446445">
            <w:pPr>
              <w:widowControl/>
              <w:spacing w:line="360" w:lineRule="auto"/>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注：提供线上培训平台网址、网址在工信部ICP/IP地址/域名信息备案管理系统查询截图、手机端APP或小程序主体二维码。证明材料不齐不得分。</w:t>
            </w:r>
          </w:p>
          <w:p w14:paraId="44814CF9">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2.供应商</w:t>
            </w:r>
            <w:r>
              <w:rPr>
                <w:rFonts w:hint="eastAsia" w:ascii="宋体" w:hAnsi="宋体" w:eastAsia="宋体" w:cs="宋体"/>
                <w:color w:val="auto"/>
                <w:kern w:val="0"/>
                <w:szCs w:val="21"/>
                <w:highlight w:val="none"/>
                <w:lang w:val="en-US" w:eastAsia="zh-CN"/>
              </w:rPr>
              <w:t>须</w:t>
            </w:r>
            <w:r>
              <w:rPr>
                <w:rFonts w:hint="eastAsia" w:ascii="宋体" w:hAnsi="宋体" w:eastAsia="宋体" w:cs="宋体"/>
                <w:color w:val="auto"/>
                <w:kern w:val="0"/>
                <w:szCs w:val="21"/>
                <w:highlight w:val="none"/>
              </w:rPr>
              <w:t>具有自研工伤预防隐患治理系统平台，（1）保障平均隐患推荐数不低于150条/单位，推荐隐患平均消除率不低于80%；（2）提供可视化数据监测服务，实时监测全市隐患智查自纠业务实施进展，查看各企业隐患自查自纠推动情况，推荐隐患与排查反馈、隐患整改实际情况与业务数据统计，方案需附上相关信息平台的功能截图。本项最高得2分，每缺1项扣1分，扣完为止。证明材料不齐，逻辑错误，内容支撑不足不得分。</w:t>
            </w:r>
          </w:p>
          <w:p w14:paraId="325742DB">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3.供应商具有与工伤预防相关的国家版权局颁发计算机著作权证书的，每</w:t>
            </w:r>
            <w:r>
              <w:rPr>
                <w:rFonts w:hint="eastAsia" w:ascii="宋体" w:hAnsi="宋体" w:eastAsia="宋体" w:cs="宋体"/>
                <w:color w:val="auto"/>
                <w:kern w:val="0"/>
                <w:szCs w:val="21"/>
                <w:highlight w:val="none"/>
                <w:lang w:val="en-US" w:eastAsia="zh-CN"/>
              </w:rPr>
              <w:t>提供</w:t>
            </w:r>
            <w:r>
              <w:rPr>
                <w:rFonts w:hint="eastAsia" w:ascii="宋体" w:hAnsi="宋体" w:eastAsia="宋体" w:cs="宋体"/>
                <w:color w:val="auto"/>
                <w:kern w:val="0"/>
                <w:szCs w:val="21"/>
                <w:highlight w:val="none"/>
              </w:rPr>
              <w:t>个得0.5分，最高得2分。</w:t>
            </w:r>
          </w:p>
          <w:p w14:paraId="248B6470">
            <w:pPr>
              <w:widowControl/>
              <w:spacing w:line="360" w:lineRule="auto"/>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注：提供国家版权局颁发的计算机著作权证书复印件并加盖公章。证明材料不齐不得分。</w:t>
            </w:r>
          </w:p>
          <w:p w14:paraId="2BA880E5">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4.为确保线上数据的安全保密性，供应商具有培训平台，并且平台具有信息系统安全等级保护三级及以上的得2分。</w:t>
            </w:r>
          </w:p>
          <w:p w14:paraId="1937CB14">
            <w:pPr>
              <w:widowControl/>
              <w:spacing w:line="360" w:lineRule="auto"/>
              <w:rPr>
                <w:rFonts w:hint="eastAsia" w:ascii="宋体" w:hAnsi="宋体" w:cs="宋体"/>
                <w:color w:val="auto"/>
                <w:kern w:val="0"/>
                <w:szCs w:val="21"/>
                <w:highlight w:val="none"/>
              </w:rPr>
            </w:pPr>
            <w:r>
              <w:rPr>
                <w:rFonts w:hint="eastAsia" w:ascii="宋体" w:hAnsi="宋体" w:eastAsia="宋体" w:cs="宋体"/>
                <w:b/>
                <w:bCs/>
                <w:color w:val="auto"/>
                <w:kern w:val="0"/>
                <w:szCs w:val="21"/>
                <w:highlight w:val="none"/>
              </w:rPr>
              <w:t>注：提供信息系统安全等级保护备案证明；证明材料不齐不得分。</w:t>
            </w:r>
          </w:p>
        </w:tc>
      </w:tr>
      <w:tr w14:paraId="348437C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28" w:hRule="atLeast"/>
          <w:jc w:val="center"/>
        </w:trPr>
        <w:tc>
          <w:tcPr>
            <w:tcW w:w="1276" w:type="dxa"/>
            <w:vMerge w:val="continue"/>
            <w:tcBorders>
              <w:left w:val="single" w:color="auto" w:sz="4" w:space="0"/>
              <w:bottom w:val="single" w:color="000000" w:sz="4" w:space="0"/>
              <w:right w:val="single" w:color="auto" w:sz="4" w:space="0"/>
            </w:tcBorders>
            <w:vAlign w:val="center"/>
          </w:tcPr>
          <w:p w14:paraId="14CC773D">
            <w:pPr>
              <w:widowControl/>
              <w:jc w:val="left"/>
              <w:rPr>
                <w:rFonts w:hint="eastAsia" w:ascii="宋体" w:hAnsi="宋体" w:cs="宋体"/>
                <w:color w:val="auto"/>
                <w:kern w:val="0"/>
                <w:szCs w:val="21"/>
                <w:highlight w:val="none"/>
              </w:rPr>
            </w:pPr>
          </w:p>
        </w:tc>
        <w:tc>
          <w:tcPr>
            <w:tcW w:w="822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8CC04EA">
            <w:pPr>
              <w:widowControl/>
              <w:jc w:val="center"/>
              <w:rPr>
                <w:rFonts w:hint="eastAsia" w:ascii="宋体" w:hAnsi="宋体" w:cs="宋体"/>
                <w:color w:val="auto"/>
                <w:kern w:val="0"/>
                <w:szCs w:val="21"/>
                <w:highlight w:val="none"/>
              </w:rPr>
            </w:pPr>
            <w:r>
              <w:rPr>
                <w:rFonts w:hint="eastAsia" w:ascii="宋体" w:hAnsi="宋体" w:eastAsia="宋体" w:cs="宋体"/>
                <w:b/>
                <w:bCs/>
                <w:color w:val="000000"/>
                <w:sz w:val="21"/>
                <w:szCs w:val="21"/>
                <w:highlight w:val="none"/>
                <w:lang w:val="en-US" w:eastAsia="zh-CN"/>
              </w:rPr>
              <w:t>备注：以上项目若有缺项的，该项为 0 分；不缺项的，不低于最低分。</w:t>
            </w:r>
          </w:p>
        </w:tc>
      </w:tr>
    </w:tbl>
    <w:p w14:paraId="0BB15A59">
      <w:pPr>
        <w:spacing w:line="400" w:lineRule="exact"/>
        <w:rPr>
          <w:rFonts w:hint="eastAsia" w:ascii="宋体" w:hAnsi="宋体"/>
          <w:b/>
          <w:color w:val="auto"/>
          <w:sz w:val="28"/>
          <w:szCs w:val="28"/>
          <w:highlight w:val="none"/>
        </w:rPr>
      </w:pPr>
      <w:r>
        <w:rPr>
          <w:rFonts w:hint="eastAsia" w:ascii="宋体" w:hAnsi="宋体"/>
          <w:b/>
          <w:color w:val="auto"/>
          <w:sz w:val="28"/>
          <w:szCs w:val="28"/>
          <w:highlight w:val="none"/>
        </w:rPr>
        <w:t>1. 评标方法</w:t>
      </w:r>
    </w:p>
    <w:p w14:paraId="2DE3B61D">
      <w:pPr>
        <w:spacing w:line="400" w:lineRule="exact"/>
        <w:ind w:firstLine="420" w:firstLineChars="200"/>
        <w:rPr>
          <w:rFonts w:hint="eastAsia" w:ascii="宋体" w:hAnsi="宋体"/>
          <w:color w:val="auto"/>
          <w:highlight w:val="none"/>
        </w:rPr>
      </w:pPr>
      <w:bookmarkStart w:id="298" w:name="_Toc384119144"/>
      <w:bookmarkStart w:id="299" w:name="_Toc402979501"/>
      <w:bookmarkStart w:id="300" w:name="_Toc342587594"/>
      <w:r>
        <w:rPr>
          <w:rFonts w:hint="eastAsia" w:ascii="宋体" w:hAnsi="宋体"/>
          <w:color w:val="auto"/>
          <w:highlight w:val="none"/>
        </w:rPr>
        <w:t>本次评标采用综合评分法。评标委员会对满足招标文件实质性要求的投标文件，按照本章第2.2 款规定的评分标准进行打分，并按得分由高到低顺序推荐中标候选人，或根据招标人授权直接确定中标人，但投标报价低于其成本的除外。综合评分相等时，以投标报价低的优先；投标报价也相等的，由招标人自行确定。</w:t>
      </w:r>
    </w:p>
    <w:p w14:paraId="13CE4FB4">
      <w:pPr>
        <w:spacing w:line="460" w:lineRule="exact"/>
        <w:rPr>
          <w:rFonts w:hint="eastAsia" w:ascii="宋体" w:hAnsi="宋体"/>
          <w:b/>
          <w:color w:val="auto"/>
          <w:sz w:val="28"/>
          <w:szCs w:val="28"/>
          <w:highlight w:val="none"/>
        </w:rPr>
      </w:pPr>
      <w:r>
        <w:rPr>
          <w:rFonts w:hint="eastAsia" w:ascii="宋体" w:hAnsi="宋体"/>
          <w:b/>
          <w:color w:val="auto"/>
          <w:sz w:val="28"/>
          <w:szCs w:val="28"/>
          <w:highlight w:val="none"/>
        </w:rPr>
        <w:t>2. 评审标准</w:t>
      </w:r>
      <w:bookmarkEnd w:id="298"/>
      <w:bookmarkEnd w:id="299"/>
      <w:bookmarkEnd w:id="300"/>
    </w:p>
    <w:p w14:paraId="6CD465B5">
      <w:pPr>
        <w:spacing w:line="460" w:lineRule="exact"/>
        <w:rPr>
          <w:rFonts w:hint="eastAsia" w:ascii="宋体" w:hAnsi="宋体"/>
          <w:b/>
          <w:color w:val="auto"/>
          <w:sz w:val="28"/>
          <w:szCs w:val="28"/>
          <w:highlight w:val="none"/>
        </w:rPr>
      </w:pPr>
      <w:bookmarkStart w:id="301" w:name="_Toc342587595"/>
      <w:bookmarkStart w:id="302" w:name="_Toc144974569"/>
      <w:bookmarkStart w:id="303" w:name="_Toc152045602"/>
      <w:bookmarkStart w:id="304" w:name="_Toc152042379"/>
      <w:r>
        <w:rPr>
          <w:rFonts w:hint="eastAsia" w:ascii="宋体" w:hAnsi="宋体"/>
          <w:b/>
          <w:color w:val="auto"/>
          <w:sz w:val="28"/>
          <w:szCs w:val="28"/>
          <w:highlight w:val="none"/>
        </w:rPr>
        <w:t>2.1  初步评审标准</w:t>
      </w:r>
      <w:bookmarkEnd w:id="301"/>
      <w:bookmarkEnd w:id="302"/>
      <w:bookmarkEnd w:id="303"/>
      <w:bookmarkEnd w:id="304"/>
    </w:p>
    <w:p w14:paraId="2B4ECF3C">
      <w:pPr>
        <w:spacing w:line="460" w:lineRule="exact"/>
        <w:ind w:firstLine="420" w:firstLineChars="200"/>
        <w:rPr>
          <w:rFonts w:hint="eastAsia" w:ascii="宋体" w:hAnsi="宋体"/>
          <w:color w:val="auto"/>
          <w:highlight w:val="none"/>
        </w:rPr>
      </w:pPr>
      <w:r>
        <w:rPr>
          <w:rFonts w:hint="eastAsia" w:ascii="宋体" w:hAnsi="宋体"/>
          <w:color w:val="auto"/>
          <w:highlight w:val="none"/>
        </w:rPr>
        <w:t>2.1.1  资格评审标准：见评标办法前附表2.1.1。</w:t>
      </w:r>
    </w:p>
    <w:p w14:paraId="0970FBA7">
      <w:pPr>
        <w:spacing w:line="460" w:lineRule="exact"/>
        <w:ind w:firstLine="420" w:firstLineChars="200"/>
        <w:rPr>
          <w:rFonts w:hint="eastAsia" w:ascii="宋体" w:hAnsi="宋体"/>
          <w:color w:val="auto"/>
          <w:highlight w:val="none"/>
        </w:rPr>
      </w:pPr>
      <w:r>
        <w:rPr>
          <w:rFonts w:hint="eastAsia" w:ascii="宋体" w:hAnsi="宋体"/>
          <w:color w:val="auto"/>
          <w:highlight w:val="none"/>
        </w:rPr>
        <w:t>2.1.2  符合性评审标准：见评标办法前附表2.1.2。</w:t>
      </w:r>
    </w:p>
    <w:p w14:paraId="4E72FAC0">
      <w:pPr>
        <w:spacing w:line="460" w:lineRule="exact"/>
        <w:rPr>
          <w:rFonts w:hint="eastAsia" w:ascii="宋体" w:hAnsi="宋体"/>
          <w:b/>
          <w:color w:val="auto"/>
          <w:sz w:val="28"/>
          <w:szCs w:val="28"/>
          <w:highlight w:val="none"/>
        </w:rPr>
      </w:pPr>
      <w:bookmarkStart w:id="305" w:name="_Toc144974571"/>
      <w:bookmarkStart w:id="306" w:name="_Toc152045604"/>
      <w:bookmarkStart w:id="307" w:name="_Toc402979502"/>
      <w:bookmarkStart w:id="308" w:name="_Toc152042381"/>
      <w:bookmarkStart w:id="309" w:name="_Toc384119145"/>
      <w:bookmarkStart w:id="310" w:name="_Toc342587597"/>
      <w:r>
        <w:rPr>
          <w:rFonts w:hint="eastAsia" w:ascii="宋体" w:hAnsi="宋体"/>
          <w:b/>
          <w:color w:val="auto"/>
          <w:sz w:val="28"/>
          <w:szCs w:val="28"/>
          <w:highlight w:val="none"/>
        </w:rPr>
        <w:t>2.2 分值构成与评分标准</w:t>
      </w:r>
    </w:p>
    <w:p w14:paraId="2C0A83B9">
      <w:pPr>
        <w:spacing w:line="460" w:lineRule="exact"/>
        <w:ind w:firstLine="420" w:firstLineChars="200"/>
        <w:rPr>
          <w:rFonts w:hint="eastAsia" w:ascii="宋体" w:hAnsi="宋体"/>
          <w:color w:val="auto"/>
          <w:highlight w:val="none"/>
        </w:rPr>
      </w:pPr>
      <w:r>
        <w:rPr>
          <w:rFonts w:hint="eastAsia" w:ascii="宋体" w:hAnsi="宋体"/>
          <w:color w:val="auto"/>
          <w:highlight w:val="none"/>
        </w:rPr>
        <w:t>2.2.1分值构成</w:t>
      </w:r>
    </w:p>
    <w:p w14:paraId="2A6C203B">
      <w:pPr>
        <w:spacing w:line="460" w:lineRule="exact"/>
        <w:ind w:firstLine="420" w:firstLineChars="200"/>
        <w:rPr>
          <w:rFonts w:hint="eastAsia" w:ascii="宋体" w:hAnsi="宋体"/>
          <w:color w:val="auto"/>
          <w:highlight w:val="none"/>
        </w:rPr>
      </w:pPr>
      <w:r>
        <w:rPr>
          <w:rFonts w:hint="eastAsia" w:ascii="宋体" w:hAnsi="宋体"/>
          <w:color w:val="auto"/>
          <w:highlight w:val="none"/>
        </w:rPr>
        <w:t>(l）</w:t>
      </w:r>
      <w:r>
        <w:rPr>
          <w:rFonts w:hint="eastAsia"/>
          <w:color w:val="auto"/>
          <w:highlight w:val="none"/>
        </w:rPr>
        <w:t>报价部分</w:t>
      </w:r>
      <w:r>
        <w:rPr>
          <w:rFonts w:hint="eastAsia" w:ascii="宋体" w:hAnsi="宋体"/>
          <w:color w:val="auto"/>
          <w:highlight w:val="none"/>
        </w:rPr>
        <w:t>：见评标办法前附表；</w:t>
      </w:r>
    </w:p>
    <w:p w14:paraId="111D50FA">
      <w:pPr>
        <w:spacing w:line="460" w:lineRule="exact"/>
        <w:ind w:firstLine="420" w:firstLineChars="200"/>
        <w:rPr>
          <w:rFonts w:hint="eastAsia" w:ascii="宋体" w:hAnsi="宋体"/>
          <w:color w:val="auto"/>
          <w:highlight w:val="none"/>
        </w:rPr>
      </w:pPr>
      <w:r>
        <w:rPr>
          <w:rFonts w:hint="eastAsia" w:ascii="宋体" w:hAnsi="宋体"/>
          <w:color w:val="auto"/>
          <w:highlight w:val="none"/>
        </w:rPr>
        <w:t>(2）技术部分：见评标办法前附表；</w:t>
      </w:r>
    </w:p>
    <w:p w14:paraId="2CB83C9F">
      <w:pPr>
        <w:spacing w:line="460" w:lineRule="exact"/>
        <w:ind w:firstLine="420" w:firstLineChars="200"/>
        <w:rPr>
          <w:rFonts w:hint="eastAsia" w:ascii="宋体" w:hAnsi="宋体"/>
          <w:color w:val="auto"/>
          <w:highlight w:val="none"/>
        </w:rPr>
      </w:pPr>
      <w:r>
        <w:rPr>
          <w:rFonts w:hint="eastAsia" w:ascii="宋体" w:hAnsi="宋体"/>
          <w:color w:val="auto"/>
          <w:highlight w:val="none"/>
        </w:rPr>
        <w:t>(3）</w:t>
      </w:r>
      <w:r>
        <w:rPr>
          <w:rFonts w:hint="eastAsia" w:ascii="宋体" w:hAnsi="宋体" w:cs="宋体"/>
          <w:color w:val="auto"/>
          <w:kern w:val="0"/>
          <w:szCs w:val="21"/>
          <w:highlight w:val="none"/>
        </w:rPr>
        <w:t>商务</w:t>
      </w:r>
      <w:r>
        <w:rPr>
          <w:rFonts w:hint="eastAsia" w:ascii="宋体" w:hAnsi="宋体"/>
          <w:color w:val="auto"/>
          <w:highlight w:val="none"/>
        </w:rPr>
        <w:t>部分：见评标办法前附表；</w:t>
      </w:r>
    </w:p>
    <w:p w14:paraId="32FA6346">
      <w:pPr>
        <w:spacing w:line="460" w:lineRule="exact"/>
        <w:ind w:firstLine="420" w:firstLineChars="200"/>
        <w:rPr>
          <w:rFonts w:hint="eastAsia" w:ascii="宋体" w:hAnsi="宋体"/>
          <w:color w:val="auto"/>
          <w:highlight w:val="none"/>
        </w:rPr>
      </w:pPr>
      <w:r>
        <w:rPr>
          <w:rFonts w:hint="eastAsia" w:ascii="宋体" w:hAnsi="宋体"/>
          <w:color w:val="auto"/>
          <w:highlight w:val="none"/>
        </w:rPr>
        <w:t>2.2.2 评标基准值计算</w:t>
      </w:r>
    </w:p>
    <w:p w14:paraId="4ABF4128">
      <w:pPr>
        <w:spacing w:line="460" w:lineRule="exact"/>
        <w:ind w:firstLine="420" w:firstLineChars="200"/>
        <w:rPr>
          <w:rFonts w:hint="eastAsia" w:ascii="宋体" w:hAnsi="宋体"/>
          <w:color w:val="auto"/>
          <w:highlight w:val="none"/>
        </w:rPr>
      </w:pPr>
      <w:r>
        <w:rPr>
          <w:rFonts w:hint="eastAsia" w:ascii="宋体" w:hAnsi="宋体"/>
          <w:color w:val="auto"/>
          <w:highlight w:val="none"/>
        </w:rPr>
        <w:t>评标基准值计算方法：见评标办法前附表。</w:t>
      </w:r>
    </w:p>
    <w:p w14:paraId="2633755F">
      <w:pPr>
        <w:tabs>
          <w:tab w:val="left" w:pos="5565"/>
        </w:tabs>
        <w:spacing w:line="460" w:lineRule="exact"/>
        <w:ind w:firstLine="420" w:firstLineChars="200"/>
        <w:rPr>
          <w:rFonts w:hint="eastAsia" w:ascii="宋体" w:hAnsi="宋体"/>
          <w:color w:val="auto"/>
          <w:highlight w:val="none"/>
        </w:rPr>
      </w:pPr>
      <w:r>
        <w:rPr>
          <w:rFonts w:hint="eastAsia" w:ascii="宋体" w:hAnsi="宋体"/>
          <w:color w:val="auto"/>
          <w:highlight w:val="none"/>
        </w:rPr>
        <w:t>2.2.2评分标准</w:t>
      </w:r>
      <w:r>
        <w:rPr>
          <w:rFonts w:ascii="宋体" w:hAnsi="宋体"/>
          <w:color w:val="auto"/>
          <w:highlight w:val="none"/>
        </w:rPr>
        <w:tab/>
      </w:r>
    </w:p>
    <w:p w14:paraId="1F2A8F30">
      <w:pPr>
        <w:spacing w:line="460" w:lineRule="exact"/>
        <w:ind w:firstLine="420" w:firstLineChars="200"/>
        <w:rPr>
          <w:rFonts w:hint="eastAsia" w:ascii="宋体" w:hAnsi="宋体"/>
          <w:color w:val="auto"/>
          <w:highlight w:val="none"/>
        </w:rPr>
      </w:pPr>
      <w:r>
        <w:rPr>
          <w:rFonts w:hint="eastAsia" w:ascii="宋体" w:hAnsi="宋体"/>
          <w:color w:val="auto"/>
          <w:highlight w:val="none"/>
        </w:rPr>
        <w:t>(l）</w:t>
      </w:r>
      <w:r>
        <w:rPr>
          <w:rFonts w:hint="eastAsia"/>
          <w:color w:val="auto"/>
          <w:highlight w:val="none"/>
        </w:rPr>
        <w:t>报价部分</w:t>
      </w:r>
      <w:r>
        <w:rPr>
          <w:rFonts w:hint="eastAsia" w:ascii="宋体" w:hAnsi="宋体"/>
          <w:color w:val="auto"/>
          <w:highlight w:val="none"/>
        </w:rPr>
        <w:t>：见评标办法前附表；</w:t>
      </w:r>
    </w:p>
    <w:p w14:paraId="3EC3D777">
      <w:pPr>
        <w:spacing w:line="460" w:lineRule="exact"/>
        <w:ind w:firstLine="420" w:firstLineChars="200"/>
        <w:rPr>
          <w:rFonts w:hint="eastAsia" w:ascii="宋体" w:hAnsi="宋体"/>
          <w:color w:val="auto"/>
          <w:highlight w:val="none"/>
        </w:rPr>
      </w:pPr>
      <w:r>
        <w:rPr>
          <w:rFonts w:hint="eastAsia" w:ascii="宋体" w:hAnsi="宋体"/>
          <w:color w:val="auto"/>
          <w:highlight w:val="none"/>
        </w:rPr>
        <w:t>(2）技术部分：见评标办法前附表；</w:t>
      </w:r>
    </w:p>
    <w:p w14:paraId="7A2DBE74">
      <w:pPr>
        <w:spacing w:line="460" w:lineRule="exact"/>
        <w:ind w:firstLine="420" w:firstLineChars="200"/>
        <w:rPr>
          <w:rFonts w:hint="eastAsia" w:ascii="宋体" w:hAnsi="宋体"/>
          <w:color w:val="auto"/>
          <w:highlight w:val="none"/>
        </w:rPr>
      </w:pPr>
      <w:r>
        <w:rPr>
          <w:rFonts w:hint="eastAsia" w:ascii="宋体" w:hAnsi="宋体"/>
          <w:color w:val="auto"/>
          <w:highlight w:val="none"/>
        </w:rPr>
        <w:t>(3）</w:t>
      </w:r>
      <w:r>
        <w:rPr>
          <w:rFonts w:hint="eastAsia" w:ascii="宋体" w:hAnsi="宋体" w:cs="宋体"/>
          <w:color w:val="auto"/>
          <w:kern w:val="0"/>
          <w:szCs w:val="21"/>
          <w:highlight w:val="none"/>
        </w:rPr>
        <w:t>商务</w:t>
      </w:r>
      <w:r>
        <w:rPr>
          <w:rFonts w:hint="eastAsia" w:ascii="宋体" w:hAnsi="宋体"/>
          <w:color w:val="auto"/>
          <w:highlight w:val="none"/>
        </w:rPr>
        <w:t>部分：见评标办法前附表；</w:t>
      </w:r>
    </w:p>
    <w:p w14:paraId="47F05A42">
      <w:pPr>
        <w:pStyle w:val="47"/>
        <w:spacing w:before="0" w:line="460" w:lineRule="exact"/>
        <w:rPr>
          <w:rFonts w:ascii="宋体"/>
          <w:color w:val="auto"/>
          <w:highlight w:val="none"/>
        </w:rPr>
      </w:pPr>
      <w:bookmarkStart w:id="311" w:name="_Toc377"/>
      <w:r>
        <w:rPr>
          <w:rFonts w:hint="eastAsia" w:ascii="宋体" w:hAnsi="宋体"/>
          <w:color w:val="auto"/>
          <w:highlight w:val="none"/>
        </w:rPr>
        <w:t>3. 评标程序</w:t>
      </w:r>
      <w:bookmarkEnd w:id="305"/>
      <w:bookmarkEnd w:id="306"/>
      <w:bookmarkEnd w:id="307"/>
      <w:bookmarkEnd w:id="308"/>
      <w:bookmarkEnd w:id="309"/>
      <w:bookmarkEnd w:id="310"/>
      <w:bookmarkEnd w:id="311"/>
    </w:p>
    <w:p w14:paraId="6AC36207">
      <w:pPr>
        <w:pStyle w:val="43"/>
        <w:spacing w:line="460" w:lineRule="exact"/>
        <w:outlineLvl w:val="9"/>
        <w:rPr>
          <w:rFonts w:hint="eastAsia" w:hAnsi="宋体" w:eastAsia="宋体"/>
          <w:color w:val="auto"/>
          <w:highlight w:val="none"/>
        </w:rPr>
      </w:pPr>
      <w:bookmarkStart w:id="312" w:name="_Toc24154"/>
      <w:bookmarkStart w:id="313" w:name="_Toc342587598"/>
      <w:bookmarkStart w:id="314" w:name="_Toc152045605"/>
      <w:bookmarkStart w:id="315" w:name="_Toc144974572"/>
      <w:bookmarkStart w:id="316" w:name="_Toc152042382"/>
      <w:r>
        <w:rPr>
          <w:rFonts w:hint="eastAsia" w:hAnsi="宋体" w:eastAsia="宋体"/>
          <w:color w:val="auto"/>
          <w:highlight w:val="none"/>
        </w:rPr>
        <w:t>3.1  初步评审</w:t>
      </w:r>
      <w:bookmarkEnd w:id="312"/>
      <w:bookmarkEnd w:id="313"/>
      <w:bookmarkEnd w:id="314"/>
      <w:bookmarkEnd w:id="315"/>
      <w:bookmarkEnd w:id="316"/>
    </w:p>
    <w:p w14:paraId="64948E64">
      <w:pPr>
        <w:spacing w:line="460" w:lineRule="exact"/>
        <w:ind w:firstLine="420" w:firstLineChars="200"/>
        <w:rPr>
          <w:rFonts w:hint="eastAsia" w:ascii="宋体" w:hAnsi="宋体"/>
          <w:color w:val="auto"/>
          <w:highlight w:val="none"/>
        </w:rPr>
      </w:pPr>
      <w:bookmarkStart w:id="317" w:name="_Toc152042384"/>
      <w:bookmarkStart w:id="318" w:name="_Toc152045606"/>
      <w:bookmarkStart w:id="319" w:name="_Toc144974573"/>
      <w:bookmarkStart w:id="320" w:name="_Toc342587599"/>
      <w:r>
        <w:rPr>
          <w:rFonts w:hint="eastAsia" w:ascii="宋体" w:hAnsi="宋体"/>
          <w:color w:val="auto"/>
          <w:highlight w:val="none"/>
        </w:rPr>
        <w:t>3.1.1 评标委员会依据本章第2.1 款规定的标准对投标文件进行初步评审。有一项不符合评审标准的，作废标处理。</w:t>
      </w:r>
    </w:p>
    <w:p w14:paraId="32278917">
      <w:pPr>
        <w:spacing w:line="460" w:lineRule="exact"/>
        <w:ind w:firstLine="420" w:firstLineChars="200"/>
        <w:rPr>
          <w:rFonts w:hint="eastAsia" w:ascii="宋体" w:hAnsi="宋体"/>
          <w:color w:val="auto"/>
          <w:highlight w:val="none"/>
        </w:rPr>
      </w:pPr>
      <w:r>
        <w:rPr>
          <w:rFonts w:hint="eastAsia" w:ascii="宋体" w:hAnsi="宋体"/>
          <w:color w:val="auto"/>
          <w:highlight w:val="none"/>
        </w:rPr>
        <w:t>3.1.2 投标人有以下情形之一的，其投标作废标处理：</w:t>
      </w:r>
    </w:p>
    <w:p w14:paraId="31C30D60">
      <w:pPr>
        <w:spacing w:line="460" w:lineRule="exact"/>
        <w:ind w:firstLine="420" w:firstLineChars="200"/>
        <w:rPr>
          <w:rFonts w:hint="eastAsia" w:ascii="宋体" w:hAnsi="宋体"/>
          <w:color w:val="auto"/>
          <w:highlight w:val="none"/>
        </w:rPr>
      </w:pPr>
      <w:r>
        <w:rPr>
          <w:rFonts w:hint="eastAsia" w:ascii="宋体" w:hAnsi="宋体"/>
          <w:color w:val="auto"/>
          <w:highlight w:val="none"/>
        </w:rPr>
        <w:t>(l）第二章“投标人须知”第</w:t>
      </w:r>
      <w:r>
        <w:rPr>
          <w:rFonts w:hint="eastAsia" w:ascii="宋体" w:hAnsi="宋体" w:cs="仿宋_GB2312"/>
          <w:color w:val="auto"/>
          <w:kern w:val="0"/>
          <w:szCs w:val="21"/>
          <w:highlight w:val="none"/>
        </w:rPr>
        <w:t>1.2.2</w:t>
      </w:r>
      <w:r>
        <w:rPr>
          <w:rFonts w:hint="eastAsia" w:ascii="宋体" w:hAnsi="宋体"/>
          <w:color w:val="auto"/>
          <w:highlight w:val="none"/>
        </w:rPr>
        <w:t>项规定的任何一种情形的：</w:t>
      </w:r>
    </w:p>
    <w:p w14:paraId="22E4E36F">
      <w:pPr>
        <w:spacing w:line="460" w:lineRule="exact"/>
        <w:ind w:firstLine="420" w:firstLineChars="200"/>
        <w:rPr>
          <w:rFonts w:hint="eastAsia" w:ascii="宋体" w:hAnsi="宋体"/>
          <w:color w:val="auto"/>
          <w:highlight w:val="none"/>
        </w:rPr>
      </w:pPr>
      <w:r>
        <w:rPr>
          <w:rFonts w:hint="eastAsia" w:ascii="宋体" w:hAnsi="宋体"/>
          <w:color w:val="auto"/>
          <w:highlight w:val="none"/>
        </w:rPr>
        <w:t>(2）串通投标或弄虚作假或有其他违法行为的；</w:t>
      </w:r>
    </w:p>
    <w:p w14:paraId="41F5DEB5">
      <w:pPr>
        <w:spacing w:line="460" w:lineRule="exact"/>
        <w:ind w:firstLine="420" w:firstLineChars="200"/>
        <w:rPr>
          <w:rFonts w:hint="eastAsia" w:ascii="宋体" w:hAnsi="宋体"/>
          <w:color w:val="auto"/>
          <w:highlight w:val="none"/>
        </w:rPr>
      </w:pPr>
      <w:r>
        <w:rPr>
          <w:rFonts w:hint="eastAsia" w:ascii="宋体" w:hAnsi="宋体"/>
          <w:color w:val="auto"/>
          <w:highlight w:val="none"/>
        </w:rPr>
        <w:t>(3）不按评标委员会要求澄清、说明或补正的；</w:t>
      </w:r>
    </w:p>
    <w:p w14:paraId="106DA73D">
      <w:pPr>
        <w:spacing w:line="460" w:lineRule="exact"/>
        <w:ind w:firstLine="420" w:firstLineChars="200"/>
        <w:rPr>
          <w:rFonts w:hint="eastAsia" w:ascii="宋体" w:hAnsi="宋体"/>
          <w:color w:val="auto"/>
          <w:highlight w:val="none"/>
        </w:rPr>
      </w:pPr>
      <w:r>
        <w:rPr>
          <w:rFonts w:hint="eastAsia" w:ascii="宋体" w:hAnsi="宋体"/>
          <w:color w:val="auto"/>
          <w:highlight w:val="none"/>
        </w:rPr>
        <w:t>3.1.3投标报价有算术错误的，评标委员会按以下原则对投标报价进行修正，修正的价格经投标人书面确认后具有约束力。投标人不接受修正价格的，其投标作废标处理。</w:t>
      </w:r>
    </w:p>
    <w:p w14:paraId="59B58EB3">
      <w:pPr>
        <w:spacing w:line="460" w:lineRule="exact"/>
        <w:ind w:firstLine="420" w:firstLineChars="200"/>
        <w:rPr>
          <w:rFonts w:hint="eastAsia" w:ascii="宋体" w:hAnsi="宋体"/>
          <w:color w:val="auto"/>
          <w:highlight w:val="none"/>
        </w:rPr>
      </w:pPr>
      <w:r>
        <w:rPr>
          <w:rFonts w:hint="eastAsia" w:ascii="宋体" w:hAnsi="宋体"/>
          <w:color w:val="auto"/>
          <w:highlight w:val="none"/>
        </w:rPr>
        <w:t>(1）投标文件中的大写金额与小写金额不一致的，以大写金额为准；</w:t>
      </w:r>
    </w:p>
    <w:p w14:paraId="25304411">
      <w:pPr>
        <w:spacing w:line="460" w:lineRule="exact"/>
        <w:ind w:firstLine="420" w:firstLineChars="200"/>
        <w:rPr>
          <w:rFonts w:hint="eastAsia" w:ascii="宋体" w:hAnsi="宋体"/>
          <w:color w:val="auto"/>
          <w:highlight w:val="none"/>
        </w:rPr>
      </w:pPr>
      <w:r>
        <w:rPr>
          <w:rFonts w:hint="eastAsia" w:ascii="宋体" w:hAnsi="宋体"/>
          <w:color w:val="auto"/>
          <w:highlight w:val="none"/>
        </w:rPr>
        <w:t>(2）总价金额与依据单价计算出的结果不一致的，以单价金额为准修正总价，但单价金额小数点有明显错误的除外。</w:t>
      </w:r>
    </w:p>
    <w:p w14:paraId="47B00E40">
      <w:pPr>
        <w:spacing w:line="46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3.2  </w:t>
      </w:r>
      <w:bookmarkEnd w:id="317"/>
      <w:bookmarkEnd w:id="318"/>
      <w:bookmarkEnd w:id="319"/>
      <w:r>
        <w:rPr>
          <w:rFonts w:hint="eastAsia" w:ascii="宋体" w:hAnsi="宋体"/>
          <w:b/>
          <w:color w:val="auto"/>
          <w:sz w:val="28"/>
          <w:szCs w:val="28"/>
          <w:highlight w:val="none"/>
        </w:rPr>
        <w:t>详细评审</w:t>
      </w:r>
      <w:bookmarkEnd w:id="320"/>
    </w:p>
    <w:p w14:paraId="481F916E">
      <w:pPr>
        <w:spacing w:line="460" w:lineRule="exact"/>
        <w:ind w:firstLine="420" w:firstLineChars="200"/>
        <w:rPr>
          <w:color w:val="auto"/>
          <w:highlight w:val="none"/>
        </w:rPr>
      </w:pPr>
      <w:r>
        <w:rPr>
          <w:rFonts w:hint="eastAsia"/>
          <w:color w:val="auto"/>
          <w:highlight w:val="none"/>
        </w:rPr>
        <w:t>3.2.1 评标委员会按本章第2.2.1款规定的量化因素和分值进行打分，并计算出综合评估得分。</w:t>
      </w:r>
    </w:p>
    <w:p w14:paraId="7E1AFD2D">
      <w:pPr>
        <w:spacing w:line="460" w:lineRule="exact"/>
        <w:ind w:firstLine="718" w:firstLineChars="342"/>
        <w:rPr>
          <w:color w:val="auto"/>
          <w:highlight w:val="none"/>
        </w:rPr>
      </w:pPr>
      <w:r>
        <w:rPr>
          <w:rFonts w:hint="eastAsia"/>
          <w:color w:val="auto"/>
          <w:highlight w:val="none"/>
        </w:rPr>
        <w:t>（1）按本章第2.2.3款规定的评审因素和分值对投标报价计算出得分A；</w:t>
      </w:r>
    </w:p>
    <w:p w14:paraId="6C6FADD7">
      <w:pPr>
        <w:spacing w:line="460" w:lineRule="exact"/>
        <w:ind w:firstLine="718" w:firstLineChars="342"/>
        <w:rPr>
          <w:color w:val="auto"/>
          <w:highlight w:val="none"/>
        </w:rPr>
      </w:pPr>
      <w:r>
        <w:rPr>
          <w:rFonts w:hint="eastAsia"/>
          <w:color w:val="auto"/>
          <w:highlight w:val="none"/>
        </w:rPr>
        <w:t>（2）按本章第2.2.4款规定的评审因素和分值对</w:t>
      </w:r>
      <w:r>
        <w:rPr>
          <w:rFonts w:hint="eastAsia" w:ascii="宋体" w:hAnsi="宋体" w:cs="宋体"/>
          <w:color w:val="auto"/>
          <w:kern w:val="0"/>
          <w:szCs w:val="21"/>
          <w:highlight w:val="none"/>
        </w:rPr>
        <w:t>商务</w:t>
      </w:r>
      <w:r>
        <w:rPr>
          <w:rFonts w:hint="eastAsia" w:ascii="宋体" w:hAnsi="宋体"/>
          <w:color w:val="auto"/>
          <w:highlight w:val="none"/>
        </w:rPr>
        <w:t>部分</w:t>
      </w:r>
      <w:r>
        <w:rPr>
          <w:rFonts w:hint="eastAsia"/>
          <w:color w:val="auto"/>
          <w:highlight w:val="none"/>
        </w:rPr>
        <w:t>计算出得分B；</w:t>
      </w:r>
    </w:p>
    <w:p w14:paraId="136D131C">
      <w:pPr>
        <w:spacing w:line="460" w:lineRule="exact"/>
        <w:ind w:firstLine="718" w:firstLineChars="342"/>
        <w:rPr>
          <w:color w:val="auto"/>
          <w:highlight w:val="none"/>
        </w:rPr>
      </w:pPr>
      <w:r>
        <w:rPr>
          <w:rFonts w:hint="eastAsia"/>
          <w:color w:val="auto"/>
          <w:highlight w:val="none"/>
        </w:rPr>
        <w:t>（3）按本章第2.2.5款规定的评审因素和分值对技术</w:t>
      </w:r>
      <w:r>
        <w:rPr>
          <w:rFonts w:hint="eastAsia" w:ascii="宋体" w:hAnsi="宋体"/>
          <w:color w:val="auto"/>
          <w:highlight w:val="none"/>
        </w:rPr>
        <w:t>部分</w:t>
      </w:r>
      <w:r>
        <w:rPr>
          <w:rFonts w:hint="eastAsia"/>
          <w:color w:val="auto"/>
          <w:highlight w:val="none"/>
        </w:rPr>
        <w:t>计算出得分C；</w:t>
      </w:r>
    </w:p>
    <w:p w14:paraId="5A82D257">
      <w:pPr>
        <w:spacing w:line="460" w:lineRule="exact"/>
        <w:ind w:firstLine="420" w:firstLineChars="200"/>
        <w:rPr>
          <w:color w:val="auto"/>
          <w:highlight w:val="none"/>
        </w:rPr>
      </w:pPr>
      <w:r>
        <w:rPr>
          <w:rFonts w:hint="eastAsia"/>
          <w:color w:val="auto"/>
          <w:highlight w:val="none"/>
        </w:rPr>
        <w:t>3.2.2 评分分值计算保留小数点后两位，小数点后第三位“四舍五入”。</w:t>
      </w:r>
    </w:p>
    <w:p w14:paraId="67CC4425">
      <w:pPr>
        <w:spacing w:line="460" w:lineRule="exact"/>
        <w:ind w:firstLine="420" w:firstLineChars="200"/>
        <w:rPr>
          <w:color w:val="auto"/>
          <w:highlight w:val="none"/>
        </w:rPr>
      </w:pPr>
      <w:r>
        <w:rPr>
          <w:rFonts w:hint="eastAsia"/>
          <w:color w:val="auto"/>
          <w:highlight w:val="none"/>
        </w:rPr>
        <w:t>3.2.3 投标人得分=A+B+C。</w:t>
      </w:r>
    </w:p>
    <w:p w14:paraId="225F38E7">
      <w:pPr>
        <w:spacing w:line="460" w:lineRule="exact"/>
        <w:ind w:firstLine="420" w:firstLineChars="200"/>
        <w:rPr>
          <w:color w:val="auto"/>
          <w:highlight w:val="none"/>
        </w:rPr>
      </w:pPr>
      <w:r>
        <w:rPr>
          <w:rFonts w:hint="eastAsia"/>
          <w:color w:val="auto"/>
          <w:highlight w:val="none"/>
        </w:rPr>
        <w:t>评标委员会完成对投标报价、</w:t>
      </w:r>
      <w:r>
        <w:rPr>
          <w:rFonts w:hint="eastAsia" w:ascii="宋体" w:hAnsi="宋体" w:cs="宋体"/>
          <w:color w:val="auto"/>
          <w:kern w:val="0"/>
          <w:szCs w:val="21"/>
          <w:highlight w:val="none"/>
        </w:rPr>
        <w:t>商务</w:t>
      </w:r>
      <w:r>
        <w:rPr>
          <w:rFonts w:hint="eastAsia"/>
          <w:color w:val="auto"/>
          <w:highlight w:val="none"/>
        </w:rPr>
        <w:t>标和技术标的汇总后，取平均值作为该投标人的最终得分。</w:t>
      </w:r>
    </w:p>
    <w:p w14:paraId="3A16BA41">
      <w:pPr>
        <w:spacing w:line="460" w:lineRule="exact"/>
        <w:ind w:firstLine="420" w:firstLineChars="200"/>
        <w:rPr>
          <w:color w:val="auto"/>
          <w:highlight w:val="none"/>
        </w:rPr>
      </w:pPr>
      <w:r>
        <w:rPr>
          <w:rFonts w:hint="eastAsia"/>
          <w:color w:val="auto"/>
          <w:highlight w:val="none"/>
        </w:rPr>
        <w:t>3.2.4 评标委员会发现投标人的报价明显低于其他投标报价，或者在设有</w:t>
      </w:r>
      <w:r>
        <w:rPr>
          <w:rFonts w:hint="eastAsia" w:ascii="宋体" w:hAnsi="宋体"/>
          <w:color w:val="auto"/>
          <w:szCs w:val="21"/>
          <w:highlight w:val="none"/>
        </w:rPr>
        <w:t>最高投标限价</w:t>
      </w:r>
      <w:r>
        <w:rPr>
          <w:rFonts w:hint="eastAsia"/>
          <w:color w:val="auto"/>
          <w:highlight w:val="none"/>
        </w:rPr>
        <w:t>时明显低于</w:t>
      </w:r>
      <w:r>
        <w:rPr>
          <w:rFonts w:hint="eastAsia" w:ascii="宋体" w:hAnsi="宋体"/>
          <w:color w:val="auto"/>
          <w:szCs w:val="21"/>
          <w:highlight w:val="none"/>
        </w:rPr>
        <w:t>最高投标限价</w:t>
      </w:r>
      <w:r>
        <w:rPr>
          <w:rFonts w:hint="eastAsia"/>
          <w:color w:val="auto"/>
          <w:highlight w:val="none"/>
        </w:rPr>
        <w:t>，使得其投标报价可能低于其个别成本的，应当要求该投标人作出书面说明并提供相应的证明材料。投标人不能合理说明或者不能提供相应证明材料的，由评标委员会认定该投标人以低于成本报价竞标，其投标作废标处理。</w:t>
      </w:r>
    </w:p>
    <w:p w14:paraId="14F41C45">
      <w:pPr>
        <w:spacing w:line="460" w:lineRule="exact"/>
        <w:rPr>
          <w:rFonts w:hint="eastAsia" w:ascii="宋体" w:hAnsi="宋体"/>
          <w:b/>
          <w:color w:val="auto"/>
          <w:sz w:val="28"/>
          <w:szCs w:val="28"/>
          <w:highlight w:val="none"/>
        </w:rPr>
      </w:pPr>
      <w:r>
        <w:rPr>
          <w:rFonts w:hint="eastAsia" w:ascii="宋体" w:hAnsi="宋体"/>
          <w:b/>
          <w:color w:val="auto"/>
          <w:sz w:val="28"/>
          <w:szCs w:val="28"/>
          <w:highlight w:val="none"/>
        </w:rPr>
        <w:t>3.3 投标文件的澄清和补正</w:t>
      </w:r>
    </w:p>
    <w:p w14:paraId="73ED2F92">
      <w:pPr>
        <w:spacing w:line="460" w:lineRule="exact"/>
        <w:ind w:firstLine="420" w:firstLineChars="200"/>
        <w:rPr>
          <w:rFonts w:hint="eastAsia" w:ascii="宋体" w:hAnsi="宋体"/>
          <w:color w:val="auto"/>
          <w:highlight w:val="none"/>
        </w:rPr>
      </w:pPr>
      <w:r>
        <w:rPr>
          <w:rFonts w:hint="eastAsia" w:ascii="宋体" w:hAnsi="宋体"/>
          <w:color w:val="auto"/>
          <w:highlight w:val="none"/>
        </w:rPr>
        <w:t>3.3.1 在评标过程中，评标委员会可以书面形式要求投标人对所提交投标文件中不明确的内容进行书面澄清或说明，或者对细微偏差进行补正。评标委员会不接受投标人主动提出的澄清、说明或补正。</w:t>
      </w:r>
    </w:p>
    <w:p w14:paraId="6D46F031">
      <w:pPr>
        <w:spacing w:line="460" w:lineRule="exact"/>
        <w:ind w:firstLine="420" w:firstLineChars="200"/>
        <w:rPr>
          <w:rFonts w:hint="eastAsia" w:ascii="宋体" w:hAnsi="宋体"/>
          <w:color w:val="auto"/>
          <w:highlight w:val="none"/>
        </w:rPr>
      </w:pPr>
      <w:r>
        <w:rPr>
          <w:rFonts w:hint="eastAsia" w:ascii="宋体" w:hAnsi="宋体"/>
          <w:color w:val="auto"/>
          <w:highlight w:val="none"/>
        </w:rPr>
        <w:t>3.3.2 澄清、说明和补正不得改变投标文件的实质性内容（算术性错误修正的除外）。投标人的书面澄清、说明和补正属于投标文件的组成部分。</w:t>
      </w:r>
    </w:p>
    <w:p w14:paraId="55798741">
      <w:pPr>
        <w:spacing w:line="460" w:lineRule="exact"/>
        <w:ind w:firstLine="420" w:firstLineChars="200"/>
        <w:rPr>
          <w:rFonts w:hint="eastAsia" w:ascii="宋体" w:hAnsi="宋体"/>
          <w:color w:val="auto"/>
          <w:highlight w:val="none"/>
        </w:rPr>
      </w:pPr>
      <w:r>
        <w:rPr>
          <w:rFonts w:hint="eastAsia" w:ascii="宋体" w:hAnsi="宋体"/>
          <w:color w:val="auto"/>
          <w:highlight w:val="none"/>
        </w:rPr>
        <w:t>3.3.3 评标委员会对投标人提交的澄清、说明或补正有疑问的，可以要求投标人进一步澄清、说明或补正，直至满足评标委员会的要求。</w:t>
      </w:r>
    </w:p>
    <w:p w14:paraId="3246A168">
      <w:pPr>
        <w:spacing w:line="460" w:lineRule="exact"/>
        <w:rPr>
          <w:rFonts w:hint="eastAsia" w:ascii="宋体" w:hAnsi="宋体"/>
          <w:b/>
          <w:color w:val="auto"/>
          <w:sz w:val="28"/>
          <w:szCs w:val="28"/>
          <w:highlight w:val="none"/>
        </w:rPr>
      </w:pPr>
      <w:r>
        <w:rPr>
          <w:rFonts w:hint="eastAsia" w:ascii="宋体" w:hAnsi="宋体"/>
          <w:b/>
          <w:color w:val="auto"/>
          <w:sz w:val="28"/>
          <w:szCs w:val="28"/>
          <w:highlight w:val="none"/>
        </w:rPr>
        <w:t>3.4 评标结果</w:t>
      </w:r>
    </w:p>
    <w:p w14:paraId="5AAACF9F">
      <w:pPr>
        <w:spacing w:line="460" w:lineRule="exact"/>
        <w:ind w:firstLine="420" w:firstLineChars="200"/>
        <w:rPr>
          <w:rFonts w:hint="eastAsia" w:ascii="宋体" w:hAnsi="宋体"/>
          <w:color w:val="auto"/>
          <w:highlight w:val="none"/>
        </w:rPr>
      </w:pPr>
      <w:r>
        <w:rPr>
          <w:rFonts w:hint="eastAsia" w:ascii="宋体" w:hAnsi="宋体"/>
          <w:color w:val="auto"/>
          <w:highlight w:val="none"/>
        </w:rPr>
        <w:t>3.4.1 除第二章“投标人须知”前附表授权直接确定中标人外，评标委员会按照得分高到低的顺序推荐中标候选人。</w:t>
      </w:r>
    </w:p>
    <w:p w14:paraId="65EBF37B">
      <w:pPr>
        <w:spacing w:line="460" w:lineRule="exact"/>
        <w:ind w:firstLine="420" w:firstLineChars="200"/>
        <w:rPr>
          <w:rFonts w:hint="eastAsia" w:ascii="宋体" w:hAnsi="宋体"/>
          <w:color w:val="auto"/>
          <w:highlight w:val="none"/>
        </w:rPr>
      </w:pPr>
      <w:r>
        <w:rPr>
          <w:rFonts w:hint="eastAsia" w:ascii="宋体" w:hAnsi="宋体"/>
          <w:color w:val="auto"/>
          <w:highlight w:val="none"/>
        </w:rPr>
        <w:t>3.4.2 评标委员会完成评标后，由应当向招标人提交书面评标报告。</w:t>
      </w:r>
    </w:p>
    <w:p w14:paraId="230FD43D">
      <w:pPr>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br w:type="page"/>
      </w:r>
      <w:bookmarkStart w:id="321" w:name="_Toc28799"/>
      <w:bookmarkStart w:id="322" w:name="_Toc4850"/>
      <w:r>
        <w:rPr>
          <w:rFonts w:hint="eastAsia" w:ascii="宋体" w:hAnsi="宋体" w:cs="宋体"/>
          <w:color w:val="auto"/>
          <w:sz w:val="52"/>
          <w:szCs w:val="52"/>
          <w:highlight w:val="none"/>
        </w:rPr>
        <w:t>第四章  合     同</w:t>
      </w:r>
      <w:bookmarkEnd w:id="297"/>
      <w:bookmarkEnd w:id="321"/>
      <w:bookmarkEnd w:id="322"/>
    </w:p>
    <w:p w14:paraId="394BC6A1">
      <w:pPr>
        <w:spacing w:line="276" w:lineRule="auto"/>
        <w:ind w:firstLine="251"/>
        <w:jc w:val="center"/>
        <w:rPr>
          <w:rFonts w:ascii="仿宋" w:hAnsi="仿宋"/>
          <w:b/>
          <w:color w:val="000000"/>
          <w:spacing w:val="20"/>
          <w:szCs w:val="21"/>
          <w:highlight w:val="none"/>
        </w:rPr>
      </w:pPr>
      <w:bookmarkStart w:id="323" w:name="_Toc445450473"/>
      <w:r>
        <w:rPr>
          <w:rFonts w:hint="eastAsia" w:ascii="仿宋" w:hAnsi="仿宋"/>
          <w:b/>
          <w:color w:val="000000"/>
          <w:spacing w:val="20"/>
          <w:szCs w:val="21"/>
          <w:highlight w:val="none"/>
        </w:rPr>
        <w:t>（合同格式仅供参考）</w:t>
      </w:r>
    </w:p>
    <w:p w14:paraId="6FA0DCBE">
      <w:pPr>
        <w:pStyle w:val="37"/>
        <w:rPr>
          <w:color w:val="auto"/>
          <w:highlight w:val="none"/>
        </w:rPr>
      </w:pPr>
    </w:p>
    <w:p w14:paraId="28BFCA3E">
      <w:pPr>
        <w:widowControl/>
        <w:spacing w:line="440" w:lineRule="exact"/>
        <w:ind w:firstLine="2880" w:firstLineChars="900"/>
        <w:rPr>
          <w:rFonts w:ascii="宋体" w:hAnsi="宋体"/>
          <w:bCs/>
          <w:color w:val="auto"/>
          <w:kern w:val="0"/>
          <w:sz w:val="32"/>
          <w:szCs w:val="32"/>
          <w:highlight w:val="none"/>
        </w:rPr>
      </w:pPr>
      <w:r>
        <w:rPr>
          <w:rFonts w:hint="eastAsia" w:ascii="宋体" w:hAnsi="宋体"/>
          <w:bCs/>
          <w:color w:val="auto"/>
          <w:kern w:val="0"/>
          <w:sz w:val="32"/>
          <w:szCs w:val="32"/>
          <w:highlight w:val="none"/>
        </w:rPr>
        <w:t>政府采购合同（参考文本）</w:t>
      </w:r>
    </w:p>
    <w:tbl>
      <w:tblPr>
        <w:tblStyle w:val="28"/>
        <w:tblW w:w="9697" w:type="dxa"/>
        <w:jc w:val="center"/>
        <w:tblLayout w:type="fixed"/>
        <w:tblCellMar>
          <w:top w:w="0" w:type="dxa"/>
          <w:left w:w="108" w:type="dxa"/>
          <w:bottom w:w="0" w:type="dxa"/>
          <w:right w:w="108" w:type="dxa"/>
        </w:tblCellMar>
      </w:tblPr>
      <w:tblGrid>
        <w:gridCol w:w="9697"/>
      </w:tblGrid>
      <w:tr w14:paraId="35850EA7">
        <w:tblPrEx>
          <w:tblCellMar>
            <w:top w:w="0" w:type="dxa"/>
            <w:left w:w="108" w:type="dxa"/>
            <w:bottom w:w="0" w:type="dxa"/>
            <w:right w:w="108" w:type="dxa"/>
          </w:tblCellMar>
        </w:tblPrEx>
        <w:trPr>
          <w:trHeight w:val="1127" w:hRule="atLeast"/>
          <w:jc w:val="center"/>
        </w:trPr>
        <w:tc>
          <w:tcPr>
            <w:tcW w:w="9697" w:type="dxa"/>
            <w:tcBorders>
              <w:top w:val="single" w:color="000000" w:sz="4" w:space="0"/>
              <w:left w:val="single" w:color="000000" w:sz="4" w:space="0"/>
              <w:bottom w:val="single" w:color="000000" w:sz="4" w:space="0"/>
              <w:right w:val="single" w:color="000000" w:sz="4" w:space="0"/>
            </w:tcBorders>
            <w:noWrap w:val="0"/>
            <w:vAlign w:val="top"/>
          </w:tcPr>
          <w:p w14:paraId="077AFE25">
            <w:pPr>
              <w:widowControl/>
              <w:spacing w:line="440" w:lineRule="exact"/>
              <w:ind w:left="105"/>
              <w:rPr>
                <w:rFonts w:ascii="宋体" w:hAnsi="宋体"/>
                <w:color w:val="auto"/>
                <w:kern w:val="0"/>
                <w:szCs w:val="21"/>
                <w:highlight w:val="none"/>
              </w:rPr>
            </w:pPr>
            <w:r>
              <w:rPr>
                <w:rFonts w:hint="eastAsia" w:ascii="宋体" w:hAnsi="宋体"/>
                <w:color w:val="auto"/>
                <w:kern w:val="0"/>
                <w:szCs w:val="21"/>
                <w:highlight w:val="none"/>
              </w:rPr>
              <w:t>注释： </w:t>
            </w:r>
          </w:p>
          <w:p w14:paraId="2F52BE2E">
            <w:pPr>
              <w:widowControl/>
              <w:spacing w:line="440" w:lineRule="exact"/>
              <w:ind w:firstLine="720"/>
              <w:rPr>
                <w:rFonts w:ascii="宋体" w:hAnsi="宋体"/>
                <w:b/>
                <w:bCs/>
                <w:color w:val="auto"/>
                <w:spacing w:val="20"/>
                <w:kern w:val="0"/>
                <w:szCs w:val="21"/>
                <w:highlight w:val="none"/>
              </w:rPr>
            </w:pPr>
            <w:r>
              <w:rPr>
                <w:rFonts w:hint="eastAsia" w:ascii="宋体" w:hAnsi="宋体"/>
                <w:color w:val="auto"/>
                <w:kern w:val="0"/>
                <w:szCs w:val="21"/>
                <w:highlight w:val="none"/>
              </w:rPr>
              <w:t>本《政府采购合同》格式条款仅作为双方签订合同的参考，为阐明各方的权利和义务，经协商可增加新的条款。但不得与招标文件、投标文件的实质性内容相背离。</w:t>
            </w:r>
          </w:p>
        </w:tc>
      </w:tr>
    </w:tbl>
    <w:p w14:paraId="42F4AF6E">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合同编号：</w:t>
      </w:r>
    </w:p>
    <w:p w14:paraId="4F434804">
      <w:pPr>
        <w:widowControl/>
        <w:spacing w:line="440" w:lineRule="exact"/>
        <w:rPr>
          <w:rFonts w:hint="eastAsia" w:ascii="宋体" w:hAnsi="宋体" w:eastAsia="宋体"/>
          <w:color w:val="auto"/>
          <w:kern w:val="0"/>
          <w:szCs w:val="21"/>
          <w:highlight w:val="none"/>
          <w:lang w:eastAsia="zh-CN"/>
        </w:rPr>
      </w:pPr>
      <w:r>
        <w:rPr>
          <w:rFonts w:hint="eastAsia" w:ascii="宋体" w:hAnsi="宋体"/>
          <w:color w:val="auto"/>
          <w:kern w:val="0"/>
          <w:szCs w:val="21"/>
          <w:highlight w:val="none"/>
        </w:rPr>
        <w:t>甲方(采购人)：住所地：</w:t>
      </w:r>
    </w:p>
    <w:p w14:paraId="2B7F0866">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乙方（中标人）：住所地：</w:t>
      </w:r>
    </w:p>
    <w:p w14:paraId="243D3F9D">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合同签订地点：　　　　　签订日期：年月日</w:t>
      </w:r>
    </w:p>
    <w:p w14:paraId="04BFDC0D">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根据《中华人民共和国政府采购法》、《中华人民共和国合同法》等法律法规的规定，甲乙双方按照xxxxx的招标结果（项目名称：</w:t>
      </w:r>
      <w:r>
        <w:rPr>
          <w:rFonts w:hint="eastAsia" w:ascii="宋体" w:hAnsi="宋体"/>
          <w:color w:val="auto"/>
          <w:kern w:val="0"/>
          <w:szCs w:val="21"/>
          <w:highlight w:val="none"/>
          <w:u w:val="single"/>
        </w:rPr>
        <w:t>　　　　　　　</w:t>
      </w:r>
      <w:r>
        <w:rPr>
          <w:rFonts w:hint="eastAsia" w:ascii="宋体" w:hAnsi="宋体"/>
          <w:color w:val="auto"/>
          <w:kern w:val="0"/>
          <w:szCs w:val="21"/>
          <w:highlight w:val="none"/>
        </w:rPr>
        <w:t>，项目编号：</w:t>
      </w:r>
      <w:r>
        <w:rPr>
          <w:rFonts w:hint="eastAsia" w:ascii="宋体" w:hAnsi="宋体"/>
          <w:color w:val="auto"/>
          <w:kern w:val="0"/>
          <w:szCs w:val="21"/>
          <w:highlight w:val="none"/>
          <w:u w:val="single"/>
        </w:rPr>
        <w:t>　　　　　　　</w:t>
      </w:r>
      <w:r>
        <w:rPr>
          <w:rFonts w:hint="eastAsia" w:ascii="宋体" w:hAnsi="宋体"/>
          <w:color w:val="auto"/>
          <w:kern w:val="0"/>
          <w:szCs w:val="21"/>
          <w:highlight w:val="none"/>
        </w:rPr>
        <w:t>）签订本合同。</w:t>
      </w:r>
    </w:p>
    <w:p w14:paraId="57FF7B32">
      <w:pPr>
        <w:widowControl/>
        <w:spacing w:line="440" w:lineRule="exact"/>
        <w:ind w:firstLine="422" w:firstLineChars="200"/>
        <w:rPr>
          <w:rFonts w:ascii="宋体" w:hAnsi="宋体"/>
          <w:color w:val="auto"/>
          <w:kern w:val="0"/>
          <w:szCs w:val="21"/>
          <w:highlight w:val="none"/>
        </w:rPr>
      </w:pPr>
      <w:r>
        <w:rPr>
          <w:rFonts w:hint="eastAsia" w:ascii="宋体" w:hAnsi="宋体"/>
          <w:b/>
          <w:bCs/>
          <w:color w:val="auto"/>
          <w:kern w:val="0"/>
          <w:szCs w:val="21"/>
          <w:highlight w:val="none"/>
        </w:rPr>
        <w:t>第一条：合同标的</w:t>
      </w:r>
      <w:r>
        <w:rPr>
          <w:rFonts w:hint="eastAsia" w:ascii="宋体" w:hAnsi="宋体"/>
          <w:color w:val="auto"/>
          <w:kern w:val="0"/>
          <w:szCs w:val="21"/>
          <w:highlight w:val="none"/>
        </w:rPr>
        <w:t>乙方应根据本项目要求按下列清单提供货物（或服务项目的服务范围与内容），包括产品主机、随机备品备件及专用工具等：</w:t>
      </w:r>
    </w:p>
    <w:tbl>
      <w:tblPr>
        <w:tblStyle w:val="28"/>
        <w:tblW w:w="9660" w:type="dxa"/>
        <w:tblInd w:w="108" w:type="dxa"/>
        <w:tblLayout w:type="fixed"/>
        <w:tblCellMar>
          <w:top w:w="0" w:type="dxa"/>
          <w:left w:w="108" w:type="dxa"/>
          <w:bottom w:w="0" w:type="dxa"/>
          <w:right w:w="108" w:type="dxa"/>
        </w:tblCellMar>
      </w:tblPr>
      <w:tblGrid>
        <w:gridCol w:w="1260"/>
        <w:gridCol w:w="1365"/>
        <w:gridCol w:w="1260"/>
        <w:gridCol w:w="1155"/>
        <w:gridCol w:w="1365"/>
        <w:gridCol w:w="1050"/>
        <w:gridCol w:w="945"/>
        <w:gridCol w:w="1260"/>
      </w:tblGrid>
      <w:tr w14:paraId="2D24C7E6">
        <w:tblPrEx>
          <w:tblCellMar>
            <w:top w:w="0" w:type="dxa"/>
            <w:left w:w="108" w:type="dxa"/>
            <w:bottom w:w="0" w:type="dxa"/>
            <w:right w:w="108" w:type="dxa"/>
          </w:tblCellMar>
        </w:tblPrEx>
        <w:trPr>
          <w:trHeight w:val="646" w:hRule="atLeast"/>
        </w:trPr>
        <w:tc>
          <w:tcPr>
            <w:tcW w:w="1260" w:type="dxa"/>
            <w:tcBorders>
              <w:top w:val="single" w:color="000000" w:sz="4" w:space="0"/>
              <w:left w:val="single" w:color="000000" w:sz="4" w:space="0"/>
              <w:bottom w:val="single" w:color="000000" w:sz="4" w:space="0"/>
              <w:right w:val="single" w:color="000000" w:sz="4" w:space="0"/>
            </w:tcBorders>
            <w:noWrap w:val="0"/>
            <w:vAlign w:val="center"/>
          </w:tcPr>
          <w:p w14:paraId="51680D5E">
            <w:pPr>
              <w:widowControl/>
              <w:spacing w:line="440" w:lineRule="exact"/>
              <w:jc w:val="center"/>
              <w:rPr>
                <w:rFonts w:ascii="宋体" w:hAnsi="宋体"/>
                <w:color w:val="auto"/>
                <w:kern w:val="0"/>
                <w:szCs w:val="21"/>
                <w:highlight w:val="none"/>
              </w:rPr>
            </w:pPr>
            <w:r>
              <w:rPr>
                <w:rFonts w:hint="eastAsia" w:ascii="宋体" w:hAnsi="宋体"/>
                <w:color w:val="auto"/>
                <w:kern w:val="0"/>
                <w:szCs w:val="21"/>
                <w:highlight w:val="none"/>
              </w:rPr>
              <w:t>产品名称</w:t>
            </w:r>
          </w:p>
        </w:tc>
        <w:tc>
          <w:tcPr>
            <w:tcW w:w="1365" w:type="dxa"/>
            <w:tcBorders>
              <w:top w:val="single" w:color="000000" w:sz="4" w:space="0"/>
              <w:left w:val="nil"/>
              <w:bottom w:val="single" w:color="000000" w:sz="4" w:space="0"/>
              <w:right w:val="single" w:color="000000" w:sz="4" w:space="0"/>
            </w:tcBorders>
            <w:noWrap w:val="0"/>
            <w:vAlign w:val="center"/>
          </w:tcPr>
          <w:p w14:paraId="512E0469">
            <w:pPr>
              <w:widowControl/>
              <w:spacing w:line="440" w:lineRule="exact"/>
              <w:jc w:val="center"/>
              <w:rPr>
                <w:rFonts w:ascii="宋体" w:hAnsi="宋体"/>
                <w:color w:val="auto"/>
                <w:kern w:val="0"/>
                <w:szCs w:val="21"/>
                <w:highlight w:val="none"/>
              </w:rPr>
            </w:pPr>
            <w:r>
              <w:rPr>
                <w:rFonts w:hint="eastAsia" w:ascii="宋体" w:hAnsi="宋体"/>
                <w:color w:val="auto"/>
                <w:kern w:val="0"/>
                <w:szCs w:val="21"/>
                <w:highlight w:val="none"/>
              </w:rPr>
              <w:t>规格型号</w:t>
            </w:r>
          </w:p>
        </w:tc>
        <w:tc>
          <w:tcPr>
            <w:tcW w:w="1260" w:type="dxa"/>
            <w:tcBorders>
              <w:top w:val="single" w:color="000000" w:sz="4" w:space="0"/>
              <w:left w:val="nil"/>
              <w:bottom w:val="single" w:color="000000" w:sz="4" w:space="0"/>
              <w:right w:val="single" w:color="000000" w:sz="4" w:space="0"/>
            </w:tcBorders>
            <w:noWrap w:val="0"/>
            <w:vAlign w:val="center"/>
          </w:tcPr>
          <w:p w14:paraId="11FFDF47">
            <w:pPr>
              <w:widowControl/>
              <w:spacing w:line="440" w:lineRule="exact"/>
              <w:jc w:val="center"/>
              <w:rPr>
                <w:rFonts w:ascii="宋体" w:hAnsi="宋体"/>
                <w:color w:val="auto"/>
                <w:kern w:val="0"/>
                <w:szCs w:val="21"/>
                <w:highlight w:val="none"/>
              </w:rPr>
            </w:pPr>
            <w:r>
              <w:rPr>
                <w:rFonts w:hint="eastAsia" w:ascii="宋体" w:hAnsi="宋体"/>
                <w:color w:val="auto"/>
                <w:kern w:val="0"/>
                <w:szCs w:val="21"/>
                <w:highlight w:val="none"/>
              </w:rPr>
              <w:t>生产厂家</w:t>
            </w:r>
          </w:p>
        </w:tc>
        <w:tc>
          <w:tcPr>
            <w:tcW w:w="1155" w:type="dxa"/>
            <w:tcBorders>
              <w:top w:val="single" w:color="000000" w:sz="4" w:space="0"/>
              <w:left w:val="nil"/>
              <w:bottom w:val="single" w:color="000000" w:sz="4" w:space="0"/>
              <w:right w:val="single" w:color="000000" w:sz="4" w:space="0"/>
            </w:tcBorders>
            <w:noWrap w:val="0"/>
            <w:vAlign w:val="center"/>
          </w:tcPr>
          <w:p w14:paraId="5AABFACD">
            <w:pPr>
              <w:widowControl/>
              <w:spacing w:line="440" w:lineRule="exact"/>
              <w:jc w:val="center"/>
              <w:rPr>
                <w:rFonts w:ascii="宋体" w:hAnsi="宋体"/>
                <w:color w:val="auto"/>
                <w:kern w:val="0"/>
                <w:szCs w:val="21"/>
                <w:highlight w:val="none"/>
              </w:rPr>
            </w:pPr>
            <w:r>
              <w:rPr>
                <w:rFonts w:hint="eastAsia" w:ascii="宋体" w:hAnsi="宋体"/>
                <w:color w:val="auto"/>
                <w:kern w:val="0"/>
                <w:szCs w:val="21"/>
                <w:highlight w:val="none"/>
              </w:rPr>
              <w:t>数量</w:t>
            </w:r>
          </w:p>
        </w:tc>
        <w:tc>
          <w:tcPr>
            <w:tcW w:w="1365" w:type="dxa"/>
            <w:tcBorders>
              <w:top w:val="single" w:color="000000" w:sz="4" w:space="0"/>
              <w:left w:val="nil"/>
              <w:bottom w:val="single" w:color="000000" w:sz="4" w:space="0"/>
              <w:right w:val="single" w:color="000000" w:sz="4" w:space="0"/>
            </w:tcBorders>
            <w:noWrap w:val="0"/>
            <w:vAlign w:val="center"/>
          </w:tcPr>
          <w:p w14:paraId="2D29E89B">
            <w:pPr>
              <w:widowControl/>
              <w:spacing w:line="440" w:lineRule="exact"/>
              <w:jc w:val="center"/>
              <w:rPr>
                <w:rFonts w:ascii="宋体" w:hAnsi="宋体"/>
                <w:color w:val="auto"/>
                <w:kern w:val="0"/>
                <w:szCs w:val="21"/>
                <w:highlight w:val="none"/>
              </w:rPr>
            </w:pPr>
            <w:r>
              <w:rPr>
                <w:rFonts w:hint="eastAsia" w:ascii="宋体" w:hAnsi="宋体"/>
                <w:color w:val="auto"/>
                <w:kern w:val="0"/>
                <w:szCs w:val="21"/>
                <w:highlight w:val="none"/>
              </w:rPr>
              <w:t>数量</w:t>
            </w:r>
          </w:p>
          <w:p w14:paraId="1C95FA1D">
            <w:pPr>
              <w:widowControl/>
              <w:spacing w:line="440" w:lineRule="exact"/>
              <w:jc w:val="center"/>
              <w:rPr>
                <w:rFonts w:ascii="宋体" w:hAnsi="宋体"/>
                <w:color w:val="auto"/>
                <w:kern w:val="0"/>
                <w:szCs w:val="21"/>
                <w:highlight w:val="none"/>
              </w:rPr>
            </w:pPr>
            <w:r>
              <w:rPr>
                <w:rFonts w:hint="eastAsia" w:ascii="宋体" w:hAnsi="宋体"/>
                <w:color w:val="auto"/>
                <w:kern w:val="0"/>
                <w:szCs w:val="21"/>
                <w:highlight w:val="none"/>
              </w:rPr>
              <w:t>单位</w:t>
            </w:r>
          </w:p>
        </w:tc>
        <w:tc>
          <w:tcPr>
            <w:tcW w:w="1050" w:type="dxa"/>
            <w:tcBorders>
              <w:top w:val="single" w:color="000000" w:sz="4" w:space="0"/>
              <w:left w:val="nil"/>
              <w:bottom w:val="single" w:color="000000" w:sz="4" w:space="0"/>
              <w:right w:val="single" w:color="000000" w:sz="4" w:space="0"/>
            </w:tcBorders>
            <w:noWrap w:val="0"/>
            <w:vAlign w:val="center"/>
          </w:tcPr>
          <w:p w14:paraId="3E5AC61E">
            <w:pPr>
              <w:widowControl/>
              <w:spacing w:line="440" w:lineRule="exact"/>
              <w:jc w:val="center"/>
              <w:rPr>
                <w:rFonts w:ascii="宋体" w:hAnsi="宋体"/>
                <w:color w:val="auto"/>
                <w:kern w:val="0"/>
                <w:szCs w:val="21"/>
                <w:highlight w:val="none"/>
              </w:rPr>
            </w:pPr>
            <w:r>
              <w:rPr>
                <w:rFonts w:hint="eastAsia" w:ascii="宋体" w:hAnsi="宋体"/>
                <w:color w:val="auto"/>
                <w:kern w:val="0"/>
                <w:szCs w:val="21"/>
                <w:highlight w:val="none"/>
              </w:rPr>
              <w:t>单价</w:t>
            </w:r>
          </w:p>
        </w:tc>
        <w:tc>
          <w:tcPr>
            <w:tcW w:w="945" w:type="dxa"/>
            <w:tcBorders>
              <w:top w:val="single" w:color="000000" w:sz="4" w:space="0"/>
              <w:left w:val="nil"/>
              <w:bottom w:val="single" w:color="000000" w:sz="4" w:space="0"/>
              <w:right w:val="single" w:color="000000" w:sz="4" w:space="0"/>
            </w:tcBorders>
            <w:noWrap w:val="0"/>
            <w:vAlign w:val="center"/>
          </w:tcPr>
          <w:p w14:paraId="3E5A51D1">
            <w:pPr>
              <w:widowControl/>
              <w:spacing w:line="440" w:lineRule="exact"/>
              <w:jc w:val="center"/>
              <w:rPr>
                <w:rFonts w:ascii="宋体" w:hAnsi="宋体"/>
                <w:color w:val="auto"/>
                <w:kern w:val="0"/>
                <w:szCs w:val="21"/>
                <w:highlight w:val="none"/>
              </w:rPr>
            </w:pPr>
            <w:r>
              <w:rPr>
                <w:rFonts w:hint="eastAsia" w:ascii="宋体" w:hAnsi="宋体"/>
                <w:color w:val="auto"/>
                <w:kern w:val="0"/>
                <w:szCs w:val="21"/>
                <w:highlight w:val="none"/>
              </w:rPr>
              <w:t>总价</w:t>
            </w:r>
          </w:p>
        </w:tc>
        <w:tc>
          <w:tcPr>
            <w:tcW w:w="1260" w:type="dxa"/>
            <w:tcBorders>
              <w:top w:val="single" w:color="000000" w:sz="4" w:space="0"/>
              <w:left w:val="nil"/>
              <w:bottom w:val="single" w:color="000000" w:sz="4" w:space="0"/>
              <w:right w:val="single" w:color="000000" w:sz="4" w:space="0"/>
            </w:tcBorders>
            <w:noWrap w:val="0"/>
            <w:vAlign w:val="center"/>
          </w:tcPr>
          <w:p w14:paraId="4DB3564A">
            <w:pPr>
              <w:widowControl/>
              <w:spacing w:line="440" w:lineRule="exact"/>
              <w:jc w:val="center"/>
              <w:rPr>
                <w:rFonts w:hint="eastAsia" w:ascii="宋体" w:hAnsi="宋体" w:eastAsia="宋体"/>
                <w:color w:val="auto"/>
                <w:kern w:val="0"/>
                <w:szCs w:val="21"/>
                <w:highlight w:val="none"/>
                <w:lang w:eastAsia="zh-CN"/>
              </w:rPr>
            </w:pPr>
            <w:r>
              <w:rPr>
                <w:rFonts w:hint="eastAsia" w:ascii="宋体" w:hAnsi="宋体"/>
                <w:color w:val="auto"/>
                <w:kern w:val="0"/>
                <w:szCs w:val="21"/>
                <w:highlight w:val="none"/>
                <w:lang w:eastAsia="zh-CN"/>
              </w:rPr>
              <w:t>服务期限</w:t>
            </w:r>
          </w:p>
        </w:tc>
      </w:tr>
      <w:tr w14:paraId="708B1CBB">
        <w:tblPrEx>
          <w:tblCellMar>
            <w:top w:w="0" w:type="dxa"/>
            <w:left w:w="108" w:type="dxa"/>
            <w:bottom w:w="0" w:type="dxa"/>
            <w:right w:w="108" w:type="dxa"/>
          </w:tblCellMar>
        </w:tblPrEx>
        <w:trPr>
          <w:trHeight w:val="319" w:hRule="exact"/>
        </w:trPr>
        <w:tc>
          <w:tcPr>
            <w:tcW w:w="1260" w:type="dxa"/>
            <w:tcBorders>
              <w:top w:val="single" w:color="000000" w:sz="4" w:space="0"/>
              <w:left w:val="single" w:color="000000" w:sz="4" w:space="0"/>
              <w:bottom w:val="single" w:color="000000" w:sz="4" w:space="0"/>
              <w:right w:val="single" w:color="000000" w:sz="4" w:space="0"/>
            </w:tcBorders>
            <w:noWrap w:val="0"/>
            <w:vAlign w:val="top"/>
          </w:tcPr>
          <w:p w14:paraId="5FB77337">
            <w:pPr>
              <w:widowControl/>
              <w:spacing w:line="440" w:lineRule="exact"/>
              <w:rPr>
                <w:rFonts w:ascii="宋体" w:hAnsi="宋体"/>
                <w:color w:val="auto"/>
                <w:kern w:val="0"/>
                <w:szCs w:val="21"/>
                <w:highlight w:val="none"/>
              </w:rPr>
            </w:pPr>
          </w:p>
        </w:tc>
        <w:tc>
          <w:tcPr>
            <w:tcW w:w="1365" w:type="dxa"/>
            <w:tcBorders>
              <w:top w:val="single" w:color="000000" w:sz="4" w:space="0"/>
              <w:left w:val="nil"/>
              <w:bottom w:val="single" w:color="000000" w:sz="4" w:space="0"/>
              <w:right w:val="single" w:color="000000" w:sz="4" w:space="0"/>
            </w:tcBorders>
            <w:noWrap w:val="0"/>
            <w:vAlign w:val="top"/>
          </w:tcPr>
          <w:p w14:paraId="2A5CBC72">
            <w:pPr>
              <w:widowControl/>
              <w:spacing w:line="440" w:lineRule="exact"/>
              <w:rPr>
                <w:rFonts w:ascii="宋体" w:hAnsi="宋体"/>
                <w:color w:val="auto"/>
                <w:kern w:val="0"/>
                <w:szCs w:val="21"/>
                <w:highlight w:val="none"/>
              </w:rPr>
            </w:pPr>
          </w:p>
        </w:tc>
        <w:tc>
          <w:tcPr>
            <w:tcW w:w="1260" w:type="dxa"/>
            <w:tcBorders>
              <w:top w:val="single" w:color="000000" w:sz="4" w:space="0"/>
              <w:left w:val="nil"/>
              <w:bottom w:val="single" w:color="000000" w:sz="4" w:space="0"/>
              <w:right w:val="single" w:color="000000" w:sz="4" w:space="0"/>
            </w:tcBorders>
            <w:noWrap w:val="0"/>
            <w:vAlign w:val="top"/>
          </w:tcPr>
          <w:p w14:paraId="7066D848">
            <w:pPr>
              <w:widowControl/>
              <w:spacing w:line="440" w:lineRule="exact"/>
              <w:rPr>
                <w:rFonts w:ascii="宋体" w:hAnsi="宋体"/>
                <w:color w:val="auto"/>
                <w:kern w:val="0"/>
                <w:szCs w:val="21"/>
                <w:highlight w:val="none"/>
              </w:rPr>
            </w:pPr>
          </w:p>
        </w:tc>
        <w:tc>
          <w:tcPr>
            <w:tcW w:w="1155" w:type="dxa"/>
            <w:tcBorders>
              <w:top w:val="single" w:color="000000" w:sz="4" w:space="0"/>
              <w:left w:val="nil"/>
              <w:bottom w:val="single" w:color="000000" w:sz="4" w:space="0"/>
              <w:right w:val="single" w:color="000000" w:sz="4" w:space="0"/>
            </w:tcBorders>
            <w:noWrap w:val="0"/>
            <w:vAlign w:val="top"/>
          </w:tcPr>
          <w:p w14:paraId="582E48C9">
            <w:pPr>
              <w:widowControl/>
              <w:spacing w:line="440" w:lineRule="exact"/>
              <w:rPr>
                <w:rFonts w:ascii="宋体" w:hAnsi="宋体"/>
                <w:color w:val="auto"/>
                <w:kern w:val="0"/>
                <w:szCs w:val="21"/>
                <w:highlight w:val="none"/>
              </w:rPr>
            </w:pPr>
          </w:p>
        </w:tc>
        <w:tc>
          <w:tcPr>
            <w:tcW w:w="1365" w:type="dxa"/>
            <w:tcBorders>
              <w:top w:val="single" w:color="000000" w:sz="4" w:space="0"/>
              <w:left w:val="nil"/>
              <w:bottom w:val="single" w:color="000000" w:sz="4" w:space="0"/>
              <w:right w:val="single" w:color="000000" w:sz="4" w:space="0"/>
            </w:tcBorders>
            <w:noWrap w:val="0"/>
            <w:vAlign w:val="top"/>
          </w:tcPr>
          <w:p w14:paraId="62CA300D">
            <w:pPr>
              <w:widowControl/>
              <w:spacing w:line="440" w:lineRule="exact"/>
              <w:rPr>
                <w:rFonts w:ascii="宋体" w:hAnsi="宋体"/>
                <w:color w:val="auto"/>
                <w:kern w:val="0"/>
                <w:szCs w:val="21"/>
                <w:highlight w:val="none"/>
              </w:rPr>
            </w:pPr>
          </w:p>
        </w:tc>
        <w:tc>
          <w:tcPr>
            <w:tcW w:w="1050" w:type="dxa"/>
            <w:tcBorders>
              <w:top w:val="single" w:color="000000" w:sz="4" w:space="0"/>
              <w:left w:val="nil"/>
              <w:bottom w:val="single" w:color="000000" w:sz="4" w:space="0"/>
              <w:right w:val="single" w:color="000000" w:sz="4" w:space="0"/>
            </w:tcBorders>
            <w:noWrap w:val="0"/>
            <w:vAlign w:val="top"/>
          </w:tcPr>
          <w:p w14:paraId="64B6E4BD">
            <w:pPr>
              <w:widowControl/>
              <w:spacing w:line="440" w:lineRule="exact"/>
              <w:rPr>
                <w:rFonts w:ascii="宋体" w:hAnsi="宋体"/>
                <w:color w:val="auto"/>
                <w:kern w:val="0"/>
                <w:szCs w:val="21"/>
                <w:highlight w:val="none"/>
              </w:rPr>
            </w:pPr>
          </w:p>
        </w:tc>
        <w:tc>
          <w:tcPr>
            <w:tcW w:w="945" w:type="dxa"/>
            <w:tcBorders>
              <w:top w:val="single" w:color="000000" w:sz="4" w:space="0"/>
              <w:left w:val="nil"/>
              <w:bottom w:val="single" w:color="000000" w:sz="4" w:space="0"/>
              <w:right w:val="single" w:color="000000" w:sz="4" w:space="0"/>
            </w:tcBorders>
            <w:noWrap w:val="0"/>
            <w:vAlign w:val="top"/>
          </w:tcPr>
          <w:p w14:paraId="4DBF7818">
            <w:pPr>
              <w:widowControl/>
              <w:spacing w:line="440" w:lineRule="exact"/>
              <w:rPr>
                <w:rFonts w:ascii="宋体" w:hAnsi="宋体"/>
                <w:color w:val="auto"/>
                <w:kern w:val="0"/>
                <w:szCs w:val="21"/>
                <w:highlight w:val="none"/>
              </w:rPr>
            </w:pPr>
          </w:p>
        </w:tc>
        <w:tc>
          <w:tcPr>
            <w:tcW w:w="1260" w:type="dxa"/>
            <w:tcBorders>
              <w:top w:val="single" w:color="000000" w:sz="4" w:space="0"/>
              <w:left w:val="nil"/>
              <w:bottom w:val="single" w:color="000000" w:sz="4" w:space="0"/>
              <w:right w:val="single" w:color="000000" w:sz="4" w:space="0"/>
            </w:tcBorders>
            <w:noWrap w:val="0"/>
            <w:vAlign w:val="top"/>
          </w:tcPr>
          <w:p w14:paraId="73B35D9C">
            <w:pPr>
              <w:widowControl/>
              <w:spacing w:line="440" w:lineRule="exact"/>
              <w:rPr>
                <w:rFonts w:ascii="宋体" w:hAnsi="宋体"/>
                <w:color w:val="auto"/>
                <w:kern w:val="0"/>
                <w:szCs w:val="21"/>
                <w:highlight w:val="none"/>
              </w:rPr>
            </w:pPr>
          </w:p>
        </w:tc>
      </w:tr>
      <w:tr w14:paraId="1683961A">
        <w:tblPrEx>
          <w:tblCellMar>
            <w:top w:w="0" w:type="dxa"/>
            <w:left w:w="108" w:type="dxa"/>
            <w:bottom w:w="0" w:type="dxa"/>
            <w:right w:w="108" w:type="dxa"/>
          </w:tblCellMar>
        </w:tblPrEx>
        <w:trPr>
          <w:trHeight w:val="308" w:hRule="exact"/>
        </w:trPr>
        <w:tc>
          <w:tcPr>
            <w:tcW w:w="1260" w:type="dxa"/>
            <w:tcBorders>
              <w:top w:val="single" w:color="000000" w:sz="4" w:space="0"/>
              <w:left w:val="single" w:color="000000" w:sz="4" w:space="0"/>
              <w:bottom w:val="single" w:color="000000" w:sz="4" w:space="0"/>
              <w:right w:val="single" w:color="000000" w:sz="4" w:space="0"/>
            </w:tcBorders>
            <w:noWrap w:val="0"/>
            <w:vAlign w:val="top"/>
          </w:tcPr>
          <w:p w14:paraId="0B696537">
            <w:pPr>
              <w:widowControl/>
              <w:spacing w:line="440" w:lineRule="exact"/>
              <w:rPr>
                <w:rFonts w:ascii="宋体" w:hAnsi="宋体"/>
                <w:color w:val="auto"/>
                <w:kern w:val="0"/>
                <w:szCs w:val="21"/>
                <w:highlight w:val="none"/>
              </w:rPr>
            </w:pPr>
          </w:p>
        </w:tc>
        <w:tc>
          <w:tcPr>
            <w:tcW w:w="1365" w:type="dxa"/>
            <w:tcBorders>
              <w:top w:val="single" w:color="000000" w:sz="4" w:space="0"/>
              <w:left w:val="nil"/>
              <w:bottom w:val="single" w:color="000000" w:sz="4" w:space="0"/>
              <w:right w:val="single" w:color="000000" w:sz="4" w:space="0"/>
            </w:tcBorders>
            <w:noWrap w:val="0"/>
            <w:vAlign w:val="top"/>
          </w:tcPr>
          <w:p w14:paraId="7EEB144E">
            <w:pPr>
              <w:widowControl/>
              <w:spacing w:line="440" w:lineRule="exact"/>
              <w:rPr>
                <w:rFonts w:ascii="宋体" w:hAnsi="宋体"/>
                <w:color w:val="auto"/>
                <w:kern w:val="0"/>
                <w:szCs w:val="21"/>
                <w:highlight w:val="none"/>
              </w:rPr>
            </w:pPr>
          </w:p>
        </w:tc>
        <w:tc>
          <w:tcPr>
            <w:tcW w:w="1260" w:type="dxa"/>
            <w:tcBorders>
              <w:top w:val="single" w:color="000000" w:sz="4" w:space="0"/>
              <w:left w:val="nil"/>
              <w:bottom w:val="single" w:color="000000" w:sz="4" w:space="0"/>
              <w:right w:val="single" w:color="000000" w:sz="4" w:space="0"/>
            </w:tcBorders>
            <w:noWrap w:val="0"/>
            <w:vAlign w:val="top"/>
          </w:tcPr>
          <w:p w14:paraId="753BEFCE">
            <w:pPr>
              <w:widowControl/>
              <w:spacing w:line="440" w:lineRule="exact"/>
              <w:rPr>
                <w:rFonts w:ascii="宋体" w:hAnsi="宋体"/>
                <w:color w:val="auto"/>
                <w:kern w:val="0"/>
                <w:szCs w:val="21"/>
                <w:highlight w:val="none"/>
              </w:rPr>
            </w:pPr>
          </w:p>
        </w:tc>
        <w:tc>
          <w:tcPr>
            <w:tcW w:w="1155" w:type="dxa"/>
            <w:tcBorders>
              <w:top w:val="single" w:color="000000" w:sz="4" w:space="0"/>
              <w:left w:val="nil"/>
              <w:bottom w:val="single" w:color="000000" w:sz="4" w:space="0"/>
              <w:right w:val="single" w:color="000000" w:sz="4" w:space="0"/>
            </w:tcBorders>
            <w:noWrap w:val="0"/>
            <w:vAlign w:val="top"/>
          </w:tcPr>
          <w:p w14:paraId="3DFDE0B3">
            <w:pPr>
              <w:widowControl/>
              <w:spacing w:line="440" w:lineRule="exact"/>
              <w:rPr>
                <w:rFonts w:ascii="宋体" w:hAnsi="宋体"/>
                <w:color w:val="auto"/>
                <w:kern w:val="0"/>
                <w:szCs w:val="21"/>
                <w:highlight w:val="none"/>
              </w:rPr>
            </w:pPr>
          </w:p>
        </w:tc>
        <w:tc>
          <w:tcPr>
            <w:tcW w:w="1365" w:type="dxa"/>
            <w:tcBorders>
              <w:top w:val="single" w:color="000000" w:sz="4" w:space="0"/>
              <w:left w:val="nil"/>
              <w:bottom w:val="single" w:color="000000" w:sz="4" w:space="0"/>
              <w:right w:val="single" w:color="000000" w:sz="4" w:space="0"/>
            </w:tcBorders>
            <w:noWrap w:val="0"/>
            <w:vAlign w:val="top"/>
          </w:tcPr>
          <w:p w14:paraId="4EE84E43">
            <w:pPr>
              <w:widowControl/>
              <w:spacing w:line="440" w:lineRule="exact"/>
              <w:rPr>
                <w:rFonts w:ascii="宋体" w:hAnsi="宋体"/>
                <w:color w:val="auto"/>
                <w:kern w:val="0"/>
                <w:szCs w:val="21"/>
                <w:highlight w:val="none"/>
              </w:rPr>
            </w:pPr>
          </w:p>
        </w:tc>
        <w:tc>
          <w:tcPr>
            <w:tcW w:w="1050" w:type="dxa"/>
            <w:tcBorders>
              <w:top w:val="single" w:color="000000" w:sz="4" w:space="0"/>
              <w:left w:val="nil"/>
              <w:bottom w:val="single" w:color="000000" w:sz="4" w:space="0"/>
              <w:right w:val="single" w:color="000000" w:sz="4" w:space="0"/>
            </w:tcBorders>
            <w:noWrap w:val="0"/>
            <w:vAlign w:val="top"/>
          </w:tcPr>
          <w:p w14:paraId="2696C0D4">
            <w:pPr>
              <w:widowControl/>
              <w:spacing w:line="440" w:lineRule="exact"/>
              <w:rPr>
                <w:rFonts w:ascii="宋体" w:hAnsi="宋体"/>
                <w:color w:val="auto"/>
                <w:kern w:val="0"/>
                <w:szCs w:val="21"/>
                <w:highlight w:val="none"/>
              </w:rPr>
            </w:pPr>
          </w:p>
        </w:tc>
        <w:tc>
          <w:tcPr>
            <w:tcW w:w="945" w:type="dxa"/>
            <w:tcBorders>
              <w:top w:val="single" w:color="000000" w:sz="4" w:space="0"/>
              <w:left w:val="nil"/>
              <w:bottom w:val="single" w:color="000000" w:sz="4" w:space="0"/>
              <w:right w:val="single" w:color="000000" w:sz="4" w:space="0"/>
            </w:tcBorders>
            <w:noWrap w:val="0"/>
            <w:vAlign w:val="top"/>
          </w:tcPr>
          <w:p w14:paraId="1FC8BFC9">
            <w:pPr>
              <w:widowControl/>
              <w:spacing w:line="440" w:lineRule="exact"/>
              <w:rPr>
                <w:rFonts w:ascii="宋体" w:hAnsi="宋体"/>
                <w:color w:val="auto"/>
                <w:kern w:val="0"/>
                <w:szCs w:val="21"/>
                <w:highlight w:val="none"/>
              </w:rPr>
            </w:pPr>
          </w:p>
        </w:tc>
        <w:tc>
          <w:tcPr>
            <w:tcW w:w="1260" w:type="dxa"/>
            <w:tcBorders>
              <w:top w:val="single" w:color="000000" w:sz="4" w:space="0"/>
              <w:left w:val="nil"/>
              <w:bottom w:val="single" w:color="000000" w:sz="4" w:space="0"/>
              <w:right w:val="single" w:color="000000" w:sz="4" w:space="0"/>
            </w:tcBorders>
            <w:noWrap w:val="0"/>
            <w:vAlign w:val="top"/>
          </w:tcPr>
          <w:p w14:paraId="7FCF36C1">
            <w:pPr>
              <w:widowControl/>
              <w:spacing w:line="440" w:lineRule="exact"/>
              <w:rPr>
                <w:rFonts w:ascii="宋体" w:hAnsi="宋体"/>
                <w:color w:val="auto"/>
                <w:kern w:val="0"/>
                <w:szCs w:val="21"/>
                <w:highlight w:val="none"/>
              </w:rPr>
            </w:pPr>
          </w:p>
        </w:tc>
      </w:tr>
      <w:tr w14:paraId="15176121">
        <w:tblPrEx>
          <w:tblCellMar>
            <w:top w:w="0" w:type="dxa"/>
            <w:left w:w="108" w:type="dxa"/>
            <w:bottom w:w="0" w:type="dxa"/>
            <w:right w:w="108" w:type="dxa"/>
          </w:tblCellMar>
        </w:tblPrEx>
        <w:trPr>
          <w:trHeight w:val="329" w:hRule="exact"/>
        </w:trPr>
        <w:tc>
          <w:tcPr>
            <w:tcW w:w="1260" w:type="dxa"/>
            <w:tcBorders>
              <w:top w:val="single" w:color="000000" w:sz="4" w:space="0"/>
              <w:left w:val="single" w:color="000000" w:sz="4" w:space="0"/>
              <w:bottom w:val="single" w:color="000000" w:sz="4" w:space="0"/>
              <w:right w:val="single" w:color="000000" w:sz="4" w:space="0"/>
            </w:tcBorders>
            <w:noWrap w:val="0"/>
            <w:vAlign w:val="top"/>
          </w:tcPr>
          <w:p w14:paraId="19F1141F">
            <w:pPr>
              <w:widowControl/>
              <w:spacing w:line="440" w:lineRule="exact"/>
              <w:rPr>
                <w:rFonts w:ascii="宋体" w:hAnsi="宋体"/>
                <w:color w:val="auto"/>
                <w:kern w:val="0"/>
                <w:szCs w:val="21"/>
                <w:highlight w:val="none"/>
              </w:rPr>
            </w:pPr>
          </w:p>
        </w:tc>
        <w:tc>
          <w:tcPr>
            <w:tcW w:w="1365" w:type="dxa"/>
            <w:tcBorders>
              <w:top w:val="single" w:color="000000" w:sz="4" w:space="0"/>
              <w:left w:val="nil"/>
              <w:bottom w:val="single" w:color="000000" w:sz="4" w:space="0"/>
              <w:right w:val="single" w:color="000000" w:sz="4" w:space="0"/>
            </w:tcBorders>
            <w:noWrap w:val="0"/>
            <w:vAlign w:val="top"/>
          </w:tcPr>
          <w:p w14:paraId="612977B6">
            <w:pPr>
              <w:widowControl/>
              <w:spacing w:line="440" w:lineRule="exact"/>
              <w:rPr>
                <w:rFonts w:ascii="宋体" w:hAnsi="宋体"/>
                <w:color w:val="auto"/>
                <w:kern w:val="0"/>
                <w:szCs w:val="21"/>
                <w:highlight w:val="none"/>
              </w:rPr>
            </w:pPr>
          </w:p>
        </w:tc>
        <w:tc>
          <w:tcPr>
            <w:tcW w:w="1260" w:type="dxa"/>
            <w:tcBorders>
              <w:top w:val="single" w:color="000000" w:sz="4" w:space="0"/>
              <w:left w:val="nil"/>
              <w:bottom w:val="single" w:color="000000" w:sz="4" w:space="0"/>
              <w:right w:val="single" w:color="000000" w:sz="4" w:space="0"/>
            </w:tcBorders>
            <w:noWrap w:val="0"/>
            <w:vAlign w:val="top"/>
          </w:tcPr>
          <w:p w14:paraId="003C2F09">
            <w:pPr>
              <w:widowControl/>
              <w:spacing w:line="440" w:lineRule="exact"/>
              <w:rPr>
                <w:rFonts w:ascii="宋体" w:hAnsi="宋体"/>
                <w:color w:val="auto"/>
                <w:kern w:val="0"/>
                <w:szCs w:val="21"/>
                <w:highlight w:val="none"/>
              </w:rPr>
            </w:pPr>
          </w:p>
        </w:tc>
        <w:tc>
          <w:tcPr>
            <w:tcW w:w="1155" w:type="dxa"/>
            <w:tcBorders>
              <w:top w:val="single" w:color="000000" w:sz="4" w:space="0"/>
              <w:left w:val="nil"/>
              <w:bottom w:val="single" w:color="000000" w:sz="4" w:space="0"/>
              <w:right w:val="single" w:color="000000" w:sz="4" w:space="0"/>
            </w:tcBorders>
            <w:noWrap w:val="0"/>
            <w:vAlign w:val="top"/>
          </w:tcPr>
          <w:p w14:paraId="681539C2">
            <w:pPr>
              <w:widowControl/>
              <w:spacing w:line="440" w:lineRule="exact"/>
              <w:rPr>
                <w:rFonts w:ascii="宋体" w:hAnsi="宋体"/>
                <w:color w:val="auto"/>
                <w:kern w:val="0"/>
                <w:szCs w:val="21"/>
                <w:highlight w:val="none"/>
              </w:rPr>
            </w:pPr>
          </w:p>
        </w:tc>
        <w:tc>
          <w:tcPr>
            <w:tcW w:w="1365" w:type="dxa"/>
            <w:tcBorders>
              <w:top w:val="single" w:color="000000" w:sz="4" w:space="0"/>
              <w:left w:val="nil"/>
              <w:bottom w:val="single" w:color="000000" w:sz="4" w:space="0"/>
              <w:right w:val="single" w:color="000000" w:sz="4" w:space="0"/>
            </w:tcBorders>
            <w:noWrap w:val="0"/>
            <w:vAlign w:val="top"/>
          </w:tcPr>
          <w:p w14:paraId="3CA682DD">
            <w:pPr>
              <w:widowControl/>
              <w:spacing w:line="440" w:lineRule="exact"/>
              <w:rPr>
                <w:rFonts w:ascii="宋体" w:hAnsi="宋体"/>
                <w:color w:val="auto"/>
                <w:kern w:val="0"/>
                <w:szCs w:val="21"/>
                <w:highlight w:val="none"/>
              </w:rPr>
            </w:pPr>
          </w:p>
        </w:tc>
        <w:tc>
          <w:tcPr>
            <w:tcW w:w="1050" w:type="dxa"/>
            <w:tcBorders>
              <w:top w:val="single" w:color="000000" w:sz="4" w:space="0"/>
              <w:left w:val="nil"/>
              <w:bottom w:val="single" w:color="000000" w:sz="4" w:space="0"/>
              <w:right w:val="single" w:color="000000" w:sz="4" w:space="0"/>
            </w:tcBorders>
            <w:noWrap w:val="0"/>
            <w:vAlign w:val="top"/>
          </w:tcPr>
          <w:p w14:paraId="053D1A3F">
            <w:pPr>
              <w:widowControl/>
              <w:spacing w:line="440" w:lineRule="exact"/>
              <w:rPr>
                <w:rFonts w:ascii="宋体" w:hAnsi="宋体"/>
                <w:color w:val="auto"/>
                <w:kern w:val="0"/>
                <w:szCs w:val="21"/>
                <w:highlight w:val="none"/>
              </w:rPr>
            </w:pPr>
          </w:p>
        </w:tc>
        <w:tc>
          <w:tcPr>
            <w:tcW w:w="945" w:type="dxa"/>
            <w:tcBorders>
              <w:top w:val="single" w:color="000000" w:sz="4" w:space="0"/>
              <w:left w:val="nil"/>
              <w:bottom w:val="single" w:color="000000" w:sz="4" w:space="0"/>
              <w:right w:val="single" w:color="000000" w:sz="4" w:space="0"/>
            </w:tcBorders>
            <w:noWrap w:val="0"/>
            <w:vAlign w:val="top"/>
          </w:tcPr>
          <w:p w14:paraId="0CAFB698">
            <w:pPr>
              <w:widowControl/>
              <w:spacing w:line="440" w:lineRule="exact"/>
              <w:rPr>
                <w:rFonts w:ascii="宋体" w:hAnsi="宋体"/>
                <w:color w:val="auto"/>
                <w:kern w:val="0"/>
                <w:szCs w:val="21"/>
                <w:highlight w:val="none"/>
              </w:rPr>
            </w:pPr>
          </w:p>
        </w:tc>
        <w:tc>
          <w:tcPr>
            <w:tcW w:w="1260" w:type="dxa"/>
            <w:tcBorders>
              <w:top w:val="single" w:color="000000" w:sz="4" w:space="0"/>
              <w:left w:val="nil"/>
              <w:bottom w:val="single" w:color="000000" w:sz="4" w:space="0"/>
              <w:right w:val="single" w:color="000000" w:sz="4" w:space="0"/>
            </w:tcBorders>
            <w:noWrap w:val="0"/>
            <w:vAlign w:val="top"/>
          </w:tcPr>
          <w:p w14:paraId="58A7D0A5">
            <w:pPr>
              <w:widowControl/>
              <w:spacing w:line="440" w:lineRule="exact"/>
              <w:rPr>
                <w:rFonts w:ascii="宋体" w:hAnsi="宋体"/>
                <w:color w:val="auto"/>
                <w:kern w:val="0"/>
                <w:szCs w:val="21"/>
                <w:highlight w:val="none"/>
              </w:rPr>
            </w:pPr>
          </w:p>
        </w:tc>
      </w:tr>
      <w:tr w14:paraId="67CFB765">
        <w:tblPrEx>
          <w:tblCellMar>
            <w:top w:w="0" w:type="dxa"/>
            <w:left w:w="108" w:type="dxa"/>
            <w:bottom w:w="0" w:type="dxa"/>
            <w:right w:w="108" w:type="dxa"/>
          </w:tblCellMar>
        </w:tblPrEx>
        <w:trPr>
          <w:trHeight w:val="349" w:hRule="exact"/>
        </w:trPr>
        <w:tc>
          <w:tcPr>
            <w:tcW w:w="1260" w:type="dxa"/>
            <w:tcBorders>
              <w:top w:val="single" w:color="000000" w:sz="4" w:space="0"/>
              <w:left w:val="single" w:color="000000" w:sz="4" w:space="0"/>
              <w:bottom w:val="single" w:color="000000" w:sz="4" w:space="0"/>
              <w:right w:val="single" w:color="000000" w:sz="4" w:space="0"/>
            </w:tcBorders>
            <w:noWrap w:val="0"/>
            <w:vAlign w:val="top"/>
          </w:tcPr>
          <w:p w14:paraId="5B1387E3">
            <w:pPr>
              <w:widowControl/>
              <w:spacing w:line="440" w:lineRule="exact"/>
              <w:rPr>
                <w:rFonts w:ascii="宋体" w:hAnsi="宋体"/>
                <w:color w:val="auto"/>
                <w:kern w:val="0"/>
                <w:szCs w:val="21"/>
                <w:highlight w:val="none"/>
              </w:rPr>
            </w:pPr>
          </w:p>
        </w:tc>
        <w:tc>
          <w:tcPr>
            <w:tcW w:w="1365" w:type="dxa"/>
            <w:tcBorders>
              <w:top w:val="single" w:color="000000" w:sz="4" w:space="0"/>
              <w:left w:val="nil"/>
              <w:bottom w:val="single" w:color="000000" w:sz="4" w:space="0"/>
              <w:right w:val="single" w:color="000000" w:sz="4" w:space="0"/>
            </w:tcBorders>
            <w:noWrap w:val="0"/>
            <w:vAlign w:val="top"/>
          </w:tcPr>
          <w:p w14:paraId="46A8DC9D">
            <w:pPr>
              <w:widowControl/>
              <w:spacing w:line="440" w:lineRule="exact"/>
              <w:rPr>
                <w:rFonts w:ascii="宋体" w:hAnsi="宋体"/>
                <w:color w:val="auto"/>
                <w:kern w:val="0"/>
                <w:szCs w:val="21"/>
                <w:highlight w:val="none"/>
              </w:rPr>
            </w:pPr>
          </w:p>
        </w:tc>
        <w:tc>
          <w:tcPr>
            <w:tcW w:w="1260" w:type="dxa"/>
            <w:tcBorders>
              <w:top w:val="single" w:color="000000" w:sz="4" w:space="0"/>
              <w:left w:val="nil"/>
              <w:bottom w:val="single" w:color="000000" w:sz="4" w:space="0"/>
              <w:right w:val="single" w:color="000000" w:sz="4" w:space="0"/>
            </w:tcBorders>
            <w:noWrap w:val="0"/>
            <w:vAlign w:val="top"/>
          </w:tcPr>
          <w:p w14:paraId="289302DA">
            <w:pPr>
              <w:widowControl/>
              <w:spacing w:line="440" w:lineRule="exact"/>
              <w:rPr>
                <w:rFonts w:ascii="宋体" w:hAnsi="宋体"/>
                <w:color w:val="auto"/>
                <w:kern w:val="0"/>
                <w:szCs w:val="21"/>
                <w:highlight w:val="none"/>
              </w:rPr>
            </w:pPr>
          </w:p>
        </w:tc>
        <w:tc>
          <w:tcPr>
            <w:tcW w:w="1155" w:type="dxa"/>
            <w:tcBorders>
              <w:top w:val="single" w:color="000000" w:sz="4" w:space="0"/>
              <w:left w:val="nil"/>
              <w:bottom w:val="single" w:color="000000" w:sz="4" w:space="0"/>
              <w:right w:val="single" w:color="000000" w:sz="4" w:space="0"/>
            </w:tcBorders>
            <w:noWrap w:val="0"/>
            <w:vAlign w:val="top"/>
          </w:tcPr>
          <w:p w14:paraId="30BF5A3E">
            <w:pPr>
              <w:widowControl/>
              <w:spacing w:line="440" w:lineRule="exact"/>
              <w:rPr>
                <w:rFonts w:ascii="宋体" w:hAnsi="宋体"/>
                <w:color w:val="auto"/>
                <w:kern w:val="0"/>
                <w:szCs w:val="21"/>
                <w:highlight w:val="none"/>
              </w:rPr>
            </w:pPr>
          </w:p>
        </w:tc>
        <w:tc>
          <w:tcPr>
            <w:tcW w:w="1365" w:type="dxa"/>
            <w:tcBorders>
              <w:top w:val="single" w:color="000000" w:sz="4" w:space="0"/>
              <w:left w:val="nil"/>
              <w:bottom w:val="single" w:color="000000" w:sz="4" w:space="0"/>
              <w:right w:val="single" w:color="000000" w:sz="4" w:space="0"/>
            </w:tcBorders>
            <w:noWrap w:val="0"/>
            <w:vAlign w:val="top"/>
          </w:tcPr>
          <w:p w14:paraId="773FA03D">
            <w:pPr>
              <w:widowControl/>
              <w:spacing w:line="440" w:lineRule="exact"/>
              <w:rPr>
                <w:rFonts w:ascii="宋体" w:hAnsi="宋体"/>
                <w:color w:val="auto"/>
                <w:kern w:val="0"/>
                <w:szCs w:val="21"/>
                <w:highlight w:val="none"/>
              </w:rPr>
            </w:pPr>
          </w:p>
        </w:tc>
        <w:tc>
          <w:tcPr>
            <w:tcW w:w="1050" w:type="dxa"/>
            <w:tcBorders>
              <w:top w:val="single" w:color="000000" w:sz="4" w:space="0"/>
              <w:left w:val="nil"/>
              <w:bottom w:val="single" w:color="000000" w:sz="4" w:space="0"/>
              <w:right w:val="single" w:color="000000" w:sz="4" w:space="0"/>
            </w:tcBorders>
            <w:noWrap w:val="0"/>
            <w:vAlign w:val="top"/>
          </w:tcPr>
          <w:p w14:paraId="74C22D56">
            <w:pPr>
              <w:widowControl/>
              <w:spacing w:line="440" w:lineRule="exact"/>
              <w:rPr>
                <w:rFonts w:ascii="宋体" w:hAnsi="宋体"/>
                <w:color w:val="auto"/>
                <w:kern w:val="0"/>
                <w:szCs w:val="21"/>
                <w:highlight w:val="none"/>
              </w:rPr>
            </w:pPr>
          </w:p>
        </w:tc>
        <w:tc>
          <w:tcPr>
            <w:tcW w:w="945" w:type="dxa"/>
            <w:tcBorders>
              <w:top w:val="single" w:color="000000" w:sz="4" w:space="0"/>
              <w:left w:val="nil"/>
              <w:bottom w:val="single" w:color="000000" w:sz="4" w:space="0"/>
              <w:right w:val="single" w:color="000000" w:sz="4" w:space="0"/>
            </w:tcBorders>
            <w:noWrap w:val="0"/>
            <w:vAlign w:val="top"/>
          </w:tcPr>
          <w:p w14:paraId="72A153F5">
            <w:pPr>
              <w:widowControl/>
              <w:spacing w:line="440" w:lineRule="exact"/>
              <w:rPr>
                <w:rFonts w:ascii="宋体" w:hAnsi="宋体"/>
                <w:color w:val="auto"/>
                <w:kern w:val="0"/>
                <w:szCs w:val="21"/>
                <w:highlight w:val="none"/>
              </w:rPr>
            </w:pPr>
          </w:p>
        </w:tc>
        <w:tc>
          <w:tcPr>
            <w:tcW w:w="1260" w:type="dxa"/>
            <w:tcBorders>
              <w:top w:val="single" w:color="000000" w:sz="4" w:space="0"/>
              <w:left w:val="nil"/>
              <w:bottom w:val="single" w:color="000000" w:sz="4" w:space="0"/>
              <w:right w:val="single" w:color="000000" w:sz="4" w:space="0"/>
            </w:tcBorders>
            <w:noWrap w:val="0"/>
            <w:vAlign w:val="top"/>
          </w:tcPr>
          <w:p w14:paraId="30C5D3F2">
            <w:pPr>
              <w:widowControl/>
              <w:spacing w:line="440" w:lineRule="exact"/>
              <w:rPr>
                <w:rFonts w:ascii="宋体" w:hAnsi="宋体"/>
                <w:color w:val="auto"/>
                <w:kern w:val="0"/>
                <w:szCs w:val="21"/>
                <w:highlight w:val="none"/>
              </w:rPr>
            </w:pPr>
          </w:p>
        </w:tc>
      </w:tr>
      <w:tr w14:paraId="320DDCDC">
        <w:tblPrEx>
          <w:tblCellMar>
            <w:top w:w="0" w:type="dxa"/>
            <w:left w:w="108" w:type="dxa"/>
            <w:bottom w:w="0" w:type="dxa"/>
            <w:right w:w="108" w:type="dxa"/>
          </w:tblCellMar>
        </w:tblPrEx>
        <w:trPr>
          <w:trHeight w:val="599" w:hRule="atLeast"/>
        </w:trPr>
        <w:tc>
          <w:tcPr>
            <w:tcW w:w="9660" w:type="dxa"/>
            <w:gridSpan w:val="8"/>
            <w:tcBorders>
              <w:top w:val="single" w:color="000000" w:sz="4" w:space="0"/>
              <w:left w:val="single" w:color="000000" w:sz="4" w:space="0"/>
              <w:bottom w:val="single" w:color="000000" w:sz="4" w:space="0"/>
              <w:right w:val="single" w:color="000000" w:sz="4" w:space="0"/>
            </w:tcBorders>
            <w:noWrap w:val="0"/>
            <w:vAlign w:val="top"/>
          </w:tcPr>
          <w:p w14:paraId="0C61B0FE">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合同总金额（大写）人民币（¥：）</w:t>
            </w:r>
          </w:p>
        </w:tc>
      </w:tr>
    </w:tbl>
    <w:p w14:paraId="02414B7E">
      <w:pPr>
        <w:widowControl/>
        <w:spacing w:line="440" w:lineRule="exact"/>
        <w:ind w:firstLine="422" w:firstLineChars="200"/>
        <w:jc w:val="left"/>
        <w:rPr>
          <w:rFonts w:ascii="宋体" w:hAnsi="宋体"/>
          <w:color w:val="auto"/>
          <w:kern w:val="0"/>
          <w:szCs w:val="21"/>
          <w:highlight w:val="none"/>
        </w:rPr>
      </w:pPr>
      <w:r>
        <w:rPr>
          <w:rFonts w:hint="eastAsia" w:ascii="宋体" w:hAnsi="宋体"/>
          <w:b/>
          <w:bCs/>
          <w:color w:val="auto"/>
          <w:kern w:val="0"/>
          <w:szCs w:val="21"/>
          <w:highlight w:val="none"/>
        </w:rPr>
        <w:t>第二条：合同总价款</w:t>
      </w:r>
      <w:r>
        <w:rPr>
          <w:rFonts w:hint="eastAsia" w:ascii="宋体" w:hAnsi="宋体"/>
          <w:color w:val="auto"/>
          <w:kern w:val="0"/>
          <w:szCs w:val="21"/>
          <w:highlight w:val="none"/>
        </w:rPr>
        <w:t>本合同项下货物（服务）的总价款为人民币（大写）：</w:t>
      </w:r>
      <w:r>
        <w:rPr>
          <w:rFonts w:hint="eastAsia" w:ascii="宋体" w:hAnsi="宋体"/>
          <w:bCs/>
          <w:color w:val="auto"/>
          <w:kern w:val="0"/>
          <w:szCs w:val="21"/>
          <w:highlight w:val="none"/>
        </w:rPr>
        <w:t>（</w:t>
      </w:r>
      <w:r>
        <w:rPr>
          <w:rFonts w:hint="eastAsia" w:ascii="宋体" w:hAnsi="宋体"/>
          <w:color w:val="auto"/>
          <w:kern w:val="0"/>
          <w:szCs w:val="21"/>
          <w:highlight w:val="none"/>
        </w:rPr>
        <w:t>￥：</w:t>
      </w:r>
      <w:r>
        <w:rPr>
          <w:rFonts w:hint="eastAsia" w:ascii="宋体" w:hAnsi="宋体"/>
          <w:color w:val="auto"/>
          <w:kern w:val="0"/>
          <w:szCs w:val="21"/>
          <w:highlight w:val="none"/>
          <w:u w:val="single"/>
        </w:rPr>
        <w:t>　　　　　</w:t>
      </w:r>
      <w:r>
        <w:rPr>
          <w:rFonts w:hint="eastAsia" w:ascii="宋体" w:hAnsi="宋体"/>
          <w:color w:val="auto"/>
          <w:kern w:val="0"/>
          <w:szCs w:val="21"/>
          <w:highlight w:val="none"/>
        </w:rPr>
        <w:t>）。合同总价款中包含：本招标采购对象，及与之相关的</w:t>
      </w:r>
      <w:r>
        <w:rPr>
          <w:rFonts w:hint="eastAsia" w:ascii="宋体" w:hAnsi="宋体"/>
          <w:color w:val="auto"/>
          <w:szCs w:val="21"/>
          <w:highlight w:val="none"/>
        </w:rPr>
        <w:t>货物设计、制造、包装、运输、装卸、</w:t>
      </w:r>
      <w:r>
        <w:rPr>
          <w:rFonts w:hint="eastAsia" w:ascii="宋体" w:hAnsi="宋体"/>
          <w:color w:val="auto"/>
          <w:kern w:val="0"/>
          <w:szCs w:val="21"/>
          <w:highlight w:val="none"/>
        </w:rPr>
        <w:t>安装、调试、</w:t>
      </w:r>
      <w:r>
        <w:rPr>
          <w:rFonts w:hint="eastAsia" w:ascii="宋体" w:hAnsi="宋体"/>
          <w:color w:val="auto"/>
          <w:szCs w:val="21"/>
          <w:highlight w:val="none"/>
        </w:rPr>
        <w:t>质量检验、各项税费、保险费、意外事故、等</w:t>
      </w:r>
      <w:r>
        <w:rPr>
          <w:rFonts w:hint="eastAsia" w:ascii="宋体" w:hAnsi="宋体"/>
          <w:color w:val="auto"/>
          <w:kern w:val="0"/>
          <w:szCs w:val="21"/>
          <w:highlight w:val="none"/>
        </w:rPr>
        <w:t>验收合格前全部</w:t>
      </w:r>
      <w:r>
        <w:rPr>
          <w:rFonts w:hint="eastAsia" w:ascii="宋体" w:hAnsi="宋体"/>
          <w:color w:val="auto"/>
          <w:szCs w:val="21"/>
          <w:highlight w:val="none"/>
        </w:rPr>
        <w:t>费用</w:t>
      </w:r>
      <w:r>
        <w:rPr>
          <w:rFonts w:hint="eastAsia" w:ascii="宋体" w:hAnsi="宋体"/>
          <w:color w:val="auto"/>
          <w:kern w:val="0"/>
          <w:szCs w:val="21"/>
          <w:highlight w:val="none"/>
        </w:rPr>
        <w:t>，以及备品备件、专用工具、技术培训、技术资料、保修期内的各项保修和系统维护费用、相应的伴随服务和售后服务费用等。</w:t>
      </w:r>
    </w:p>
    <w:p w14:paraId="6DFD2377">
      <w:pPr>
        <w:pStyle w:val="14"/>
        <w:spacing w:line="440" w:lineRule="exact"/>
        <w:ind w:firstLine="422" w:firstLineChars="200"/>
        <w:rPr>
          <w:rFonts w:hAnsi="宋体"/>
          <w:color w:val="auto"/>
          <w:highlight w:val="none"/>
        </w:rPr>
      </w:pPr>
      <w:r>
        <w:rPr>
          <w:rFonts w:hint="eastAsia" w:hAnsi="宋体"/>
          <w:b/>
          <w:bCs/>
          <w:color w:val="auto"/>
          <w:highlight w:val="none"/>
        </w:rPr>
        <w:t>第三条：组成本合同的有关文件　　</w:t>
      </w:r>
      <w:r>
        <w:rPr>
          <w:rFonts w:hint="eastAsia" w:hAnsi="宋体"/>
          <w:color w:val="auto"/>
          <w:highlight w:val="none"/>
        </w:rPr>
        <w:t>本项目的招标文件及补充文件、乙方投标文件、中标通知书、经双方和有关监督部门同意的相关变更、补充协议、澄清确认函（如果有的话）及与本次采购活动相关的文件及附件是本合同不可分割的组成部分，与本合同具有同等法律效力。构成本合同组成部分的洽商、变更等书面协议或文件，其优先顺序应视其内容与本合同及其他文件的关系而定。</w:t>
      </w:r>
    </w:p>
    <w:p w14:paraId="62B40842">
      <w:pPr>
        <w:pStyle w:val="14"/>
        <w:spacing w:line="440" w:lineRule="exact"/>
        <w:ind w:firstLine="422" w:firstLineChars="200"/>
        <w:rPr>
          <w:rFonts w:hAnsi="宋体"/>
          <w:b/>
          <w:bCs/>
          <w:color w:val="auto"/>
          <w:highlight w:val="none"/>
        </w:rPr>
      </w:pPr>
      <w:r>
        <w:rPr>
          <w:rFonts w:hint="eastAsia" w:hAnsi="宋体"/>
          <w:b/>
          <w:bCs/>
          <w:color w:val="auto"/>
          <w:highlight w:val="none"/>
        </w:rPr>
        <w:t>第四条权利保证　　</w:t>
      </w:r>
      <w:r>
        <w:rPr>
          <w:rFonts w:hint="eastAsia" w:hAnsi="宋体"/>
          <w:color w:val="auto"/>
          <w:highlight w:val="none"/>
        </w:rPr>
        <w:t>乙方应保证甲方在使用该货物（服务）或其任何一部分时不受第三方提出侵犯其专利权、版权、商标权或其他权利的起诉。一旦出现侵权，乙方应承担全部责任。</w:t>
      </w:r>
    </w:p>
    <w:p w14:paraId="0195B332">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第五条质量保证</w:t>
      </w:r>
    </w:p>
    <w:p w14:paraId="09B0F6E4">
      <w:pPr>
        <w:widowControl/>
        <w:spacing w:line="440" w:lineRule="exact"/>
        <w:ind w:firstLine="420" w:firstLineChars="200"/>
        <w:jc w:val="left"/>
        <w:rPr>
          <w:rFonts w:ascii="宋体" w:hAnsi="宋体"/>
          <w:b/>
          <w:bCs/>
          <w:color w:val="auto"/>
          <w:kern w:val="0"/>
          <w:szCs w:val="21"/>
          <w:highlight w:val="none"/>
        </w:rPr>
      </w:pPr>
      <w:r>
        <w:rPr>
          <w:rFonts w:hint="eastAsia" w:ascii="宋体" w:hAnsi="宋体"/>
          <w:color w:val="auto"/>
          <w:kern w:val="0"/>
          <w:szCs w:val="21"/>
          <w:highlight w:val="none"/>
        </w:rPr>
        <w:t>1、乙方所提供的货物（服务）的技术规格标准应与招标文件规定的技术规格标准相一致；若技术性能标准无特殊说明，则按国家有关部门最新颁布的标准及规范为准。</w:t>
      </w:r>
    </w:p>
    <w:p w14:paraId="39C56923">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乙方应保证货物是全新、未使用过的原装合格正品，并完全符合本项目规定的质量、规格和性能的要求。乙方应保证其提供的货物在正确安装、正常使用和保养条件下，在其使用寿命期限内具有良好的性能。货物验收后，在质保期内，乙方应对由于设计、工艺或材料的缺陷所发生的任何不足或故障负责，所需费用由乙方承担。</w:t>
      </w:r>
    </w:p>
    <w:p w14:paraId="676A7F5F">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第六条包装要求</w:t>
      </w:r>
    </w:p>
    <w:p w14:paraId="05E21F13">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41F91089">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2、每一包装单元内应附详细的装箱单和质量合格凭证。</w:t>
      </w:r>
    </w:p>
    <w:p w14:paraId="7AE2738C">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第七条交货和验收</w:t>
      </w:r>
    </w:p>
    <w:p w14:paraId="1B780E30">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1、交货（服务）地点：</w:t>
      </w:r>
    </w:p>
    <w:p w14:paraId="054A9309">
      <w:pPr>
        <w:widowControl/>
        <w:spacing w:line="440" w:lineRule="exact"/>
        <w:ind w:firstLine="420" w:firstLineChars="200"/>
        <w:rPr>
          <w:rFonts w:ascii="宋体" w:hAnsi="宋体"/>
          <w:color w:val="auto"/>
          <w:kern w:val="0"/>
          <w:szCs w:val="21"/>
          <w:highlight w:val="none"/>
          <w:u w:val="single"/>
        </w:rPr>
      </w:pPr>
      <w:r>
        <w:rPr>
          <w:rFonts w:hint="eastAsia" w:ascii="宋体" w:hAnsi="宋体"/>
          <w:color w:val="auto"/>
          <w:kern w:val="0"/>
          <w:szCs w:val="21"/>
          <w:highlight w:val="none"/>
        </w:rPr>
        <w:t>2、交货（服务）期限：</w:t>
      </w:r>
      <w:r>
        <w:rPr>
          <w:rFonts w:hint="eastAsia" w:ascii="宋体" w:hAnsi="宋体"/>
          <w:color w:val="auto"/>
          <w:kern w:val="0"/>
          <w:szCs w:val="21"/>
          <w:highlight w:val="none"/>
          <w:u w:val="single"/>
        </w:rPr>
        <w:t>　　</w:t>
      </w:r>
      <w:r>
        <w:rPr>
          <w:rFonts w:hint="eastAsia" w:ascii="宋体" w:hAnsi="宋体"/>
          <w:color w:val="auto"/>
          <w:kern w:val="0"/>
          <w:szCs w:val="21"/>
          <w:highlight w:val="none"/>
        </w:rPr>
        <w:t>天，从</w:t>
      </w:r>
      <w:r>
        <w:rPr>
          <w:rFonts w:hint="eastAsia" w:ascii="宋体" w:hAnsi="宋体"/>
          <w:color w:val="auto"/>
          <w:kern w:val="0"/>
          <w:szCs w:val="21"/>
          <w:highlight w:val="none"/>
          <w:u w:val="single"/>
        </w:rPr>
        <w:t>　　　　　</w:t>
      </w:r>
      <w:r>
        <w:rPr>
          <w:rFonts w:hint="eastAsia" w:ascii="宋体" w:hAnsi="宋体"/>
          <w:color w:val="auto"/>
          <w:kern w:val="0"/>
          <w:szCs w:val="21"/>
          <w:highlight w:val="none"/>
        </w:rPr>
        <w:t>计算。</w:t>
      </w:r>
    </w:p>
    <w:p w14:paraId="5CEB5587">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3、乙方交付的货物（服务）应当完全符合本合同、招标文件及投标文件所规定的货物、数量和规格要求，不符要求的，甲方有权拒收货物，由此引起的风险，由乙方承担。</w:t>
      </w:r>
    </w:p>
    <w:p w14:paraId="5B98E2BC">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4、货物的到货验收包括：型号、规格、数量、外观质量、及货物包装是否完好。</w:t>
      </w:r>
    </w:p>
    <w:p w14:paraId="22AEF59A">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67253951">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6、甲方应当在到货后的</w:t>
      </w:r>
      <w:r>
        <w:rPr>
          <w:rFonts w:hint="eastAsia" w:ascii="宋体" w:hAnsi="宋体"/>
          <w:color w:val="auto"/>
          <w:kern w:val="0"/>
          <w:szCs w:val="21"/>
          <w:highlight w:val="none"/>
          <w:u w:val="single"/>
        </w:rPr>
        <w:t>　　　　</w:t>
      </w:r>
      <w:r>
        <w:rPr>
          <w:rFonts w:hint="eastAsia" w:ascii="宋体" w:hAnsi="宋体"/>
          <w:color w:val="auto"/>
          <w:kern w:val="0"/>
          <w:szCs w:val="21"/>
          <w:highlight w:val="none"/>
        </w:rPr>
        <w:t>日内对货物进行验收；需要乙方对货物或系统进行安装调试的，甲方应在货物安装调试完毕后的</w:t>
      </w:r>
      <w:r>
        <w:rPr>
          <w:rFonts w:hint="eastAsia" w:ascii="宋体" w:hAnsi="宋体"/>
          <w:color w:val="auto"/>
          <w:kern w:val="0"/>
          <w:szCs w:val="21"/>
          <w:highlight w:val="none"/>
          <w:u w:val="single"/>
        </w:rPr>
        <w:t>　　　　</w:t>
      </w:r>
      <w:r>
        <w:rPr>
          <w:rFonts w:hint="eastAsia" w:ascii="宋体" w:hAnsi="宋体"/>
          <w:color w:val="auto"/>
          <w:kern w:val="0"/>
          <w:szCs w:val="21"/>
          <w:highlight w:val="none"/>
        </w:rPr>
        <w:t>日内进行质量验收。验收合格的，由甲方签署验收单并加盖单位公章。招标文件对检验期限另有规定的，从其规定。</w:t>
      </w:r>
    </w:p>
    <w:p w14:paraId="5175CC2C">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7、货物和系统调试验收的标准：按行业通行标准、厂方出厂标准和乙方投标文件的承诺（详细标准可在合同附件载明，且不得低于国家相关标准）。</w:t>
      </w:r>
    </w:p>
    <w:p w14:paraId="70F7D44C">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第八条伴随服务及售后服务</w:t>
      </w:r>
    </w:p>
    <w:p w14:paraId="64396BEA">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1、乙方应按照国家有关法律法规规定和“三包”规定以及乙方对本项目的“服务承诺”提供服务。</w:t>
      </w:r>
    </w:p>
    <w:p w14:paraId="7687B3DD">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2、除前款规定外，乙方还应提供下列服务：</w:t>
      </w:r>
    </w:p>
    <w:p w14:paraId="344A0F40">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（1）货物的现场安装、调试及启动监督；</w:t>
      </w:r>
    </w:p>
    <w:p w14:paraId="0F5B781A">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（2）就货物的安装、启动、运行及维护等对甲方人员进行免费培训。</w:t>
      </w:r>
    </w:p>
    <w:p w14:paraId="51AEC475">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3、若招标文件中不包含有关伴随服务或售后服务的承诺，双方作如下约定：</w:t>
      </w:r>
    </w:p>
    <w:p w14:paraId="4C86FE51">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7BAD32C7">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3.2、货物中若包含电脑产品则由乙方提供至少年的整机保修和系统维护；若为其他货物则按生产厂家的标准执行，但不得少于</w:t>
      </w:r>
      <w:r>
        <w:rPr>
          <w:rFonts w:hint="eastAsia" w:ascii="宋体" w:hAnsi="宋体"/>
          <w:color w:val="auto"/>
          <w:kern w:val="0"/>
          <w:szCs w:val="21"/>
          <w:highlight w:val="none"/>
          <w:u w:val="single"/>
        </w:rPr>
        <w:t>1</w:t>
      </w:r>
      <w:r>
        <w:rPr>
          <w:rFonts w:hint="eastAsia" w:ascii="宋体" w:hAnsi="宋体"/>
          <w:color w:val="auto"/>
          <w:kern w:val="0"/>
          <w:szCs w:val="21"/>
          <w:highlight w:val="none"/>
        </w:rPr>
        <w:t>年（请分别列出：）；保修期自甲方在货物质量验收单上签字之日起计算，保修费用包含在合同总价中。</w:t>
      </w:r>
    </w:p>
    <w:p w14:paraId="2A97C33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3.3、免费保修期：</w:t>
      </w:r>
      <w:r>
        <w:rPr>
          <w:rFonts w:hint="eastAsia" w:ascii="宋体" w:hAnsi="宋体"/>
          <w:color w:val="auto"/>
          <w:kern w:val="0"/>
          <w:szCs w:val="21"/>
          <w:highlight w:val="none"/>
          <w:u w:val="single"/>
        </w:rPr>
        <w:t>　　　　　　　　　</w:t>
      </w:r>
      <w:r>
        <w:rPr>
          <w:rFonts w:hint="eastAsia" w:ascii="宋体" w:hAnsi="宋体"/>
          <w:color w:val="auto"/>
          <w:kern w:val="0"/>
          <w:szCs w:val="21"/>
          <w:highlight w:val="none"/>
        </w:rPr>
        <w:t>，保修期内，乙方负责对其提供的货物整机进行维修和系统维护，不再收取任何费用。</w:t>
      </w:r>
    </w:p>
    <w:p w14:paraId="2F8F8911">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3.4、货物故障报修的响应时间为：</w:t>
      </w:r>
      <w:r>
        <w:rPr>
          <w:rFonts w:hint="eastAsia" w:ascii="宋体" w:hAnsi="宋体"/>
          <w:color w:val="auto"/>
          <w:kern w:val="0"/>
          <w:szCs w:val="21"/>
          <w:highlight w:val="none"/>
          <w:u w:val="single"/>
        </w:rPr>
        <w:t>　　　　　</w:t>
      </w:r>
      <w:r>
        <w:rPr>
          <w:rFonts w:hint="eastAsia" w:ascii="宋体" w:hAnsi="宋体"/>
          <w:color w:val="auto"/>
          <w:kern w:val="0"/>
          <w:szCs w:val="21"/>
          <w:highlight w:val="none"/>
        </w:rPr>
        <w:t>小时。</w:t>
      </w:r>
    </w:p>
    <w:p w14:paraId="4E7BD7F4">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3.5、若货物故障在检修小时后仍无法排除，乙方应在48小时内免费提供不低于故障货物规格型号档次的备用货物供甲方使用，直至故障货物修复。</w:t>
      </w:r>
    </w:p>
    <w:p w14:paraId="4316492A">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3.6、所有货物保修服务方式均为乙方上门保修，即由乙方派人到货物使用现场维修，由此产生的一切费用均由乙方承担。</w:t>
      </w:r>
    </w:p>
    <w:p w14:paraId="626A86B9">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3.7、保修期以后的维修维护由双方协商再定。</w:t>
      </w:r>
    </w:p>
    <w:p w14:paraId="27B0676F">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第九条履约保证金</w:t>
      </w:r>
    </w:p>
    <w:p w14:paraId="4A69264F">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本项目不收取。</w:t>
      </w:r>
    </w:p>
    <w:p w14:paraId="07C24783">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第十条货款支付</w:t>
      </w:r>
    </w:p>
    <w:p w14:paraId="4FC85B2B">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1、付款方式（方式）。本合同项下所有款项均以人民币支付。</w:t>
      </w:r>
    </w:p>
    <w:p w14:paraId="239DBD08">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如本合同项下的采购资金系甲方自行支付，乙方向甲方开具发票，甲方在签署验收单后按付款方式约定付款。如合同项下的采购资金系财政拨款，则出具经甲方盖章确认的发票复印件、经甲方签署的验收单、合同副本等材料，按付款方式约定申请拨付款项。</w:t>
      </w:r>
    </w:p>
    <w:p w14:paraId="3903592A">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第十一条违约责任</w:t>
      </w:r>
    </w:p>
    <w:p w14:paraId="46DB0814">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1、甲方无正当理由拒绝接收货物（服务）、拒付货物（服务）款的，由甲方向乙方偿付合同总价的5%违约金。</w:t>
      </w:r>
    </w:p>
    <w:p w14:paraId="179A56F4">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2、甲方未按合同规定的期限向乙方支付货款的，每逾期1天甲方向乙方偿付</w:t>
      </w:r>
      <w:r>
        <w:rPr>
          <w:rFonts w:hint="eastAsia" w:ascii="宋体" w:hAnsi="宋体"/>
          <w:color w:val="auto"/>
          <w:kern w:val="0"/>
          <w:szCs w:val="21"/>
          <w:highlight w:val="none"/>
          <w:u w:val="single"/>
        </w:rPr>
        <w:t>　　　　</w:t>
      </w:r>
      <w:r>
        <w:rPr>
          <w:rFonts w:hint="eastAsia" w:ascii="宋体" w:hAnsi="宋体"/>
          <w:color w:val="auto"/>
          <w:kern w:val="0"/>
          <w:szCs w:val="21"/>
          <w:highlight w:val="none"/>
        </w:rPr>
        <w:t>滞纳金，但累计滞纳金总额不超过欠款总额的5%。</w:t>
      </w:r>
    </w:p>
    <w:p w14:paraId="54230499">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3、如乙方不能按约定交付货物（服务），或交付的货物（服务）质量、品种、型号、规格等不符合合同规定或有关标准，甲方有权拒收，并扣除其履约保证金；同时乙方应向甲方支付合同总价５％的违约金。</w:t>
      </w:r>
    </w:p>
    <w:p w14:paraId="713A1373">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4、乙方逾期交付货物的，每逾期1天，乙方向甲方偿付</w:t>
      </w:r>
      <w:r>
        <w:rPr>
          <w:rFonts w:hint="eastAsia" w:ascii="宋体" w:hAnsi="宋体"/>
          <w:color w:val="auto"/>
          <w:kern w:val="0"/>
          <w:szCs w:val="21"/>
          <w:highlight w:val="none"/>
          <w:u w:val="single"/>
        </w:rPr>
        <w:t>　　　　</w:t>
      </w:r>
      <w:r>
        <w:rPr>
          <w:rFonts w:hint="eastAsia" w:ascii="宋体" w:hAnsi="宋体"/>
          <w:color w:val="auto"/>
          <w:kern w:val="0"/>
          <w:szCs w:val="21"/>
          <w:highlight w:val="none"/>
        </w:rPr>
        <w:t>滞纳金。如乙方逾期交货达</w:t>
      </w:r>
      <w:r>
        <w:rPr>
          <w:rFonts w:hint="eastAsia" w:ascii="宋体" w:hAnsi="宋体"/>
          <w:color w:val="auto"/>
          <w:kern w:val="0"/>
          <w:szCs w:val="21"/>
          <w:highlight w:val="none"/>
          <w:u w:val="single"/>
        </w:rPr>
        <w:t>　　　　</w:t>
      </w:r>
      <w:r>
        <w:rPr>
          <w:rFonts w:hint="eastAsia" w:ascii="宋体" w:hAnsi="宋体"/>
          <w:color w:val="auto"/>
          <w:kern w:val="0"/>
          <w:szCs w:val="21"/>
          <w:highlight w:val="none"/>
        </w:rPr>
        <w:t>天，甲方有权解除合同，解除合同的通知自到达乙方时生效。</w:t>
      </w:r>
    </w:p>
    <w:p w14:paraId="39D5D7DC">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在乙方承诺的或国家规定的质保期内（取两者中最长的期限），如经乙方两次维修或更换，货物仍不能达到合同约定的质量标准，甲方有权退货，乙方应退回全部货款，并扣除乙方质量保证金，同时，乙方还须赔偿甲方因此遭受的损失。</w:t>
      </w:r>
    </w:p>
    <w:p w14:paraId="28F5E36F">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6、乙方违反本合同有关约定或未按“服务承诺”提供伴随服务/售后服务的，每次扣除乙方违约金</w:t>
      </w:r>
      <w:r>
        <w:rPr>
          <w:rFonts w:hint="eastAsia" w:ascii="宋体" w:hAnsi="宋体"/>
          <w:color w:val="auto"/>
          <w:kern w:val="0"/>
          <w:szCs w:val="21"/>
          <w:highlight w:val="none"/>
          <w:u w:val="single"/>
        </w:rPr>
        <w:t>　　　　　</w:t>
      </w:r>
      <w:r>
        <w:rPr>
          <w:rFonts w:hint="eastAsia" w:ascii="宋体" w:hAnsi="宋体"/>
          <w:color w:val="auto"/>
          <w:kern w:val="0"/>
          <w:szCs w:val="21"/>
          <w:highlight w:val="none"/>
        </w:rPr>
        <w:t>元（合同另有约定的从其约定）。</w:t>
      </w:r>
    </w:p>
    <w:p w14:paraId="65412D8C">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7、乙方在承担上述一项或多项违约责任后，仍应继续履行合同规定的义务（甲方解除合同的除外）。甲方未及时追究乙方的任何一项违约责任并不表明甲方放弃追究乙方该项或其他违约责任。</w:t>
      </w:r>
    </w:p>
    <w:p w14:paraId="4424E10D">
      <w:pPr>
        <w:widowControl/>
        <w:spacing w:line="440" w:lineRule="exact"/>
        <w:ind w:firstLine="422" w:firstLineChars="200"/>
        <w:jc w:val="left"/>
        <w:rPr>
          <w:rFonts w:hint="eastAsia" w:ascii="宋体" w:hAnsi="宋体"/>
          <w:b/>
          <w:bCs/>
          <w:color w:val="auto"/>
          <w:kern w:val="0"/>
          <w:szCs w:val="21"/>
          <w:highlight w:val="none"/>
        </w:rPr>
      </w:pPr>
      <w:r>
        <w:rPr>
          <w:rFonts w:hint="eastAsia" w:ascii="宋体" w:hAnsi="宋体"/>
          <w:b/>
          <w:bCs/>
          <w:color w:val="auto"/>
          <w:kern w:val="0"/>
          <w:szCs w:val="21"/>
          <w:highlight w:val="none"/>
        </w:rPr>
        <w:t>第十二条合同的变更补充，终止及转让　　</w:t>
      </w:r>
    </w:p>
    <w:p w14:paraId="39BFBA4D">
      <w:pPr>
        <w:widowControl/>
        <w:spacing w:line="440" w:lineRule="exact"/>
        <w:ind w:firstLine="420" w:firstLineChars="200"/>
        <w:jc w:val="left"/>
        <w:rPr>
          <w:rFonts w:ascii="宋体" w:hAnsi="宋体"/>
          <w:b/>
          <w:bCs/>
          <w:color w:val="auto"/>
          <w:kern w:val="0"/>
          <w:szCs w:val="21"/>
          <w:highlight w:val="none"/>
        </w:rPr>
      </w:pPr>
      <w:r>
        <w:rPr>
          <w:rFonts w:hint="eastAsia" w:ascii="宋体" w:hAnsi="宋体"/>
          <w:color w:val="auto"/>
          <w:kern w:val="0"/>
          <w:szCs w:val="21"/>
          <w:highlight w:val="none"/>
        </w:rPr>
        <w:t>除《政府采购法》第49条、第50条第二款规定的情形外，本合同一经签订，甲乙双方不得擅自变更、中止或终止合同。合同的变更和补充追加需经开封市政府采购监督管理办公室审核备案后生效。乙方不得擅自部分或全部转让其应履行的合同义务。</w:t>
      </w:r>
    </w:p>
    <w:p w14:paraId="62D7109E">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第十三条　不可抗力　　</w:t>
      </w:r>
    </w:p>
    <w:p w14:paraId="0D9EF73C">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1、</w:t>
      </w:r>
      <w:r>
        <w:rPr>
          <w:rFonts w:hint="eastAsia" w:ascii="宋体" w:hAnsi="宋体"/>
          <w:color w:val="auto"/>
          <w:kern w:val="0"/>
          <w:szCs w:val="21"/>
          <w:highlight w:val="none"/>
        </w:rPr>
        <w:t>因不可抗力造成违约的，遭受不可抗力一方应及时向对方通报不能履行或不能完全履行的理由，并在随后取得有关主管机关证明后的15日内向另一方提供不可抗力发生以及持续期间的充分证据，根据情况可部分或全部免于承担违约责任。</w:t>
      </w:r>
    </w:p>
    <w:p w14:paraId="40A17160">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2、本合同中的不可抗力指不能预见、不能避免并不能克服的客观情况。包括但不限于：自然灾害如地震、台风、洪水、火灾；政府行为、法律规定或其适用的其他任何无法预见、避免或者控制的事件（市场价格波动风险不在此列）。</w:t>
      </w:r>
    </w:p>
    <w:p w14:paraId="2602BEC0">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第十四条争议的解决</w:t>
      </w:r>
    </w:p>
    <w:p w14:paraId="38B74B74">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1、因质量问题发生争议的，应当邀请国家认可的质量检测机构进行鉴定。经鉴定符合标准的，鉴定费由甲方承担；不符合质量标准的，鉴定费由乙方承担。</w:t>
      </w:r>
    </w:p>
    <w:p w14:paraId="2B4D607F">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2、因履行本合同引起的或与本合同有关的争议，甲、乙双方应首先通过友好协商解决，如果协商不能解决争议，任何一方均可以向甲方所在地有管辖权的人民法院提起诉讼。</w:t>
      </w:r>
    </w:p>
    <w:p w14:paraId="182002B6">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第十五条合同生效及其他</w:t>
      </w:r>
    </w:p>
    <w:p w14:paraId="1038FCDB">
      <w:pPr>
        <w:widowControl/>
        <w:spacing w:line="440" w:lineRule="exact"/>
        <w:ind w:firstLine="420" w:firstLineChars="200"/>
        <w:rPr>
          <w:rFonts w:ascii="宋体" w:hAnsi="宋体"/>
          <w:b/>
          <w:bCs/>
          <w:color w:val="auto"/>
          <w:kern w:val="0"/>
          <w:szCs w:val="21"/>
          <w:highlight w:val="none"/>
        </w:rPr>
      </w:pPr>
      <w:r>
        <w:rPr>
          <w:rFonts w:hint="eastAsia" w:ascii="宋体" w:hAnsi="宋体"/>
          <w:color w:val="auto"/>
          <w:kern w:val="0"/>
          <w:szCs w:val="21"/>
          <w:highlight w:val="none"/>
        </w:rPr>
        <w:t>1、本合同未尽事宜，双方另行补充。</w:t>
      </w:r>
    </w:p>
    <w:p w14:paraId="2D87A7B0">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2、</w:t>
      </w:r>
      <w:r>
        <w:rPr>
          <w:rFonts w:hint="eastAsia" w:ascii="宋体" w:hAnsi="宋体"/>
          <w:bCs/>
          <w:color w:val="auto"/>
          <w:kern w:val="0"/>
          <w:szCs w:val="21"/>
          <w:highlight w:val="none"/>
        </w:rPr>
        <w:t>本合同一式陆份，甲、乙双方授权代表签字并盖单位公章后生效。甲方、乙方各执贰份，开封市政府采购监督管理办公室贰份，均具有同等法律效力。</w:t>
      </w:r>
    </w:p>
    <w:p w14:paraId="73C38FB1">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甲方：　乙方：</w:t>
      </w:r>
    </w:p>
    <w:p w14:paraId="5FBB4638">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单位地址：单位地址：</w:t>
      </w:r>
    </w:p>
    <w:p w14:paraId="31490B15">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法定代表人：</w:t>
      </w:r>
      <w:r>
        <w:rPr>
          <w:rFonts w:hint="eastAsia" w:ascii="宋体" w:hAnsi="宋体"/>
          <w:color w:val="auto"/>
          <w:kern w:val="0"/>
          <w:szCs w:val="21"/>
          <w:highlight w:val="none"/>
          <w:lang w:val="en-US" w:eastAsia="zh-CN"/>
        </w:rPr>
        <w:t xml:space="preserve">            </w:t>
      </w:r>
      <w:r>
        <w:rPr>
          <w:rFonts w:hint="eastAsia" w:ascii="宋体" w:hAnsi="宋体"/>
          <w:color w:val="auto"/>
          <w:kern w:val="0"/>
          <w:szCs w:val="21"/>
          <w:highlight w:val="none"/>
        </w:rPr>
        <w:t>法定代表人：</w:t>
      </w:r>
    </w:p>
    <w:p w14:paraId="392B3AB4">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委托代理人：</w:t>
      </w:r>
      <w:r>
        <w:rPr>
          <w:rFonts w:hint="eastAsia" w:ascii="宋体" w:hAnsi="宋体"/>
          <w:color w:val="auto"/>
          <w:kern w:val="0"/>
          <w:szCs w:val="21"/>
          <w:highlight w:val="none"/>
          <w:lang w:val="en-US" w:eastAsia="zh-CN"/>
        </w:rPr>
        <w:t xml:space="preserve">            </w:t>
      </w:r>
      <w:r>
        <w:rPr>
          <w:rFonts w:hint="eastAsia" w:ascii="宋体" w:hAnsi="宋体"/>
          <w:color w:val="auto"/>
          <w:kern w:val="0"/>
          <w:szCs w:val="21"/>
          <w:highlight w:val="none"/>
        </w:rPr>
        <w:t>委托代理人：</w:t>
      </w:r>
    </w:p>
    <w:p w14:paraId="77626AB1">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电话：</w:t>
      </w:r>
      <w:r>
        <w:rPr>
          <w:rFonts w:hint="eastAsia" w:ascii="宋体" w:hAnsi="宋体"/>
          <w:color w:val="auto"/>
          <w:kern w:val="0"/>
          <w:szCs w:val="21"/>
          <w:highlight w:val="none"/>
          <w:lang w:val="en-US" w:eastAsia="zh-CN"/>
        </w:rPr>
        <w:t xml:space="preserve">                  </w:t>
      </w:r>
      <w:r>
        <w:rPr>
          <w:rFonts w:hint="eastAsia" w:ascii="宋体" w:hAnsi="宋体"/>
          <w:color w:val="auto"/>
          <w:kern w:val="0"/>
          <w:szCs w:val="21"/>
          <w:highlight w:val="none"/>
        </w:rPr>
        <w:t>电话：</w:t>
      </w:r>
    </w:p>
    <w:p w14:paraId="700D03FF">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开户银行：</w:t>
      </w:r>
      <w:r>
        <w:rPr>
          <w:rFonts w:hint="eastAsia" w:ascii="宋体" w:hAnsi="宋体"/>
          <w:color w:val="auto"/>
          <w:kern w:val="0"/>
          <w:szCs w:val="21"/>
          <w:highlight w:val="none"/>
          <w:lang w:val="en-US" w:eastAsia="zh-CN"/>
        </w:rPr>
        <w:t xml:space="preserve">              </w:t>
      </w:r>
      <w:r>
        <w:rPr>
          <w:rFonts w:hint="eastAsia" w:ascii="宋体" w:hAnsi="宋体"/>
          <w:color w:val="auto"/>
          <w:kern w:val="0"/>
          <w:szCs w:val="21"/>
          <w:highlight w:val="none"/>
        </w:rPr>
        <w:t>开户银行：</w:t>
      </w:r>
    </w:p>
    <w:p w14:paraId="6AAB86D2">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账号：</w:t>
      </w:r>
      <w:r>
        <w:rPr>
          <w:rFonts w:hint="eastAsia" w:ascii="宋体" w:hAnsi="宋体"/>
          <w:color w:val="auto"/>
          <w:kern w:val="0"/>
          <w:szCs w:val="21"/>
          <w:highlight w:val="none"/>
          <w:lang w:val="en-US" w:eastAsia="zh-CN"/>
        </w:rPr>
        <w:t xml:space="preserve">                  </w:t>
      </w:r>
      <w:r>
        <w:rPr>
          <w:rFonts w:hint="eastAsia" w:ascii="宋体" w:hAnsi="宋体"/>
          <w:color w:val="auto"/>
          <w:kern w:val="0"/>
          <w:szCs w:val="21"/>
          <w:highlight w:val="none"/>
        </w:rPr>
        <w:t>账号：</w:t>
      </w:r>
    </w:p>
    <w:p w14:paraId="24B466BF">
      <w:pPr>
        <w:widowControl/>
        <w:spacing w:line="440" w:lineRule="exact"/>
        <w:ind w:firstLine="210" w:firstLineChars="100"/>
        <w:rPr>
          <w:rFonts w:ascii="宋体" w:hAnsi="宋体"/>
          <w:color w:val="auto"/>
          <w:kern w:val="0"/>
          <w:szCs w:val="21"/>
          <w:highlight w:val="none"/>
        </w:rPr>
      </w:pPr>
      <w:r>
        <w:rPr>
          <w:rFonts w:hint="eastAsia" w:ascii="宋体" w:hAnsi="宋体"/>
          <w:color w:val="auto"/>
          <w:kern w:val="0"/>
          <w:szCs w:val="21"/>
          <w:highlight w:val="none"/>
        </w:rPr>
        <w:t>年</w:t>
      </w:r>
      <w:r>
        <w:rPr>
          <w:rFonts w:hint="eastAsia" w:ascii="宋体" w:hAnsi="宋体"/>
          <w:color w:val="auto"/>
          <w:kern w:val="0"/>
          <w:szCs w:val="21"/>
          <w:highlight w:val="none"/>
          <w:lang w:val="en-US" w:eastAsia="zh-CN"/>
        </w:rPr>
        <w:t xml:space="preserve"> </w:t>
      </w:r>
      <w:r>
        <w:rPr>
          <w:rFonts w:hint="eastAsia" w:ascii="宋体" w:hAnsi="宋体"/>
          <w:color w:val="auto"/>
          <w:kern w:val="0"/>
          <w:szCs w:val="21"/>
          <w:highlight w:val="none"/>
        </w:rPr>
        <w:t>月</w:t>
      </w:r>
      <w:r>
        <w:rPr>
          <w:rFonts w:hint="eastAsia" w:ascii="宋体" w:hAnsi="宋体"/>
          <w:color w:val="auto"/>
          <w:kern w:val="0"/>
          <w:szCs w:val="21"/>
          <w:highlight w:val="none"/>
          <w:lang w:val="en-US" w:eastAsia="zh-CN"/>
        </w:rPr>
        <w:t xml:space="preserve"> </w:t>
      </w:r>
      <w:r>
        <w:rPr>
          <w:rFonts w:hint="eastAsia" w:ascii="宋体" w:hAnsi="宋体"/>
          <w:color w:val="auto"/>
          <w:kern w:val="0"/>
          <w:szCs w:val="21"/>
          <w:highlight w:val="none"/>
        </w:rPr>
        <w:t>日　　　　　　　　　　　　年</w:t>
      </w:r>
      <w:r>
        <w:rPr>
          <w:rFonts w:hint="eastAsia" w:ascii="宋体" w:hAnsi="宋体"/>
          <w:color w:val="auto"/>
          <w:kern w:val="0"/>
          <w:szCs w:val="21"/>
          <w:highlight w:val="none"/>
          <w:lang w:val="en-US" w:eastAsia="zh-CN"/>
        </w:rPr>
        <w:t xml:space="preserve"> </w:t>
      </w:r>
      <w:r>
        <w:rPr>
          <w:rFonts w:hint="eastAsia" w:ascii="宋体" w:hAnsi="宋体"/>
          <w:color w:val="auto"/>
          <w:kern w:val="0"/>
          <w:szCs w:val="21"/>
          <w:highlight w:val="none"/>
        </w:rPr>
        <w:t>月</w:t>
      </w:r>
      <w:r>
        <w:rPr>
          <w:rFonts w:hint="eastAsia" w:ascii="宋体" w:hAnsi="宋体"/>
          <w:color w:val="auto"/>
          <w:kern w:val="0"/>
          <w:szCs w:val="21"/>
          <w:highlight w:val="none"/>
          <w:lang w:val="en-US" w:eastAsia="zh-CN"/>
        </w:rPr>
        <w:t xml:space="preserve"> </w:t>
      </w:r>
      <w:r>
        <w:rPr>
          <w:rFonts w:hint="eastAsia" w:ascii="宋体" w:hAnsi="宋体"/>
          <w:color w:val="auto"/>
          <w:kern w:val="0"/>
          <w:szCs w:val="21"/>
          <w:highlight w:val="none"/>
        </w:rPr>
        <w:t>日</w:t>
      </w:r>
    </w:p>
    <w:p w14:paraId="206B949B">
      <w:pPr>
        <w:jc w:val="left"/>
        <w:rPr>
          <w:rFonts w:hint="eastAsia" w:ascii="宋体" w:hAnsi="宋体" w:cs="宋体"/>
          <w:color w:val="auto"/>
          <w:highlight w:val="none"/>
        </w:rPr>
      </w:pPr>
    </w:p>
    <w:p w14:paraId="69AF7693">
      <w:pPr>
        <w:pStyle w:val="3"/>
        <w:widowControl/>
        <w:spacing w:line="240" w:lineRule="auto"/>
        <w:ind w:right="-22"/>
        <w:jc w:val="center"/>
        <w:rPr>
          <w:rFonts w:hint="eastAsia" w:ascii="宋体" w:hAnsi="宋体" w:cs="宋体"/>
          <w:color w:val="auto"/>
          <w:sz w:val="52"/>
          <w:szCs w:val="52"/>
          <w:highlight w:val="none"/>
        </w:rPr>
      </w:pPr>
    </w:p>
    <w:p w14:paraId="0B64C7F0">
      <w:pPr>
        <w:rPr>
          <w:rFonts w:hint="eastAsia" w:ascii="宋体" w:hAnsi="宋体" w:cs="宋体"/>
          <w:color w:val="auto"/>
          <w:sz w:val="52"/>
          <w:szCs w:val="52"/>
          <w:highlight w:val="none"/>
        </w:rPr>
      </w:pPr>
      <w:r>
        <w:rPr>
          <w:rFonts w:hint="eastAsia" w:ascii="宋体" w:hAnsi="宋体" w:cs="宋体"/>
          <w:color w:val="auto"/>
          <w:sz w:val="52"/>
          <w:szCs w:val="52"/>
          <w:highlight w:val="none"/>
        </w:rPr>
        <w:br w:type="page"/>
      </w:r>
    </w:p>
    <w:p w14:paraId="3456F032">
      <w:pPr>
        <w:pStyle w:val="3"/>
        <w:widowControl/>
        <w:spacing w:line="240" w:lineRule="auto"/>
        <w:ind w:right="-22"/>
        <w:jc w:val="center"/>
        <w:rPr>
          <w:rFonts w:hint="eastAsia" w:ascii="宋体" w:hAnsi="宋体" w:cs="宋体"/>
          <w:color w:val="auto"/>
          <w:sz w:val="52"/>
          <w:szCs w:val="52"/>
          <w:highlight w:val="none"/>
        </w:rPr>
      </w:pPr>
      <w:bookmarkStart w:id="324" w:name="_Toc4355"/>
      <w:bookmarkStart w:id="325" w:name="_Toc5797"/>
      <w:r>
        <w:rPr>
          <w:rFonts w:hint="eastAsia" w:ascii="宋体" w:hAnsi="宋体" w:cs="宋体"/>
          <w:color w:val="auto"/>
          <w:sz w:val="52"/>
          <w:szCs w:val="52"/>
          <w:highlight w:val="none"/>
        </w:rPr>
        <w:t>第五章  投标文件格式</w:t>
      </w:r>
      <w:bookmarkEnd w:id="323"/>
      <w:bookmarkEnd w:id="324"/>
      <w:bookmarkEnd w:id="325"/>
    </w:p>
    <w:p w14:paraId="064975E0">
      <w:pPr>
        <w:outlineLvl w:val="0"/>
        <w:rPr>
          <w:rFonts w:hint="eastAsia" w:ascii="宋体" w:hAnsi="宋体" w:cs="宋体"/>
          <w:color w:val="auto"/>
          <w:sz w:val="52"/>
          <w:szCs w:val="52"/>
          <w:highlight w:val="none"/>
        </w:rPr>
      </w:pPr>
    </w:p>
    <w:p w14:paraId="4B3BBF55">
      <w:pPr>
        <w:pStyle w:val="37"/>
        <w:rPr>
          <w:color w:val="auto"/>
          <w:highlight w:val="none"/>
        </w:rPr>
        <w:sectPr>
          <w:headerReference r:id="rId4" w:type="default"/>
          <w:footerReference r:id="rId5" w:type="default"/>
          <w:pgSz w:w="11906" w:h="16838"/>
          <w:pgMar w:top="1440" w:right="1080" w:bottom="1440" w:left="1080" w:header="850" w:footer="964" w:gutter="0"/>
          <w:cols w:space="720" w:num="1"/>
          <w:docGrid w:type="lines" w:linePitch="312" w:charSpace="0"/>
        </w:sectPr>
      </w:pPr>
    </w:p>
    <w:p w14:paraId="4E27F91E">
      <w:pPr>
        <w:jc w:val="center"/>
        <w:rPr>
          <w:rFonts w:hint="eastAsia" w:ascii="宋体" w:hAnsi="宋体" w:eastAsia="宋体" w:cs="宋体"/>
          <w:b/>
          <w:color w:val="auto"/>
          <w:kern w:val="0"/>
          <w:sz w:val="56"/>
          <w:szCs w:val="28"/>
          <w:highlight w:val="none"/>
          <w:lang w:eastAsia="zh-CN"/>
        </w:rPr>
      </w:pPr>
      <w:r>
        <w:rPr>
          <w:rFonts w:hint="eastAsia" w:ascii="宋体" w:hAnsi="宋体" w:cs="宋体"/>
          <w:b/>
          <w:color w:val="auto"/>
          <w:sz w:val="40"/>
          <w:szCs w:val="20"/>
          <w:highlight w:val="none"/>
          <w:lang w:eastAsia="zh-CN"/>
        </w:rPr>
        <w:t>开封市人力资源和社会保障局全市2025年工伤预防普惠制宣传培训项目</w:t>
      </w:r>
    </w:p>
    <w:p w14:paraId="3AC39D09">
      <w:pPr>
        <w:jc w:val="center"/>
        <w:rPr>
          <w:rFonts w:hint="eastAsia" w:ascii="宋体" w:hAnsi="宋体" w:cs="宋体"/>
          <w:b/>
          <w:color w:val="auto"/>
          <w:kern w:val="0"/>
          <w:sz w:val="48"/>
          <w:szCs w:val="22"/>
          <w:highlight w:val="none"/>
        </w:rPr>
      </w:pPr>
    </w:p>
    <w:p w14:paraId="6E8CDA8C">
      <w:pPr>
        <w:jc w:val="center"/>
        <w:rPr>
          <w:rFonts w:hint="eastAsia" w:ascii="宋体" w:hAnsi="宋体" w:cs="宋体"/>
          <w:b/>
          <w:color w:val="auto"/>
          <w:kern w:val="0"/>
          <w:sz w:val="48"/>
          <w:szCs w:val="22"/>
          <w:highlight w:val="none"/>
        </w:rPr>
      </w:pPr>
      <w:r>
        <w:rPr>
          <w:rFonts w:hint="eastAsia" w:ascii="宋体" w:hAnsi="宋体" w:cs="宋体"/>
          <w:b/>
          <w:color w:val="auto"/>
          <w:kern w:val="0"/>
          <w:sz w:val="48"/>
          <w:szCs w:val="22"/>
          <w:highlight w:val="none"/>
        </w:rPr>
        <w:t>投标文件</w:t>
      </w:r>
    </w:p>
    <w:p w14:paraId="2CA92738">
      <w:pPr>
        <w:jc w:val="center"/>
        <w:rPr>
          <w:rFonts w:hint="eastAsia" w:ascii="宋体" w:hAnsi="宋体" w:cs="宋体"/>
          <w:bCs/>
          <w:color w:val="auto"/>
          <w:kern w:val="0"/>
          <w:sz w:val="24"/>
          <w:highlight w:val="none"/>
        </w:rPr>
      </w:pPr>
    </w:p>
    <w:p w14:paraId="70525AA5">
      <w:pPr>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项目编号：</w:t>
      </w:r>
    </w:p>
    <w:p w14:paraId="226C5AD6">
      <w:pPr>
        <w:ind w:firstLine="420" w:firstLineChars="200"/>
        <w:jc w:val="left"/>
        <w:rPr>
          <w:rFonts w:hint="eastAsia" w:ascii="宋体" w:hAnsi="宋体" w:cs="宋体"/>
          <w:color w:val="auto"/>
          <w:highlight w:val="none"/>
        </w:rPr>
      </w:pPr>
    </w:p>
    <w:p w14:paraId="31E596FD">
      <w:pPr>
        <w:ind w:firstLine="420" w:firstLineChars="200"/>
        <w:jc w:val="left"/>
        <w:rPr>
          <w:rFonts w:hint="eastAsia" w:ascii="宋体" w:hAnsi="宋体" w:cs="宋体"/>
          <w:color w:val="auto"/>
          <w:highlight w:val="none"/>
        </w:rPr>
      </w:pPr>
    </w:p>
    <w:p w14:paraId="4FDE3A2E">
      <w:pPr>
        <w:ind w:firstLine="420" w:firstLineChars="200"/>
        <w:jc w:val="left"/>
        <w:rPr>
          <w:rFonts w:hint="eastAsia" w:ascii="宋体" w:hAnsi="宋体" w:cs="宋体"/>
          <w:color w:val="auto"/>
          <w:highlight w:val="none"/>
        </w:rPr>
      </w:pPr>
    </w:p>
    <w:p w14:paraId="1B6AE17C">
      <w:pPr>
        <w:ind w:firstLine="420" w:firstLineChars="200"/>
        <w:jc w:val="left"/>
        <w:rPr>
          <w:rFonts w:hint="eastAsia" w:ascii="宋体" w:hAnsi="宋体" w:cs="宋体"/>
          <w:color w:val="auto"/>
          <w:highlight w:val="none"/>
        </w:rPr>
      </w:pPr>
    </w:p>
    <w:p w14:paraId="6E5925AA">
      <w:pPr>
        <w:ind w:firstLine="420" w:firstLineChars="200"/>
        <w:jc w:val="left"/>
        <w:rPr>
          <w:rFonts w:hint="eastAsia" w:ascii="宋体" w:hAnsi="宋体" w:cs="宋体"/>
          <w:color w:val="auto"/>
          <w:highlight w:val="none"/>
        </w:rPr>
      </w:pPr>
    </w:p>
    <w:p w14:paraId="6D06DFDE">
      <w:pPr>
        <w:ind w:firstLine="420" w:firstLineChars="200"/>
        <w:jc w:val="left"/>
        <w:rPr>
          <w:rFonts w:hint="eastAsia" w:ascii="宋体" w:hAnsi="宋体" w:cs="宋体"/>
          <w:color w:val="auto"/>
          <w:highlight w:val="none"/>
        </w:rPr>
      </w:pPr>
    </w:p>
    <w:p w14:paraId="3BC74441">
      <w:pPr>
        <w:jc w:val="left"/>
        <w:rPr>
          <w:rFonts w:hint="eastAsia" w:ascii="宋体" w:hAnsi="宋体" w:cs="宋体"/>
          <w:color w:val="auto"/>
          <w:highlight w:val="none"/>
        </w:rPr>
      </w:pPr>
    </w:p>
    <w:p w14:paraId="66924E26">
      <w:pPr>
        <w:ind w:firstLine="420" w:firstLineChars="200"/>
        <w:jc w:val="left"/>
        <w:rPr>
          <w:rFonts w:hint="eastAsia" w:ascii="宋体" w:hAnsi="宋体" w:cs="宋体"/>
          <w:color w:val="auto"/>
          <w:highlight w:val="none"/>
        </w:rPr>
      </w:pPr>
    </w:p>
    <w:p w14:paraId="15CCEE29">
      <w:pPr>
        <w:pStyle w:val="9"/>
        <w:rPr>
          <w:rFonts w:hint="eastAsia" w:ascii="宋体" w:hAnsi="宋体" w:cs="宋体"/>
          <w:color w:val="auto"/>
          <w:highlight w:val="none"/>
        </w:rPr>
      </w:pPr>
    </w:p>
    <w:p w14:paraId="71D95303">
      <w:pPr>
        <w:pStyle w:val="9"/>
        <w:rPr>
          <w:rFonts w:hint="eastAsia" w:ascii="宋体" w:hAnsi="宋体" w:cs="宋体"/>
          <w:color w:val="auto"/>
          <w:highlight w:val="none"/>
        </w:rPr>
      </w:pPr>
    </w:p>
    <w:p w14:paraId="39529C2B">
      <w:pPr>
        <w:pStyle w:val="9"/>
        <w:rPr>
          <w:rFonts w:hint="eastAsia" w:ascii="宋体" w:hAnsi="宋体" w:cs="宋体"/>
          <w:color w:val="auto"/>
          <w:highlight w:val="none"/>
        </w:rPr>
      </w:pPr>
    </w:p>
    <w:p w14:paraId="313DDDB0">
      <w:pPr>
        <w:pStyle w:val="9"/>
        <w:rPr>
          <w:rFonts w:hint="eastAsia" w:ascii="宋体" w:hAnsi="宋体" w:cs="宋体"/>
          <w:color w:val="auto"/>
          <w:highlight w:val="none"/>
        </w:rPr>
      </w:pPr>
    </w:p>
    <w:p w14:paraId="2D6E6807">
      <w:pPr>
        <w:ind w:firstLine="1687" w:firstLineChars="600"/>
        <w:rPr>
          <w:rFonts w:hint="eastAsia" w:ascii="宋体" w:hAnsi="宋体" w:cs="宋体"/>
          <w:b/>
          <w:color w:val="auto"/>
          <w:kern w:val="0"/>
          <w:sz w:val="28"/>
          <w:szCs w:val="22"/>
          <w:highlight w:val="none"/>
        </w:rPr>
      </w:pPr>
    </w:p>
    <w:p w14:paraId="7F99AC21">
      <w:pPr>
        <w:ind w:firstLine="1687" w:firstLineChars="600"/>
        <w:rPr>
          <w:rFonts w:hint="eastAsia" w:ascii="宋体" w:hAnsi="宋体" w:cs="宋体"/>
          <w:b/>
          <w:color w:val="auto"/>
          <w:kern w:val="0"/>
          <w:sz w:val="28"/>
          <w:szCs w:val="22"/>
          <w:highlight w:val="none"/>
        </w:rPr>
      </w:pPr>
      <w:r>
        <w:rPr>
          <w:rFonts w:hint="eastAsia" w:ascii="宋体" w:hAnsi="宋体" w:cs="宋体"/>
          <w:b/>
          <w:color w:val="auto"/>
          <w:kern w:val="0"/>
          <w:sz w:val="28"/>
          <w:szCs w:val="22"/>
          <w:highlight w:val="none"/>
        </w:rPr>
        <w:t>投标人名称：</w:t>
      </w:r>
      <w:r>
        <w:rPr>
          <w:rFonts w:hint="eastAsia" w:ascii="宋体" w:hAnsi="宋体" w:cs="宋体"/>
          <w:b/>
          <w:color w:val="auto"/>
          <w:kern w:val="0"/>
          <w:sz w:val="28"/>
          <w:szCs w:val="22"/>
          <w:highlight w:val="none"/>
          <w:u w:val="single"/>
        </w:rPr>
        <w:t xml:space="preserve">                       </w:t>
      </w:r>
      <w:r>
        <w:rPr>
          <w:rFonts w:hint="eastAsia" w:ascii="宋体" w:hAnsi="宋体" w:cs="宋体"/>
          <w:b/>
          <w:color w:val="auto"/>
          <w:kern w:val="0"/>
          <w:sz w:val="28"/>
          <w:szCs w:val="22"/>
          <w:highlight w:val="none"/>
        </w:rPr>
        <w:t>（盖单位电子章）</w:t>
      </w:r>
    </w:p>
    <w:p w14:paraId="456D7B27">
      <w:pPr>
        <w:ind w:firstLine="1687" w:firstLineChars="600"/>
        <w:rPr>
          <w:rFonts w:hint="eastAsia" w:ascii="宋体" w:hAnsi="宋体" w:cs="宋体"/>
          <w:b/>
          <w:color w:val="auto"/>
          <w:kern w:val="0"/>
          <w:sz w:val="28"/>
          <w:szCs w:val="22"/>
          <w:highlight w:val="none"/>
        </w:rPr>
      </w:pPr>
      <w:r>
        <w:rPr>
          <w:rFonts w:hint="eastAsia" w:ascii="宋体" w:hAnsi="宋体" w:cs="宋体"/>
          <w:b/>
          <w:color w:val="auto"/>
          <w:kern w:val="0"/>
          <w:sz w:val="28"/>
          <w:szCs w:val="22"/>
          <w:highlight w:val="none"/>
        </w:rPr>
        <w:t>法定代表人或授权委托人：</w:t>
      </w:r>
      <w:r>
        <w:rPr>
          <w:rFonts w:hint="eastAsia" w:ascii="宋体" w:hAnsi="宋体" w:cs="宋体"/>
          <w:b/>
          <w:color w:val="auto"/>
          <w:kern w:val="0"/>
          <w:sz w:val="28"/>
          <w:szCs w:val="22"/>
          <w:highlight w:val="none"/>
          <w:u w:val="single"/>
        </w:rPr>
        <w:t xml:space="preserve">     </w:t>
      </w:r>
      <w:r>
        <w:rPr>
          <w:rFonts w:hint="eastAsia" w:ascii="宋体" w:hAnsi="宋体" w:cs="宋体"/>
          <w:b/>
          <w:color w:val="auto"/>
          <w:kern w:val="0"/>
          <w:sz w:val="28"/>
          <w:szCs w:val="22"/>
          <w:highlight w:val="none"/>
        </w:rPr>
        <w:t>（个人电子签章或签名）</w:t>
      </w:r>
    </w:p>
    <w:p w14:paraId="141A691A">
      <w:pPr>
        <w:ind w:firstLine="1687" w:firstLineChars="600"/>
        <w:rPr>
          <w:rFonts w:hint="eastAsia" w:ascii="宋体" w:hAnsi="宋体" w:cs="宋体"/>
          <w:b/>
          <w:color w:val="auto"/>
          <w:highlight w:val="none"/>
        </w:rPr>
      </w:pPr>
      <w:r>
        <w:rPr>
          <w:rFonts w:hint="eastAsia" w:ascii="宋体" w:hAnsi="宋体" w:cs="宋体"/>
          <w:b/>
          <w:color w:val="auto"/>
          <w:kern w:val="0"/>
          <w:sz w:val="28"/>
          <w:szCs w:val="22"/>
          <w:highlight w:val="none"/>
        </w:rPr>
        <w:t>日      期：</w:t>
      </w:r>
      <w:r>
        <w:rPr>
          <w:rFonts w:hint="eastAsia" w:ascii="宋体" w:hAnsi="宋体" w:cs="宋体"/>
          <w:b/>
          <w:color w:val="auto"/>
          <w:kern w:val="0"/>
          <w:sz w:val="22"/>
          <w:szCs w:val="22"/>
          <w:highlight w:val="none"/>
          <w:u w:val="single"/>
        </w:rPr>
        <w:t xml:space="preserve">          </w:t>
      </w:r>
      <w:r>
        <w:rPr>
          <w:rFonts w:hint="eastAsia" w:ascii="宋体" w:hAnsi="宋体" w:cs="宋体"/>
          <w:b/>
          <w:color w:val="auto"/>
          <w:kern w:val="0"/>
          <w:sz w:val="28"/>
          <w:szCs w:val="22"/>
          <w:highlight w:val="none"/>
        </w:rPr>
        <w:t>年</w:t>
      </w:r>
      <w:r>
        <w:rPr>
          <w:rFonts w:hint="eastAsia" w:ascii="宋体" w:hAnsi="宋体" w:cs="宋体"/>
          <w:b/>
          <w:color w:val="auto"/>
          <w:kern w:val="0"/>
          <w:sz w:val="28"/>
          <w:szCs w:val="22"/>
          <w:highlight w:val="none"/>
          <w:u w:val="single"/>
        </w:rPr>
        <w:t xml:space="preserve">     </w:t>
      </w:r>
      <w:r>
        <w:rPr>
          <w:rFonts w:hint="eastAsia" w:ascii="宋体" w:hAnsi="宋体" w:cs="宋体"/>
          <w:b/>
          <w:color w:val="auto"/>
          <w:kern w:val="0"/>
          <w:sz w:val="28"/>
          <w:szCs w:val="22"/>
          <w:highlight w:val="none"/>
        </w:rPr>
        <w:t>月</w:t>
      </w:r>
      <w:r>
        <w:rPr>
          <w:rFonts w:hint="eastAsia" w:ascii="宋体" w:hAnsi="宋体" w:cs="宋体"/>
          <w:b/>
          <w:color w:val="auto"/>
          <w:kern w:val="0"/>
          <w:sz w:val="28"/>
          <w:szCs w:val="22"/>
          <w:highlight w:val="none"/>
          <w:u w:val="single"/>
        </w:rPr>
        <w:t xml:space="preserve">     </w:t>
      </w:r>
      <w:r>
        <w:rPr>
          <w:rFonts w:hint="eastAsia" w:ascii="宋体" w:hAnsi="宋体" w:cs="宋体"/>
          <w:b/>
          <w:color w:val="auto"/>
          <w:kern w:val="0"/>
          <w:sz w:val="28"/>
          <w:szCs w:val="22"/>
          <w:highlight w:val="none"/>
        </w:rPr>
        <w:t>日</w:t>
      </w:r>
    </w:p>
    <w:p w14:paraId="543ECD6E">
      <w:pPr>
        <w:rPr>
          <w:rFonts w:hint="eastAsia" w:ascii="宋体" w:hAnsi="宋体" w:cs="宋体"/>
          <w:b/>
          <w:color w:val="auto"/>
          <w:sz w:val="22"/>
          <w:szCs w:val="22"/>
          <w:highlight w:val="none"/>
        </w:rPr>
        <w:sectPr>
          <w:type w:val="continuous"/>
          <w:pgSz w:w="11906" w:h="16838"/>
          <w:pgMar w:top="1440" w:right="1080" w:bottom="1440" w:left="1080" w:header="851" w:footer="992" w:gutter="0"/>
          <w:cols w:space="720" w:num="1"/>
          <w:docGrid w:type="lines" w:linePitch="312" w:charSpace="0"/>
        </w:sectPr>
      </w:pPr>
    </w:p>
    <w:p w14:paraId="085BDDA4">
      <w:pPr>
        <w:pStyle w:val="5"/>
        <w:widowControl/>
        <w:spacing w:line="240" w:lineRule="auto"/>
        <w:jc w:val="center"/>
        <w:rPr>
          <w:rFonts w:hint="eastAsia" w:ascii="宋体" w:hAnsi="宋体" w:cs="宋体"/>
          <w:color w:val="auto"/>
          <w:sz w:val="36"/>
          <w:szCs w:val="40"/>
          <w:highlight w:val="none"/>
        </w:rPr>
      </w:pPr>
      <w:bookmarkStart w:id="326" w:name="_Toc10404"/>
      <w:bookmarkStart w:id="327" w:name="_Toc499815663"/>
      <w:bookmarkStart w:id="328" w:name="_Toc2388"/>
      <w:bookmarkStart w:id="329" w:name="_Toc184635137"/>
      <w:bookmarkStart w:id="330" w:name="_Toc18853"/>
      <w:bookmarkStart w:id="331" w:name="_Toc10498"/>
      <w:r>
        <w:rPr>
          <w:rFonts w:hint="eastAsia" w:ascii="宋体" w:hAnsi="宋体" w:cs="宋体"/>
          <w:color w:val="auto"/>
          <w:sz w:val="36"/>
          <w:szCs w:val="40"/>
          <w:highlight w:val="none"/>
        </w:rPr>
        <w:t>目  录</w:t>
      </w:r>
      <w:bookmarkEnd w:id="326"/>
      <w:bookmarkEnd w:id="327"/>
      <w:bookmarkEnd w:id="328"/>
      <w:bookmarkEnd w:id="329"/>
      <w:bookmarkEnd w:id="330"/>
      <w:bookmarkEnd w:id="331"/>
    </w:p>
    <w:p w14:paraId="4752868A">
      <w:pPr>
        <w:pStyle w:val="9"/>
        <w:widowControl/>
        <w:spacing w:after="0" w:line="360" w:lineRule="auto"/>
        <w:rPr>
          <w:rFonts w:hint="eastAsia" w:ascii="宋体" w:hAnsi="宋体" w:cs="宋体"/>
          <w:color w:val="auto"/>
          <w:highlight w:val="none"/>
        </w:rPr>
      </w:pPr>
      <w:bookmarkStart w:id="332" w:name="_Toc457735665"/>
      <w:bookmarkStart w:id="333" w:name="_Toc457735303"/>
      <w:bookmarkStart w:id="334" w:name="_Toc457761161"/>
      <w:bookmarkStart w:id="335" w:name="_Toc445450474"/>
      <w:r>
        <w:rPr>
          <w:rFonts w:hint="eastAsia"/>
          <w:color w:val="auto"/>
          <w:highlight w:val="none"/>
        </w:rPr>
        <w:fldChar w:fldCharType="begin"/>
      </w:r>
      <w:r>
        <w:rPr>
          <w:color w:val="auto"/>
          <w:highlight w:val="none"/>
        </w:rPr>
        <w:instrText xml:space="preserve"> HYPERLINK \l "_Toc32513" </w:instrText>
      </w:r>
      <w:r>
        <w:rPr>
          <w:rFonts w:hint="eastAsia"/>
          <w:color w:val="auto"/>
          <w:highlight w:val="none"/>
        </w:rPr>
        <w:fldChar w:fldCharType="separate"/>
      </w:r>
      <w:r>
        <w:rPr>
          <w:rFonts w:hint="eastAsia" w:ascii="宋体" w:hAnsi="宋体" w:cs="宋体"/>
          <w:color w:val="auto"/>
          <w:highlight w:val="none"/>
        </w:rPr>
        <w:t>一、投标函</w:t>
      </w:r>
      <w:r>
        <w:rPr>
          <w:rFonts w:hint="eastAsia" w:ascii="宋体" w:hAnsi="宋体" w:cs="宋体"/>
          <w:color w:val="auto"/>
          <w:highlight w:val="none"/>
        </w:rPr>
        <w:tab/>
      </w:r>
      <w:r>
        <w:rPr>
          <w:rFonts w:hint="eastAsia" w:ascii="宋体" w:hAnsi="宋体" w:cs="宋体"/>
          <w:color w:val="auto"/>
          <w:highlight w:val="none"/>
        </w:rPr>
        <w:fldChar w:fldCharType="end"/>
      </w:r>
    </w:p>
    <w:p w14:paraId="44002B2F">
      <w:pPr>
        <w:pStyle w:val="9"/>
        <w:widowControl/>
        <w:spacing w:after="0" w:line="360" w:lineRule="auto"/>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"_Toc3998" </w:instrText>
      </w:r>
      <w:r>
        <w:rPr>
          <w:color w:val="auto"/>
          <w:highlight w:val="none"/>
        </w:rPr>
        <w:fldChar w:fldCharType="separate"/>
      </w:r>
      <w:r>
        <w:rPr>
          <w:rFonts w:hint="eastAsia" w:ascii="宋体" w:hAnsi="宋体" w:cs="宋体"/>
          <w:color w:val="auto"/>
          <w:highlight w:val="none"/>
        </w:rPr>
        <w:t>二、投标函附录</w:t>
      </w:r>
      <w:r>
        <w:rPr>
          <w:rFonts w:hint="eastAsia" w:ascii="宋体" w:hAnsi="宋体" w:cs="宋体"/>
          <w:color w:val="auto"/>
          <w:highlight w:val="none"/>
        </w:rPr>
        <w:tab/>
      </w:r>
      <w:r>
        <w:rPr>
          <w:rFonts w:hint="eastAsia" w:ascii="宋体" w:hAnsi="宋体" w:cs="宋体"/>
          <w:color w:val="auto"/>
          <w:highlight w:val="none"/>
        </w:rPr>
        <w:fldChar w:fldCharType="end"/>
      </w:r>
    </w:p>
    <w:p w14:paraId="558575C0">
      <w:pPr>
        <w:pStyle w:val="9"/>
        <w:widowControl/>
        <w:spacing w:after="0" w:line="360" w:lineRule="auto"/>
        <w:rPr>
          <w:rFonts w:hint="eastAsia" w:ascii="宋体" w:hAnsi="宋体" w:cs="宋体"/>
          <w:color w:val="auto"/>
          <w:highlight w:val="none"/>
        </w:rPr>
      </w:pPr>
      <w:r>
        <w:rPr>
          <w:rFonts w:hint="eastAsia"/>
          <w:color w:val="auto"/>
          <w:highlight w:val="none"/>
        </w:rPr>
        <w:t>三、</w:t>
      </w:r>
      <w:r>
        <w:rPr>
          <w:color w:val="auto"/>
          <w:highlight w:val="none"/>
        </w:rPr>
        <w:fldChar w:fldCharType="begin"/>
      </w:r>
      <w:r>
        <w:rPr>
          <w:color w:val="auto"/>
          <w:highlight w:val="none"/>
        </w:rPr>
        <w:instrText xml:space="preserve"> HYPERLINK \l "_Toc24941" </w:instrText>
      </w:r>
      <w:r>
        <w:rPr>
          <w:color w:val="auto"/>
          <w:highlight w:val="none"/>
        </w:rPr>
        <w:fldChar w:fldCharType="separate"/>
      </w:r>
      <w:r>
        <w:rPr>
          <w:rFonts w:hint="eastAsia" w:ascii="宋体" w:hAnsi="宋体" w:cs="宋体"/>
          <w:color w:val="auto"/>
          <w:highlight w:val="none"/>
        </w:rPr>
        <w:t>法定代表人身份证明</w:t>
      </w:r>
      <w:r>
        <w:rPr>
          <w:rFonts w:hint="eastAsia" w:ascii="宋体" w:hAnsi="宋体" w:cs="宋体"/>
          <w:color w:val="auto"/>
          <w:highlight w:val="none"/>
        </w:rPr>
        <w:tab/>
      </w:r>
      <w:r>
        <w:rPr>
          <w:rFonts w:hint="eastAsia" w:ascii="宋体" w:hAnsi="宋体" w:cs="宋体"/>
          <w:color w:val="auto"/>
          <w:highlight w:val="none"/>
        </w:rPr>
        <w:fldChar w:fldCharType="end"/>
      </w:r>
    </w:p>
    <w:p w14:paraId="7C03321E">
      <w:pPr>
        <w:pStyle w:val="9"/>
        <w:widowControl/>
        <w:spacing w:after="0" w:line="360" w:lineRule="auto"/>
        <w:rPr>
          <w:rFonts w:hint="eastAsia" w:ascii="宋体" w:hAnsi="宋体" w:cs="宋体"/>
          <w:color w:val="auto"/>
          <w:highlight w:val="none"/>
        </w:rPr>
      </w:pPr>
      <w:r>
        <w:rPr>
          <w:rFonts w:hint="eastAsia"/>
          <w:color w:val="auto"/>
          <w:highlight w:val="none"/>
        </w:rPr>
        <w:t>四、</w:t>
      </w:r>
      <w:r>
        <w:rPr>
          <w:color w:val="auto"/>
          <w:highlight w:val="none"/>
        </w:rPr>
        <w:fldChar w:fldCharType="begin"/>
      </w:r>
      <w:r>
        <w:rPr>
          <w:color w:val="auto"/>
          <w:highlight w:val="none"/>
        </w:rPr>
        <w:instrText xml:space="preserve"> HYPERLINK \l "_Toc28345" </w:instrText>
      </w:r>
      <w:r>
        <w:rPr>
          <w:color w:val="auto"/>
          <w:highlight w:val="none"/>
        </w:rPr>
        <w:fldChar w:fldCharType="separate"/>
      </w:r>
      <w:r>
        <w:rPr>
          <w:rFonts w:hint="eastAsia" w:ascii="宋体" w:hAnsi="宋体" w:cs="宋体"/>
          <w:color w:val="auto"/>
          <w:highlight w:val="none"/>
        </w:rPr>
        <w:t>法定代表人授权书</w:t>
      </w:r>
      <w:r>
        <w:rPr>
          <w:rFonts w:hint="eastAsia" w:ascii="宋体" w:hAnsi="宋体" w:cs="宋体"/>
          <w:color w:val="auto"/>
          <w:highlight w:val="none"/>
        </w:rPr>
        <w:tab/>
      </w:r>
      <w:r>
        <w:rPr>
          <w:rFonts w:hint="eastAsia" w:ascii="宋体" w:hAnsi="宋体" w:cs="宋体"/>
          <w:color w:val="auto"/>
          <w:highlight w:val="none"/>
        </w:rPr>
        <w:fldChar w:fldCharType="end"/>
      </w:r>
    </w:p>
    <w:p w14:paraId="21A6B444">
      <w:pPr>
        <w:pStyle w:val="9"/>
        <w:widowControl/>
        <w:spacing w:after="0" w:line="360" w:lineRule="auto"/>
        <w:rPr>
          <w:rFonts w:hint="eastAsia" w:ascii="宋体" w:hAnsi="宋体" w:cs="宋体"/>
          <w:color w:val="auto"/>
          <w:highlight w:val="none"/>
        </w:rPr>
      </w:pPr>
      <w:r>
        <w:rPr>
          <w:rFonts w:hint="eastAsia"/>
          <w:color w:val="auto"/>
          <w:highlight w:val="none"/>
        </w:rPr>
        <w:t>五、</w:t>
      </w:r>
      <w:r>
        <w:rPr>
          <w:color w:val="auto"/>
          <w:highlight w:val="none"/>
        </w:rPr>
        <w:fldChar w:fldCharType="begin"/>
      </w:r>
      <w:r>
        <w:rPr>
          <w:color w:val="auto"/>
          <w:highlight w:val="none"/>
        </w:rPr>
        <w:instrText xml:space="preserve"> HYPERLINK \l "_Toc21914" </w:instrText>
      </w:r>
      <w:r>
        <w:rPr>
          <w:color w:val="auto"/>
          <w:highlight w:val="none"/>
        </w:rPr>
        <w:fldChar w:fldCharType="separate"/>
      </w:r>
      <w:r>
        <w:rPr>
          <w:rFonts w:hint="eastAsia" w:ascii="宋体" w:hAnsi="宋体" w:cs="宋体"/>
          <w:color w:val="auto"/>
          <w:highlight w:val="none"/>
        </w:rPr>
        <w:t>投标人资格证明文件</w:t>
      </w:r>
      <w:r>
        <w:rPr>
          <w:rFonts w:hint="eastAsia" w:ascii="宋体" w:hAnsi="宋体" w:cs="宋体"/>
          <w:color w:val="auto"/>
          <w:highlight w:val="none"/>
        </w:rPr>
        <w:tab/>
      </w:r>
      <w:r>
        <w:rPr>
          <w:rFonts w:hint="eastAsia" w:ascii="宋体" w:hAnsi="宋体" w:cs="宋体"/>
          <w:color w:val="auto"/>
          <w:highlight w:val="none"/>
        </w:rPr>
        <w:fldChar w:fldCharType="end"/>
      </w:r>
    </w:p>
    <w:p w14:paraId="135E68DA">
      <w:pPr>
        <w:spacing w:line="360" w:lineRule="auto"/>
        <w:rPr>
          <w:color w:val="auto"/>
          <w:highlight w:val="none"/>
        </w:rPr>
      </w:pPr>
      <w:r>
        <w:rPr>
          <w:rFonts w:hint="eastAsia"/>
          <w:color w:val="auto"/>
          <w:highlight w:val="none"/>
        </w:rPr>
        <w:t>六、反商业贿赂承诺书</w:t>
      </w:r>
    </w:p>
    <w:p w14:paraId="27E92600">
      <w:pPr>
        <w:spacing w:line="360" w:lineRule="auto"/>
        <w:rPr>
          <w:color w:val="auto"/>
          <w:highlight w:val="none"/>
        </w:rPr>
      </w:pPr>
      <w:r>
        <w:rPr>
          <w:rFonts w:hint="eastAsia"/>
          <w:color w:val="auto"/>
          <w:highlight w:val="none"/>
        </w:rPr>
        <w:t>七、技术部分</w:t>
      </w:r>
    </w:p>
    <w:p w14:paraId="36638752">
      <w:pPr>
        <w:pStyle w:val="37"/>
        <w:spacing w:line="360" w:lineRule="auto"/>
        <w:rPr>
          <w:rFonts w:ascii="Times New Roman" w:cs="Times New Roman"/>
          <w:color w:val="auto"/>
          <w:sz w:val="21"/>
          <w:highlight w:val="none"/>
        </w:rPr>
      </w:pPr>
      <w:r>
        <w:rPr>
          <w:rFonts w:hint="eastAsia" w:ascii="Times New Roman" w:cs="Times New Roman"/>
          <w:color w:val="auto"/>
          <w:sz w:val="21"/>
          <w:highlight w:val="none"/>
        </w:rPr>
        <w:t>八、商务部分</w:t>
      </w:r>
    </w:p>
    <w:p w14:paraId="234B2CE8">
      <w:pPr>
        <w:pStyle w:val="9"/>
        <w:widowControl/>
        <w:spacing w:after="0" w:line="360" w:lineRule="auto"/>
        <w:rPr>
          <w:color w:val="auto"/>
          <w:highlight w:val="none"/>
        </w:rPr>
      </w:pPr>
      <w:r>
        <w:rPr>
          <w:rFonts w:hint="eastAsia"/>
          <w:color w:val="auto"/>
          <w:highlight w:val="none"/>
        </w:rPr>
        <w:t>九、招标文件要求的其他材料及投标人认为有必要提供的材料</w:t>
      </w:r>
    </w:p>
    <w:p w14:paraId="16068B23">
      <w:pPr>
        <w:spacing w:line="360" w:lineRule="auto"/>
        <w:rPr>
          <w:color w:val="auto"/>
          <w:highlight w:val="none"/>
        </w:rPr>
      </w:pPr>
      <w:r>
        <w:rPr>
          <w:rFonts w:hint="eastAsia"/>
          <w:color w:val="auto"/>
          <w:highlight w:val="none"/>
        </w:rPr>
        <w:t>十、政府采购政策</w:t>
      </w:r>
    </w:p>
    <w:p w14:paraId="141482CD">
      <w:pPr>
        <w:pStyle w:val="4"/>
        <w:widowControl/>
        <w:spacing w:line="240" w:lineRule="auto"/>
        <w:jc w:val="center"/>
        <w:rPr>
          <w:rFonts w:hint="eastAsia" w:ascii="宋体" w:hAnsi="宋体" w:eastAsia="宋体" w:cs="宋体"/>
          <w:color w:val="auto"/>
          <w:sz w:val="28"/>
          <w:szCs w:val="28"/>
          <w:highlight w:val="none"/>
        </w:rPr>
      </w:pPr>
    </w:p>
    <w:p w14:paraId="71EAB814">
      <w:pPr>
        <w:pStyle w:val="4"/>
        <w:widowControl/>
        <w:spacing w:line="240" w:lineRule="auto"/>
        <w:jc w:val="center"/>
        <w:rPr>
          <w:rFonts w:hint="eastAsia" w:ascii="宋体" w:hAnsi="宋体" w:eastAsia="宋体" w:cs="宋体"/>
          <w:color w:val="auto"/>
          <w:sz w:val="28"/>
          <w:szCs w:val="28"/>
          <w:highlight w:val="none"/>
        </w:rPr>
      </w:pPr>
    </w:p>
    <w:p w14:paraId="54A4CDA7">
      <w:pPr>
        <w:pStyle w:val="4"/>
        <w:widowControl/>
        <w:spacing w:line="240" w:lineRule="auto"/>
        <w:jc w:val="center"/>
        <w:rPr>
          <w:rFonts w:hint="eastAsia" w:ascii="宋体" w:hAnsi="宋体" w:eastAsia="宋体" w:cs="宋体"/>
          <w:color w:val="auto"/>
          <w:sz w:val="28"/>
          <w:szCs w:val="28"/>
          <w:highlight w:val="none"/>
        </w:rPr>
      </w:pPr>
    </w:p>
    <w:p w14:paraId="51725935">
      <w:pPr>
        <w:pStyle w:val="4"/>
        <w:widowControl/>
        <w:spacing w:line="24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2AD5226B">
      <w:pPr>
        <w:pStyle w:val="4"/>
        <w:widowControl/>
        <w:spacing w:line="240" w:lineRule="auto"/>
        <w:ind w:firstLine="420"/>
        <w:jc w:val="center"/>
        <w:rPr>
          <w:rFonts w:hint="eastAsia" w:ascii="宋体" w:hAnsi="宋体" w:eastAsia="宋体" w:cs="宋体"/>
          <w:color w:val="auto"/>
          <w:sz w:val="28"/>
          <w:szCs w:val="28"/>
          <w:highlight w:val="none"/>
        </w:rPr>
      </w:pPr>
      <w:bookmarkStart w:id="336" w:name="_Toc32725"/>
      <w:bookmarkStart w:id="337" w:name="_Toc20162"/>
      <w:r>
        <w:rPr>
          <w:rFonts w:hint="eastAsia" w:ascii="宋体" w:hAnsi="宋体" w:eastAsia="宋体" w:cs="宋体"/>
          <w:color w:val="auto"/>
          <w:sz w:val="28"/>
          <w:szCs w:val="28"/>
          <w:highlight w:val="none"/>
        </w:rPr>
        <w:t>一、</w:t>
      </w:r>
      <w:bookmarkEnd w:id="332"/>
      <w:bookmarkEnd w:id="333"/>
      <w:bookmarkEnd w:id="334"/>
      <w:bookmarkEnd w:id="335"/>
      <w:bookmarkEnd w:id="336"/>
      <w:r>
        <w:rPr>
          <w:rFonts w:hint="eastAsia" w:ascii="宋体" w:hAnsi="宋体" w:eastAsia="宋体" w:cs="宋体"/>
          <w:color w:val="auto"/>
          <w:sz w:val="28"/>
          <w:szCs w:val="28"/>
          <w:highlight w:val="none"/>
        </w:rPr>
        <w:t>投标函</w:t>
      </w:r>
      <w:bookmarkEnd w:id="337"/>
    </w:p>
    <w:p w14:paraId="4D962662">
      <w:pPr>
        <w:pStyle w:val="9"/>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（招标人） </w:t>
      </w:r>
    </w:p>
    <w:p w14:paraId="144B4A55">
      <w:pPr>
        <w:spacing w:line="360" w:lineRule="auto"/>
        <w:ind w:left="420"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我方已仔细阅读并研究了</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（项目名称）招标文件的全部内容（包含本项目的所有补遗、澄清和变更资料），我们完全熟悉其中的要求、条款和条件。愿意以人民币（大写）：</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，小写：</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元的报价，</w:t>
      </w:r>
      <w:r>
        <w:rPr>
          <w:rFonts w:hint="eastAsia" w:ascii="宋体" w:hAnsi="宋体" w:cs="Arial"/>
          <w:color w:val="auto"/>
          <w:kern w:val="0"/>
          <w:szCs w:val="21"/>
          <w:highlight w:val="none"/>
        </w:rPr>
        <w:t>服务期限</w:t>
      </w:r>
      <w:r>
        <w:rPr>
          <w:rFonts w:hint="eastAsia" w:ascii="宋体" w:hAnsi="宋体" w:cs="宋体"/>
          <w:color w:val="auto"/>
          <w:kern w:val="0"/>
          <w:szCs w:val="21"/>
          <w:highlight w:val="none"/>
        </w:rPr>
        <w:t>：</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，质量要求：</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，按招标文件要求对完成本项目全生命周期内的相应工作。</w:t>
      </w:r>
    </w:p>
    <w:p w14:paraId="276F525B">
      <w:pPr>
        <w:spacing w:line="360" w:lineRule="auto"/>
        <w:ind w:left="420"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同时做出以下声明：</w:t>
      </w:r>
    </w:p>
    <w:p w14:paraId="74B73EBA">
      <w:pPr>
        <w:spacing w:line="360" w:lineRule="auto"/>
        <w:ind w:left="420"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1.我方按招标文件的要求编制投标文件。</w:t>
      </w:r>
    </w:p>
    <w:p w14:paraId="34EE6553">
      <w:pPr>
        <w:spacing w:line="360" w:lineRule="auto"/>
        <w:ind w:left="420"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2.我方投标有效期为：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w:t>
      </w:r>
    </w:p>
    <w:p w14:paraId="38B1EF74">
      <w:pPr>
        <w:spacing w:line="360" w:lineRule="auto"/>
        <w:ind w:left="420"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3.我方承诺与招标人聘请的为此项目提供咨询服务的公司及任何附属机构均无关联，我方不是招标人的附属机构。</w:t>
      </w:r>
    </w:p>
    <w:p w14:paraId="1D3C07DD">
      <w:pPr>
        <w:spacing w:line="360" w:lineRule="auto"/>
        <w:ind w:left="420"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4.我方将按招标文件的规定履行合同责任和义务。</w:t>
      </w:r>
    </w:p>
    <w:p w14:paraId="23067125">
      <w:pPr>
        <w:spacing w:line="360" w:lineRule="auto"/>
        <w:ind w:left="420"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5.我方同意提供贵方可能要求的与其投标有关的一切数据或资料。</w:t>
      </w:r>
    </w:p>
    <w:p w14:paraId="492F5356">
      <w:pPr>
        <w:spacing w:line="360" w:lineRule="auto"/>
        <w:ind w:left="420"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6.我方完全理解贵方不一定接受最低价的响应或收到的任何响应。</w:t>
      </w:r>
    </w:p>
    <w:p w14:paraId="379CDB3E">
      <w:pPr>
        <w:spacing w:line="360" w:lineRule="auto"/>
        <w:ind w:left="420"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7.我方承诺不泄露投标活动中获取的项目信息、商业秘密。</w:t>
      </w:r>
    </w:p>
    <w:p w14:paraId="17939A90">
      <w:pPr>
        <w:spacing w:line="360" w:lineRule="auto"/>
        <w:ind w:left="420"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8.我方在此声明，所递交的投标文件及有关资料内容完整、真实和准确。</w:t>
      </w:r>
    </w:p>
    <w:p w14:paraId="149D5344">
      <w:pPr>
        <w:spacing w:line="360" w:lineRule="auto"/>
        <w:ind w:left="420"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9.</w:t>
      </w:r>
      <w:r>
        <w:rPr>
          <w:rFonts w:hint="eastAsia" w:ascii="宋体" w:hAnsi="宋体" w:cs="宋体"/>
          <w:color w:val="auto"/>
          <w:szCs w:val="21"/>
          <w:highlight w:val="none"/>
        </w:rPr>
        <w:t xml:space="preserve">我公司如果中标，保证按招标文件要求向招标代理机构全额缴纳招标代理服务费。 </w:t>
      </w:r>
    </w:p>
    <w:p w14:paraId="72902015">
      <w:pPr>
        <w:pStyle w:val="9"/>
        <w:widowControl/>
        <w:tabs>
          <w:tab w:val="left" w:pos="4475"/>
          <w:tab w:val="left" w:pos="4706"/>
          <w:tab w:val="left" w:pos="5392"/>
          <w:tab w:val="left" w:pos="8498"/>
        </w:tabs>
        <w:spacing w:before="26" w:line="360" w:lineRule="auto"/>
        <w:ind w:left="562" w:right="507" w:firstLine="419"/>
        <w:rPr>
          <w:rFonts w:hint="eastAsia" w:ascii="宋体" w:hAnsi="宋体" w:cs="宋体"/>
          <w:color w:val="auto"/>
          <w:szCs w:val="21"/>
          <w:highlight w:val="none"/>
        </w:rPr>
      </w:pPr>
    </w:p>
    <w:p w14:paraId="1E2BB14E">
      <w:pPr>
        <w:spacing w:line="360" w:lineRule="auto"/>
        <w:ind w:firstLine="420"/>
        <w:jc w:val="left"/>
        <w:rPr>
          <w:rFonts w:hint="eastAsia" w:ascii="宋体" w:hAnsi="宋体" w:cs="宋体"/>
          <w:color w:val="auto"/>
          <w:sz w:val="20"/>
          <w:szCs w:val="20"/>
          <w:highlight w:val="none"/>
        </w:rPr>
      </w:pPr>
    </w:p>
    <w:p w14:paraId="0D3DB190">
      <w:pPr>
        <w:spacing w:line="360" w:lineRule="auto"/>
        <w:ind w:firstLine="420"/>
        <w:jc w:val="left"/>
        <w:rPr>
          <w:rFonts w:hint="eastAsia" w:ascii="宋体" w:hAnsi="宋体" w:cs="宋体"/>
          <w:color w:val="auto"/>
          <w:sz w:val="20"/>
          <w:szCs w:val="20"/>
          <w:highlight w:val="none"/>
        </w:rPr>
      </w:pPr>
    </w:p>
    <w:p w14:paraId="12D1ABF2">
      <w:pPr>
        <w:spacing w:line="360" w:lineRule="auto"/>
        <w:ind w:firstLine="420"/>
        <w:jc w:val="left"/>
        <w:rPr>
          <w:rFonts w:hint="eastAsia" w:ascii="宋体" w:hAnsi="宋体" w:cs="宋体"/>
          <w:color w:val="auto"/>
          <w:sz w:val="20"/>
          <w:szCs w:val="20"/>
          <w:highlight w:val="none"/>
        </w:rPr>
      </w:pPr>
    </w:p>
    <w:p w14:paraId="10BE1319">
      <w:pPr>
        <w:tabs>
          <w:tab w:val="left" w:pos="1155"/>
        </w:tabs>
        <w:spacing w:line="360" w:lineRule="auto"/>
        <w:ind w:right="440" w:firstLine="3154" w:firstLineChars="1502"/>
        <w:jc w:val="right"/>
        <w:rPr>
          <w:rFonts w:ascii="宋体"/>
          <w:color w:val="auto"/>
          <w:szCs w:val="21"/>
          <w:highlight w:val="none"/>
        </w:rPr>
      </w:pPr>
      <w:r>
        <w:rPr>
          <w:rFonts w:hint="eastAsia" w:ascii="宋体" w:hAnsi="宋体"/>
          <w:color w:val="auto"/>
          <w:szCs w:val="21"/>
          <w:highlight w:val="none"/>
        </w:rPr>
        <w:t>投标人名称：</w:t>
      </w:r>
      <w:r>
        <w:rPr>
          <w:rFonts w:hint="eastAsia" w:ascii="宋体" w:hAnsi="宋体"/>
          <w:color w:val="auto"/>
          <w:szCs w:val="21"/>
          <w:highlight w:val="none"/>
          <w:u w:val="single"/>
        </w:rPr>
        <w:t xml:space="preserve">               </w:t>
      </w:r>
      <w:r>
        <w:rPr>
          <w:rFonts w:hint="eastAsia" w:ascii="宋体" w:hAnsi="宋体"/>
          <w:color w:val="auto"/>
          <w:szCs w:val="21"/>
          <w:highlight w:val="none"/>
        </w:rPr>
        <w:t>（盖单位电子章）</w:t>
      </w:r>
    </w:p>
    <w:p w14:paraId="66EF51B0">
      <w:pPr>
        <w:spacing w:line="360" w:lineRule="auto"/>
        <w:ind w:firstLine="3154" w:firstLineChars="1502"/>
        <w:jc w:val="right"/>
        <w:rPr>
          <w:rFonts w:ascii="宋体"/>
          <w:color w:val="auto"/>
          <w:szCs w:val="21"/>
          <w:highlight w:val="none"/>
        </w:rPr>
      </w:pPr>
      <w:r>
        <w:rPr>
          <w:rFonts w:hint="eastAsia" w:ascii="宋体" w:hAnsi="宋体"/>
          <w:color w:val="auto"/>
          <w:szCs w:val="21"/>
          <w:highlight w:val="none"/>
        </w:rPr>
        <w:t>法定代表人或授权委托人：</w:t>
      </w:r>
      <w:r>
        <w:rPr>
          <w:rFonts w:hint="eastAsia" w:ascii="宋体" w:hAnsi="宋体"/>
          <w:color w:val="auto"/>
          <w:szCs w:val="21"/>
          <w:highlight w:val="none"/>
          <w:u w:val="single"/>
        </w:rPr>
        <w:t xml:space="preserve">     </w:t>
      </w:r>
      <w:r>
        <w:rPr>
          <w:rFonts w:hint="eastAsia" w:ascii="宋体" w:hAnsi="宋体"/>
          <w:color w:val="auto"/>
          <w:szCs w:val="21"/>
          <w:highlight w:val="none"/>
        </w:rPr>
        <w:t>（个人电子签章或签名）</w:t>
      </w:r>
    </w:p>
    <w:p w14:paraId="061DC234">
      <w:pPr>
        <w:spacing w:line="360" w:lineRule="auto"/>
        <w:ind w:right="860" w:firstLine="3154" w:firstLineChars="1502"/>
        <w:jc w:val="right"/>
        <w:rPr>
          <w:rFonts w:ascii="宋体"/>
          <w:color w:val="auto"/>
          <w:szCs w:val="21"/>
          <w:highlight w:val="none"/>
        </w:rPr>
      </w:pPr>
      <w:r>
        <w:rPr>
          <w:rFonts w:hint="eastAsia" w:ascii="宋体" w:hAnsi="宋体"/>
          <w:color w:val="auto"/>
          <w:szCs w:val="21"/>
          <w:highlight w:val="none"/>
        </w:rPr>
        <w:t>年    月    日</w:t>
      </w:r>
    </w:p>
    <w:p w14:paraId="3EB002A2">
      <w:pPr>
        <w:pStyle w:val="11"/>
        <w:ind w:left="0" w:leftChars="0" w:firstLine="420" w:firstLineChars="200"/>
        <w:jc w:val="left"/>
        <w:rPr>
          <w:rFonts w:hint="eastAsia" w:ascii="宋体" w:hAnsi="宋体" w:cs="宋体"/>
          <w:color w:val="auto"/>
          <w:szCs w:val="21"/>
          <w:highlight w:val="none"/>
        </w:rPr>
      </w:pPr>
    </w:p>
    <w:p w14:paraId="0161CE1B">
      <w:pPr>
        <w:pStyle w:val="9"/>
        <w:widowControl/>
        <w:jc w:val="center"/>
        <w:outlineLvl w:val="1"/>
        <w:rPr>
          <w:rFonts w:hint="eastAsia" w:ascii="宋体" w:hAnsi="宋体" w:cs="宋体"/>
          <w:b/>
          <w:bCs/>
          <w:color w:val="auto"/>
          <w:sz w:val="28"/>
          <w:szCs w:val="28"/>
          <w:highlight w:val="none"/>
        </w:rPr>
      </w:pPr>
      <w:r>
        <w:rPr>
          <w:rFonts w:hint="eastAsia" w:ascii="宋体" w:hAnsi="宋体" w:cs="宋体"/>
          <w:color w:val="auto"/>
          <w:highlight w:val="none"/>
        </w:rPr>
        <w:br w:type="page"/>
      </w:r>
      <w:bookmarkStart w:id="338" w:name="_Toc445450475"/>
      <w:bookmarkStart w:id="339" w:name="_Toc31171"/>
      <w:bookmarkStart w:id="340" w:name="_Toc26261"/>
      <w:bookmarkStart w:id="341" w:name="_Toc457761162"/>
      <w:bookmarkStart w:id="342" w:name="_Toc457735304"/>
      <w:bookmarkStart w:id="343" w:name="_Toc457735666"/>
      <w:r>
        <w:rPr>
          <w:rFonts w:hint="eastAsia" w:ascii="宋体" w:hAnsi="宋体" w:cs="宋体"/>
          <w:b/>
          <w:bCs/>
          <w:color w:val="auto"/>
          <w:sz w:val="28"/>
          <w:szCs w:val="28"/>
          <w:highlight w:val="none"/>
        </w:rPr>
        <w:t>二、投标函附录</w:t>
      </w:r>
      <w:bookmarkEnd w:id="338"/>
      <w:bookmarkEnd w:id="339"/>
      <w:bookmarkEnd w:id="340"/>
      <w:bookmarkEnd w:id="341"/>
      <w:bookmarkEnd w:id="342"/>
      <w:bookmarkEnd w:id="343"/>
    </w:p>
    <w:tbl>
      <w:tblPr>
        <w:tblStyle w:val="28"/>
        <w:tblW w:w="9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5"/>
        <w:gridCol w:w="1281"/>
        <w:gridCol w:w="4624"/>
      </w:tblGrid>
      <w:tr w14:paraId="31BF3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3195" w:type="dxa"/>
            <w:tcBorders>
              <w:top w:val="single" w:color="auto" w:sz="4" w:space="0"/>
              <w:left w:val="single" w:color="auto" w:sz="4" w:space="0"/>
              <w:bottom w:val="single" w:color="auto" w:sz="4" w:space="0"/>
              <w:right w:val="single" w:color="auto" w:sz="4" w:space="0"/>
            </w:tcBorders>
            <w:vAlign w:val="center"/>
          </w:tcPr>
          <w:p w14:paraId="202C9FB4">
            <w:pPr>
              <w:jc w:val="center"/>
              <w:rPr>
                <w:rFonts w:hint="eastAsia" w:ascii="宋体" w:hAnsi="宋体" w:cs="宋体"/>
                <w:color w:val="auto"/>
                <w:szCs w:val="21"/>
                <w:highlight w:val="none"/>
              </w:rPr>
            </w:pPr>
            <w:r>
              <w:rPr>
                <w:rFonts w:hint="eastAsia" w:ascii="宋体" w:hAnsi="宋体" w:cs="宋体"/>
                <w:color w:val="auto"/>
                <w:szCs w:val="21"/>
                <w:highlight w:val="none"/>
              </w:rPr>
              <w:t>项目名称</w:t>
            </w:r>
          </w:p>
        </w:tc>
        <w:tc>
          <w:tcPr>
            <w:tcW w:w="5905" w:type="dxa"/>
            <w:gridSpan w:val="2"/>
            <w:tcBorders>
              <w:top w:val="single" w:color="auto" w:sz="4" w:space="0"/>
              <w:left w:val="single" w:color="auto" w:sz="4" w:space="0"/>
              <w:bottom w:val="single" w:color="auto" w:sz="4" w:space="0"/>
              <w:right w:val="single" w:color="auto" w:sz="4" w:space="0"/>
            </w:tcBorders>
            <w:vAlign w:val="center"/>
          </w:tcPr>
          <w:p w14:paraId="6AF77137">
            <w:pPr>
              <w:jc w:val="center"/>
              <w:rPr>
                <w:rFonts w:hint="eastAsia" w:ascii="宋体" w:hAnsi="宋体" w:cs="宋体"/>
                <w:color w:val="auto"/>
                <w:szCs w:val="21"/>
                <w:highlight w:val="none"/>
              </w:rPr>
            </w:pPr>
          </w:p>
        </w:tc>
      </w:tr>
      <w:tr w14:paraId="25CD6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8" w:hRule="atLeast"/>
          <w:jc w:val="center"/>
        </w:trPr>
        <w:tc>
          <w:tcPr>
            <w:tcW w:w="3195" w:type="dxa"/>
            <w:tcBorders>
              <w:top w:val="single" w:color="auto" w:sz="4" w:space="0"/>
              <w:left w:val="single" w:color="auto" w:sz="4" w:space="0"/>
              <w:bottom w:val="single" w:color="auto" w:sz="4" w:space="0"/>
              <w:right w:val="single" w:color="auto" w:sz="4" w:space="0"/>
            </w:tcBorders>
            <w:vAlign w:val="center"/>
          </w:tcPr>
          <w:p w14:paraId="0F00F666">
            <w:pPr>
              <w:jc w:val="center"/>
              <w:rPr>
                <w:rFonts w:hint="eastAsia" w:ascii="宋体" w:hAnsi="宋体" w:cs="宋体"/>
                <w:color w:val="auto"/>
                <w:szCs w:val="21"/>
                <w:highlight w:val="none"/>
              </w:rPr>
            </w:pPr>
            <w:r>
              <w:rPr>
                <w:rFonts w:hint="eastAsia" w:ascii="宋体" w:hAnsi="宋体" w:cs="宋体"/>
                <w:color w:val="auto"/>
                <w:szCs w:val="21"/>
                <w:highlight w:val="none"/>
              </w:rPr>
              <w:t>采购范围</w:t>
            </w:r>
          </w:p>
        </w:tc>
        <w:tc>
          <w:tcPr>
            <w:tcW w:w="5905" w:type="dxa"/>
            <w:gridSpan w:val="2"/>
            <w:tcBorders>
              <w:top w:val="single" w:color="auto" w:sz="4" w:space="0"/>
              <w:left w:val="single" w:color="auto" w:sz="4" w:space="0"/>
              <w:bottom w:val="single" w:color="auto" w:sz="4" w:space="0"/>
              <w:right w:val="single" w:color="auto" w:sz="4" w:space="0"/>
            </w:tcBorders>
            <w:vAlign w:val="center"/>
          </w:tcPr>
          <w:p w14:paraId="32F96CBD">
            <w:pPr>
              <w:jc w:val="center"/>
              <w:rPr>
                <w:rFonts w:hint="eastAsia" w:ascii="宋体" w:hAnsi="宋体" w:cs="宋体"/>
                <w:color w:val="auto"/>
                <w:szCs w:val="21"/>
                <w:highlight w:val="none"/>
              </w:rPr>
            </w:pPr>
          </w:p>
        </w:tc>
      </w:tr>
      <w:tr w14:paraId="4735B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3195" w:type="dxa"/>
            <w:vMerge w:val="restart"/>
            <w:tcBorders>
              <w:top w:val="single" w:color="auto" w:sz="4" w:space="0"/>
              <w:left w:val="single" w:color="auto" w:sz="4" w:space="0"/>
              <w:right w:val="single" w:color="auto" w:sz="4" w:space="0"/>
            </w:tcBorders>
            <w:vAlign w:val="center"/>
          </w:tcPr>
          <w:p w14:paraId="53C18D16">
            <w:pPr>
              <w:jc w:val="center"/>
              <w:rPr>
                <w:rFonts w:hint="eastAsia" w:ascii="宋体" w:hAnsi="宋体" w:cs="宋体"/>
                <w:color w:val="auto"/>
                <w:szCs w:val="21"/>
                <w:highlight w:val="none"/>
              </w:rPr>
            </w:pPr>
            <w:r>
              <w:rPr>
                <w:rFonts w:hint="eastAsia" w:ascii="宋体" w:hAnsi="宋体" w:cs="宋体"/>
                <w:color w:val="auto"/>
                <w:kern w:val="0"/>
                <w:szCs w:val="21"/>
                <w:highlight w:val="none"/>
              </w:rPr>
              <w:t>投标报价</w:t>
            </w:r>
          </w:p>
        </w:tc>
        <w:tc>
          <w:tcPr>
            <w:tcW w:w="1281" w:type="dxa"/>
            <w:tcBorders>
              <w:top w:val="single" w:color="auto" w:sz="4" w:space="0"/>
              <w:left w:val="single" w:color="auto" w:sz="4" w:space="0"/>
              <w:bottom w:val="single" w:color="auto" w:sz="4" w:space="0"/>
              <w:right w:val="single" w:color="auto" w:sz="4" w:space="0"/>
            </w:tcBorders>
            <w:vAlign w:val="center"/>
          </w:tcPr>
          <w:p w14:paraId="434E6187">
            <w:pPr>
              <w:rPr>
                <w:rFonts w:hint="eastAsia" w:ascii="宋体" w:hAnsi="宋体" w:cs="宋体"/>
                <w:color w:val="auto"/>
                <w:szCs w:val="21"/>
                <w:highlight w:val="none"/>
              </w:rPr>
            </w:pPr>
            <w:r>
              <w:rPr>
                <w:rFonts w:hint="eastAsia" w:ascii="宋体" w:hAnsi="宋体" w:cs="宋体"/>
                <w:color w:val="auto"/>
                <w:kern w:val="0"/>
                <w:szCs w:val="21"/>
                <w:highlight w:val="none"/>
              </w:rPr>
              <w:t xml:space="preserve">           </w:t>
            </w:r>
          </w:p>
          <w:p w14:paraId="31005E65">
            <w:pPr>
              <w:jc w:val="center"/>
              <w:rPr>
                <w:rFonts w:hint="eastAsia" w:ascii="宋体" w:hAnsi="宋体" w:cs="宋体"/>
                <w:color w:val="auto"/>
                <w:szCs w:val="21"/>
                <w:highlight w:val="none"/>
              </w:rPr>
            </w:pPr>
            <w:r>
              <w:rPr>
                <w:rFonts w:hint="eastAsia" w:ascii="宋体" w:hAnsi="宋体" w:cs="宋体"/>
                <w:color w:val="auto"/>
                <w:kern w:val="0"/>
                <w:szCs w:val="21"/>
                <w:highlight w:val="none"/>
              </w:rPr>
              <w:t>（大写）</w:t>
            </w:r>
          </w:p>
          <w:p w14:paraId="7632272C">
            <w:pPr>
              <w:jc w:val="center"/>
              <w:rPr>
                <w:rFonts w:hint="eastAsia" w:ascii="宋体" w:hAnsi="宋体" w:cs="宋体"/>
                <w:color w:val="auto"/>
                <w:szCs w:val="21"/>
                <w:highlight w:val="none"/>
              </w:rPr>
            </w:pPr>
          </w:p>
        </w:tc>
        <w:tc>
          <w:tcPr>
            <w:tcW w:w="4624" w:type="dxa"/>
            <w:tcBorders>
              <w:top w:val="single" w:color="auto" w:sz="4" w:space="0"/>
              <w:left w:val="single" w:color="auto" w:sz="4" w:space="0"/>
              <w:bottom w:val="single" w:color="auto" w:sz="4" w:space="0"/>
              <w:right w:val="single" w:color="auto" w:sz="4" w:space="0"/>
            </w:tcBorders>
            <w:vAlign w:val="center"/>
          </w:tcPr>
          <w:p w14:paraId="7D15C50E">
            <w:pPr>
              <w:jc w:val="center"/>
              <w:rPr>
                <w:rFonts w:hint="eastAsia" w:ascii="宋体" w:hAnsi="宋体" w:cs="宋体"/>
                <w:color w:val="auto"/>
                <w:szCs w:val="21"/>
                <w:highlight w:val="none"/>
              </w:rPr>
            </w:pPr>
            <w:r>
              <w:rPr>
                <w:rFonts w:hint="eastAsia" w:ascii="宋体" w:hAnsi="宋体" w:cs="宋体"/>
                <w:color w:val="auto"/>
                <w:kern w:val="0"/>
                <w:szCs w:val="21"/>
                <w:highlight w:val="none"/>
              </w:rPr>
              <w:t xml:space="preserve">                 </w:t>
            </w:r>
          </w:p>
        </w:tc>
      </w:tr>
      <w:tr w14:paraId="15C78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3195" w:type="dxa"/>
            <w:vMerge w:val="continue"/>
            <w:tcBorders>
              <w:left w:val="single" w:color="auto" w:sz="4" w:space="0"/>
              <w:bottom w:val="single" w:color="auto" w:sz="4" w:space="0"/>
              <w:right w:val="single" w:color="auto" w:sz="4" w:space="0"/>
            </w:tcBorders>
            <w:vAlign w:val="center"/>
          </w:tcPr>
          <w:p w14:paraId="72B594E6">
            <w:pPr>
              <w:jc w:val="center"/>
              <w:rPr>
                <w:rFonts w:hint="eastAsia" w:ascii="宋体" w:hAnsi="宋体" w:cs="宋体"/>
                <w:color w:val="auto"/>
                <w:kern w:val="0"/>
                <w:szCs w:val="21"/>
                <w:highlight w:val="none"/>
              </w:rPr>
            </w:pPr>
          </w:p>
        </w:tc>
        <w:tc>
          <w:tcPr>
            <w:tcW w:w="1281" w:type="dxa"/>
            <w:tcBorders>
              <w:top w:val="single" w:color="auto" w:sz="4" w:space="0"/>
              <w:left w:val="single" w:color="auto" w:sz="4" w:space="0"/>
              <w:bottom w:val="single" w:color="auto" w:sz="4" w:space="0"/>
              <w:right w:val="single" w:color="auto" w:sz="4" w:space="0"/>
            </w:tcBorders>
            <w:vAlign w:val="center"/>
          </w:tcPr>
          <w:p w14:paraId="3B1E407A">
            <w:pPr>
              <w:jc w:val="center"/>
              <w:rPr>
                <w:rFonts w:hint="eastAsia" w:ascii="宋体" w:hAnsi="宋体" w:cs="宋体"/>
                <w:color w:val="auto"/>
                <w:szCs w:val="21"/>
                <w:highlight w:val="none"/>
              </w:rPr>
            </w:pPr>
            <w:r>
              <w:rPr>
                <w:rFonts w:hint="eastAsia" w:ascii="宋体" w:hAnsi="宋体" w:cs="宋体"/>
                <w:color w:val="auto"/>
                <w:kern w:val="0"/>
                <w:szCs w:val="21"/>
                <w:highlight w:val="none"/>
              </w:rPr>
              <w:t>（小写）</w:t>
            </w:r>
          </w:p>
        </w:tc>
        <w:tc>
          <w:tcPr>
            <w:tcW w:w="4624" w:type="dxa"/>
            <w:tcBorders>
              <w:top w:val="single" w:color="auto" w:sz="4" w:space="0"/>
              <w:left w:val="single" w:color="auto" w:sz="4" w:space="0"/>
              <w:bottom w:val="single" w:color="auto" w:sz="4" w:space="0"/>
              <w:right w:val="single" w:color="auto" w:sz="4" w:space="0"/>
            </w:tcBorders>
            <w:vAlign w:val="center"/>
          </w:tcPr>
          <w:p w14:paraId="129C6B27">
            <w:pPr>
              <w:jc w:val="center"/>
              <w:rPr>
                <w:rFonts w:hint="eastAsia" w:ascii="宋体" w:hAnsi="宋体" w:cs="宋体"/>
                <w:color w:val="auto"/>
                <w:kern w:val="0"/>
                <w:szCs w:val="21"/>
                <w:highlight w:val="none"/>
              </w:rPr>
            </w:pPr>
          </w:p>
        </w:tc>
      </w:tr>
      <w:tr w14:paraId="0A83E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3195" w:type="dxa"/>
            <w:tcBorders>
              <w:top w:val="single" w:color="auto" w:sz="4" w:space="0"/>
              <w:left w:val="single" w:color="auto" w:sz="4" w:space="0"/>
              <w:bottom w:val="single" w:color="auto" w:sz="4" w:space="0"/>
              <w:right w:val="single" w:color="auto" w:sz="4" w:space="0"/>
            </w:tcBorders>
            <w:vAlign w:val="center"/>
          </w:tcPr>
          <w:p w14:paraId="21AE86F2">
            <w:pPr>
              <w:pStyle w:val="6"/>
              <w:widowControl/>
              <w:ind w:firstLine="0" w:firstLineChars="0"/>
              <w:jc w:val="center"/>
              <w:rPr>
                <w:rFonts w:hint="eastAsia" w:ascii="宋体" w:hAnsi="宋体" w:cs="宋体"/>
                <w:color w:val="auto"/>
                <w:szCs w:val="21"/>
                <w:highlight w:val="none"/>
              </w:rPr>
            </w:pPr>
            <w:r>
              <w:rPr>
                <w:rFonts w:hint="eastAsia" w:ascii="宋体" w:hAnsi="宋体" w:cs="Arial"/>
                <w:color w:val="auto"/>
                <w:kern w:val="0"/>
                <w:szCs w:val="21"/>
                <w:highlight w:val="none"/>
              </w:rPr>
              <w:t>服务期限</w:t>
            </w:r>
          </w:p>
        </w:tc>
        <w:tc>
          <w:tcPr>
            <w:tcW w:w="5905" w:type="dxa"/>
            <w:gridSpan w:val="2"/>
            <w:tcBorders>
              <w:top w:val="single" w:color="auto" w:sz="4" w:space="0"/>
              <w:left w:val="single" w:color="auto" w:sz="4" w:space="0"/>
              <w:bottom w:val="single" w:color="auto" w:sz="4" w:space="0"/>
              <w:right w:val="single" w:color="auto" w:sz="4" w:space="0"/>
            </w:tcBorders>
            <w:vAlign w:val="center"/>
          </w:tcPr>
          <w:p w14:paraId="3F7BC6BC">
            <w:pPr>
              <w:jc w:val="left"/>
              <w:rPr>
                <w:rFonts w:hint="eastAsia" w:ascii="宋体" w:hAnsi="宋体" w:cs="宋体"/>
                <w:color w:val="auto"/>
                <w:szCs w:val="21"/>
                <w:highlight w:val="none"/>
              </w:rPr>
            </w:pPr>
          </w:p>
        </w:tc>
      </w:tr>
      <w:tr w14:paraId="77E7F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3195" w:type="dxa"/>
            <w:tcBorders>
              <w:top w:val="single" w:color="auto" w:sz="4" w:space="0"/>
              <w:left w:val="single" w:color="auto" w:sz="4" w:space="0"/>
              <w:bottom w:val="single" w:color="auto" w:sz="4" w:space="0"/>
              <w:right w:val="single" w:color="auto" w:sz="4" w:space="0"/>
            </w:tcBorders>
            <w:vAlign w:val="center"/>
          </w:tcPr>
          <w:p w14:paraId="01064DBD">
            <w:pPr>
              <w:pStyle w:val="6"/>
              <w:widowControl/>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质量要求</w:t>
            </w:r>
          </w:p>
        </w:tc>
        <w:tc>
          <w:tcPr>
            <w:tcW w:w="5905" w:type="dxa"/>
            <w:gridSpan w:val="2"/>
            <w:tcBorders>
              <w:top w:val="single" w:color="auto" w:sz="4" w:space="0"/>
              <w:left w:val="single" w:color="auto" w:sz="4" w:space="0"/>
              <w:bottom w:val="single" w:color="auto" w:sz="4" w:space="0"/>
              <w:right w:val="single" w:color="auto" w:sz="4" w:space="0"/>
            </w:tcBorders>
            <w:vAlign w:val="center"/>
          </w:tcPr>
          <w:p w14:paraId="69E100C8">
            <w:pPr>
              <w:jc w:val="left"/>
              <w:rPr>
                <w:rFonts w:hint="eastAsia" w:ascii="宋体" w:hAnsi="宋体" w:cs="宋体"/>
                <w:color w:val="auto"/>
                <w:szCs w:val="21"/>
                <w:highlight w:val="none"/>
              </w:rPr>
            </w:pPr>
          </w:p>
        </w:tc>
      </w:tr>
      <w:tr w14:paraId="4F737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3195" w:type="dxa"/>
            <w:tcBorders>
              <w:top w:val="single" w:color="auto" w:sz="4" w:space="0"/>
              <w:left w:val="single" w:color="auto" w:sz="4" w:space="0"/>
              <w:bottom w:val="single" w:color="auto" w:sz="4" w:space="0"/>
              <w:right w:val="single" w:color="auto" w:sz="4" w:space="0"/>
            </w:tcBorders>
            <w:vAlign w:val="center"/>
          </w:tcPr>
          <w:p w14:paraId="1803DB6A">
            <w:pPr>
              <w:pStyle w:val="6"/>
              <w:widowControl/>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投标有效期</w:t>
            </w:r>
          </w:p>
        </w:tc>
        <w:tc>
          <w:tcPr>
            <w:tcW w:w="5905" w:type="dxa"/>
            <w:gridSpan w:val="2"/>
            <w:tcBorders>
              <w:top w:val="single" w:color="auto" w:sz="4" w:space="0"/>
              <w:left w:val="single" w:color="auto" w:sz="4" w:space="0"/>
              <w:bottom w:val="single" w:color="auto" w:sz="4" w:space="0"/>
              <w:right w:val="single" w:color="auto" w:sz="4" w:space="0"/>
            </w:tcBorders>
            <w:vAlign w:val="center"/>
          </w:tcPr>
          <w:p w14:paraId="67053FF5">
            <w:pPr>
              <w:jc w:val="left"/>
              <w:rPr>
                <w:rFonts w:hint="eastAsia" w:ascii="宋体" w:hAnsi="宋体" w:cs="宋体"/>
                <w:color w:val="auto"/>
                <w:szCs w:val="21"/>
                <w:highlight w:val="none"/>
              </w:rPr>
            </w:pPr>
          </w:p>
        </w:tc>
      </w:tr>
      <w:tr w14:paraId="5D17C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jc w:val="center"/>
        </w:trPr>
        <w:tc>
          <w:tcPr>
            <w:tcW w:w="3195" w:type="dxa"/>
            <w:tcBorders>
              <w:top w:val="single" w:color="auto" w:sz="4" w:space="0"/>
              <w:left w:val="single" w:color="auto" w:sz="4" w:space="0"/>
              <w:bottom w:val="single" w:color="auto" w:sz="4" w:space="0"/>
              <w:right w:val="single" w:color="auto" w:sz="4" w:space="0"/>
            </w:tcBorders>
            <w:vAlign w:val="center"/>
          </w:tcPr>
          <w:p w14:paraId="1C358B60">
            <w:pPr>
              <w:pStyle w:val="6"/>
              <w:widowControl/>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其他补充说明</w:t>
            </w:r>
          </w:p>
        </w:tc>
        <w:tc>
          <w:tcPr>
            <w:tcW w:w="5905" w:type="dxa"/>
            <w:gridSpan w:val="2"/>
            <w:tcBorders>
              <w:top w:val="single" w:color="auto" w:sz="4" w:space="0"/>
              <w:left w:val="single" w:color="auto" w:sz="4" w:space="0"/>
              <w:bottom w:val="single" w:color="auto" w:sz="4" w:space="0"/>
              <w:right w:val="single" w:color="auto" w:sz="4" w:space="0"/>
            </w:tcBorders>
            <w:vAlign w:val="center"/>
          </w:tcPr>
          <w:p w14:paraId="4D309D84">
            <w:pPr>
              <w:jc w:val="left"/>
              <w:rPr>
                <w:rFonts w:hint="eastAsia" w:ascii="宋体" w:hAnsi="宋体" w:cs="宋体"/>
                <w:color w:val="auto"/>
                <w:szCs w:val="21"/>
                <w:highlight w:val="none"/>
              </w:rPr>
            </w:pPr>
          </w:p>
        </w:tc>
      </w:tr>
    </w:tbl>
    <w:p w14:paraId="735E589E">
      <w:pPr>
        <w:tabs>
          <w:tab w:val="left" w:pos="3584"/>
        </w:tabs>
        <w:ind w:left="2" w:leftChars="1" w:firstLine="420" w:firstLineChars="200"/>
        <w:jc w:val="left"/>
        <w:rPr>
          <w:rFonts w:hint="eastAsia" w:ascii="宋体" w:hAnsi="宋体" w:cs="宋体"/>
          <w:color w:val="auto"/>
          <w:highlight w:val="none"/>
        </w:rPr>
      </w:pPr>
    </w:p>
    <w:p w14:paraId="057A9C77">
      <w:pPr>
        <w:pStyle w:val="9"/>
        <w:widowControl/>
        <w:rPr>
          <w:rFonts w:hint="eastAsia" w:ascii="宋体" w:hAnsi="宋体" w:cs="宋体"/>
          <w:color w:val="auto"/>
          <w:highlight w:val="none"/>
        </w:rPr>
      </w:pPr>
    </w:p>
    <w:p w14:paraId="4BD12678">
      <w:pPr>
        <w:pStyle w:val="9"/>
        <w:widowControl/>
        <w:rPr>
          <w:rFonts w:hint="eastAsia" w:ascii="宋体" w:hAnsi="宋体" w:cs="宋体"/>
          <w:color w:val="auto"/>
          <w:highlight w:val="none"/>
        </w:rPr>
      </w:pPr>
    </w:p>
    <w:p w14:paraId="31BDAE00">
      <w:pPr>
        <w:tabs>
          <w:tab w:val="left" w:pos="1155"/>
        </w:tabs>
        <w:spacing w:line="360" w:lineRule="auto"/>
        <w:ind w:right="440" w:firstLine="2738" w:firstLineChars="1304"/>
        <w:jc w:val="right"/>
        <w:rPr>
          <w:rFonts w:ascii="宋体"/>
          <w:color w:val="auto"/>
          <w:szCs w:val="21"/>
          <w:highlight w:val="none"/>
        </w:rPr>
      </w:pPr>
      <w:r>
        <w:rPr>
          <w:rFonts w:hint="eastAsia" w:ascii="宋体" w:hAnsi="宋体"/>
          <w:color w:val="auto"/>
          <w:szCs w:val="21"/>
          <w:highlight w:val="none"/>
        </w:rPr>
        <w:t>投标人名称：</w:t>
      </w:r>
      <w:r>
        <w:rPr>
          <w:rFonts w:hint="eastAsia" w:ascii="宋体" w:hAnsi="宋体"/>
          <w:color w:val="auto"/>
          <w:szCs w:val="21"/>
          <w:highlight w:val="none"/>
          <w:u w:val="single"/>
        </w:rPr>
        <w:t xml:space="preserve">               </w:t>
      </w:r>
      <w:r>
        <w:rPr>
          <w:rFonts w:hint="eastAsia" w:ascii="宋体" w:hAnsi="宋体"/>
          <w:color w:val="auto"/>
          <w:szCs w:val="21"/>
          <w:highlight w:val="none"/>
        </w:rPr>
        <w:t>（盖单位电子章）</w:t>
      </w:r>
    </w:p>
    <w:p w14:paraId="54C8F8C3">
      <w:pPr>
        <w:spacing w:line="360" w:lineRule="auto"/>
        <w:ind w:firstLine="2738" w:firstLineChars="1304"/>
        <w:jc w:val="right"/>
        <w:rPr>
          <w:rFonts w:ascii="宋体"/>
          <w:color w:val="auto"/>
          <w:szCs w:val="21"/>
          <w:highlight w:val="none"/>
        </w:rPr>
      </w:pPr>
      <w:r>
        <w:rPr>
          <w:rFonts w:hint="eastAsia" w:ascii="宋体" w:hAnsi="宋体"/>
          <w:color w:val="auto"/>
          <w:szCs w:val="21"/>
          <w:highlight w:val="none"/>
        </w:rPr>
        <w:t>法定代表人或授权委托人：</w:t>
      </w:r>
      <w:r>
        <w:rPr>
          <w:rFonts w:hint="eastAsia" w:ascii="宋体" w:hAnsi="宋体"/>
          <w:color w:val="auto"/>
          <w:szCs w:val="21"/>
          <w:highlight w:val="none"/>
          <w:u w:val="single"/>
        </w:rPr>
        <w:t xml:space="preserve">     </w:t>
      </w:r>
      <w:r>
        <w:rPr>
          <w:rFonts w:hint="eastAsia" w:ascii="宋体" w:hAnsi="宋体"/>
          <w:color w:val="auto"/>
          <w:szCs w:val="21"/>
          <w:highlight w:val="none"/>
        </w:rPr>
        <w:t>（个人电子签章或签名）</w:t>
      </w:r>
    </w:p>
    <w:p w14:paraId="3CFC249C">
      <w:pPr>
        <w:spacing w:line="360" w:lineRule="auto"/>
        <w:ind w:right="860" w:firstLine="2738" w:firstLineChars="1304"/>
        <w:jc w:val="right"/>
        <w:rPr>
          <w:rFonts w:ascii="宋体"/>
          <w:color w:val="auto"/>
          <w:szCs w:val="21"/>
          <w:highlight w:val="none"/>
        </w:rPr>
      </w:pPr>
      <w:r>
        <w:rPr>
          <w:rFonts w:hint="eastAsia" w:ascii="宋体" w:hAnsi="宋体"/>
          <w:color w:val="auto"/>
          <w:szCs w:val="21"/>
          <w:highlight w:val="none"/>
        </w:rPr>
        <w:t>年    月    日</w:t>
      </w:r>
    </w:p>
    <w:p w14:paraId="38E4155E">
      <w:pPr>
        <w:jc w:val="center"/>
        <w:rPr>
          <w:rFonts w:ascii="宋体"/>
          <w:b/>
          <w:bCs/>
          <w:color w:val="auto"/>
          <w:szCs w:val="21"/>
          <w:highlight w:val="none"/>
        </w:rPr>
      </w:pPr>
      <w:bookmarkStart w:id="344" w:name="_Toc30335"/>
      <w:bookmarkStart w:id="345" w:name="_Toc19368"/>
      <w:bookmarkStart w:id="346" w:name="_Toc499815666"/>
      <w:bookmarkStart w:id="347" w:name="_Toc144974860"/>
      <w:bookmarkStart w:id="348" w:name="_Toc152045791"/>
      <w:bookmarkStart w:id="349" w:name="_Toc179632811"/>
      <w:bookmarkStart w:id="350" w:name="_Toc152042580"/>
      <w:r>
        <w:rPr>
          <w:rFonts w:hint="eastAsia" w:ascii="宋体" w:hAnsi="宋体" w:cs="宋体"/>
          <w:color w:val="auto"/>
          <w:highlight w:val="none"/>
        </w:rPr>
        <w:br w:type="page"/>
      </w:r>
      <w:r>
        <w:rPr>
          <w:rFonts w:hint="eastAsia"/>
          <w:b/>
          <w:color w:val="auto"/>
          <w:sz w:val="28"/>
          <w:szCs w:val="28"/>
          <w:highlight w:val="none"/>
        </w:rPr>
        <w:t>附：</w:t>
      </w:r>
      <w:r>
        <w:rPr>
          <w:rFonts w:hint="eastAsia" w:ascii="宋体" w:hAnsi="宋体"/>
          <w:b/>
          <w:bCs/>
          <w:color w:val="auto"/>
          <w:sz w:val="28"/>
          <w:szCs w:val="28"/>
          <w:highlight w:val="none"/>
        </w:rPr>
        <w:t>投标分项报价表</w:t>
      </w:r>
    </w:p>
    <w:p w14:paraId="3AE9355F">
      <w:pPr>
        <w:tabs>
          <w:tab w:val="center" w:pos="4499"/>
        </w:tabs>
        <w:spacing w:line="360" w:lineRule="auto"/>
        <w:rPr>
          <w:rFonts w:ascii="宋体"/>
          <w:bCs/>
          <w:color w:val="auto"/>
          <w:szCs w:val="21"/>
          <w:highlight w:val="none"/>
        </w:rPr>
      </w:pPr>
      <w:r>
        <w:rPr>
          <w:rFonts w:hint="eastAsia" w:ascii="宋体"/>
          <w:bCs/>
          <w:color w:val="auto"/>
          <w:szCs w:val="21"/>
          <w:highlight w:val="none"/>
        </w:rPr>
        <w:t xml:space="preserve">                                                                </w:t>
      </w:r>
    </w:p>
    <w:p w14:paraId="075CEA1C">
      <w:pPr>
        <w:tabs>
          <w:tab w:val="center" w:pos="4499"/>
        </w:tabs>
        <w:spacing w:line="360" w:lineRule="auto"/>
        <w:rPr>
          <w:rFonts w:ascii="宋体"/>
          <w:bCs/>
          <w:color w:val="auto"/>
          <w:szCs w:val="21"/>
          <w:highlight w:val="none"/>
        </w:rPr>
      </w:pPr>
      <w:r>
        <w:rPr>
          <w:rFonts w:hint="eastAsia" w:ascii="宋体"/>
          <w:bCs/>
          <w:color w:val="auto"/>
          <w:szCs w:val="21"/>
          <w:highlight w:val="none"/>
        </w:rPr>
        <w:t xml:space="preserve">                                                                  货币单位：人民币元</w:t>
      </w:r>
    </w:p>
    <w:tbl>
      <w:tblPr>
        <w:tblStyle w:val="28"/>
        <w:tblW w:w="91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8"/>
        <w:gridCol w:w="2580"/>
        <w:gridCol w:w="1176"/>
        <w:gridCol w:w="1020"/>
        <w:gridCol w:w="1020"/>
        <w:gridCol w:w="2292"/>
      </w:tblGrid>
      <w:tr w14:paraId="4AE4E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jc w:val="center"/>
        </w:trPr>
        <w:tc>
          <w:tcPr>
            <w:tcW w:w="1058" w:type="dxa"/>
            <w:noWrap w:val="0"/>
            <w:vAlign w:val="center"/>
          </w:tcPr>
          <w:p w14:paraId="5A6058D0">
            <w:pPr>
              <w:spacing w:line="360" w:lineRule="auto"/>
              <w:jc w:val="center"/>
              <w:rPr>
                <w:rFonts w:ascii="宋体" w:hAnsi="宋体"/>
                <w:b/>
                <w:color w:val="auto"/>
                <w:szCs w:val="21"/>
                <w:highlight w:val="none"/>
              </w:rPr>
            </w:pPr>
            <w:r>
              <w:rPr>
                <w:rFonts w:hint="eastAsia" w:ascii="宋体" w:hAnsi="宋体"/>
                <w:b/>
                <w:color w:val="auto"/>
                <w:szCs w:val="21"/>
                <w:highlight w:val="none"/>
              </w:rPr>
              <w:t>序号</w:t>
            </w:r>
          </w:p>
        </w:tc>
        <w:tc>
          <w:tcPr>
            <w:tcW w:w="2580" w:type="dxa"/>
            <w:noWrap w:val="0"/>
            <w:vAlign w:val="center"/>
          </w:tcPr>
          <w:p w14:paraId="22CDCB1F">
            <w:pPr>
              <w:spacing w:line="360" w:lineRule="auto"/>
              <w:jc w:val="center"/>
              <w:rPr>
                <w:rFonts w:hint="eastAsia" w:ascii="宋体" w:hAnsi="宋体" w:eastAsia="宋体"/>
                <w:b/>
                <w:color w:val="auto"/>
                <w:szCs w:val="21"/>
                <w:highlight w:val="none"/>
                <w:lang w:eastAsia="zh-CN"/>
              </w:rPr>
            </w:pPr>
            <w:r>
              <w:rPr>
                <w:rFonts w:hint="eastAsia" w:ascii="宋体" w:hAnsi="宋体"/>
                <w:b/>
                <w:color w:val="auto"/>
                <w:szCs w:val="21"/>
                <w:highlight w:val="none"/>
              </w:rPr>
              <w:t>名称</w:t>
            </w:r>
            <w:r>
              <w:rPr>
                <w:rFonts w:hint="eastAsia" w:ascii="宋体" w:hAnsi="宋体"/>
                <w:b/>
                <w:color w:val="auto"/>
                <w:szCs w:val="21"/>
                <w:highlight w:val="none"/>
                <w:lang w:eastAsia="zh-CN"/>
              </w:rPr>
              <w:t>（</w:t>
            </w:r>
            <w:r>
              <w:rPr>
                <w:rFonts w:hint="eastAsia" w:ascii="宋体" w:hAnsi="宋体"/>
                <w:b/>
                <w:color w:val="auto"/>
                <w:szCs w:val="21"/>
                <w:highlight w:val="none"/>
                <w:lang w:val="en-US" w:eastAsia="zh-CN"/>
              </w:rPr>
              <w:t>项目类型</w:t>
            </w:r>
            <w:r>
              <w:rPr>
                <w:rFonts w:hint="eastAsia" w:ascii="宋体" w:hAnsi="宋体"/>
                <w:b/>
                <w:color w:val="auto"/>
                <w:szCs w:val="21"/>
                <w:highlight w:val="none"/>
                <w:lang w:eastAsia="zh-CN"/>
              </w:rPr>
              <w:t>）</w:t>
            </w:r>
          </w:p>
        </w:tc>
        <w:tc>
          <w:tcPr>
            <w:tcW w:w="1176" w:type="dxa"/>
            <w:noWrap w:val="0"/>
            <w:vAlign w:val="center"/>
          </w:tcPr>
          <w:p w14:paraId="23F41ED5">
            <w:pPr>
              <w:spacing w:line="360" w:lineRule="auto"/>
              <w:jc w:val="center"/>
              <w:rPr>
                <w:rFonts w:ascii="宋体" w:hAnsi="宋体"/>
                <w:b/>
                <w:color w:val="auto"/>
                <w:szCs w:val="21"/>
                <w:highlight w:val="none"/>
              </w:rPr>
            </w:pPr>
            <w:r>
              <w:rPr>
                <w:rFonts w:hint="eastAsia" w:ascii="宋体" w:hAnsi="宋体"/>
                <w:b/>
                <w:color w:val="auto"/>
                <w:szCs w:val="21"/>
                <w:highlight w:val="none"/>
              </w:rPr>
              <w:t>数量</w:t>
            </w:r>
          </w:p>
        </w:tc>
        <w:tc>
          <w:tcPr>
            <w:tcW w:w="1020" w:type="dxa"/>
            <w:noWrap w:val="0"/>
            <w:vAlign w:val="center"/>
          </w:tcPr>
          <w:p w14:paraId="54DA69AC">
            <w:pPr>
              <w:spacing w:line="360" w:lineRule="auto"/>
              <w:jc w:val="center"/>
              <w:rPr>
                <w:rFonts w:ascii="宋体" w:hAnsi="宋体"/>
                <w:b/>
                <w:color w:val="auto"/>
                <w:szCs w:val="21"/>
                <w:highlight w:val="none"/>
              </w:rPr>
            </w:pPr>
            <w:r>
              <w:rPr>
                <w:rFonts w:hint="eastAsia" w:ascii="宋体" w:hAnsi="宋体"/>
                <w:b/>
                <w:color w:val="auto"/>
                <w:szCs w:val="21"/>
                <w:highlight w:val="none"/>
              </w:rPr>
              <w:t>单价</w:t>
            </w:r>
          </w:p>
        </w:tc>
        <w:tc>
          <w:tcPr>
            <w:tcW w:w="1020" w:type="dxa"/>
            <w:noWrap w:val="0"/>
            <w:vAlign w:val="center"/>
          </w:tcPr>
          <w:p w14:paraId="380C7D7C">
            <w:pPr>
              <w:spacing w:line="360" w:lineRule="auto"/>
              <w:jc w:val="center"/>
              <w:rPr>
                <w:rFonts w:ascii="宋体" w:hAnsi="宋体"/>
                <w:b/>
                <w:color w:val="auto"/>
                <w:szCs w:val="21"/>
                <w:highlight w:val="none"/>
              </w:rPr>
            </w:pPr>
            <w:r>
              <w:rPr>
                <w:rFonts w:hint="eastAsia" w:ascii="宋体" w:hAnsi="宋体"/>
                <w:b/>
                <w:color w:val="auto"/>
                <w:szCs w:val="21"/>
                <w:highlight w:val="none"/>
              </w:rPr>
              <w:t>合计</w:t>
            </w:r>
          </w:p>
        </w:tc>
        <w:tc>
          <w:tcPr>
            <w:tcW w:w="2292" w:type="dxa"/>
            <w:noWrap w:val="0"/>
            <w:vAlign w:val="center"/>
          </w:tcPr>
          <w:p w14:paraId="3BA7E07B">
            <w:pPr>
              <w:spacing w:line="360" w:lineRule="auto"/>
              <w:jc w:val="center"/>
              <w:rPr>
                <w:rFonts w:ascii="宋体" w:hAnsi="宋体"/>
                <w:b/>
                <w:color w:val="auto"/>
                <w:szCs w:val="21"/>
                <w:highlight w:val="none"/>
              </w:rPr>
            </w:pPr>
            <w:r>
              <w:rPr>
                <w:rFonts w:hint="eastAsia" w:ascii="宋体" w:hAnsi="宋体"/>
                <w:b/>
                <w:color w:val="auto"/>
                <w:szCs w:val="21"/>
                <w:highlight w:val="none"/>
              </w:rPr>
              <w:t>备注</w:t>
            </w:r>
          </w:p>
        </w:tc>
      </w:tr>
      <w:tr w14:paraId="70573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jc w:val="center"/>
        </w:trPr>
        <w:tc>
          <w:tcPr>
            <w:tcW w:w="1058" w:type="dxa"/>
            <w:noWrap w:val="0"/>
            <w:vAlign w:val="center"/>
          </w:tcPr>
          <w:p w14:paraId="74899007">
            <w:pPr>
              <w:spacing w:line="360" w:lineRule="auto"/>
              <w:jc w:val="center"/>
              <w:rPr>
                <w:rFonts w:ascii="宋体" w:hAnsi="宋体"/>
                <w:bCs/>
                <w:color w:val="auto"/>
                <w:szCs w:val="21"/>
                <w:highlight w:val="none"/>
              </w:rPr>
            </w:pPr>
            <w:r>
              <w:rPr>
                <w:rFonts w:hint="eastAsia" w:ascii="宋体" w:hAnsi="宋体"/>
                <w:bCs/>
                <w:color w:val="auto"/>
                <w:szCs w:val="21"/>
                <w:highlight w:val="none"/>
              </w:rPr>
              <w:t>1</w:t>
            </w:r>
          </w:p>
        </w:tc>
        <w:tc>
          <w:tcPr>
            <w:tcW w:w="2580" w:type="dxa"/>
            <w:noWrap w:val="0"/>
            <w:vAlign w:val="center"/>
          </w:tcPr>
          <w:p w14:paraId="633EFA55">
            <w:pPr>
              <w:spacing w:line="360" w:lineRule="auto"/>
              <w:jc w:val="center"/>
              <w:rPr>
                <w:rFonts w:ascii="宋体" w:hAnsi="宋体"/>
                <w:bCs/>
                <w:color w:val="auto"/>
                <w:szCs w:val="21"/>
                <w:highlight w:val="none"/>
              </w:rPr>
            </w:pPr>
          </w:p>
        </w:tc>
        <w:tc>
          <w:tcPr>
            <w:tcW w:w="1176" w:type="dxa"/>
            <w:noWrap w:val="0"/>
            <w:vAlign w:val="center"/>
          </w:tcPr>
          <w:p w14:paraId="5DA0F019">
            <w:pPr>
              <w:spacing w:line="360" w:lineRule="auto"/>
              <w:jc w:val="center"/>
              <w:rPr>
                <w:rFonts w:ascii="宋体" w:hAnsi="宋体"/>
                <w:bCs/>
                <w:color w:val="auto"/>
                <w:szCs w:val="21"/>
                <w:highlight w:val="none"/>
              </w:rPr>
            </w:pPr>
          </w:p>
        </w:tc>
        <w:tc>
          <w:tcPr>
            <w:tcW w:w="1020" w:type="dxa"/>
            <w:noWrap w:val="0"/>
            <w:vAlign w:val="center"/>
          </w:tcPr>
          <w:p w14:paraId="7E49B447">
            <w:pPr>
              <w:spacing w:line="360" w:lineRule="auto"/>
              <w:jc w:val="center"/>
              <w:rPr>
                <w:rFonts w:ascii="宋体" w:hAnsi="宋体"/>
                <w:bCs/>
                <w:color w:val="auto"/>
                <w:szCs w:val="21"/>
                <w:highlight w:val="none"/>
              </w:rPr>
            </w:pPr>
          </w:p>
        </w:tc>
        <w:tc>
          <w:tcPr>
            <w:tcW w:w="1020" w:type="dxa"/>
            <w:noWrap w:val="0"/>
            <w:vAlign w:val="center"/>
          </w:tcPr>
          <w:p w14:paraId="7037283D">
            <w:pPr>
              <w:spacing w:line="360" w:lineRule="auto"/>
              <w:jc w:val="center"/>
              <w:rPr>
                <w:rFonts w:ascii="宋体" w:hAnsi="宋体"/>
                <w:bCs/>
                <w:color w:val="auto"/>
                <w:szCs w:val="21"/>
                <w:highlight w:val="none"/>
              </w:rPr>
            </w:pPr>
          </w:p>
        </w:tc>
        <w:tc>
          <w:tcPr>
            <w:tcW w:w="2292" w:type="dxa"/>
            <w:noWrap w:val="0"/>
            <w:vAlign w:val="center"/>
          </w:tcPr>
          <w:p w14:paraId="32467AC1">
            <w:pPr>
              <w:spacing w:line="360" w:lineRule="auto"/>
              <w:jc w:val="center"/>
              <w:rPr>
                <w:rFonts w:ascii="宋体" w:hAnsi="宋体"/>
                <w:bCs/>
                <w:color w:val="auto"/>
                <w:szCs w:val="21"/>
                <w:highlight w:val="none"/>
              </w:rPr>
            </w:pPr>
          </w:p>
        </w:tc>
      </w:tr>
      <w:tr w14:paraId="0516F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jc w:val="center"/>
        </w:trPr>
        <w:tc>
          <w:tcPr>
            <w:tcW w:w="1058" w:type="dxa"/>
            <w:noWrap w:val="0"/>
            <w:vAlign w:val="center"/>
          </w:tcPr>
          <w:p w14:paraId="30399189">
            <w:pPr>
              <w:spacing w:line="360" w:lineRule="auto"/>
              <w:jc w:val="center"/>
              <w:rPr>
                <w:rFonts w:ascii="宋体" w:hAnsi="宋体"/>
                <w:bCs/>
                <w:color w:val="auto"/>
                <w:szCs w:val="21"/>
                <w:highlight w:val="none"/>
              </w:rPr>
            </w:pPr>
            <w:r>
              <w:rPr>
                <w:rFonts w:hint="eastAsia" w:ascii="宋体" w:hAnsi="宋体"/>
                <w:bCs/>
                <w:color w:val="auto"/>
                <w:szCs w:val="21"/>
                <w:highlight w:val="none"/>
              </w:rPr>
              <w:t>2</w:t>
            </w:r>
          </w:p>
        </w:tc>
        <w:tc>
          <w:tcPr>
            <w:tcW w:w="2580" w:type="dxa"/>
            <w:noWrap w:val="0"/>
            <w:vAlign w:val="center"/>
          </w:tcPr>
          <w:p w14:paraId="139EAC6D">
            <w:pPr>
              <w:spacing w:line="360" w:lineRule="auto"/>
              <w:jc w:val="center"/>
              <w:rPr>
                <w:rFonts w:ascii="宋体" w:hAnsi="宋体"/>
                <w:bCs/>
                <w:color w:val="auto"/>
                <w:szCs w:val="21"/>
                <w:highlight w:val="none"/>
              </w:rPr>
            </w:pPr>
          </w:p>
        </w:tc>
        <w:tc>
          <w:tcPr>
            <w:tcW w:w="1176" w:type="dxa"/>
            <w:noWrap w:val="0"/>
            <w:vAlign w:val="center"/>
          </w:tcPr>
          <w:p w14:paraId="054A427E">
            <w:pPr>
              <w:spacing w:line="360" w:lineRule="auto"/>
              <w:jc w:val="center"/>
              <w:rPr>
                <w:rFonts w:ascii="宋体" w:hAnsi="宋体"/>
                <w:bCs/>
                <w:color w:val="auto"/>
                <w:szCs w:val="21"/>
                <w:highlight w:val="none"/>
              </w:rPr>
            </w:pPr>
          </w:p>
        </w:tc>
        <w:tc>
          <w:tcPr>
            <w:tcW w:w="1020" w:type="dxa"/>
            <w:noWrap w:val="0"/>
            <w:vAlign w:val="center"/>
          </w:tcPr>
          <w:p w14:paraId="2BE03F87">
            <w:pPr>
              <w:spacing w:line="360" w:lineRule="auto"/>
              <w:jc w:val="center"/>
              <w:rPr>
                <w:rFonts w:ascii="宋体" w:hAnsi="宋体"/>
                <w:bCs/>
                <w:color w:val="auto"/>
                <w:szCs w:val="21"/>
                <w:highlight w:val="none"/>
              </w:rPr>
            </w:pPr>
          </w:p>
        </w:tc>
        <w:tc>
          <w:tcPr>
            <w:tcW w:w="1020" w:type="dxa"/>
            <w:noWrap w:val="0"/>
            <w:vAlign w:val="center"/>
          </w:tcPr>
          <w:p w14:paraId="7F1A85CB">
            <w:pPr>
              <w:spacing w:line="360" w:lineRule="auto"/>
              <w:jc w:val="center"/>
              <w:rPr>
                <w:rFonts w:ascii="宋体" w:hAnsi="宋体"/>
                <w:bCs/>
                <w:color w:val="auto"/>
                <w:szCs w:val="21"/>
                <w:highlight w:val="none"/>
              </w:rPr>
            </w:pPr>
          </w:p>
        </w:tc>
        <w:tc>
          <w:tcPr>
            <w:tcW w:w="2292" w:type="dxa"/>
            <w:noWrap w:val="0"/>
            <w:vAlign w:val="center"/>
          </w:tcPr>
          <w:p w14:paraId="4E4078DA">
            <w:pPr>
              <w:spacing w:line="360" w:lineRule="auto"/>
              <w:jc w:val="center"/>
              <w:rPr>
                <w:rFonts w:ascii="宋体" w:hAnsi="宋体"/>
                <w:bCs/>
                <w:color w:val="auto"/>
                <w:szCs w:val="21"/>
                <w:highlight w:val="none"/>
              </w:rPr>
            </w:pPr>
          </w:p>
        </w:tc>
      </w:tr>
      <w:tr w14:paraId="126A9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jc w:val="center"/>
        </w:trPr>
        <w:tc>
          <w:tcPr>
            <w:tcW w:w="1058" w:type="dxa"/>
            <w:noWrap w:val="0"/>
            <w:vAlign w:val="center"/>
          </w:tcPr>
          <w:p w14:paraId="0FE5F94E">
            <w:pPr>
              <w:spacing w:line="360" w:lineRule="auto"/>
              <w:jc w:val="center"/>
              <w:rPr>
                <w:rFonts w:ascii="宋体" w:hAnsi="宋体"/>
                <w:bCs/>
                <w:color w:val="auto"/>
                <w:szCs w:val="21"/>
                <w:highlight w:val="none"/>
              </w:rPr>
            </w:pPr>
            <w:r>
              <w:rPr>
                <w:rFonts w:hint="eastAsia" w:ascii="宋体" w:hAnsi="宋体"/>
                <w:bCs/>
                <w:color w:val="auto"/>
                <w:szCs w:val="21"/>
                <w:highlight w:val="none"/>
              </w:rPr>
              <w:t>3</w:t>
            </w:r>
          </w:p>
        </w:tc>
        <w:tc>
          <w:tcPr>
            <w:tcW w:w="2580" w:type="dxa"/>
            <w:noWrap w:val="0"/>
            <w:vAlign w:val="center"/>
          </w:tcPr>
          <w:p w14:paraId="2F5A2FF7">
            <w:pPr>
              <w:spacing w:line="360" w:lineRule="auto"/>
              <w:jc w:val="center"/>
              <w:rPr>
                <w:rFonts w:ascii="宋体" w:hAnsi="宋体"/>
                <w:bCs/>
                <w:color w:val="auto"/>
                <w:szCs w:val="21"/>
                <w:highlight w:val="none"/>
              </w:rPr>
            </w:pPr>
          </w:p>
        </w:tc>
        <w:tc>
          <w:tcPr>
            <w:tcW w:w="1176" w:type="dxa"/>
            <w:noWrap w:val="0"/>
            <w:vAlign w:val="center"/>
          </w:tcPr>
          <w:p w14:paraId="304C10D5">
            <w:pPr>
              <w:spacing w:line="360" w:lineRule="auto"/>
              <w:jc w:val="center"/>
              <w:rPr>
                <w:rFonts w:ascii="宋体" w:hAnsi="宋体"/>
                <w:bCs/>
                <w:color w:val="auto"/>
                <w:szCs w:val="21"/>
                <w:highlight w:val="none"/>
              </w:rPr>
            </w:pPr>
          </w:p>
        </w:tc>
        <w:tc>
          <w:tcPr>
            <w:tcW w:w="1020" w:type="dxa"/>
            <w:noWrap w:val="0"/>
            <w:vAlign w:val="center"/>
          </w:tcPr>
          <w:p w14:paraId="5838F767">
            <w:pPr>
              <w:spacing w:line="360" w:lineRule="auto"/>
              <w:jc w:val="center"/>
              <w:rPr>
                <w:rFonts w:ascii="宋体" w:hAnsi="宋体"/>
                <w:bCs/>
                <w:color w:val="auto"/>
                <w:szCs w:val="21"/>
                <w:highlight w:val="none"/>
              </w:rPr>
            </w:pPr>
          </w:p>
        </w:tc>
        <w:tc>
          <w:tcPr>
            <w:tcW w:w="1020" w:type="dxa"/>
            <w:noWrap w:val="0"/>
            <w:vAlign w:val="center"/>
          </w:tcPr>
          <w:p w14:paraId="2C1B2868">
            <w:pPr>
              <w:spacing w:line="360" w:lineRule="auto"/>
              <w:jc w:val="center"/>
              <w:rPr>
                <w:rFonts w:ascii="宋体" w:hAnsi="宋体"/>
                <w:bCs/>
                <w:color w:val="auto"/>
                <w:szCs w:val="21"/>
                <w:highlight w:val="none"/>
              </w:rPr>
            </w:pPr>
          </w:p>
        </w:tc>
        <w:tc>
          <w:tcPr>
            <w:tcW w:w="2292" w:type="dxa"/>
            <w:noWrap w:val="0"/>
            <w:vAlign w:val="center"/>
          </w:tcPr>
          <w:p w14:paraId="43D6958C">
            <w:pPr>
              <w:spacing w:line="360" w:lineRule="auto"/>
              <w:jc w:val="center"/>
              <w:rPr>
                <w:rFonts w:ascii="宋体" w:hAnsi="宋体"/>
                <w:bCs/>
                <w:color w:val="auto"/>
                <w:szCs w:val="21"/>
                <w:highlight w:val="none"/>
              </w:rPr>
            </w:pPr>
          </w:p>
        </w:tc>
      </w:tr>
      <w:tr w14:paraId="36FAA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jc w:val="center"/>
        </w:trPr>
        <w:tc>
          <w:tcPr>
            <w:tcW w:w="1058" w:type="dxa"/>
            <w:noWrap w:val="0"/>
            <w:vAlign w:val="center"/>
          </w:tcPr>
          <w:p w14:paraId="20CC3041">
            <w:pPr>
              <w:spacing w:line="360" w:lineRule="auto"/>
              <w:jc w:val="center"/>
              <w:rPr>
                <w:rFonts w:ascii="宋体" w:hAnsi="宋体"/>
                <w:bCs/>
                <w:color w:val="auto"/>
                <w:szCs w:val="21"/>
                <w:highlight w:val="none"/>
              </w:rPr>
            </w:pPr>
            <w:r>
              <w:rPr>
                <w:rFonts w:hint="eastAsia" w:ascii="宋体" w:hAnsi="宋体"/>
                <w:bCs/>
                <w:color w:val="auto"/>
                <w:szCs w:val="21"/>
                <w:highlight w:val="none"/>
              </w:rPr>
              <w:t>4</w:t>
            </w:r>
          </w:p>
        </w:tc>
        <w:tc>
          <w:tcPr>
            <w:tcW w:w="2580" w:type="dxa"/>
            <w:noWrap w:val="0"/>
            <w:vAlign w:val="center"/>
          </w:tcPr>
          <w:p w14:paraId="596229A3">
            <w:pPr>
              <w:spacing w:line="360" w:lineRule="auto"/>
              <w:jc w:val="center"/>
              <w:rPr>
                <w:rFonts w:ascii="宋体" w:hAnsi="宋体"/>
                <w:bCs/>
                <w:color w:val="auto"/>
                <w:szCs w:val="21"/>
                <w:highlight w:val="none"/>
              </w:rPr>
            </w:pPr>
          </w:p>
        </w:tc>
        <w:tc>
          <w:tcPr>
            <w:tcW w:w="1176" w:type="dxa"/>
            <w:noWrap w:val="0"/>
            <w:vAlign w:val="center"/>
          </w:tcPr>
          <w:p w14:paraId="2E4C990D">
            <w:pPr>
              <w:spacing w:line="360" w:lineRule="auto"/>
              <w:jc w:val="center"/>
              <w:rPr>
                <w:rFonts w:ascii="宋体" w:hAnsi="宋体"/>
                <w:bCs/>
                <w:color w:val="auto"/>
                <w:szCs w:val="21"/>
                <w:highlight w:val="none"/>
              </w:rPr>
            </w:pPr>
          </w:p>
        </w:tc>
        <w:tc>
          <w:tcPr>
            <w:tcW w:w="1020" w:type="dxa"/>
            <w:noWrap w:val="0"/>
            <w:vAlign w:val="center"/>
          </w:tcPr>
          <w:p w14:paraId="2EF749B0">
            <w:pPr>
              <w:spacing w:line="360" w:lineRule="auto"/>
              <w:jc w:val="center"/>
              <w:rPr>
                <w:rFonts w:ascii="宋体" w:hAnsi="宋体"/>
                <w:bCs/>
                <w:color w:val="auto"/>
                <w:szCs w:val="21"/>
                <w:highlight w:val="none"/>
              </w:rPr>
            </w:pPr>
          </w:p>
        </w:tc>
        <w:tc>
          <w:tcPr>
            <w:tcW w:w="1020" w:type="dxa"/>
            <w:noWrap w:val="0"/>
            <w:vAlign w:val="center"/>
          </w:tcPr>
          <w:p w14:paraId="15B9629C">
            <w:pPr>
              <w:spacing w:line="360" w:lineRule="auto"/>
              <w:jc w:val="center"/>
              <w:rPr>
                <w:rFonts w:ascii="宋体" w:hAnsi="宋体"/>
                <w:bCs/>
                <w:color w:val="auto"/>
                <w:szCs w:val="21"/>
                <w:highlight w:val="none"/>
              </w:rPr>
            </w:pPr>
          </w:p>
        </w:tc>
        <w:tc>
          <w:tcPr>
            <w:tcW w:w="2292" w:type="dxa"/>
            <w:noWrap w:val="0"/>
            <w:vAlign w:val="center"/>
          </w:tcPr>
          <w:p w14:paraId="2EFC0E6E">
            <w:pPr>
              <w:spacing w:line="360" w:lineRule="auto"/>
              <w:jc w:val="center"/>
              <w:rPr>
                <w:rFonts w:ascii="宋体" w:hAnsi="宋体"/>
                <w:bCs/>
                <w:color w:val="auto"/>
                <w:szCs w:val="21"/>
                <w:highlight w:val="none"/>
              </w:rPr>
            </w:pPr>
          </w:p>
        </w:tc>
      </w:tr>
      <w:tr w14:paraId="350C4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jc w:val="center"/>
        </w:trPr>
        <w:tc>
          <w:tcPr>
            <w:tcW w:w="1058" w:type="dxa"/>
            <w:noWrap w:val="0"/>
            <w:vAlign w:val="center"/>
          </w:tcPr>
          <w:p w14:paraId="48DA8881">
            <w:pPr>
              <w:spacing w:line="360" w:lineRule="auto"/>
              <w:jc w:val="center"/>
              <w:rPr>
                <w:rFonts w:ascii="宋体" w:hAnsi="宋体"/>
                <w:bCs/>
                <w:color w:val="auto"/>
                <w:szCs w:val="21"/>
                <w:highlight w:val="none"/>
              </w:rPr>
            </w:pPr>
            <w:r>
              <w:rPr>
                <w:rFonts w:hint="eastAsia" w:ascii="宋体" w:hAnsi="宋体"/>
                <w:bCs/>
                <w:color w:val="auto"/>
                <w:szCs w:val="21"/>
                <w:highlight w:val="none"/>
              </w:rPr>
              <w:t>…</w:t>
            </w:r>
          </w:p>
        </w:tc>
        <w:tc>
          <w:tcPr>
            <w:tcW w:w="2580" w:type="dxa"/>
            <w:noWrap w:val="0"/>
            <w:vAlign w:val="center"/>
          </w:tcPr>
          <w:p w14:paraId="2D0867DC">
            <w:pPr>
              <w:spacing w:line="360" w:lineRule="auto"/>
              <w:jc w:val="center"/>
              <w:rPr>
                <w:rFonts w:ascii="宋体" w:hAnsi="宋体"/>
                <w:bCs/>
                <w:color w:val="auto"/>
                <w:szCs w:val="21"/>
                <w:highlight w:val="none"/>
              </w:rPr>
            </w:pPr>
          </w:p>
        </w:tc>
        <w:tc>
          <w:tcPr>
            <w:tcW w:w="1176" w:type="dxa"/>
            <w:noWrap w:val="0"/>
            <w:vAlign w:val="center"/>
          </w:tcPr>
          <w:p w14:paraId="42D7C7FC">
            <w:pPr>
              <w:spacing w:line="360" w:lineRule="auto"/>
              <w:jc w:val="center"/>
              <w:rPr>
                <w:rFonts w:ascii="宋体" w:hAnsi="宋体"/>
                <w:bCs/>
                <w:color w:val="auto"/>
                <w:szCs w:val="21"/>
                <w:highlight w:val="none"/>
              </w:rPr>
            </w:pPr>
          </w:p>
        </w:tc>
        <w:tc>
          <w:tcPr>
            <w:tcW w:w="1020" w:type="dxa"/>
            <w:noWrap w:val="0"/>
            <w:vAlign w:val="center"/>
          </w:tcPr>
          <w:p w14:paraId="106B9FCB">
            <w:pPr>
              <w:spacing w:line="360" w:lineRule="auto"/>
              <w:jc w:val="center"/>
              <w:rPr>
                <w:rFonts w:ascii="宋体" w:hAnsi="宋体"/>
                <w:bCs/>
                <w:color w:val="auto"/>
                <w:szCs w:val="21"/>
                <w:highlight w:val="none"/>
              </w:rPr>
            </w:pPr>
          </w:p>
        </w:tc>
        <w:tc>
          <w:tcPr>
            <w:tcW w:w="1020" w:type="dxa"/>
            <w:noWrap w:val="0"/>
            <w:vAlign w:val="center"/>
          </w:tcPr>
          <w:p w14:paraId="7E994631">
            <w:pPr>
              <w:spacing w:line="360" w:lineRule="auto"/>
              <w:jc w:val="center"/>
              <w:rPr>
                <w:rFonts w:ascii="宋体" w:hAnsi="宋体"/>
                <w:bCs/>
                <w:color w:val="auto"/>
                <w:szCs w:val="21"/>
                <w:highlight w:val="none"/>
              </w:rPr>
            </w:pPr>
          </w:p>
        </w:tc>
        <w:tc>
          <w:tcPr>
            <w:tcW w:w="2292" w:type="dxa"/>
            <w:noWrap w:val="0"/>
            <w:vAlign w:val="center"/>
          </w:tcPr>
          <w:p w14:paraId="639AB627">
            <w:pPr>
              <w:spacing w:line="360" w:lineRule="auto"/>
              <w:jc w:val="center"/>
              <w:rPr>
                <w:rFonts w:ascii="宋体" w:hAnsi="宋体"/>
                <w:bCs/>
                <w:color w:val="auto"/>
                <w:szCs w:val="21"/>
                <w:highlight w:val="none"/>
              </w:rPr>
            </w:pPr>
          </w:p>
        </w:tc>
      </w:tr>
      <w:tr w14:paraId="00F05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jc w:val="center"/>
        </w:trPr>
        <w:tc>
          <w:tcPr>
            <w:tcW w:w="1058" w:type="dxa"/>
            <w:noWrap w:val="0"/>
            <w:vAlign w:val="center"/>
          </w:tcPr>
          <w:p w14:paraId="4D1AD611">
            <w:pPr>
              <w:spacing w:line="360" w:lineRule="auto"/>
              <w:jc w:val="center"/>
              <w:rPr>
                <w:rFonts w:ascii="宋体" w:hAnsi="宋体"/>
                <w:bCs/>
                <w:color w:val="auto"/>
                <w:szCs w:val="21"/>
                <w:highlight w:val="none"/>
              </w:rPr>
            </w:pPr>
          </w:p>
        </w:tc>
        <w:tc>
          <w:tcPr>
            <w:tcW w:w="2580" w:type="dxa"/>
            <w:noWrap w:val="0"/>
            <w:vAlign w:val="center"/>
          </w:tcPr>
          <w:p w14:paraId="284FBE38">
            <w:pPr>
              <w:spacing w:line="360" w:lineRule="auto"/>
              <w:jc w:val="center"/>
              <w:rPr>
                <w:rFonts w:ascii="宋体" w:hAnsi="宋体"/>
                <w:bCs/>
                <w:color w:val="auto"/>
                <w:szCs w:val="21"/>
                <w:highlight w:val="none"/>
              </w:rPr>
            </w:pPr>
          </w:p>
        </w:tc>
        <w:tc>
          <w:tcPr>
            <w:tcW w:w="1176" w:type="dxa"/>
            <w:noWrap w:val="0"/>
            <w:vAlign w:val="center"/>
          </w:tcPr>
          <w:p w14:paraId="1889F5D0">
            <w:pPr>
              <w:spacing w:line="360" w:lineRule="auto"/>
              <w:jc w:val="center"/>
              <w:rPr>
                <w:rFonts w:ascii="宋体" w:hAnsi="宋体"/>
                <w:bCs/>
                <w:color w:val="auto"/>
                <w:szCs w:val="21"/>
                <w:highlight w:val="none"/>
              </w:rPr>
            </w:pPr>
          </w:p>
        </w:tc>
        <w:tc>
          <w:tcPr>
            <w:tcW w:w="1020" w:type="dxa"/>
            <w:noWrap w:val="0"/>
            <w:vAlign w:val="center"/>
          </w:tcPr>
          <w:p w14:paraId="5FE4961D">
            <w:pPr>
              <w:spacing w:line="360" w:lineRule="auto"/>
              <w:jc w:val="center"/>
              <w:rPr>
                <w:rFonts w:ascii="宋体" w:hAnsi="宋体"/>
                <w:bCs/>
                <w:color w:val="auto"/>
                <w:szCs w:val="21"/>
                <w:highlight w:val="none"/>
              </w:rPr>
            </w:pPr>
          </w:p>
        </w:tc>
        <w:tc>
          <w:tcPr>
            <w:tcW w:w="1020" w:type="dxa"/>
            <w:noWrap w:val="0"/>
            <w:vAlign w:val="center"/>
          </w:tcPr>
          <w:p w14:paraId="384002A4">
            <w:pPr>
              <w:spacing w:line="360" w:lineRule="auto"/>
              <w:jc w:val="center"/>
              <w:rPr>
                <w:rFonts w:ascii="宋体" w:hAnsi="宋体"/>
                <w:bCs/>
                <w:color w:val="auto"/>
                <w:szCs w:val="21"/>
                <w:highlight w:val="none"/>
              </w:rPr>
            </w:pPr>
          </w:p>
        </w:tc>
        <w:tc>
          <w:tcPr>
            <w:tcW w:w="2292" w:type="dxa"/>
            <w:noWrap w:val="0"/>
            <w:vAlign w:val="center"/>
          </w:tcPr>
          <w:p w14:paraId="6B81FE31">
            <w:pPr>
              <w:spacing w:line="360" w:lineRule="auto"/>
              <w:jc w:val="center"/>
              <w:rPr>
                <w:rFonts w:ascii="宋体" w:hAnsi="宋体"/>
                <w:bCs/>
                <w:color w:val="auto"/>
                <w:szCs w:val="21"/>
                <w:highlight w:val="none"/>
              </w:rPr>
            </w:pPr>
          </w:p>
        </w:tc>
      </w:tr>
      <w:tr w14:paraId="21D2D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jc w:val="center"/>
        </w:trPr>
        <w:tc>
          <w:tcPr>
            <w:tcW w:w="1058" w:type="dxa"/>
            <w:noWrap w:val="0"/>
            <w:vAlign w:val="center"/>
          </w:tcPr>
          <w:p w14:paraId="698A9709">
            <w:pPr>
              <w:spacing w:line="360" w:lineRule="auto"/>
              <w:jc w:val="center"/>
              <w:rPr>
                <w:rFonts w:ascii="宋体" w:hAnsi="宋体"/>
                <w:bCs/>
                <w:color w:val="auto"/>
                <w:szCs w:val="21"/>
                <w:highlight w:val="none"/>
              </w:rPr>
            </w:pPr>
          </w:p>
        </w:tc>
        <w:tc>
          <w:tcPr>
            <w:tcW w:w="2580" w:type="dxa"/>
            <w:noWrap w:val="0"/>
            <w:vAlign w:val="center"/>
          </w:tcPr>
          <w:p w14:paraId="35E4AED2">
            <w:pPr>
              <w:spacing w:line="360" w:lineRule="auto"/>
              <w:jc w:val="center"/>
              <w:rPr>
                <w:rFonts w:ascii="宋体" w:hAnsi="宋体"/>
                <w:bCs/>
                <w:color w:val="auto"/>
                <w:szCs w:val="21"/>
                <w:highlight w:val="none"/>
              </w:rPr>
            </w:pPr>
          </w:p>
        </w:tc>
        <w:tc>
          <w:tcPr>
            <w:tcW w:w="1176" w:type="dxa"/>
            <w:noWrap w:val="0"/>
            <w:vAlign w:val="center"/>
          </w:tcPr>
          <w:p w14:paraId="04BF5409">
            <w:pPr>
              <w:spacing w:line="360" w:lineRule="auto"/>
              <w:jc w:val="center"/>
              <w:rPr>
                <w:rFonts w:ascii="宋体" w:hAnsi="宋体"/>
                <w:bCs/>
                <w:color w:val="auto"/>
                <w:szCs w:val="21"/>
                <w:highlight w:val="none"/>
              </w:rPr>
            </w:pPr>
          </w:p>
        </w:tc>
        <w:tc>
          <w:tcPr>
            <w:tcW w:w="1020" w:type="dxa"/>
            <w:noWrap w:val="0"/>
            <w:vAlign w:val="center"/>
          </w:tcPr>
          <w:p w14:paraId="32B76CC2">
            <w:pPr>
              <w:spacing w:line="360" w:lineRule="auto"/>
              <w:jc w:val="center"/>
              <w:rPr>
                <w:rFonts w:ascii="宋体" w:hAnsi="宋体"/>
                <w:bCs/>
                <w:color w:val="auto"/>
                <w:szCs w:val="21"/>
                <w:highlight w:val="none"/>
              </w:rPr>
            </w:pPr>
          </w:p>
        </w:tc>
        <w:tc>
          <w:tcPr>
            <w:tcW w:w="1020" w:type="dxa"/>
            <w:noWrap w:val="0"/>
            <w:vAlign w:val="center"/>
          </w:tcPr>
          <w:p w14:paraId="64C4BAFE">
            <w:pPr>
              <w:spacing w:line="360" w:lineRule="auto"/>
              <w:jc w:val="center"/>
              <w:rPr>
                <w:rFonts w:ascii="宋体" w:hAnsi="宋体"/>
                <w:bCs/>
                <w:color w:val="auto"/>
                <w:szCs w:val="21"/>
                <w:highlight w:val="none"/>
              </w:rPr>
            </w:pPr>
          </w:p>
        </w:tc>
        <w:tc>
          <w:tcPr>
            <w:tcW w:w="2292" w:type="dxa"/>
            <w:noWrap w:val="0"/>
            <w:vAlign w:val="center"/>
          </w:tcPr>
          <w:p w14:paraId="0B4A8E65">
            <w:pPr>
              <w:spacing w:line="360" w:lineRule="auto"/>
              <w:jc w:val="center"/>
              <w:rPr>
                <w:rFonts w:ascii="宋体" w:hAnsi="宋体"/>
                <w:bCs/>
                <w:color w:val="auto"/>
                <w:szCs w:val="21"/>
                <w:highlight w:val="none"/>
              </w:rPr>
            </w:pPr>
          </w:p>
        </w:tc>
      </w:tr>
      <w:tr w14:paraId="5BCBC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8" w:hRule="atLeast"/>
          <w:jc w:val="center"/>
        </w:trPr>
        <w:tc>
          <w:tcPr>
            <w:tcW w:w="1058" w:type="dxa"/>
            <w:noWrap w:val="0"/>
            <w:vAlign w:val="center"/>
          </w:tcPr>
          <w:p w14:paraId="0F2CFA3F">
            <w:pPr>
              <w:spacing w:line="360" w:lineRule="auto"/>
              <w:jc w:val="center"/>
              <w:rPr>
                <w:rFonts w:ascii="宋体" w:hAnsi="宋体"/>
                <w:bCs/>
                <w:color w:val="auto"/>
                <w:szCs w:val="21"/>
                <w:highlight w:val="none"/>
              </w:rPr>
            </w:pPr>
            <w:r>
              <w:rPr>
                <w:rFonts w:hint="eastAsia" w:ascii="宋体" w:hAnsi="宋体"/>
                <w:bCs/>
                <w:color w:val="auto"/>
                <w:szCs w:val="21"/>
                <w:highlight w:val="none"/>
              </w:rPr>
              <w:t>合计总价</w:t>
            </w:r>
          </w:p>
        </w:tc>
        <w:tc>
          <w:tcPr>
            <w:tcW w:w="8088" w:type="dxa"/>
            <w:gridSpan w:val="5"/>
            <w:noWrap w:val="0"/>
            <w:vAlign w:val="center"/>
          </w:tcPr>
          <w:p w14:paraId="078C038C">
            <w:pPr>
              <w:spacing w:line="360" w:lineRule="auto"/>
              <w:jc w:val="center"/>
              <w:rPr>
                <w:rFonts w:ascii="宋体" w:hAnsi="宋体"/>
                <w:bCs/>
                <w:color w:val="auto"/>
                <w:szCs w:val="21"/>
                <w:highlight w:val="none"/>
              </w:rPr>
            </w:pPr>
          </w:p>
        </w:tc>
      </w:tr>
    </w:tbl>
    <w:p w14:paraId="3A487161">
      <w:pPr>
        <w:spacing w:line="360" w:lineRule="auto"/>
        <w:jc w:val="left"/>
        <w:rPr>
          <w:rFonts w:ascii="宋体" w:hAnsi="宋体"/>
          <w:bCs/>
          <w:color w:val="auto"/>
          <w:szCs w:val="21"/>
          <w:highlight w:val="none"/>
        </w:rPr>
      </w:pPr>
      <w:r>
        <w:rPr>
          <w:rFonts w:hint="eastAsia" w:ascii="宋体" w:hAnsi="宋体"/>
          <w:bCs/>
          <w:color w:val="auto"/>
          <w:szCs w:val="21"/>
          <w:highlight w:val="none"/>
        </w:rPr>
        <w:t>注：1.此表合计总价须和投标函附录投标报价金额一致。</w:t>
      </w:r>
    </w:p>
    <w:p w14:paraId="730F4A38">
      <w:pPr>
        <w:spacing w:line="360" w:lineRule="auto"/>
        <w:jc w:val="left"/>
        <w:rPr>
          <w:rFonts w:ascii="宋体" w:hAnsi="宋体"/>
          <w:bCs/>
          <w:color w:val="auto"/>
          <w:szCs w:val="21"/>
          <w:highlight w:val="none"/>
        </w:rPr>
      </w:pPr>
      <w:r>
        <w:rPr>
          <w:rFonts w:hint="eastAsia" w:ascii="宋体" w:hAnsi="宋体"/>
          <w:bCs/>
          <w:color w:val="auto"/>
          <w:szCs w:val="21"/>
          <w:highlight w:val="none"/>
        </w:rPr>
        <w:t xml:space="preserve">    2.此表可扩展，项目内容可根据实际内容填写。</w:t>
      </w:r>
    </w:p>
    <w:p w14:paraId="4EAFAC7D">
      <w:pPr>
        <w:tabs>
          <w:tab w:val="left" w:pos="1155"/>
        </w:tabs>
        <w:spacing w:line="360" w:lineRule="auto"/>
        <w:ind w:right="440" w:firstLine="2738" w:firstLineChars="1304"/>
        <w:jc w:val="right"/>
        <w:rPr>
          <w:rFonts w:ascii="宋体"/>
          <w:color w:val="auto"/>
          <w:szCs w:val="21"/>
          <w:highlight w:val="none"/>
        </w:rPr>
      </w:pPr>
      <w:r>
        <w:rPr>
          <w:rFonts w:hint="eastAsia" w:ascii="宋体" w:hAnsi="宋体"/>
          <w:color w:val="auto"/>
          <w:szCs w:val="21"/>
          <w:highlight w:val="none"/>
        </w:rPr>
        <w:t>投标人名称：</w:t>
      </w:r>
      <w:r>
        <w:rPr>
          <w:rFonts w:hint="eastAsia" w:ascii="宋体" w:hAnsi="宋体"/>
          <w:color w:val="auto"/>
          <w:szCs w:val="21"/>
          <w:highlight w:val="none"/>
          <w:u w:val="single"/>
        </w:rPr>
        <w:t xml:space="preserve">               </w:t>
      </w:r>
      <w:r>
        <w:rPr>
          <w:rFonts w:hint="eastAsia" w:ascii="宋体" w:hAnsi="宋体"/>
          <w:color w:val="auto"/>
          <w:szCs w:val="21"/>
          <w:highlight w:val="none"/>
        </w:rPr>
        <w:t>（</w:t>
      </w:r>
      <w:r>
        <w:rPr>
          <w:rFonts w:hint="eastAsia" w:ascii="宋体" w:hAnsi="宋体" w:cs="宋体"/>
          <w:color w:val="auto"/>
          <w:szCs w:val="21"/>
          <w:highlight w:val="none"/>
        </w:rPr>
        <w:t>盖电子章</w:t>
      </w:r>
      <w:r>
        <w:rPr>
          <w:rFonts w:hint="eastAsia" w:ascii="宋体" w:hAnsi="宋体"/>
          <w:color w:val="auto"/>
          <w:szCs w:val="21"/>
          <w:highlight w:val="none"/>
        </w:rPr>
        <w:t>）</w:t>
      </w:r>
    </w:p>
    <w:p w14:paraId="4E5146C5">
      <w:pPr>
        <w:spacing w:line="360" w:lineRule="auto"/>
        <w:ind w:firstLine="2738" w:firstLineChars="1304"/>
        <w:jc w:val="right"/>
        <w:rPr>
          <w:rFonts w:ascii="宋体"/>
          <w:color w:val="auto"/>
          <w:szCs w:val="21"/>
          <w:highlight w:val="none"/>
        </w:rPr>
      </w:pPr>
      <w:r>
        <w:rPr>
          <w:rFonts w:hint="eastAsia" w:ascii="宋体" w:hAnsi="宋体"/>
          <w:color w:val="auto"/>
          <w:szCs w:val="21"/>
          <w:highlight w:val="none"/>
        </w:rPr>
        <w:t>法定代表人或授权委托人：</w:t>
      </w:r>
      <w:r>
        <w:rPr>
          <w:rFonts w:hint="eastAsia" w:ascii="宋体" w:hAnsi="宋体"/>
          <w:color w:val="auto"/>
          <w:szCs w:val="21"/>
          <w:highlight w:val="none"/>
          <w:u w:val="single"/>
        </w:rPr>
        <w:t xml:space="preserve">     </w:t>
      </w:r>
      <w:r>
        <w:rPr>
          <w:rFonts w:hint="eastAsia" w:ascii="宋体" w:hAnsi="宋体"/>
          <w:color w:val="auto"/>
          <w:szCs w:val="21"/>
          <w:highlight w:val="none"/>
        </w:rPr>
        <w:t>（</w:t>
      </w:r>
      <w:r>
        <w:rPr>
          <w:rFonts w:hint="eastAsia" w:ascii="宋体" w:hAnsi="宋体" w:cs="宋体"/>
          <w:color w:val="auto"/>
          <w:szCs w:val="21"/>
          <w:highlight w:val="none"/>
        </w:rPr>
        <w:t>签字或盖电子章</w:t>
      </w:r>
      <w:r>
        <w:rPr>
          <w:rFonts w:hint="eastAsia" w:ascii="宋体" w:hAnsi="宋体"/>
          <w:color w:val="auto"/>
          <w:szCs w:val="21"/>
          <w:highlight w:val="none"/>
        </w:rPr>
        <w:t>）</w:t>
      </w:r>
    </w:p>
    <w:p w14:paraId="4FA95361">
      <w:pPr>
        <w:spacing w:line="360" w:lineRule="auto"/>
        <w:ind w:right="860" w:firstLine="2738" w:firstLineChars="1304"/>
        <w:jc w:val="right"/>
        <w:rPr>
          <w:rFonts w:ascii="宋体"/>
          <w:color w:val="auto"/>
          <w:szCs w:val="21"/>
          <w:highlight w:val="none"/>
        </w:rPr>
      </w:pPr>
      <w:r>
        <w:rPr>
          <w:rFonts w:hint="eastAsia" w:ascii="宋体" w:hAnsi="宋体"/>
          <w:color w:val="auto"/>
          <w:szCs w:val="21"/>
          <w:highlight w:val="none"/>
        </w:rPr>
        <w:t>年    月    日</w:t>
      </w:r>
    </w:p>
    <w:p w14:paraId="1E6AFE5A">
      <w:pPr>
        <w:rPr>
          <w:rFonts w:hint="eastAsia" w:ascii="宋体" w:hAnsi="宋体" w:cs="宋体"/>
          <w:color w:val="auto"/>
          <w:highlight w:val="none"/>
        </w:rPr>
      </w:pPr>
    </w:p>
    <w:p w14:paraId="7E0CEF3C">
      <w:pPr>
        <w:pStyle w:val="2"/>
        <w:rPr>
          <w:rFonts w:hint="eastAsia" w:ascii="宋体" w:hAnsi="宋体" w:cs="宋体"/>
          <w:color w:val="auto"/>
          <w:highlight w:val="none"/>
        </w:rPr>
      </w:pPr>
    </w:p>
    <w:p w14:paraId="7CF7531A">
      <w:pPr>
        <w:rPr>
          <w:rFonts w:hint="eastAsia" w:ascii="宋体" w:hAnsi="宋体" w:cs="宋体"/>
          <w:color w:val="auto"/>
          <w:highlight w:val="none"/>
        </w:rPr>
      </w:pPr>
    </w:p>
    <w:p w14:paraId="7AD5FC1A">
      <w:pPr>
        <w:pStyle w:val="2"/>
        <w:rPr>
          <w:rFonts w:hint="eastAsia" w:ascii="宋体" w:hAnsi="宋体" w:cs="宋体"/>
          <w:color w:val="auto"/>
          <w:highlight w:val="none"/>
        </w:rPr>
      </w:pPr>
    </w:p>
    <w:p w14:paraId="50B5A570">
      <w:pPr>
        <w:rPr>
          <w:rFonts w:hint="eastAsia" w:ascii="宋体" w:hAnsi="宋体" w:cs="宋体"/>
          <w:color w:val="auto"/>
          <w:highlight w:val="none"/>
        </w:rPr>
      </w:pPr>
    </w:p>
    <w:p w14:paraId="3EF03714">
      <w:pPr>
        <w:pStyle w:val="2"/>
        <w:rPr>
          <w:rFonts w:hint="eastAsia"/>
          <w:highlight w:val="none"/>
        </w:rPr>
      </w:pPr>
    </w:p>
    <w:p w14:paraId="3CDF0459">
      <w:pPr>
        <w:pStyle w:val="47"/>
        <w:widowControl/>
        <w:spacing w:line="240" w:lineRule="auto"/>
        <w:jc w:val="center"/>
        <w:rPr>
          <w:rFonts w:hint="eastAsia" w:ascii="宋体" w:hAnsi="宋体" w:eastAsia="宋体" w:cs="宋体"/>
          <w:color w:val="auto"/>
          <w:szCs w:val="28"/>
          <w:highlight w:val="none"/>
        </w:rPr>
      </w:pPr>
      <w:r>
        <w:rPr>
          <w:rFonts w:hint="eastAsia" w:ascii="宋体" w:hAnsi="宋体" w:eastAsia="宋体" w:cs="宋体"/>
          <w:color w:val="auto"/>
          <w:highlight w:val="none"/>
        </w:rPr>
        <w:t>三、</w:t>
      </w:r>
      <w:r>
        <w:rPr>
          <w:rFonts w:hint="eastAsia" w:ascii="宋体" w:hAnsi="宋体" w:eastAsia="宋体" w:cs="宋体"/>
          <w:color w:val="auto"/>
          <w:szCs w:val="28"/>
          <w:highlight w:val="none"/>
        </w:rPr>
        <w:t>法定代表人身份证明</w:t>
      </w:r>
      <w:bookmarkEnd w:id="344"/>
      <w:bookmarkEnd w:id="345"/>
    </w:p>
    <w:bookmarkEnd w:id="346"/>
    <w:bookmarkEnd w:id="347"/>
    <w:bookmarkEnd w:id="348"/>
    <w:bookmarkEnd w:id="349"/>
    <w:bookmarkEnd w:id="350"/>
    <w:p w14:paraId="52B6A093">
      <w:pPr>
        <w:tabs>
          <w:tab w:val="left" w:pos="5460"/>
        </w:tabs>
        <w:spacing w:line="360" w:lineRule="auto"/>
        <w:jc w:val="left"/>
        <w:rPr>
          <w:rFonts w:hint="eastAsia" w:ascii="宋体" w:hAnsi="宋体" w:cs="宋体"/>
          <w:color w:val="auto"/>
          <w:szCs w:val="21"/>
          <w:highlight w:val="none"/>
        </w:rPr>
      </w:pPr>
      <w:r>
        <w:rPr>
          <w:rFonts w:ascii="宋体" w:hAnsi="宋体" w:cs="宋体"/>
          <w:color w:val="auto"/>
          <w:szCs w:val="21"/>
          <w:highlight w:val="none"/>
        </w:rPr>
        <w:tab/>
      </w:r>
    </w:p>
    <w:p w14:paraId="433B03DD">
      <w:pPr>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rPr>
        <w:t>投标人名称：</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w:t>
      </w:r>
    </w:p>
    <w:p w14:paraId="4A1014AB">
      <w:pPr>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rPr>
        <w:t>单位性质：</w:t>
      </w:r>
      <w:r>
        <w:rPr>
          <w:rFonts w:hint="eastAsia" w:ascii="宋体" w:hAnsi="宋体" w:cs="宋体"/>
          <w:color w:val="auto"/>
          <w:kern w:val="0"/>
          <w:szCs w:val="21"/>
          <w:highlight w:val="none"/>
          <w:u w:val="single"/>
        </w:rPr>
        <w:t xml:space="preserve">                               </w:t>
      </w:r>
    </w:p>
    <w:p w14:paraId="65F5C6BA">
      <w:pPr>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rPr>
        <w:t>地址：</w:t>
      </w:r>
      <w:r>
        <w:rPr>
          <w:rFonts w:hint="eastAsia" w:ascii="宋体" w:hAnsi="宋体" w:cs="宋体"/>
          <w:color w:val="auto"/>
          <w:kern w:val="0"/>
          <w:szCs w:val="21"/>
          <w:highlight w:val="none"/>
          <w:u w:val="single"/>
        </w:rPr>
        <w:t xml:space="preserve">                                   </w:t>
      </w:r>
    </w:p>
    <w:p w14:paraId="20D5A8E9">
      <w:pPr>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rPr>
        <w:t>成立时间：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月</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日</w:t>
      </w:r>
    </w:p>
    <w:p w14:paraId="3FBDB63B">
      <w:pPr>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rPr>
        <w:t>经营期限：</w:t>
      </w:r>
      <w:r>
        <w:rPr>
          <w:rFonts w:hint="eastAsia" w:ascii="宋体" w:hAnsi="宋体" w:cs="宋体"/>
          <w:color w:val="auto"/>
          <w:kern w:val="0"/>
          <w:szCs w:val="21"/>
          <w:highlight w:val="none"/>
          <w:u w:val="single"/>
        </w:rPr>
        <w:t xml:space="preserve">                               </w:t>
      </w:r>
    </w:p>
    <w:p w14:paraId="6C04C920">
      <w:pPr>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rPr>
        <w:t>姓名：</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性别：</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年龄：</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职务：</w:t>
      </w:r>
      <w:r>
        <w:rPr>
          <w:rFonts w:hint="eastAsia" w:ascii="宋体" w:hAnsi="宋体" w:cs="宋体"/>
          <w:color w:val="auto"/>
          <w:kern w:val="0"/>
          <w:szCs w:val="21"/>
          <w:highlight w:val="none"/>
          <w:u w:val="single"/>
        </w:rPr>
        <w:t xml:space="preserve">        </w:t>
      </w:r>
    </w:p>
    <w:p w14:paraId="0EA4CCB6">
      <w:pPr>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rPr>
        <w:t>系</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（投标人名称）的法定代表人。</w:t>
      </w:r>
    </w:p>
    <w:p w14:paraId="634E0DCC">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特此证明。</w:t>
      </w:r>
    </w:p>
    <w:p w14:paraId="44744757">
      <w:pPr>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附法定代表人身份证扫描件</w:t>
      </w:r>
    </w:p>
    <w:p w14:paraId="3BE1B497">
      <w:pPr>
        <w:spacing w:line="360" w:lineRule="auto"/>
        <w:jc w:val="left"/>
        <w:rPr>
          <w:rFonts w:hint="eastAsia" w:ascii="宋体" w:hAnsi="宋体" w:cs="宋体"/>
          <w:color w:val="auto"/>
          <w:szCs w:val="21"/>
          <w:highlight w:val="none"/>
        </w:rPr>
      </w:pPr>
    </w:p>
    <w:p w14:paraId="5CD9D27B">
      <w:pPr>
        <w:spacing w:line="360" w:lineRule="auto"/>
        <w:ind w:firstLine="4620" w:firstLineChars="2200"/>
        <w:jc w:val="left"/>
        <w:rPr>
          <w:rFonts w:hint="eastAsia" w:ascii="宋体" w:hAnsi="宋体" w:cs="宋体"/>
          <w:color w:val="auto"/>
          <w:szCs w:val="21"/>
          <w:highlight w:val="none"/>
        </w:rPr>
      </w:pPr>
    </w:p>
    <w:p w14:paraId="2B6C996B">
      <w:pPr>
        <w:spacing w:line="360" w:lineRule="auto"/>
        <w:ind w:firstLine="4620" w:firstLineChars="2200"/>
        <w:jc w:val="left"/>
        <w:rPr>
          <w:rFonts w:hint="eastAsia" w:ascii="宋体" w:hAnsi="宋体" w:cs="宋体"/>
          <w:color w:val="auto"/>
          <w:szCs w:val="21"/>
          <w:highlight w:val="none"/>
        </w:rPr>
      </w:pPr>
    </w:p>
    <w:p w14:paraId="00466475">
      <w:pPr>
        <w:tabs>
          <w:tab w:val="left" w:pos="1155"/>
        </w:tabs>
        <w:spacing w:line="360" w:lineRule="auto"/>
        <w:ind w:right="440" w:firstLine="2738" w:firstLineChars="1304"/>
        <w:jc w:val="right"/>
        <w:rPr>
          <w:rFonts w:ascii="宋体"/>
          <w:color w:val="auto"/>
          <w:szCs w:val="21"/>
          <w:highlight w:val="none"/>
        </w:rPr>
      </w:pPr>
      <w:r>
        <w:rPr>
          <w:rFonts w:hint="eastAsia" w:ascii="宋体" w:hAnsi="宋体"/>
          <w:color w:val="auto"/>
          <w:szCs w:val="21"/>
          <w:highlight w:val="none"/>
        </w:rPr>
        <w:t>投标人名称：</w:t>
      </w:r>
      <w:r>
        <w:rPr>
          <w:rFonts w:hint="eastAsia" w:ascii="宋体" w:hAnsi="宋体"/>
          <w:color w:val="auto"/>
          <w:szCs w:val="21"/>
          <w:highlight w:val="none"/>
          <w:u w:val="single"/>
        </w:rPr>
        <w:t xml:space="preserve">               </w:t>
      </w:r>
      <w:r>
        <w:rPr>
          <w:rFonts w:hint="eastAsia" w:ascii="宋体" w:hAnsi="宋体"/>
          <w:color w:val="auto"/>
          <w:szCs w:val="21"/>
          <w:highlight w:val="none"/>
        </w:rPr>
        <w:t>（盖单位电子章）</w:t>
      </w:r>
    </w:p>
    <w:p w14:paraId="27889407">
      <w:pPr>
        <w:spacing w:line="360" w:lineRule="auto"/>
        <w:ind w:firstLine="2738" w:firstLineChars="1304"/>
        <w:jc w:val="right"/>
        <w:rPr>
          <w:rFonts w:ascii="宋体"/>
          <w:color w:val="auto"/>
          <w:szCs w:val="21"/>
          <w:highlight w:val="none"/>
        </w:rPr>
      </w:pPr>
      <w:r>
        <w:rPr>
          <w:rFonts w:hint="eastAsia" w:ascii="宋体" w:hAnsi="宋体"/>
          <w:color w:val="auto"/>
          <w:szCs w:val="21"/>
          <w:highlight w:val="none"/>
        </w:rPr>
        <w:t>法定代表人或授权委托人：</w:t>
      </w:r>
      <w:r>
        <w:rPr>
          <w:rFonts w:hint="eastAsia" w:ascii="宋体" w:hAnsi="宋体"/>
          <w:color w:val="auto"/>
          <w:szCs w:val="21"/>
          <w:highlight w:val="none"/>
          <w:u w:val="single"/>
        </w:rPr>
        <w:t xml:space="preserve">     </w:t>
      </w:r>
      <w:r>
        <w:rPr>
          <w:rFonts w:hint="eastAsia" w:ascii="宋体" w:hAnsi="宋体"/>
          <w:color w:val="auto"/>
          <w:szCs w:val="21"/>
          <w:highlight w:val="none"/>
        </w:rPr>
        <w:t>（个人电子签章或签名）</w:t>
      </w:r>
    </w:p>
    <w:p w14:paraId="3DA39AE0">
      <w:pPr>
        <w:spacing w:line="360" w:lineRule="auto"/>
        <w:ind w:right="860" w:firstLine="2738" w:firstLineChars="1304"/>
        <w:jc w:val="right"/>
        <w:rPr>
          <w:rFonts w:ascii="宋体"/>
          <w:color w:val="auto"/>
          <w:szCs w:val="21"/>
          <w:highlight w:val="none"/>
        </w:rPr>
      </w:pPr>
      <w:r>
        <w:rPr>
          <w:rFonts w:hint="eastAsia" w:ascii="宋体" w:hAnsi="宋体"/>
          <w:color w:val="auto"/>
          <w:szCs w:val="21"/>
          <w:highlight w:val="none"/>
        </w:rPr>
        <w:t>年    月    日</w:t>
      </w:r>
    </w:p>
    <w:p w14:paraId="48794C6E">
      <w:pPr>
        <w:tabs>
          <w:tab w:val="left" w:pos="310"/>
        </w:tabs>
        <w:spacing w:line="360" w:lineRule="auto"/>
        <w:ind w:firstLine="4200" w:firstLineChars="2000"/>
        <w:jc w:val="left"/>
        <w:rPr>
          <w:rFonts w:hint="eastAsia" w:ascii="宋体" w:hAnsi="宋体" w:cs="宋体"/>
          <w:color w:val="auto"/>
          <w:szCs w:val="21"/>
          <w:highlight w:val="none"/>
        </w:rPr>
      </w:pPr>
    </w:p>
    <w:p w14:paraId="7075F59E">
      <w:pPr>
        <w:topLinePunct/>
        <w:ind w:firstLine="440" w:firstLineChars="200"/>
        <w:jc w:val="left"/>
        <w:rPr>
          <w:rFonts w:hint="eastAsia" w:ascii="宋体" w:hAnsi="宋体" w:cs="宋体"/>
          <w:color w:val="auto"/>
          <w:szCs w:val="21"/>
          <w:highlight w:val="none"/>
        </w:rPr>
      </w:pPr>
      <w:r>
        <w:rPr>
          <w:rFonts w:hint="eastAsia" w:ascii="宋体" w:hAnsi="宋体" w:cs="宋体"/>
          <w:color w:val="auto"/>
          <w:kern w:val="0"/>
          <w:sz w:val="22"/>
          <w:szCs w:val="21"/>
          <w:highlight w:val="none"/>
        </w:rPr>
        <w:t xml:space="preserve">  </w:t>
      </w:r>
    </w:p>
    <w:p w14:paraId="785CB08C">
      <w:pPr>
        <w:topLinePunct/>
        <w:ind w:firstLine="440" w:firstLineChars="200"/>
        <w:jc w:val="left"/>
        <w:rPr>
          <w:rFonts w:hint="eastAsia" w:ascii="宋体" w:hAnsi="宋体" w:cs="宋体"/>
          <w:color w:val="auto"/>
          <w:szCs w:val="21"/>
          <w:highlight w:val="none"/>
        </w:rPr>
      </w:pPr>
      <w:r>
        <w:rPr>
          <w:rFonts w:hint="eastAsia" w:ascii="宋体" w:hAnsi="宋体" w:cs="宋体"/>
          <w:color w:val="auto"/>
          <w:kern w:val="0"/>
          <w:sz w:val="22"/>
          <w:szCs w:val="21"/>
          <w:highlight w:val="none"/>
        </w:rPr>
        <w:t xml:space="preserve">                   </w:t>
      </w:r>
    </w:p>
    <w:p w14:paraId="16EDD855">
      <w:pPr>
        <w:pStyle w:val="4"/>
        <w:widowControl/>
        <w:spacing w:line="240" w:lineRule="auto"/>
        <w:jc w:val="center"/>
        <w:rPr>
          <w:rFonts w:hint="eastAsia" w:ascii="宋体" w:hAnsi="宋体" w:eastAsia="宋体" w:cs="宋体"/>
          <w:color w:val="auto"/>
          <w:sz w:val="28"/>
          <w:szCs w:val="28"/>
          <w:highlight w:val="none"/>
        </w:rPr>
      </w:pPr>
      <w:bookmarkStart w:id="351" w:name="_Toc457735305"/>
      <w:bookmarkStart w:id="352" w:name="_Toc457735667"/>
      <w:bookmarkStart w:id="353" w:name="_Toc457761163"/>
      <w:bookmarkStart w:id="354" w:name="_Toc445450478"/>
    </w:p>
    <w:p w14:paraId="3D90F6E4">
      <w:pPr>
        <w:pStyle w:val="4"/>
        <w:widowControl/>
        <w:spacing w:line="240" w:lineRule="auto"/>
        <w:jc w:val="center"/>
        <w:rPr>
          <w:rFonts w:hint="eastAsia" w:ascii="宋体" w:hAnsi="宋体" w:eastAsia="宋体" w:cs="宋体"/>
          <w:color w:val="auto"/>
          <w:sz w:val="28"/>
          <w:szCs w:val="28"/>
          <w:highlight w:val="none"/>
        </w:rPr>
      </w:pPr>
    </w:p>
    <w:p w14:paraId="7D5C63A3">
      <w:pPr>
        <w:pStyle w:val="4"/>
        <w:widowControl/>
        <w:spacing w:line="240" w:lineRule="auto"/>
        <w:jc w:val="center"/>
        <w:rPr>
          <w:rFonts w:hint="eastAsia" w:ascii="宋体" w:hAnsi="宋体" w:eastAsia="宋体" w:cs="宋体"/>
          <w:color w:val="auto"/>
          <w:sz w:val="28"/>
          <w:szCs w:val="28"/>
          <w:highlight w:val="none"/>
        </w:rPr>
      </w:pPr>
    </w:p>
    <w:p w14:paraId="5C676A1C">
      <w:pPr>
        <w:pStyle w:val="4"/>
        <w:widowControl/>
        <w:spacing w:line="240" w:lineRule="auto"/>
        <w:jc w:val="center"/>
        <w:rPr>
          <w:rFonts w:hint="eastAsia" w:ascii="宋体" w:hAnsi="宋体" w:eastAsia="宋体" w:cs="宋体"/>
          <w:color w:val="auto"/>
          <w:sz w:val="28"/>
          <w:szCs w:val="28"/>
          <w:highlight w:val="none"/>
        </w:rPr>
      </w:pPr>
    </w:p>
    <w:p w14:paraId="065EA4CB">
      <w:pPr>
        <w:pStyle w:val="4"/>
        <w:widowControl/>
        <w:spacing w:line="24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bookmarkStart w:id="355" w:name="_Toc20756"/>
      <w:bookmarkStart w:id="356" w:name="_Toc5998"/>
      <w:r>
        <w:rPr>
          <w:rFonts w:hint="eastAsia" w:ascii="宋体" w:hAnsi="宋体" w:eastAsia="宋体" w:cs="宋体"/>
          <w:color w:val="auto"/>
          <w:kern w:val="0"/>
          <w:sz w:val="28"/>
          <w:szCs w:val="28"/>
          <w:highlight w:val="none"/>
        </w:rPr>
        <w:t>四、法定代表人授权书</w:t>
      </w:r>
      <w:bookmarkEnd w:id="351"/>
      <w:bookmarkEnd w:id="352"/>
      <w:bookmarkEnd w:id="353"/>
      <w:bookmarkEnd w:id="354"/>
      <w:bookmarkEnd w:id="355"/>
      <w:bookmarkEnd w:id="356"/>
    </w:p>
    <w:p w14:paraId="77E4B372">
      <w:pPr>
        <w:topLinePunct/>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本人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（姓名）系</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（投标人名称）的法定代表人，现委托</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（姓名）为我方授权代表。授权代表根据授权，以我方名义签署、澄清、说明、补正、递交、撤回、修改</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（项目名称）投标文件、签订合同和处理有关事宜，其法律后果由我方承担。</w:t>
      </w:r>
    </w:p>
    <w:p w14:paraId="1BC502FE">
      <w:pPr>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rPr>
        <w:t xml:space="preserve">    委托期限：</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w:t>
      </w:r>
    </w:p>
    <w:p w14:paraId="7010975F">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授权代表无转委托权。</w:t>
      </w:r>
    </w:p>
    <w:p w14:paraId="478C1431">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附：法定代表人身份证及</w:t>
      </w:r>
      <w:r>
        <w:rPr>
          <w:rFonts w:hint="eastAsia" w:ascii="宋体" w:hAnsi="宋体" w:cs="宋体"/>
          <w:color w:val="auto"/>
          <w:spacing w:val="-1"/>
          <w:kern w:val="0"/>
          <w:szCs w:val="21"/>
          <w:highlight w:val="none"/>
        </w:rPr>
        <w:t>投标人授权代表</w:t>
      </w:r>
      <w:r>
        <w:rPr>
          <w:rFonts w:hint="eastAsia" w:ascii="宋体" w:hAnsi="宋体" w:cs="宋体"/>
          <w:color w:val="auto"/>
          <w:kern w:val="0"/>
          <w:szCs w:val="21"/>
          <w:highlight w:val="none"/>
        </w:rPr>
        <w:t>身份证扫描件</w:t>
      </w:r>
    </w:p>
    <w:p w14:paraId="63EF7F3B">
      <w:pPr>
        <w:spacing w:line="360" w:lineRule="auto"/>
        <w:ind w:firstLine="420" w:firstLineChars="200"/>
        <w:jc w:val="left"/>
        <w:rPr>
          <w:rFonts w:hint="eastAsia" w:ascii="宋体" w:hAnsi="宋体" w:cs="宋体"/>
          <w:color w:val="auto"/>
          <w:szCs w:val="21"/>
          <w:highlight w:val="none"/>
        </w:rPr>
      </w:pPr>
    </w:p>
    <w:p w14:paraId="75F0D5B1">
      <w:pPr>
        <w:spacing w:line="360" w:lineRule="auto"/>
        <w:ind w:firstLine="420" w:firstLineChars="200"/>
        <w:jc w:val="left"/>
        <w:rPr>
          <w:rFonts w:hint="eastAsia" w:ascii="宋体" w:hAnsi="宋体" w:cs="宋体"/>
          <w:color w:val="auto"/>
          <w:szCs w:val="21"/>
          <w:highlight w:val="none"/>
        </w:rPr>
      </w:pPr>
    </w:p>
    <w:p w14:paraId="3342F0A5">
      <w:pPr>
        <w:spacing w:line="360" w:lineRule="auto"/>
        <w:jc w:val="left"/>
        <w:rPr>
          <w:rFonts w:hint="eastAsia" w:ascii="宋体" w:hAnsi="宋体" w:cs="宋体"/>
          <w:color w:val="auto"/>
          <w:szCs w:val="21"/>
          <w:highlight w:val="none"/>
        </w:rPr>
      </w:pPr>
    </w:p>
    <w:p w14:paraId="2A16C1D5">
      <w:pPr>
        <w:spacing w:line="360" w:lineRule="auto"/>
        <w:jc w:val="left"/>
        <w:rPr>
          <w:rFonts w:hint="eastAsia" w:ascii="宋体" w:hAnsi="宋体" w:cs="宋体"/>
          <w:color w:val="auto"/>
          <w:szCs w:val="21"/>
          <w:highlight w:val="none"/>
        </w:rPr>
      </w:pPr>
    </w:p>
    <w:p w14:paraId="4616E4B1">
      <w:pPr>
        <w:spacing w:line="360" w:lineRule="auto"/>
        <w:jc w:val="left"/>
        <w:rPr>
          <w:rFonts w:hint="eastAsia" w:ascii="宋体" w:hAnsi="宋体" w:cs="宋体"/>
          <w:color w:val="auto"/>
          <w:szCs w:val="21"/>
          <w:highlight w:val="none"/>
        </w:rPr>
      </w:pPr>
    </w:p>
    <w:p w14:paraId="77502BBF">
      <w:pPr>
        <w:spacing w:line="360" w:lineRule="auto"/>
        <w:jc w:val="left"/>
        <w:rPr>
          <w:rFonts w:hint="eastAsia" w:ascii="宋体" w:hAnsi="宋体" w:cs="宋体"/>
          <w:color w:val="auto"/>
          <w:szCs w:val="21"/>
          <w:highlight w:val="none"/>
        </w:rPr>
      </w:pPr>
    </w:p>
    <w:p w14:paraId="59AB293C">
      <w:pPr>
        <w:spacing w:line="360" w:lineRule="auto"/>
        <w:jc w:val="left"/>
        <w:rPr>
          <w:rFonts w:hint="eastAsia" w:ascii="宋体" w:hAnsi="宋体" w:cs="宋体"/>
          <w:color w:val="auto"/>
          <w:szCs w:val="21"/>
          <w:highlight w:val="none"/>
        </w:rPr>
      </w:pPr>
    </w:p>
    <w:p w14:paraId="1659BD8A">
      <w:pPr>
        <w:spacing w:line="360" w:lineRule="auto"/>
        <w:jc w:val="left"/>
        <w:rPr>
          <w:rFonts w:hint="eastAsia" w:ascii="宋体" w:hAnsi="宋体" w:cs="宋体"/>
          <w:color w:val="auto"/>
          <w:szCs w:val="21"/>
          <w:highlight w:val="none"/>
        </w:rPr>
      </w:pPr>
    </w:p>
    <w:p w14:paraId="0BC90957">
      <w:pPr>
        <w:tabs>
          <w:tab w:val="left" w:pos="1155"/>
        </w:tabs>
        <w:spacing w:line="360" w:lineRule="auto"/>
        <w:ind w:right="440" w:firstLine="2738" w:firstLineChars="1304"/>
        <w:jc w:val="right"/>
        <w:rPr>
          <w:rFonts w:ascii="宋体"/>
          <w:color w:val="auto"/>
          <w:szCs w:val="21"/>
          <w:highlight w:val="none"/>
        </w:rPr>
      </w:pPr>
      <w:r>
        <w:rPr>
          <w:rFonts w:hint="eastAsia" w:ascii="宋体" w:hAnsi="宋体"/>
          <w:color w:val="auto"/>
          <w:szCs w:val="21"/>
          <w:highlight w:val="none"/>
        </w:rPr>
        <w:t>投标人名称：</w:t>
      </w:r>
      <w:r>
        <w:rPr>
          <w:rFonts w:hint="eastAsia" w:ascii="宋体" w:hAnsi="宋体"/>
          <w:color w:val="auto"/>
          <w:szCs w:val="21"/>
          <w:highlight w:val="none"/>
          <w:u w:val="single"/>
        </w:rPr>
        <w:t xml:space="preserve">               </w:t>
      </w:r>
      <w:r>
        <w:rPr>
          <w:rFonts w:hint="eastAsia" w:ascii="宋体" w:hAnsi="宋体"/>
          <w:color w:val="auto"/>
          <w:szCs w:val="21"/>
          <w:highlight w:val="none"/>
        </w:rPr>
        <w:t>（盖单位电子章）</w:t>
      </w:r>
    </w:p>
    <w:p w14:paraId="3A77F68B">
      <w:pPr>
        <w:spacing w:line="360" w:lineRule="auto"/>
        <w:ind w:firstLine="2738" w:firstLineChars="1304"/>
        <w:jc w:val="right"/>
        <w:rPr>
          <w:rFonts w:ascii="宋体"/>
          <w:color w:val="auto"/>
          <w:szCs w:val="21"/>
          <w:highlight w:val="none"/>
        </w:rPr>
      </w:pPr>
      <w:r>
        <w:rPr>
          <w:rFonts w:hint="eastAsia" w:ascii="宋体" w:hAnsi="宋体"/>
          <w:color w:val="auto"/>
          <w:szCs w:val="21"/>
          <w:highlight w:val="none"/>
        </w:rPr>
        <w:t>法定代表人或授权委托人：</w:t>
      </w:r>
      <w:r>
        <w:rPr>
          <w:rFonts w:hint="eastAsia" w:ascii="宋体" w:hAnsi="宋体"/>
          <w:color w:val="auto"/>
          <w:szCs w:val="21"/>
          <w:highlight w:val="none"/>
          <w:u w:val="single"/>
        </w:rPr>
        <w:t xml:space="preserve">     </w:t>
      </w:r>
      <w:r>
        <w:rPr>
          <w:rFonts w:hint="eastAsia" w:ascii="宋体" w:hAnsi="宋体"/>
          <w:color w:val="auto"/>
          <w:szCs w:val="21"/>
          <w:highlight w:val="none"/>
        </w:rPr>
        <w:t>（个人电子签章或签名）</w:t>
      </w:r>
    </w:p>
    <w:p w14:paraId="273A0538">
      <w:pPr>
        <w:spacing w:line="360" w:lineRule="auto"/>
        <w:ind w:right="860" w:firstLine="2738" w:firstLineChars="1304"/>
        <w:jc w:val="right"/>
        <w:rPr>
          <w:rFonts w:ascii="宋体"/>
          <w:color w:val="auto"/>
          <w:szCs w:val="21"/>
          <w:highlight w:val="none"/>
        </w:rPr>
      </w:pPr>
      <w:r>
        <w:rPr>
          <w:rFonts w:hint="eastAsia" w:ascii="宋体" w:hAnsi="宋体"/>
          <w:color w:val="auto"/>
          <w:szCs w:val="21"/>
          <w:highlight w:val="none"/>
        </w:rPr>
        <w:t>年    月    日</w:t>
      </w:r>
    </w:p>
    <w:p w14:paraId="77E6FD32">
      <w:pPr>
        <w:spacing w:line="360" w:lineRule="auto"/>
        <w:ind w:firstLine="5040" w:firstLineChars="2400"/>
        <w:jc w:val="left"/>
        <w:rPr>
          <w:rFonts w:hint="eastAsia" w:ascii="宋体" w:hAnsi="宋体" w:cs="宋体"/>
          <w:color w:val="auto"/>
          <w:szCs w:val="21"/>
          <w:highlight w:val="none"/>
        </w:rPr>
      </w:pPr>
    </w:p>
    <w:p w14:paraId="738C6EC8">
      <w:pPr>
        <w:spacing w:line="360" w:lineRule="auto"/>
        <w:jc w:val="center"/>
        <w:outlineLvl w:val="1"/>
        <w:rPr>
          <w:rFonts w:hint="eastAsia" w:ascii="宋体" w:hAnsi="宋体" w:cs="宋体"/>
          <w:color w:val="auto"/>
          <w:szCs w:val="21"/>
          <w:highlight w:val="none"/>
        </w:rPr>
      </w:pPr>
      <w:r>
        <w:rPr>
          <w:rFonts w:hint="eastAsia" w:ascii="宋体" w:hAnsi="宋体" w:cs="宋体"/>
          <w:color w:val="auto"/>
          <w:sz w:val="20"/>
          <w:szCs w:val="20"/>
          <w:highlight w:val="none"/>
        </w:rPr>
        <w:br w:type="page"/>
      </w:r>
      <w:bookmarkStart w:id="357" w:name="_Toc457735669"/>
      <w:bookmarkStart w:id="358" w:name="_Toc300"/>
      <w:bookmarkStart w:id="359" w:name="_Toc445450481"/>
      <w:bookmarkStart w:id="360" w:name="_Toc457735307"/>
      <w:bookmarkStart w:id="361" w:name="_Toc457761165"/>
      <w:bookmarkStart w:id="362" w:name="_Toc15240"/>
      <w:r>
        <w:rPr>
          <w:rFonts w:hint="eastAsia" w:ascii="宋体" w:hAnsi="宋体" w:cs="宋体"/>
          <w:b/>
          <w:bCs/>
          <w:color w:val="auto"/>
          <w:kern w:val="0"/>
          <w:sz w:val="28"/>
          <w:szCs w:val="28"/>
          <w:highlight w:val="none"/>
        </w:rPr>
        <w:t>五、投标人资格证明文件</w:t>
      </w:r>
      <w:bookmarkEnd w:id="357"/>
      <w:bookmarkEnd w:id="358"/>
      <w:bookmarkEnd w:id="359"/>
      <w:bookmarkEnd w:id="360"/>
      <w:bookmarkEnd w:id="361"/>
      <w:bookmarkEnd w:id="362"/>
    </w:p>
    <w:p w14:paraId="6D82E62A">
      <w:pPr>
        <w:pStyle w:val="9"/>
        <w:widowControl/>
        <w:spacing w:line="360" w:lineRule="auto"/>
        <w:jc w:val="center"/>
        <w:rPr>
          <w:rFonts w:hint="eastAsia" w:ascii="宋体" w:hAnsi="宋体" w:cs="宋体"/>
          <w:color w:val="auto"/>
          <w:szCs w:val="21"/>
          <w:highlight w:val="none"/>
        </w:rPr>
      </w:pPr>
      <w:r>
        <w:rPr>
          <w:rFonts w:hint="eastAsia"/>
          <w:b/>
          <w:bCs/>
          <w:color w:val="auto"/>
          <w:highlight w:val="none"/>
        </w:rPr>
        <w:t>投标人资格条件要求的资料</w:t>
      </w:r>
    </w:p>
    <w:p w14:paraId="51C4CEAB">
      <w:pPr>
        <w:rPr>
          <w:rFonts w:hint="eastAsia" w:ascii="宋体" w:hAnsi="宋体" w:cs="宋体"/>
          <w:b/>
          <w:bCs/>
          <w:color w:val="auto"/>
          <w:kern w:val="0"/>
          <w:sz w:val="28"/>
          <w:szCs w:val="28"/>
          <w:highlight w:val="none"/>
        </w:rPr>
      </w:pPr>
      <w:bookmarkStart w:id="363" w:name="_Toc445450485"/>
      <w:bookmarkStart w:id="364" w:name="_Toc457761166"/>
      <w:bookmarkStart w:id="365" w:name="_Toc457735670"/>
      <w:bookmarkStart w:id="366" w:name="_Toc457735308"/>
      <w:r>
        <w:rPr>
          <w:rFonts w:hint="eastAsia" w:ascii="宋体" w:hAnsi="宋体" w:cs="宋体"/>
          <w:b/>
          <w:bCs/>
          <w:color w:val="auto"/>
          <w:kern w:val="0"/>
          <w:sz w:val="28"/>
          <w:szCs w:val="28"/>
          <w:highlight w:val="none"/>
        </w:rPr>
        <w:br w:type="page"/>
      </w:r>
    </w:p>
    <w:p w14:paraId="0639683E">
      <w:pPr>
        <w:tabs>
          <w:tab w:val="left" w:pos="2878"/>
          <w:tab w:val="center" w:pos="4846"/>
        </w:tabs>
        <w:ind w:firstLine="2880" w:firstLineChars="900"/>
        <w:rPr>
          <w:rFonts w:hint="eastAsia" w:ascii="宋体" w:hAnsi="宋体"/>
          <w:b/>
          <w:color w:val="auto"/>
          <w:sz w:val="32"/>
          <w:szCs w:val="32"/>
          <w:highlight w:val="none"/>
        </w:rPr>
      </w:pPr>
      <w:bookmarkStart w:id="367" w:name="_Toc517"/>
      <w:r>
        <w:rPr>
          <w:rFonts w:hint="eastAsia" w:ascii="宋体" w:hAnsi="宋体" w:cs="宋体"/>
          <w:color w:val="auto"/>
          <w:kern w:val="0"/>
          <w:sz w:val="32"/>
          <w:szCs w:val="32"/>
          <w:highlight w:val="none"/>
        </w:rPr>
        <w:t>六、</w:t>
      </w:r>
      <w:bookmarkEnd w:id="367"/>
      <w:r>
        <w:rPr>
          <w:rFonts w:hint="eastAsia" w:ascii="宋体" w:hAnsi="宋体"/>
          <w:b/>
          <w:color w:val="auto"/>
          <w:sz w:val="32"/>
          <w:szCs w:val="32"/>
          <w:highlight w:val="none"/>
        </w:rPr>
        <w:t>反商业贿赂承诺书</w:t>
      </w:r>
    </w:p>
    <w:p w14:paraId="6360B823">
      <w:pPr>
        <w:rPr>
          <w:rFonts w:hint="eastAsia" w:ascii="宋体" w:hAnsi="宋体"/>
          <w:b/>
          <w:color w:val="auto"/>
          <w:szCs w:val="21"/>
          <w:highlight w:val="none"/>
        </w:rPr>
      </w:pPr>
    </w:p>
    <w:p w14:paraId="1084F79A">
      <w:pPr>
        <w:pStyle w:val="52"/>
        <w:spacing w:line="360" w:lineRule="auto"/>
        <w:rPr>
          <w:rFonts w:hint="eastAsia" w:ascii="宋体" w:hAnsi="宋体" w:eastAsia="宋体"/>
          <w:color w:val="auto"/>
          <w:kern w:val="2"/>
          <w:sz w:val="21"/>
          <w:szCs w:val="21"/>
          <w:highlight w:val="none"/>
        </w:rPr>
      </w:pPr>
      <w:r>
        <w:rPr>
          <w:rFonts w:hint="eastAsia" w:ascii="宋体" w:hAnsi="宋体" w:eastAsia="宋体"/>
          <w:color w:val="auto"/>
          <w:kern w:val="2"/>
          <w:sz w:val="21"/>
          <w:szCs w:val="21"/>
          <w:highlight w:val="none"/>
        </w:rPr>
        <w:t>我公司承诺：</w:t>
      </w:r>
    </w:p>
    <w:p w14:paraId="581B7D1A">
      <w:pPr>
        <w:pStyle w:val="52"/>
        <w:spacing w:line="360" w:lineRule="auto"/>
        <w:rPr>
          <w:rFonts w:hint="eastAsia" w:ascii="宋体" w:hAnsi="宋体" w:eastAsia="宋体"/>
          <w:color w:val="auto"/>
          <w:kern w:val="2"/>
          <w:sz w:val="21"/>
          <w:szCs w:val="21"/>
          <w:highlight w:val="none"/>
        </w:rPr>
      </w:pPr>
      <w:r>
        <w:rPr>
          <w:rFonts w:hint="eastAsia" w:ascii="宋体" w:hAnsi="宋体" w:eastAsia="宋体"/>
          <w:color w:val="auto"/>
          <w:kern w:val="2"/>
          <w:sz w:val="21"/>
          <w:szCs w:val="21"/>
          <w:highlight w:val="none"/>
        </w:rPr>
        <w:t xml:space="preserve">在 </w:t>
      </w:r>
      <w:r>
        <w:rPr>
          <w:rFonts w:hint="eastAsia" w:ascii="宋体" w:hAnsi="宋体" w:eastAsia="宋体"/>
          <w:color w:val="auto"/>
          <w:kern w:val="2"/>
          <w:sz w:val="21"/>
          <w:szCs w:val="21"/>
          <w:highlight w:val="none"/>
          <w:u w:val="single"/>
        </w:rPr>
        <w:t>　　　　　　　　　</w:t>
      </w:r>
      <w:r>
        <w:rPr>
          <w:rFonts w:hint="eastAsia" w:ascii="宋体" w:hAnsi="宋体" w:eastAsia="宋体"/>
          <w:color w:val="auto"/>
          <w:kern w:val="2"/>
          <w:sz w:val="21"/>
          <w:szCs w:val="21"/>
          <w:highlight w:val="none"/>
        </w:rPr>
        <w:t>（投标项目名称）招标活动中，我公司保证做到：</w:t>
      </w:r>
    </w:p>
    <w:p w14:paraId="319B2417">
      <w:pPr>
        <w:pStyle w:val="52"/>
        <w:spacing w:line="360" w:lineRule="auto"/>
        <w:rPr>
          <w:rFonts w:hint="eastAsia" w:ascii="宋体" w:hAnsi="宋体" w:eastAsia="宋体"/>
          <w:color w:val="auto"/>
          <w:kern w:val="2"/>
          <w:sz w:val="21"/>
          <w:szCs w:val="21"/>
          <w:highlight w:val="none"/>
        </w:rPr>
      </w:pPr>
      <w:r>
        <w:rPr>
          <w:rFonts w:hint="eastAsia" w:ascii="宋体" w:hAnsi="宋体" w:eastAsia="宋体"/>
          <w:color w:val="auto"/>
          <w:kern w:val="2"/>
          <w:sz w:val="21"/>
          <w:szCs w:val="21"/>
          <w:highlight w:val="none"/>
        </w:rPr>
        <w:t>一、公平竞争参加本次招标活动。</w:t>
      </w:r>
    </w:p>
    <w:p w14:paraId="27C4516F">
      <w:pPr>
        <w:pStyle w:val="52"/>
        <w:spacing w:line="360" w:lineRule="auto"/>
        <w:rPr>
          <w:rFonts w:hint="eastAsia" w:ascii="宋体" w:hAnsi="宋体" w:eastAsia="宋体"/>
          <w:color w:val="auto"/>
          <w:kern w:val="2"/>
          <w:sz w:val="21"/>
          <w:szCs w:val="21"/>
          <w:highlight w:val="none"/>
        </w:rPr>
      </w:pPr>
      <w:r>
        <w:rPr>
          <w:rFonts w:hint="eastAsia" w:ascii="宋体" w:hAnsi="宋体" w:eastAsia="宋体"/>
          <w:color w:val="auto"/>
          <w:kern w:val="2"/>
          <w:sz w:val="21"/>
          <w:szCs w:val="21"/>
          <w:highlight w:val="none"/>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3174E950">
      <w:pPr>
        <w:pStyle w:val="52"/>
        <w:spacing w:line="360" w:lineRule="auto"/>
        <w:rPr>
          <w:rFonts w:hint="eastAsia" w:ascii="宋体" w:hAnsi="宋体" w:eastAsia="宋体"/>
          <w:color w:val="auto"/>
          <w:kern w:val="2"/>
          <w:sz w:val="21"/>
          <w:szCs w:val="21"/>
          <w:highlight w:val="none"/>
        </w:rPr>
      </w:pPr>
      <w:r>
        <w:rPr>
          <w:rFonts w:hint="eastAsia" w:ascii="宋体" w:hAnsi="宋体" w:eastAsia="宋体"/>
          <w:color w:val="auto"/>
          <w:kern w:val="2"/>
          <w:sz w:val="21"/>
          <w:szCs w:val="21"/>
          <w:highlight w:val="none"/>
        </w:rPr>
        <w:t>三、若出现上述行为，我公司及参与投标的工作人员愿意接受按照国家法律法规等有关规定给予的处罚。</w:t>
      </w:r>
    </w:p>
    <w:p w14:paraId="6D2781AB">
      <w:pPr>
        <w:pStyle w:val="52"/>
        <w:spacing w:line="360" w:lineRule="auto"/>
        <w:rPr>
          <w:rFonts w:hint="eastAsia" w:ascii="宋体" w:hAnsi="宋体" w:eastAsia="宋体"/>
          <w:color w:val="auto"/>
          <w:kern w:val="2"/>
          <w:sz w:val="21"/>
          <w:szCs w:val="21"/>
          <w:highlight w:val="none"/>
        </w:rPr>
      </w:pPr>
    </w:p>
    <w:p w14:paraId="1FA674A2">
      <w:pPr>
        <w:pStyle w:val="52"/>
        <w:spacing w:line="360" w:lineRule="auto"/>
        <w:rPr>
          <w:rFonts w:hint="eastAsia" w:ascii="宋体" w:hAnsi="宋体" w:eastAsia="宋体"/>
          <w:color w:val="auto"/>
          <w:kern w:val="2"/>
          <w:sz w:val="21"/>
          <w:szCs w:val="21"/>
          <w:highlight w:val="none"/>
        </w:rPr>
      </w:pPr>
    </w:p>
    <w:p w14:paraId="4FD539E6">
      <w:pPr>
        <w:pStyle w:val="52"/>
        <w:spacing w:line="360" w:lineRule="auto"/>
        <w:rPr>
          <w:rFonts w:hint="eastAsia" w:ascii="宋体" w:hAnsi="宋体" w:eastAsia="宋体"/>
          <w:color w:val="auto"/>
          <w:kern w:val="2"/>
          <w:sz w:val="21"/>
          <w:szCs w:val="21"/>
          <w:highlight w:val="none"/>
        </w:rPr>
      </w:pPr>
    </w:p>
    <w:p w14:paraId="421B1E99">
      <w:pPr>
        <w:tabs>
          <w:tab w:val="left" w:pos="1155"/>
        </w:tabs>
        <w:spacing w:line="360" w:lineRule="auto"/>
        <w:ind w:right="440" w:firstLine="2738" w:firstLineChars="1304"/>
        <w:jc w:val="right"/>
        <w:rPr>
          <w:rFonts w:asci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投标人名称：</w:t>
      </w:r>
      <w:r>
        <w:rPr>
          <w:rFonts w:hint="eastAsia" w:ascii="宋体" w:hAnsi="宋体"/>
          <w:color w:val="auto"/>
          <w:szCs w:val="21"/>
          <w:highlight w:val="none"/>
          <w:u w:val="single"/>
        </w:rPr>
        <w:t xml:space="preserve">               </w:t>
      </w:r>
      <w:r>
        <w:rPr>
          <w:rFonts w:hint="eastAsia" w:ascii="宋体" w:hAnsi="宋体"/>
          <w:color w:val="auto"/>
          <w:szCs w:val="21"/>
          <w:highlight w:val="none"/>
        </w:rPr>
        <w:t>（盖单位电子章）</w:t>
      </w:r>
    </w:p>
    <w:p w14:paraId="25719898">
      <w:pPr>
        <w:spacing w:line="360" w:lineRule="auto"/>
        <w:ind w:firstLine="2738" w:firstLineChars="1304"/>
        <w:jc w:val="right"/>
        <w:rPr>
          <w:rFonts w:ascii="宋体"/>
          <w:color w:val="auto"/>
          <w:szCs w:val="21"/>
          <w:highlight w:val="none"/>
        </w:rPr>
      </w:pPr>
      <w:r>
        <w:rPr>
          <w:rFonts w:hint="eastAsia" w:ascii="宋体" w:hAnsi="宋体"/>
          <w:color w:val="auto"/>
          <w:szCs w:val="21"/>
          <w:highlight w:val="none"/>
        </w:rPr>
        <w:t>法定代表人或授权委托人：</w:t>
      </w:r>
      <w:r>
        <w:rPr>
          <w:rFonts w:hint="eastAsia" w:ascii="宋体" w:hAnsi="宋体"/>
          <w:color w:val="auto"/>
          <w:szCs w:val="21"/>
          <w:highlight w:val="none"/>
          <w:u w:val="single"/>
        </w:rPr>
        <w:t xml:space="preserve">     </w:t>
      </w:r>
      <w:r>
        <w:rPr>
          <w:rFonts w:hint="eastAsia" w:ascii="宋体" w:hAnsi="宋体"/>
          <w:color w:val="auto"/>
          <w:szCs w:val="21"/>
          <w:highlight w:val="none"/>
        </w:rPr>
        <w:t>（个人电子签章或签名）</w:t>
      </w:r>
    </w:p>
    <w:p w14:paraId="11F7BDDD">
      <w:pPr>
        <w:spacing w:line="360" w:lineRule="auto"/>
        <w:ind w:right="860" w:firstLine="2738" w:firstLineChars="1304"/>
        <w:jc w:val="right"/>
        <w:rPr>
          <w:rFonts w:ascii="宋体"/>
          <w:color w:val="auto"/>
          <w:szCs w:val="21"/>
          <w:highlight w:val="none"/>
        </w:rPr>
      </w:pPr>
      <w:r>
        <w:rPr>
          <w:rFonts w:hint="eastAsia" w:ascii="宋体" w:hAnsi="宋体"/>
          <w:color w:val="auto"/>
          <w:szCs w:val="21"/>
          <w:highlight w:val="none"/>
        </w:rPr>
        <w:t>年    月    日</w:t>
      </w:r>
    </w:p>
    <w:p w14:paraId="683B7510">
      <w:pPr>
        <w:spacing w:line="360" w:lineRule="auto"/>
        <w:ind w:firstLine="546" w:firstLineChars="195"/>
        <w:jc w:val="right"/>
        <w:rPr>
          <w:rFonts w:hint="eastAsia" w:ascii="宋体" w:hAnsi="宋体" w:cs="宋体"/>
          <w:color w:val="auto"/>
          <w:sz w:val="28"/>
          <w:szCs w:val="28"/>
          <w:highlight w:val="none"/>
        </w:rPr>
      </w:pPr>
    </w:p>
    <w:p w14:paraId="4C06E657">
      <w:pPr>
        <w:jc w:val="left"/>
        <w:rPr>
          <w:rFonts w:hint="eastAsia" w:ascii="宋体" w:hAnsi="宋体" w:cs="宋体"/>
          <w:color w:val="auto"/>
          <w:sz w:val="28"/>
          <w:szCs w:val="28"/>
          <w:highlight w:val="none"/>
        </w:rPr>
      </w:pPr>
    </w:p>
    <w:p w14:paraId="3FBF774A">
      <w:pPr>
        <w:jc w:val="left"/>
        <w:rPr>
          <w:rFonts w:hint="eastAsia" w:ascii="宋体" w:hAnsi="宋体" w:cs="宋体"/>
          <w:color w:val="auto"/>
          <w:sz w:val="28"/>
          <w:szCs w:val="28"/>
          <w:highlight w:val="none"/>
        </w:rPr>
      </w:pPr>
    </w:p>
    <w:p w14:paraId="2F502A00">
      <w:pPr>
        <w:jc w:val="left"/>
        <w:rPr>
          <w:rFonts w:hint="eastAsia" w:ascii="宋体" w:hAnsi="宋体" w:cs="宋体"/>
          <w:color w:val="auto"/>
          <w:sz w:val="28"/>
          <w:szCs w:val="28"/>
          <w:highlight w:val="none"/>
        </w:rPr>
      </w:pPr>
    </w:p>
    <w:p w14:paraId="31680CDB">
      <w:pPr>
        <w:jc w:val="left"/>
        <w:rPr>
          <w:rFonts w:hint="eastAsia" w:ascii="宋体" w:hAnsi="宋体" w:cs="宋体"/>
          <w:color w:val="auto"/>
          <w:sz w:val="28"/>
          <w:szCs w:val="28"/>
          <w:highlight w:val="none"/>
        </w:rPr>
      </w:pPr>
    </w:p>
    <w:p w14:paraId="7FC1F2A4">
      <w:pPr>
        <w:jc w:val="left"/>
        <w:rPr>
          <w:rFonts w:hint="eastAsia" w:ascii="宋体" w:hAnsi="宋体" w:cs="宋体"/>
          <w:color w:val="auto"/>
          <w:sz w:val="28"/>
          <w:szCs w:val="28"/>
          <w:highlight w:val="none"/>
        </w:rPr>
      </w:pPr>
    </w:p>
    <w:p w14:paraId="4E86698D">
      <w:pPr>
        <w:jc w:val="left"/>
        <w:rPr>
          <w:rFonts w:hint="eastAsia" w:ascii="宋体" w:hAnsi="宋体" w:cs="宋体"/>
          <w:color w:val="auto"/>
          <w:sz w:val="28"/>
          <w:szCs w:val="28"/>
          <w:highlight w:val="none"/>
        </w:rPr>
      </w:pPr>
    </w:p>
    <w:p w14:paraId="158C1653">
      <w:pPr>
        <w:jc w:val="left"/>
        <w:rPr>
          <w:rFonts w:hint="eastAsia" w:ascii="宋体" w:hAnsi="宋体" w:cs="宋体"/>
          <w:color w:val="auto"/>
          <w:sz w:val="28"/>
          <w:szCs w:val="28"/>
          <w:highlight w:val="none"/>
        </w:rPr>
      </w:pPr>
    </w:p>
    <w:p w14:paraId="3A41284C">
      <w:pPr>
        <w:jc w:val="left"/>
        <w:rPr>
          <w:rFonts w:hint="eastAsia" w:ascii="宋体" w:hAnsi="宋体" w:cs="宋体"/>
          <w:color w:val="auto"/>
          <w:sz w:val="28"/>
          <w:szCs w:val="28"/>
          <w:highlight w:val="none"/>
        </w:rPr>
      </w:pPr>
    </w:p>
    <w:bookmarkEnd w:id="363"/>
    <w:p w14:paraId="70B3C3A6">
      <w:pPr>
        <w:rPr>
          <w:rFonts w:hint="eastAsia" w:ascii="宋体" w:hAnsi="宋体" w:cs="宋体"/>
          <w:b/>
          <w:bCs/>
          <w:color w:val="auto"/>
          <w:sz w:val="28"/>
          <w:szCs w:val="28"/>
          <w:highlight w:val="none"/>
        </w:rPr>
      </w:pPr>
    </w:p>
    <w:bookmarkEnd w:id="364"/>
    <w:bookmarkEnd w:id="365"/>
    <w:bookmarkEnd w:id="366"/>
    <w:p w14:paraId="3B65A18E">
      <w:pPr>
        <w:pStyle w:val="37"/>
        <w:jc w:val="center"/>
        <w:rPr>
          <w:rFonts w:hint="eastAsia" w:hAnsi="宋体" w:cs="Times New Roman"/>
          <w:b/>
          <w:color w:val="auto"/>
          <w:sz w:val="32"/>
          <w:szCs w:val="32"/>
          <w:highlight w:val="none"/>
        </w:rPr>
      </w:pPr>
      <w:r>
        <w:rPr>
          <w:rFonts w:hint="eastAsia" w:hAnsi="宋体" w:cs="Times New Roman"/>
          <w:b/>
          <w:color w:val="auto"/>
          <w:sz w:val="32"/>
          <w:szCs w:val="32"/>
          <w:highlight w:val="none"/>
        </w:rPr>
        <w:t>七、技术部分</w:t>
      </w:r>
    </w:p>
    <w:p w14:paraId="44F38DF1">
      <w:pPr>
        <w:pStyle w:val="37"/>
        <w:rPr>
          <w:color w:val="auto"/>
          <w:highlight w:val="none"/>
        </w:rPr>
      </w:pPr>
    </w:p>
    <w:p w14:paraId="4E9929B8">
      <w:pPr>
        <w:pStyle w:val="37"/>
        <w:jc w:val="center"/>
        <w:rPr>
          <w:color w:val="auto"/>
          <w:highlight w:val="none"/>
        </w:rPr>
      </w:pPr>
      <w:r>
        <w:rPr>
          <w:rFonts w:hint="eastAsia"/>
          <w:color w:val="auto"/>
          <w:highlight w:val="none"/>
        </w:rPr>
        <w:t>（格式自拟）</w:t>
      </w:r>
    </w:p>
    <w:p w14:paraId="64E26982">
      <w:pPr>
        <w:pStyle w:val="37"/>
        <w:jc w:val="center"/>
        <w:rPr>
          <w:color w:val="auto"/>
          <w:highlight w:val="none"/>
        </w:rPr>
      </w:pPr>
    </w:p>
    <w:p w14:paraId="5CF68F1E">
      <w:pPr>
        <w:pStyle w:val="37"/>
        <w:jc w:val="center"/>
        <w:rPr>
          <w:color w:val="auto"/>
          <w:highlight w:val="none"/>
        </w:rPr>
      </w:pPr>
    </w:p>
    <w:p w14:paraId="79DD6B81">
      <w:pPr>
        <w:pStyle w:val="37"/>
        <w:jc w:val="center"/>
        <w:rPr>
          <w:color w:val="auto"/>
          <w:highlight w:val="none"/>
        </w:rPr>
      </w:pPr>
    </w:p>
    <w:p w14:paraId="3E722C80">
      <w:pPr>
        <w:pStyle w:val="37"/>
        <w:jc w:val="center"/>
        <w:rPr>
          <w:color w:val="auto"/>
          <w:highlight w:val="none"/>
        </w:rPr>
      </w:pPr>
    </w:p>
    <w:p w14:paraId="3D21EF0F">
      <w:pPr>
        <w:pStyle w:val="37"/>
        <w:jc w:val="center"/>
        <w:rPr>
          <w:color w:val="auto"/>
          <w:highlight w:val="none"/>
        </w:rPr>
      </w:pPr>
    </w:p>
    <w:p w14:paraId="59DCF401">
      <w:pPr>
        <w:pStyle w:val="37"/>
        <w:jc w:val="center"/>
        <w:rPr>
          <w:color w:val="auto"/>
          <w:highlight w:val="none"/>
        </w:rPr>
      </w:pPr>
    </w:p>
    <w:p w14:paraId="0C89B73D">
      <w:pPr>
        <w:pStyle w:val="37"/>
        <w:jc w:val="center"/>
        <w:rPr>
          <w:color w:val="auto"/>
          <w:highlight w:val="none"/>
        </w:rPr>
      </w:pPr>
    </w:p>
    <w:p w14:paraId="1A474FB7">
      <w:pPr>
        <w:pStyle w:val="37"/>
        <w:jc w:val="center"/>
        <w:rPr>
          <w:color w:val="auto"/>
          <w:highlight w:val="none"/>
        </w:rPr>
      </w:pPr>
    </w:p>
    <w:p w14:paraId="3CC9EDEE">
      <w:pPr>
        <w:pStyle w:val="37"/>
        <w:jc w:val="center"/>
        <w:rPr>
          <w:color w:val="auto"/>
          <w:highlight w:val="none"/>
        </w:rPr>
      </w:pPr>
    </w:p>
    <w:p w14:paraId="29B9A41F">
      <w:pPr>
        <w:pStyle w:val="37"/>
        <w:jc w:val="center"/>
        <w:rPr>
          <w:color w:val="auto"/>
          <w:highlight w:val="none"/>
        </w:rPr>
      </w:pPr>
    </w:p>
    <w:p w14:paraId="51D9F8E0">
      <w:pPr>
        <w:pStyle w:val="37"/>
        <w:jc w:val="center"/>
        <w:rPr>
          <w:color w:val="auto"/>
          <w:highlight w:val="none"/>
        </w:rPr>
      </w:pPr>
    </w:p>
    <w:p w14:paraId="322D8B62">
      <w:pPr>
        <w:pStyle w:val="37"/>
        <w:jc w:val="center"/>
        <w:rPr>
          <w:color w:val="auto"/>
          <w:highlight w:val="none"/>
        </w:rPr>
      </w:pPr>
    </w:p>
    <w:p w14:paraId="1848F88F">
      <w:pPr>
        <w:pStyle w:val="37"/>
        <w:jc w:val="center"/>
        <w:rPr>
          <w:color w:val="auto"/>
          <w:highlight w:val="none"/>
        </w:rPr>
      </w:pPr>
    </w:p>
    <w:p w14:paraId="42744424">
      <w:pPr>
        <w:pStyle w:val="37"/>
        <w:jc w:val="center"/>
        <w:rPr>
          <w:color w:val="auto"/>
          <w:highlight w:val="none"/>
        </w:rPr>
      </w:pPr>
    </w:p>
    <w:p w14:paraId="0166E9C8">
      <w:pPr>
        <w:pStyle w:val="37"/>
        <w:jc w:val="center"/>
        <w:rPr>
          <w:color w:val="auto"/>
          <w:highlight w:val="none"/>
        </w:rPr>
      </w:pPr>
    </w:p>
    <w:p w14:paraId="642342D2">
      <w:pPr>
        <w:pStyle w:val="37"/>
        <w:jc w:val="center"/>
        <w:rPr>
          <w:color w:val="auto"/>
          <w:highlight w:val="none"/>
        </w:rPr>
      </w:pPr>
    </w:p>
    <w:p w14:paraId="37C74FBA">
      <w:pPr>
        <w:pStyle w:val="37"/>
        <w:jc w:val="center"/>
        <w:rPr>
          <w:color w:val="auto"/>
          <w:highlight w:val="none"/>
        </w:rPr>
      </w:pPr>
    </w:p>
    <w:p w14:paraId="744A64EA">
      <w:pPr>
        <w:pStyle w:val="37"/>
        <w:jc w:val="center"/>
        <w:rPr>
          <w:color w:val="auto"/>
          <w:highlight w:val="none"/>
        </w:rPr>
      </w:pPr>
    </w:p>
    <w:p w14:paraId="650E56BF">
      <w:pPr>
        <w:pStyle w:val="37"/>
        <w:jc w:val="center"/>
        <w:rPr>
          <w:color w:val="auto"/>
          <w:highlight w:val="none"/>
        </w:rPr>
      </w:pPr>
    </w:p>
    <w:p w14:paraId="7222D365">
      <w:pPr>
        <w:pStyle w:val="37"/>
        <w:jc w:val="center"/>
        <w:rPr>
          <w:color w:val="auto"/>
          <w:highlight w:val="none"/>
        </w:rPr>
      </w:pPr>
    </w:p>
    <w:p w14:paraId="3D14CD1E">
      <w:pPr>
        <w:pStyle w:val="37"/>
        <w:jc w:val="center"/>
        <w:rPr>
          <w:color w:val="auto"/>
          <w:highlight w:val="none"/>
        </w:rPr>
      </w:pPr>
    </w:p>
    <w:p w14:paraId="620DC273">
      <w:pPr>
        <w:pStyle w:val="37"/>
        <w:jc w:val="center"/>
        <w:rPr>
          <w:color w:val="auto"/>
          <w:highlight w:val="none"/>
        </w:rPr>
      </w:pPr>
    </w:p>
    <w:p w14:paraId="44E9ABB7">
      <w:pPr>
        <w:pStyle w:val="37"/>
        <w:jc w:val="center"/>
        <w:rPr>
          <w:color w:val="auto"/>
          <w:highlight w:val="none"/>
        </w:rPr>
      </w:pPr>
    </w:p>
    <w:p w14:paraId="536D6192">
      <w:pPr>
        <w:pStyle w:val="37"/>
        <w:jc w:val="center"/>
        <w:rPr>
          <w:color w:val="auto"/>
          <w:highlight w:val="none"/>
        </w:rPr>
      </w:pPr>
    </w:p>
    <w:p w14:paraId="264512EE">
      <w:pPr>
        <w:pStyle w:val="37"/>
        <w:jc w:val="center"/>
        <w:rPr>
          <w:color w:val="auto"/>
          <w:highlight w:val="none"/>
        </w:rPr>
      </w:pPr>
    </w:p>
    <w:p w14:paraId="42F3F5B9">
      <w:pPr>
        <w:pStyle w:val="38"/>
        <w:rPr>
          <w:color w:val="auto"/>
          <w:highlight w:val="none"/>
        </w:rPr>
      </w:pPr>
    </w:p>
    <w:p w14:paraId="24269C11">
      <w:pPr>
        <w:pStyle w:val="37"/>
        <w:jc w:val="center"/>
        <w:rPr>
          <w:color w:val="auto"/>
          <w:highlight w:val="none"/>
        </w:rPr>
      </w:pPr>
    </w:p>
    <w:p w14:paraId="783DF431">
      <w:pPr>
        <w:pStyle w:val="37"/>
        <w:jc w:val="center"/>
        <w:rPr>
          <w:color w:val="auto"/>
          <w:highlight w:val="none"/>
        </w:rPr>
      </w:pPr>
    </w:p>
    <w:p w14:paraId="7BCDE898">
      <w:pPr>
        <w:pStyle w:val="37"/>
        <w:jc w:val="center"/>
        <w:rPr>
          <w:color w:val="auto"/>
          <w:highlight w:val="none"/>
        </w:rPr>
      </w:pPr>
    </w:p>
    <w:p w14:paraId="25610588">
      <w:pPr>
        <w:pStyle w:val="37"/>
        <w:jc w:val="center"/>
        <w:rPr>
          <w:color w:val="auto"/>
          <w:highlight w:val="none"/>
        </w:rPr>
      </w:pPr>
    </w:p>
    <w:p w14:paraId="161E050E">
      <w:pPr>
        <w:pStyle w:val="37"/>
        <w:jc w:val="center"/>
        <w:rPr>
          <w:color w:val="auto"/>
          <w:highlight w:val="none"/>
        </w:rPr>
      </w:pPr>
    </w:p>
    <w:p w14:paraId="18B4AAFA">
      <w:pPr>
        <w:pStyle w:val="37"/>
        <w:jc w:val="center"/>
        <w:rPr>
          <w:color w:val="auto"/>
          <w:highlight w:val="none"/>
        </w:rPr>
      </w:pPr>
    </w:p>
    <w:p w14:paraId="660FF7D5">
      <w:pPr>
        <w:pStyle w:val="37"/>
        <w:jc w:val="center"/>
        <w:rPr>
          <w:color w:val="auto"/>
          <w:highlight w:val="none"/>
        </w:rPr>
      </w:pPr>
    </w:p>
    <w:p w14:paraId="0DA39D5E">
      <w:pPr>
        <w:pStyle w:val="37"/>
        <w:jc w:val="center"/>
        <w:rPr>
          <w:color w:val="auto"/>
          <w:highlight w:val="none"/>
        </w:rPr>
      </w:pPr>
    </w:p>
    <w:p w14:paraId="58D8E3B5">
      <w:pPr>
        <w:pStyle w:val="37"/>
        <w:jc w:val="center"/>
        <w:rPr>
          <w:color w:val="auto"/>
          <w:highlight w:val="none"/>
        </w:rPr>
      </w:pPr>
    </w:p>
    <w:p w14:paraId="13A47850">
      <w:pPr>
        <w:pStyle w:val="37"/>
        <w:jc w:val="center"/>
        <w:rPr>
          <w:color w:val="auto"/>
          <w:highlight w:val="none"/>
        </w:rPr>
      </w:pPr>
    </w:p>
    <w:p w14:paraId="27A85B92">
      <w:pPr>
        <w:pStyle w:val="37"/>
        <w:jc w:val="center"/>
        <w:rPr>
          <w:color w:val="auto"/>
          <w:highlight w:val="none"/>
        </w:rPr>
      </w:pPr>
    </w:p>
    <w:p w14:paraId="00CDC6F6">
      <w:pPr>
        <w:pStyle w:val="37"/>
        <w:jc w:val="center"/>
        <w:rPr>
          <w:color w:val="auto"/>
          <w:highlight w:val="none"/>
        </w:rPr>
      </w:pPr>
    </w:p>
    <w:p w14:paraId="71567373">
      <w:pPr>
        <w:pStyle w:val="37"/>
        <w:jc w:val="center"/>
        <w:rPr>
          <w:color w:val="auto"/>
          <w:highlight w:val="none"/>
        </w:rPr>
      </w:pPr>
    </w:p>
    <w:p w14:paraId="1C9809CD">
      <w:pPr>
        <w:pStyle w:val="37"/>
        <w:jc w:val="center"/>
        <w:rPr>
          <w:color w:val="auto"/>
          <w:highlight w:val="none"/>
        </w:rPr>
      </w:pPr>
    </w:p>
    <w:p w14:paraId="0FBCC8A1">
      <w:pPr>
        <w:pStyle w:val="37"/>
        <w:jc w:val="center"/>
        <w:rPr>
          <w:rFonts w:hint="eastAsia" w:hAnsi="宋体" w:cs="Times New Roman"/>
          <w:b/>
          <w:color w:val="auto"/>
          <w:sz w:val="32"/>
          <w:szCs w:val="32"/>
          <w:highlight w:val="none"/>
        </w:rPr>
      </w:pPr>
      <w:r>
        <w:rPr>
          <w:rFonts w:hint="eastAsia" w:hAnsi="宋体" w:cs="Times New Roman"/>
          <w:b/>
          <w:color w:val="auto"/>
          <w:sz w:val="32"/>
          <w:szCs w:val="32"/>
          <w:highlight w:val="none"/>
        </w:rPr>
        <w:t>八、</w:t>
      </w:r>
      <w:r>
        <w:rPr>
          <w:rFonts w:hint="eastAsia" w:hAnsi="宋体" w:cs="Times New Roman"/>
          <w:b/>
          <w:color w:val="auto"/>
          <w:sz w:val="32"/>
          <w:szCs w:val="32"/>
          <w:highlight w:val="none"/>
          <w:lang w:val="en-US" w:eastAsia="zh-CN"/>
        </w:rPr>
        <w:t>综合</w:t>
      </w:r>
      <w:r>
        <w:rPr>
          <w:rFonts w:hint="eastAsia" w:hAnsi="宋体" w:cs="Times New Roman"/>
          <w:b/>
          <w:color w:val="auto"/>
          <w:sz w:val="32"/>
          <w:szCs w:val="32"/>
          <w:highlight w:val="none"/>
        </w:rPr>
        <w:t>部分</w:t>
      </w:r>
    </w:p>
    <w:p w14:paraId="58698315">
      <w:pPr>
        <w:pStyle w:val="37"/>
        <w:jc w:val="center"/>
        <w:rPr>
          <w:color w:val="auto"/>
          <w:highlight w:val="none"/>
        </w:rPr>
      </w:pPr>
    </w:p>
    <w:p w14:paraId="62D6981D">
      <w:pPr>
        <w:pStyle w:val="37"/>
        <w:jc w:val="center"/>
        <w:rPr>
          <w:color w:val="auto"/>
          <w:highlight w:val="none"/>
        </w:rPr>
      </w:pPr>
      <w:r>
        <w:rPr>
          <w:rFonts w:hint="eastAsia"/>
          <w:color w:val="auto"/>
          <w:highlight w:val="none"/>
        </w:rPr>
        <w:t>格式自拟</w:t>
      </w:r>
    </w:p>
    <w:p w14:paraId="5D96886B">
      <w:pPr>
        <w:spacing w:line="400" w:lineRule="exact"/>
        <w:jc w:val="center"/>
        <w:outlineLvl w:val="1"/>
        <w:rPr>
          <w:rFonts w:hint="eastAsia" w:ascii="宋体" w:hAnsi="宋体" w:cs="宋体"/>
          <w:b/>
          <w:bCs/>
          <w:color w:val="auto"/>
          <w:sz w:val="28"/>
          <w:szCs w:val="28"/>
          <w:highlight w:val="none"/>
        </w:rPr>
      </w:pPr>
      <w:bookmarkStart w:id="368" w:name="_Toc32691"/>
    </w:p>
    <w:p w14:paraId="72FC62AF">
      <w:pPr>
        <w:spacing w:line="400" w:lineRule="exact"/>
        <w:jc w:val="center"/>
        <w:outlineLvl w:val="1"/>
        <w:rPr>
          <w:rFonts w:hint="eastAsia" w:ascii="宋体" w:hAnsi="宋体" w:cs="宋体"/>
          <w:b/>
          <w:bCs/>
          <w:color w:val="auto"/>
          <w:sz w:val="28"/>
          <w:szCs w:val="28"/>
          <w:highlight w:val="none"/>
        </w:rPr>
      </w:pPr>
    </w:p>
    <w:p w14:paraId="5762D067">
      <w:pPr>
        <w:spacing w:line="400" w:lineRule="exact"/>
        <w:jc w:val="center"/>
        <w:outlineLvl w:val="1"/>
        <w:rPr>
          <w:rFonts w:hint="eastAsia" w:ascii="宋体" w:hAnsi="宋体" w:cs="宋体"/>
          <w:b/>
          <w:bCs/>
          <w:color w:val="auto"/>
          <w:sz w:val="28"/>
          <w:szCs w:val="28"/>
          <w:highlight w:val="none"/>
        </w:rPr>
      </w:pPr>
    </w:p>
    <w:p w14:paraId="04E1F0F0">
      <w:pPr>
        <w:spacing w:line="400" w:lineRule="exact"/>
        <w:jc w:val="center"/>
        <w:outlineLvl w:val="1"/>
        <w:rPr>
          <w:rFonts w:hint="eastAsia" w:ascii="宋体" w:hAnsi="宋体" w:cs="宋体"/>
          <w:b/>
          <w:bCs/>
          <w:color w:val="auto"/>
          <w:sz w:val="28"/>
          <w:szCs w:val="28"/>
          <w:highlight w:val="none"/>
        </w:rPr>
      </w:pPr>
    </w:p>
    <w:p w14:paraId="6AE4E1C7">
      <w:pPr>
        <w:spacing w:line="400" w:lineRule="exact"/>
        <w:jc w:val="center"/>
        <w:outlineLvl w:val="1"/>
        <w:rPr>
          <w:rFonts w:hint="eastAsia" w:ascii="宋体" w:hAnsi="宋体" w:cs="宋体"/>
          <w:b/>
          <w:bCs/>
          <w:color w:val="auto"/>
          <w:sz w:val="28"/>
          <w:szCs w:val="28"/>
          <w:highlight w:val="none"/>
        </w:rPr>
      </w:pPr>
    </w:p>
    <w:p w14:paraId="69B69124">
      <w:pPr>
        <w:spacing w:line="400" w:lineRule="exact"/>
        <w:jc w:val="center"/>
        <w:outlineLvl w:val="1"/>
        <w:rPr>
          <w:rFonts w:hint="eastAsia" w:ascii="宋体" w:hAnsi="宋体" w:cs="宋体"/>
          <w:b/>
          <w:bCs/>
          <w:color w:val="auto"/>
          <w:sz w:val="28"/>
          <w:szCs w:val="28"/>
          <w:highlight w:val="none"/>
        </w:rPr>
      </w:pPr>
    </w:p>
    <w:p w14:paraId="1BEB0A0A">
      <w:pPr>
        <w:spacing w:line="400" w:lineRule="exact"/>
        <w:jc w:val="center"/>
        <w:outlineLvl w:val="1"/>
        <w:rPr>
          <w:rFonts w:hint="eastAsia" w:ascii="宋体" w:hAnsi="宋体" w:cs="宋体"/>
          <w:b/>
          <w:bCs/>
          <w:color w:val="auto"/>
          <w:sz w:val="28"/>
          <w:szCs w:val="28"/>
          <w:highlight w:val="none"/>
        </w:rPr>
      </w:pPr>
    </w:p>
    <w:p w14:paraId="22ECF40E">
      <w:pPr>
        <w:spacing w:line="400" w:lineRule="exact"/>
        <w:jc w:val="center"/>
        <w:outlineLvl w:val="1"/>
        <w:rPr>
          <w:rFonts w:hint="eastAsia" w:ascii="宋体" w:hAnsi="宋体" w:cs="宋体"/>
          <w:b/>
          <w:bCs/>
          <w:color w:val="auto"/>
          <w:sz w:val="28"/>
          <w:szCs w:val="28"/>
          <w:highlight w:val="none"/>
        </w:rPr>
      </w:pPr>
    </w:p>
    <w:p w14:paraId="775B8F6E">
      <w:pPr>
        <w:spacing w:line="400" w:lineRule="exact"/>
        <w:jc w:val="center"/>
        <w:outlineLvl w:val="1"/>
        <w:rPr>
          <w:rFonts w:hint="eastAsia" w:ascii="宋体" w:hAnsi="宋体" w:cs="宋体"/>
          <w:b/>
          <w:bCs/>
          <w:color w:val="auto"/>
          <w:sz w:val="28"/>
          <w:szCs w:val="28"/>
          <w:highlight w:val="none"/>
        </w:rPr>
      </w:pPr>
    </w:p>
    <w:p w14:paraId="0E9A60B5">
      <w:pPr>
        <w:spacing w:line="400" w:lineRule="exact"/>
        <w:jc w:val="center"/>
        <w:outlineLvl w:val="1"/>
        <w:rPr>
          <w:rFonts w:hint="eastAsia" w:ascii="宋体" w:hAnsi="宋体" w:cs="宋体"/>
          <w:b/>
          <w:bCs/>
          <w:color w:val="auto"/>
          <w:sz w:val="28"/>
          <w:szCs w:val="28"/>
          <w:highlight w:val="none"/>
        </w:rPr>
      </w:pPr>
    </w:p>
    <w:p w14:paraId="537CA90A">
      <w:pPr>
        <w:spacing w:line="400" w:lineRule="exact"/>
        <w:jc w:val="center"/>
        <w:outlineLvl w:val="1"/>
        <w:rPr>
          <w:rFonts w:hint="eastAsia" w:ascii="宋体" w:hAnsi="宋体" w:cs="宋体"/>
          <w:b/>
          <w:bCs/>
          <w:color w:val="auto"/>
          <w:sz w:val="28"/>
          <w:szCs w:val="28"/>
          <w:highlight w:val="none"/>
        </w:rPr>
      </w:pPr>
    </w:p>
    <w:p w14:paraId="706DC1B1">
      <w:pPr>
        <w:spacing w:line="400" w:lineRule="exact"/>
        <w:jc w:val="center"/>
        <w:outlineLvl w:val="1"/>
        <w:rPr>
          <w:rFonts w:hint="eastAsia" w:ascii="宋体" w:hAnsi="宋体" w:cs="宋体"/>
          <w:b/>
          <w:bCs/>
          <w:color w:val="auto"/>
          <w:sz w:val="28"/>
          <w:szCs w:val="28"/>
          <w:highlight w:val="none"/>
        </w:rPr>
      </w:pPr>
    </w:p>
    <w:p w14:paraId="3DAC9411">
      <w:pPr>
        <w:spacing w:line="400" w:lineRule="exact"/>
        <w:jc w:val="center"/>
        <w:outlineLvl w:val="1"/>
        <w:rPr>
          <w:rFonts w:hint="eastAsia" w:ascii="宋体" w:hAnsi="宋体" w:cs="宋体"/>
          <w:b/>
          <w:bCs/>
          <w:color w:val="auto"/>
          <w:sz w:val="28"/>
          <w:szCs w:val="28"/>
          <w:highlight w:val="none"/>
        </w:rPr>
      </w:pPr>
    </w:p>
    <w:p w14:paraId="20B93841">
      <w:pPr>
        <w:spacing w:line="400" w:lineRule="exact"/>
        <w:jc w:val="center"/>
        <w:outlineLvl w:val="1"/>
        <w:rPr>
          <w:rFonts w:hint="eastAsia" w:ascii="宋体" w:hAnsi="宋体" w:cs="宋体"/>
          <w:b/>
          <w:bCs/>
          <w:color w:val="auto"/>
          <w:sz w:val="28"/>
          <w:szCs w:val="28"/>
          <w:highlight w:val="none"/>
        </w:rPr>
      </w:pPr>
    </w:p>
    <w:p w14:paraId="7CAFD48D">
      <w:pPr>
        <w:spacing w:line="400" w:lineRule="exact"/>
        <w:jc w:val="center"/>
        <w:outlineLvl w:val="1"/>
        <w:rPr>
          <w:rFonts w:hint="eastAsia" w:ascii="宋体" w:hAnsi="宋体" w:cs="宋体"/>
          <w:b/>
          <w:bCs/>
          <w:color w:val="auto"/>
          <w:sz w:val="28"/>
          <w:szCs w:val="28"/>
          <w:highlight w:val="none"/>
        </w:rPr>
      </w:pPr>
    </w:p>
    <w:p w14:paraId="007A153F">
      <w:pPr>
        <w:spacing w:line="400" w:lineRule="exact"/>
        <w:jc w:val="center"/>
        <w:outlineLvl w:val="1"/>
        <w:rPr>
          <w:rFonts w:hint="eastAsia" w:ascii="宋体" w:hAnsi="宋体" w:cs="宋体"/>
          <w:b/>
          <w:bCs/>
          <w:color w:val="auto"/>
          <w:sz w:val="28"/>
          <w:szCs w:val="28"/>
          <w:highlight w:val="none"/>
        </w:rPr>
      </w:pPr>
    </w:p>
    <w:p w14:paraId="668DB447">
      <w:pPr>
        <w:spacing w:line="400" w:lineRule="exact"/>
        <w:jc w:val="center"/>
        <w:outlineLvl w:val="1"/>
        <w:rPr>
          <w:rFonts w:hint="eastAsia" w:ascii="宋体" w:hAnsi="宋体" w:cs="宋体"/>
          <w:b/>
          <w:bCs/>
          <w:color w:val="auto"/>
          <w:sz w:val="28"/>
          <w:szCs w:val="28"/>
          <w:highlight w:val="none"/>
        </w:rPr>
      </w:pPr>
    </w:p>
    <w:p w14:paraId="6549EFF1">
      <w:pPr>
        <w:spacing w:line="400" w:lineRule="exact"/>
        <w:jc w:val="center"/>
        <w:outlineLvl w:val="1"/>
        <w:rPr>
          <w:rFonts w:hint="eastAsia" w:ascii="宋体" w:hAnsi="宋体" w:cs="宋体"/>
          <w:b/>
          <w:bCs/>
          <w:color w:val="auto"/>
          <w:sz w:val="28"/>
          <w:szCs w:val="28"/>
          <w:highlight w:val="none"/>
        </w:rPr>
      </w:pPr>
    </w:p>
    <w:p w14:paraId="6086E849">
      <w:pPr>
        <w:spacing w:line="400" w:lineRule="exact"/>
        <w:jc w:val="center"/>
        <w:outlineLvl w:val="1"/>
        <w:rPr>
          <w:rFonts w:hint="eastAsia" w:ascii="宋体" w:hAnsi="宋体" w:cs="宋体"/>
          <w:b/>
          <w:bCs/>
          <w:color w:val="auto"/>
          <w:sz w:val="28"/>
          <w:szCs w:val="28"/>
          <w:highlight w:val="none"/>
        </w:rPr>
      </w:pPr>
    </w:p>
    <w:p w14:paraId="328A1C66">
      <w:pPr>
        <w:spacing w:line="400" w:lineRule="exact"/>
        <w:jc w:val="center"/>
        <w:outlineLvl w:val="1"/>
        <w:rPr>
          <w:rFonts w:hint="eastAsia" w:ascii="宋体" w:hAnsi="宋体" w:cs="宋体"/>
          <w:b/>
          <w:bCs/>
          <w:color w:val="auto"/>
          <w:sz w:val="28"/>
          <w:szCs w:val="28"/>
          <w:highlight w:val="none"/>
        </w:rPr>
      </w:pPr>
    </w:p>
    <w:p w14:paraId="777053C3">
      <w:pPr>
        <w:spacing w:line="400" w:lineRule="exact"/>
        <w:jc w:val="center"/>
        <w:outlineLvl w:val="1"/>
        <w:rPr>
          <w:rFonts w:hint="eastAsia" w:ascii="宋体" w:hAnsi="宋体" w:cs="宋体"/>
          <w:b/>
          <w:bCs/>
          <w:color w:val="auto"/>
          <w:sz w:val="28"/>
          <w:szCs w:val="28"/>
          <w:highlight w:val="none"/>
        </w:rPr>
      </w:pPr>
    </w:p>
    <w:p w14:paraId="2B4A5075">
      <w:pPr>
        <w:spacing w:line="400" w:lineRule="exact"/>
        <w:jc w:val="center"/>
        <w:outlineLvl w:val="1"/>
        <w:rPr>
          <w:rFonts w:hint="eastAsia" w:ascii="宋体" w:hAnsi="宋体" w:cs="宋体"/>
          <w:b/>
          <w:bCs/>
          <w:color w:val="auto"/>
          <w:sz w:val="28"/>
          <w:szCs w:val="28"/>
          <w:highlight w:val="none"/>
        </w:rPr>
      </w:pPr>
    </w:p>
    <w:p w14:paraId="5CFD72A4">
      <w:pPr>
        <w:spacing w:line="400" w:lineRule="exact"/>
        <w:jc w:val="center"/>
        <w:outlineLvl w:val="1"/>
        <w:rPr>
          <w:rFonts w:hint="eastAsia" w:ascii="宋体" w:hAnsi="宋体" w:cs="宋体"/>
          <w:b/>
          <w:bCs/>
          <w:color w:val="auto"/>
          <w:sz w:val="28"/>
          <w:szCs w:val="28"/>
          <w:highlight w:val="none"/>
        </w:rPr>
      </w:pPr>
    </w:p>
    <w:p w14:paraId="0223EB21">
      <w:pPr>
        <w:spacing w:line="400" w:lineRule="exact"/>
        <w:jc w:val="center"/>
        <w:outlineLvl w:val="1"/>
        <w:rPr>
          <w:rFonts w:hint="eastAsia" w:ascii="宋体" w:hAnsi="宋体" w:cs="宋体"/>
          <w:b/>
          <w:bCs/>
          <w:color w:val="auto"/>
          <w:sz w:val="28"/>
          <w:szCs w:val="28"/>
          <w:highlight w:val="none"/>
        </w:rPr>
      </w:pPr>
    </w:p>
    <w:p w14:paraId="36FFF388">
      <w:pPr>
        <w:spacing w:line="400" w:lineRule="exact"/>
        <w:jc w:val="center"/>
        <w:outlineLvl w:val="1"/>
        <w:rPr>
          <w:rFonts w:hint="eastAsia" w:ascii="宋体" w:hAnsi="宋体" w:cs="宋体"/>
          <w:b/>
          <w:bCs/>
          <w:color w:val="auto"/>
          <w:sz w:val="28"/>
          <w:szCs w:val="28"/>
          <w:highlight w:val="none"/>
        </w:rPr>
      </w:pPr>
    </w:p>
    <w:p w14:paraId="142E7823">
      <w:pPr>
        <w:spacing w:line="400" w:lineRule="exact"/>
        <w:jc w:val="center"/>
        <w:outlineLvl w:val="1"/>
        <w:rPr>
          <w:rFonts w:hint="eastAsia" w:ascii="宋体" w:hAnsi="宋体" w:cs="宋体"/>
          <w:b/>
          <w:bCs/>
          <w:color w:val="auto"/>
          <w:sz w:val="28"/>
          <w:szCs w:val="28"/>
          <w:highlight w:val="none"/>
        </w:rPr>
      </w:pPr>
    </w:p>
    <w:p w14:paraId="55C38505">
      <w:pPr>
        <w:spacing w:line="400" w:lineRule="exact"/>
        <w:jc w:val="center"/>
        <w:outlineLvl w:val="1"/>
        <w:rPr>
          <w:rFonts w:hint="eastAsia" w:ascii="宋体" w:hAnsi="宋体" w:cs="宋体"/>
          <w:b/>
          <w:bCs/>
          <w:color w:val="auto"/>
          <w:sz w:val="28"/>
          <w:szCs w:val="28"/>
          <w:highlight w:val="none"/>
        </w:rPr>
      </w:pPr>
    </w:p>
    <w:p w14:paraId="48D2F465">
      <w:pPr>
        <w:spacing w:line="400" w:lineRule="exact"/>
        <w:jc w:val="center"/>
        <w:outlineLvl w:val="1"/>
        <w:rPr>
          <w:rFonts w:hint="eastAsia" w:ascii="宋体" w:hAnsi="宋体" w:cs="宋体"/>
          <w:b/>
          <w:bCs/>
          <w:color w:val="auto"/>
          <w:sz w:val="28"/>
          <w:szCs w:val="28"/>
          <w:highlight w:val="none"/>
        </w:rPr>
      </w:pPr>
    </w:p>
    <w:p w14:paraId="5FF6AFE4">
      <w:pPr>
        <w:spacing w:line="400" w:lineRule="exact"/>
        <w:jc w:val="center"/>
        <w:outlineLvl w:val="1"/>
        <w:rPr>
          <w:rFonts w:hint="eastAsia" w:ascii="宋体" w:hAnsi="宋体" w:cs="宋体"/>
          <w:b/>
          <w:bCs/>
          <w:color w:val="auto"/>
          <w:sz w:val="28"/>
          <w:szCs w:val="28"/>
          <w:highlight w:val="none"/>
        </w:rPr>
      </w:pPr>
    </w:p>
    <w:p w14:paraId="15C69892">
      <w:pPr>
        <w:spacing w:line="400" w:lineRule="exact"/>
        <w:jc w:val="center"/>
        <w:outlineLvl w:val="1"/>
        <w:rPr>
          <w:rFonts w:hint="eastAsia" w:ascii="宋体" w:hAnsi="宋体" w:cs="宋体"/>
          <w:b/>
          <w:bCs/>
          <w:color w:val="auto"/>
          <w:sz w:val="28"/>
          <w:szCs w:val="28"/>
          <w:highlight w:val="none"/>
        </w:rPr>
      </w:pPr>
    </w:p>
    <w:p w14:paraId="7ED7CB3D">
      <w:pPr>
        <w:spacing w:line="400" w:lineRule="exact"/>
        <w:jc w:val="center"/>
        <w:outlineLvl w:val="1"/>
        <w:rPr>
          <w:rFonts w:hint="eastAsia" w:ascii="宋体" w:hAnsi="宋体" w:cs="宋体"/>
          <w:b/>
          <w:bCs/>
          <w:color w:val="auto"/>
          <w:sz w:val="28"/>
          <w:szCs w:val="28"/>
          <w:highlight w:val="none"/>
        </w:rPr>
      </w:pPr>
    </w:p>
    <w:p w14:paraId="379CD7D3">
      <w:pPr>
        <w:pStyle w:val="37"/>
        <w:jc w:val="center"/>
        <w:rPr>
          <w:rFonts w:hint="eastAsia" w:hAnsi="宋体" w:cs="Times New Roman"/>
          <w:b/>
          <w:color w:val="auto"/>
          <w:sz w:val="32"/>
          <w:szCs w:val="32"/>
          <w:highlight w:val="none"/>
        </w:rPr>
      </w:pPr>
      <w:r>
        <w:rPr>
          <w:rFonts w:hint="eastAsia" w:hAnsi="宋体" w:cs="Times New Roman"/>
          <w:b/>
          <w:color w:val="auto"/>
          <w:sz w:val="32"/>
          <w:szCs w:val="32"/>
          <w:highlight w:val="none"/>
        </w:rPr>
        <w:t>九、</w:t>
      </w:r>
      <w:bookmarkEnd w:id="368"/>
      <w:r>
        <w:rPr>
          <w:rFonts w:hint="eastAsia" w:hAnsi="宋体" w:cs="Times New Roman"/>
          <w:b/>
          <w:color w:val="auto"/>
          <w:sz w:val="32"/>
          <w:szCs w:val="32"/>
          <w:highlight w:val="none"/>
        </w:rPr>
        <w:t>招标文件要求的其他材料及投标人认为有必要提供的材料</w:t>
      </w:r>
    </w:p>
    <w:p w14:paraId="17108C73">
      <w:pPr>
        <w:spacing w:line="400" w:lineRule="exact"/>
        <w:jc w:val="center"/>
        <w:rPr>
          <w:rFonts w:hint="eastAsia" w:ascii="宋体" w:hAnsi="宋体"/>
          <w:b/>
          <w:bCs/>
          <w:color w:val="auto"/>
          <w:szCs w:val="21"/>
          <w:highlight w:val="none"/>
        </w:rPr>
      </w:pPr>
    </w:p>
    <w:p w14:paraId="70E8E699">
      <w:pPr>
        <w:pStyle w:val="25"/>
        <w:tabs>
          <w:tab w:val="left" w:pos="5250"/>
        </w:tabs>
        <w:ind w:firstLine="211"/>
        <w:jc w:val="center"/>
        <w:rPr>
          <w:rFonts w:hint="eastAsia" w:ascii="宋体" w:hAnsi="宋体" w:eastAsia="宋体"/>
          <w:b/>
          <w:bCs/>
          <w:color w:val="auto"/>
          <w:szCs w:val="21"/>
          <w:highlight w:val="none"/>
        </w:rPr>
      </w:pPr>
      <w:r>
        <w:rPr>
          <w:rFonts w:hint="eastAsia" w:ascii="宋体" w:hAnsi="宋体" w:eastAsia="宋体"/>
          <w:b/>
          <w:bCs/>
          <w:color w:val="auto"/>
          <w:szCs w:val="21"/>
          <w:highlight w:val="none"/>
        </w:rPr>
        <w:t>1. 承 诺 书</w:t>
      </w:r>
    </w:p>
    <w:p w14:paraId="31E37F15">
      <w:pPr>
        <w:autoSpaceDE w:val="0"/>
        <w:autoSpaceDN w:val="0"/>
        <w:adjustRightInd w:val="0"/>
        <w:spacing w:line="360" w:lineRule="auto"/>
        <w:ind w:firstLine="420" w:firstLineChars="200"/>
        <w:rPr>
          <w:color w:val="auto"/>
          <w:szCs w:val="21"/>
          <w:highlight w:val="none"/>
        </w:rPr>
      </w:pPr>
      <w:r>
        <w:rPr>
          <w:rFonts w:hint="eastAsia"/>
          <w:color w:val="auto"/>
          <w:szCs w:val="21"/>
          <w:highlight w:val="none"/>
        </w:rPr>
        <w:t>我公司承诺：我公司独立制作、修改和上传投标文件，并承担因“硬件特征码一致”所造成的不良后果。</w:t>
      </w:r>
    </w:p>
    <w:p w14:paraId="7F8F1A13">
      <w:pPr>
        <w:pStyle w:val="25"/>
        <w:tabs>
          <w:tab w:val="left" w:pos="5250"/>
        </w:tabs>
        <w:ind w:firstLine="0" w:firstLineChars="0"/>
        <w:rPr>
          <w:color w:val="auto"/>
          <w:szCs w:val="21"/>
          <w:highlight w:val="none"/>
        </w:rPr>
      </w:pPr>
    </w:p>
    <w:p w14:paraId="2FE835C0">
      <w:pPr>
        <w:autoSpaceDE w:val="0"/>
        <w:autoSpaceDN w:val="0"/>
        <w:adjustRightInd w:val="0"/>
        <w:spacing w:line="380" w:lineRule="exact"/>
        <w:ind w:firstLine="420"/>
        <w:jc w:val="center"/>
        <w:rPr>
          <w:rFonts w:ascii="宋体" w:cs="宋体"/>
          <w:b/>
          <w:bCs/>
          <w:color w:val="auto"/>
          <w:szCs w:val="21"/>
          <w:highlight w:val="none"/>
          <w:lang w:val="zh-CN"/>
        </w:rPr>
      </w:pPr>
    </w:p>
    <w:p w14:paraId="7A62E17C">
      <w:pPr>
        <w:pStyle w:val="9"/>
        <w:rPr>
          <w:rFonts w:ascii="宋体" w:cs="宋体"/>
          <w:b/>
          <w:bCs/>
          <w:color w:val="auto"/>
          <w:szCs w:val="21"/>
          <w:highlight w:val="none"/>
          <w:lang w:val="zh-CN"/>
        </w:rPr>
      </w:pPr>
    </w:p>
    <w:p w14:paraId="3E7150FA">
      <w:pPr>
        <w:pStyle w:val="22"/>
        <w:rPr>
          <w:rFonts w:ascii="宋体" w:cs="宋体"/>
          <w:b/>
          <w:bCs/>
          <w:color w:val="auto"/>
          <w:szCs w:val="21"/>
          <w:highlight w:val="none"/>
          <w:lang w:val="zh-CN"/>
        </w:rPr>
      </w:pPr>
    </w:p>
    <w:p w14:paraId="1C3C5546">
      <w:pPr>
        <w:pStyle w:val="9"/>
        <w:rPr>
          <w:color w:val="auto"/>
          <w:highlight w:val="none"/>
          <w:lang w:val="zh-CN"/>
        </w:rPr>
      </w:pPr>
    </w:p>
    <w:p w14:paraId="51A018B9">
      <w:pPr>
        <w:spacing w:line="360" w:lineRule="auto"/>
        <w:ind w:firstLine="4620" w:firstLineChars="2200"/>
        <w:jc w:val="right"/>
        <w:rPr>
          <w:rFonts w:hint="eastAsia" w:ascii="宋体" w:hAnsi="宋体" w:cs="宋体"/>
          <w:color w:val="auto"/>
          <w:szCs w:val="21"/>
          <w:highlight w:val="none"/>
        </w:rPr>
      </w:pPr>
      <w:r>
        <w:rPr>
          <w:rFonts w:hint="eastAsia" w:ascii="宋体" w:hAnsi="宋体" w:cs="宋体"/>
          <w:color w:val="auto"/>
          <w:szCs w:val="21"/>
          <w:highlight w:val="none"/>
          <w:lang w:val="en-US" w:eastAsia="zh-CN"/>
        </w:rPr>
        <w:t>投标人</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（盖单位电子章）</w:t>
      </w:r>
    </w:p>
    <w:p w14:paraId="05E15730">
      <w:pPr>
        <w:spacing w:line="360" w:lineRule="auto"/>
        <w:ind w:firstLine="409" w:firstLineChars="195"/>
        <w:jc w:val="right"/>
        <w:rPr>
          <w:rFonts w:hint="eastAsia" w:ascii="宋体" w:hAnsi="宋体" w:cs="宋体"/>
          <w:color w:val="auto"/>
          <w:szCs w:val="21"/>
          <w:highlight w:val="none"/>
          <w:u w:val="single"/>
        </w:rPr>
      </w:pPr>
      <w:r>
        <w:rPr>
          <w:rFonts w:hint="eastAsia" w:ascii="宋体" w:hAnsi="宋体" w:cs="宋体"/>
          <w:color w:val="auto"/>
          <w:szCs w:val="21"/>
          <w:highlight w:val="none"/>
        </w:rPr>
        <w:t>法定代表人：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（个人电子签章或签名）</w:t>
      </w:r>
    </w:p>
    <w:p w14:paraId="30DA8815">
      <w:pPr>
        <w:pStyle w:val="55"/>
        <w:rPr>
          <w:color w:val="auto"/>
          <w:sz w:val="21"/>
          <w:szCs w:val="21"/>
          <w:highlight w:val="none"/>
        </w:rPr>
      </w:pPr>
    </w:p>
    <w:p w14:paraId="4AA35795">
      <w:pPr>
        <w:autoSpaceDE w:val="0"/>
        <w:autoSpaceDN w:val="0"/>
        <w:adjustRightInd w:val="0"/>
        <w:spacing w:line="380" w:lineRule="exact"/>
        <w:jc w:val="right"/>
        <w:rPr>
          <w:color w:val="auto"/>
          <w:highlight w:val="none"/>
          <w:lang w:val="zh-CN"/>
        </w:rPr>
      </w:pPr>
      <w:r>
        <w:rPr>
          <w:rFonts w:hint="eastAsia" w:ascii="宋体" w:hAnsi="宋体" w:cs="宋体"/>
          <w:color w:val="auto"/>
          <w:szCs w:val="21"/>
          <w:highlight w:val="none"/>
        </w:rPr>
        <w:t xml:space="preserve"> 日   期： 　年　月　日</w:t>
      </w:r>
    </w:p>
    <w:p w14:paraId="7763D3AE">
      <w:pPr>
        <w:spacing w:line="400" w:lineRule="exact"/>
        <w:jc w:val="center"/>
        <w:rPr>
          <w:rFonts w:hint="eastAsia" w:ascii="宋体" w:hAnsi="宋体"/>
          <w:b/>
          <w:bCs/>
          <w:color w:val="auto"/>
          <w:sz w:val="30"/>
          <w:highlight w:val="none"/>
        </w:rPr>
      </w:pPr>
    </w:p>
    <w:p w14:paraId="4BBCB146">
      <w:pPr>
        <w:spacing w:line="360" w:lineRule="auto"/>
        <w:ind w:left="420"/>
        <w:rPr>
          <w:rFonts w:hint="eastAsia" w:ascii="宋体" w:hAnsi="宋体"/>
          <w:color w:val="auto"/>
          <w:highlight w:val="none"/>
        </w:rPr>
      </w:pPr>
    </w:p>
    <w:p w14:paraId="20E99609">
      <w:pPr>
        <w:spacing w:line="400" w:lineRule="exact"/>
        <w:jc w:val="center"/>
        <w:rPr>
          <w:rFonts w:hint="eastAsia" w:ascii="宋体" w:hAnsi="宋体"/>
          <w:b/>
          <w:bCs/>
          <w:color w:val="auto"/>
          <w:sz w:val="30"/>
          <w:highlight w:val="none"/>
        </w:rPr>
      </w:pPr>
    </w:p>
    <w:p w14:paraId="3C2D9550">
      <w:pPr>
        <w:pStyle w:val="37"/>
        <w:rPr>
          <w:color w:val="auto"/>
          <w:highlight w:val="none"/>
        </w:rPr>
      </w:pPr>
    </w:p>
    <w:p w14:paraId="3BC5E0D3">
      <w:pPr>
        <w:pStyle w:val="37"/>
        <w:rPr>
          <w:color w:val="auto"/>
          <w:highlight w:val="none"/>
        </w:rPr>
      </w:pPr>
    </w:p>
    <w:p w14:paraId="314ED26C">
      <w:pPr>
        <w:pStyle w:val="37"/>
        <w:rPr>
          <w:color w:val="auto"/>
          <w:highlight w:val="none"/>
        </w:rPr>
      </w:pPr>
    </w:p>
    <w:p w14:paraId="37EB55EC">
      <w:pPr>
        <w:jc w:val="center"/>
        <w:outlineLvl w:val="1"/>
        <w:rPr>
          <w:rFonts w:hint="eastAsia" w:ascii="宋体" w:hAnsi="宋体" w:cs="宋体"/>
          <w:color w:val="auto"/>
          <w:sz w:val="28"/>
          <w:szCs w:val="28"/>
          <w:highlight w:val="none"/>
        </w:rPr>
      </w:pPr>
      <w:bookmarkStart w:id="369" w:name="_Toc7442"/>
      <w:r>
        <w:rPr>
          <w:rFonts w:hint="eastAsia" w:ascii="宋体" w:hAnsi="宋体"/>
          <w:b/>
          <w:bCs/>
          <w:color w:val="auto"/>
          <w:szCs w:val="21"/>
          <w:highlight w:val="none"/>
        </w:rPr>
        <w:t>2、投标人认为有必要提供的材料</w:t>
      </w:r>
      <w:bookmarkEnd w:id="369"/>
    </w:p>
    <w:p w14:paraId="5A4C0CA9">
      <w:pPr>
        <w:jc w:val="left"/>
        <w:rPr>
          <w:rFonts w:hint="eastAsia" w:ascii="宋体" w:hAnsi="宋体" w:cs="宋体"/>
          <w:color w:val="auto"/>
          <w:sz w:val="28"/>
          <w:szCs w:val="28"/>
          <w:highlight w:val="none"/>
        </w:rPr>
      </w:pPr>
    </w:p>
    <w:p w14:paraId="328E85A3">
      <w:pPr>
        <w:jc w:val="left"/>
        <w:rPr>
          <w:rFonts w:hint="eastAsia" w:ascii="宋体" w:hAnsi="宋体" w:cs="宋体"/>
          <w:color w:val="auto"/>
          <w:sz w:val="28"/>
          <w:szCs w:val="28"/>
          <w:highlight w:val="none"/>
        </w:rPr>
      </w:pPr>
    </w:p>
    <w:p w14:paraId="20A99AAE">
      <w:pPr>
        <w:jc w:val="left"/>
        <w:rPr>
          <w:rFonts w:hint="eastAsia" w:ascii="宋体" w:hAnsi="宋体" w:cs="宋体"/>
          <w:color w:val="auto"/>
          <w:sz w:val="28"/>
          <w:szCs w:val="28"/>
          <w:highlight w:val="none"/>
        </w:rPr>
      </w:pPr>
    </w:p>
    <w:p w14:paraId="259FBE3C">
      <w:pPr>
        <w:jc w:val="left"/>
        <w:rPr>
          <w:rFonts w:hint="eastAsia" w:ascii="宋体" w:hAnsi="宋体" w:cs="宋体"/>
          <w:color w:val="auto"/>
          <w:sz w:val="28"/>
          <w:szCs w:val="28"/>
          <w:highlight w:val="none"/>
        </w:rPr>
      </w:pPr>
    </w:p>
    <w:p w14:paraId="7C51C009">
      <w:pPr>
        <w:jc w:val="left"/>
        <w:rPr>
          <w:rFonts w:hint="eastAsia" w:ascii="宋体" w:hAnsi="宋体" w:cs="宋体"/>
          <w:color w:val="auto"/>
          <w:sz w:val="28"/>
          <w:szCs w:val="28"/>
          <w:highlight w:val="none"/>
        </w:rPr>
      </w:pPr>
    </w:p>
    <w:p w14:paraId="67411AF8">
      <w:pPr>
        <w:jc w:val="left"/>
        <w:rPr>
          <w:rFonts w:hint="eastAsia" w:ascii="宋体" w:hAnsi="宋体" w:cs="宋体"/>
          <w:color w:val="auto"/>
          <w:sz w:val="28"/>
          <w:szCs w:val="28"/>
          <w:highlight w:val="none"/>
        </w:rPr>
      </w:pPr>
    </w:p>
    <w:p w14:paraId="47B4861E">
      <w:pPr>
        <w:jc w:val="left"/>
        <w:rPr>
          <w:rFonts w:hint="eastAsia" w:ascii="宋体" w:hAnsi="宋体" w:cs="宋体"/>
          <w:color w:val="auto"/>
          <w:sz w:val="28"/>
          <w:szCs w:val="28"/>
          <w:highlight w:val="none"/>
        </w:rPr>
      </w:pPr>
    </w:p>
    <w:p w14:paraId="738A078F">
      <w:pPr>
        <w:jc w:val="left"/>
        <w:rPr>
          <w:rFonts w:hint="eastAsia" w:ascii="宋体" w:hAnsi="宋体" w:cs="宋体"/>
          <w:color w:val="auto"/>
          <w:sz w:val="28"/>
          <w:szCs w:val="28"/>
          <w:highlight w:val="none"/>
        </w:rPr>
      </w:pPr>
    </w:p>
    <w:p w14:paraId="1150F0EA">
      <w:pPr>
        <w:jc w:val="center"/>
        <w:rPr>
          <w:rFonts w:hint="eastAsia" w:hAnsi="宋体"/>
          <w:b/>
          <w:color w:val="auto"/>
          <w:sz w:val="32"/>
          <w:szCs w:val="32"/>
          <w:highlight w:val="none"/>
        </w:rPr>
      </w:pPr>
      <w:bookmarkStart w:id="370" w:name="_Toc11050"/>
      <w:r>
        <w:rPr>
          <w:rFonts w:hint="eastAsia" w:hAnsi="宋体"/>
          <w:b/>
          <w:color w:val="auto"/>
          <w:sz w:val="32"/>
          <w:szCs w:val="32"/>
          <w:highlight w:val="none"/>
        </w:rPr>
        <w:t>十、</w:t>
      </w:r>
      <w:bookmarkEnd w:id="370"/>
      <w:bookmarkStart w:id="371" w:name="_Toc1575"/>
      <w:r>
        <w:rPr>
          <w:rFonts w:hint="eastAsia" w:hAnsi="宋体"/>
          <w:b/>
          <w:color w:val="auto"/>
          <w:sz w:val="32"/>
          <w:szCs w:val="32"/>
          <w:highlight w:val="none"/>
        </w:rPr>
        <w:t>政府采购政策</w:t>
      </w:r>
      <w:bookmarkEnd w:id="371"/>
    </w:p>
    <w:p w14:paraId="6936ED23">
      <w:pPr>
        <w:autoSpaceDE w:val="0"/>
        <w:autoSpaceDN w:val="0"/>
        <w:adjustRightInd w:val="0"/>
        <w:ind w:right="-20"/>
        <w:jc w:val="left"/>
        <w:rPr>
          <w:rFonts w:hint="eastAsia" w:ascii="宋体" w:hAnsi="宋体" w:cs="宋体"/>
          <w:b/>
          <w:bCs/>
          <w:color w:val="auto"/>
          <w:kern w:val="0"/>
          <w:sz w:val="24"/>
          <w:highlight w:val="none"/>
        </w:rPr>
      </w:pPr>
    </w:p>
    <w:p w14:paraId="7B345764">
      <w:pPr>
        <w:autoSpaceDE w:val="0"/>
        <w:autoSpaceDN w:val="0"/>
        <w:adjustRightInd w:val="0"/>
        <w:spacing w:line="400" w:lineRule="exact"/>
        <w:ind w:right="-20"/>
        <w:jc w:val="left"/>
        <w:rPr>
          <w:rFonts w:hint="eastAsia" w:ascii="宋体" w:hAnsi="宋体" w:cs="宋体"/>
          <w:b/>
          <w:bCs/>
          <w:color w:val="auto"/>
          <w:kern w:val="0"/>
          <w:szCs w:val="21"/>
          <w:highlight w:val="none"/>
        </w:rPr>
      </w:pPr>
    </w:p>
    <w:p w14:paraId="220984F3">
      <w:pPr>
        <w:autoSpaceDE w:val="0"/>
        <w:autoSpaceDN w:val="0"/>
        <w:adjustRightInd w:val="0"/>
        <w:spacing w:line="400" w:lineRule="exact"/>
        <w:ind w:right="-20"/>
        <w:jc w:val="left"/>
        <w:rPr>
          <w:rFonts w:hint="eastAsia" w:asciiTheme="minorEastAsia" w:hAnsiTheme="minorEastAsia" w:eastAsiaTheme="minorEastAsia" w:cstheme="minorEastAsia"/>
          <w:color w:val="auto"/>
          <w:kern w:val="0"/>
          <w:szCs w:val="21"/>
          <w:highlight w:val="none"/>
        </w:rPr>
      </w:pPr>
      <w:r>
        <w:rPr>
          <w:rFonts w:hint="eastAsia" w:ascii="宋体" w:hAnsi="宋体" w:cs="宋体"/>
          <w:color w:val="auto"/>
          <w:kern w:val="0"/>
          <w:szCs w:val="21"/>
          <w:highlight w:val="none"/>
        </w:rPr>
        <w:t>（</w:t>
      </w:r>
      <w:r>
        <w:rPr>
          <w:rFonts w:hint="eastAsia" w:asciiTheme="minorEastAsia" w:hAnsiTheme="minorEastAsia" w:eastAsiaTheme="minorEastAsia" w:cstheme="minorEastAsia"/>
          <w:color w:val="auto"/>
          <w:kern w:val="0"/>
          <w:szCs w:val="21"/>
          <w:highlight w:val="none"/>
        </w:rPr>
        <w:t>1）政府采购政策、采购标的需满足的要求，以及投标人须提供的必要证明材料，否则不予优惠。</w:t>
      </w:r>
    </w:p>
    <w:p w14:paraId="623E2E39">
      <w:pPr>
        <w:pStyle w:val="25"/>
        <w:spacing w:after="0" w:line="400" w:lineRule="exact"/>
        <w:ind w:firstLine="0" w:firstLineChars="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（2）如投标人满足政府采购政策，可按照本章对应格式填写并附相关证明材料。</w:t>
      </w:r>
    </w:p>
    <w:p w14:paraId="068039A5">
      <w:pPr>
        <w:autoSpaceDE w:val="0"/>
        <w:autoSpaceDN w:val="0"/>
        <w:adjustRightInd w:val="0"/>
        <w:spacing w:line="400" w:lineRule="exact"/>
        <w:ind w:right="-2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（3）如果投标人不满足政府采购政策可忽略本章内容。</w:t>
      </w:r>
    </w:p>
    <w:p w14:paraId="003028DD">
      <w:pPr>
        <w:pStyle w:val="4"/>
        <w:numPr>
          <w:ilvl w:val="1"/>
          <w:numId w:val="0"/>
        </w:numPr>
        <w:spacing w:line="240" w:lineRule="auto"/>
        <w:ind w:left="426"/>
        <w:jc w:val="center"/>
        <w:rPr>
          <w:rFonts w:hint="eastAsia" w:ascii="宋体" w:hAnsi="宋体" w:eastAsia="宋体" w:cs="宋体"/>
          <w:color w:val="auto"/>
          <w:sz w:val="24"/>
          <w:szCs w:val="22"/>
          <w:highlight w:val="none"/>
        </w:rPr>
      </w:pPr>
      <w:r>
        <w:rPr>
          <w:rFonts w:hint="eastAsia" w:asciiTheme="minorEastAsia" w:hAnsiTheme="minorEastAsia" w:eastAsiaTheme="minorEastAsia" w:cstheme="minorEastAsia"/>
          <w:color w:val="auto"/>
          <w:sz w:val="21"/>
          <w:szCs w:val="21"/>
          <w:highlight w:val="none"/>
        </w:rPr>
        <w:br w:type="page"/>
      </w:r>
      <w:bookmarkStart w:id="372" w:name="_Toc12189"/>
      <w:bookmarkStart w:id="373" w:name="_Toc2289"/>
      <w:bookmarkStart w:id="374" w:name="_Toc32024"/>
      <w:bookmarkStart w:id="375" w:name="_Toc6179"/>
      <w:bookmarkStart w:id="376" w:name="_Toc27321"/>
      <w:bookmarkStart w:id="377" w:name="_Toc23719"/>
      <w:bookmarkStart w:id="378" w:name="_Toc1005"/>
      <w:bookmarkStart w:id="379" w:name="_Toc25847"/>
      <w:bookmarkStart w:id="380" w:name="_Toc5710"/>
      <w:bookmarkStart w:id="381" w:name="_Toc29158"/>
      <w:bookmarkStart w:id="382" w:name="_Toc1057"/>
      <w:bookmarkStart w:id="383" w:name="_Toc20664"/>
      <w:bookmarkStart w:id="384" w:name="_Toc5755"/>
      <w:r>
        <w:rPr>
          <w:rFonts w:hint="eastAsia" w:asciiTheme="minorEastAsia" w:hAnsiTheme="minorEastAsia" w:eastAsiaTheme="minorEastAsia" w:cstheme="minorEastAsia"/>
          <w:color w:val="auto"/>
          <w:sz w:val="21"/>
          <w:szCs w:val="21"/>
          <w:highlight w:val="none"/>
        </w:rPr>
        <w:t>（</w:t>
      </w:r>
      <w:r>
        <w:rPr>
          <w:rFonts w:hint="eastAsia" w:ascii="宋体" w:hAnsi="宋体" w:eastAsia="宋体" w:cs="宋体"/>
          <w:color w:val="auto"/>
          <w:sz w:val="24"/>
          <w:szCs w:val="22"/>
          <w:highlight w:val="none"/>
        </w:rPr>
        <w:t>一）、关于小、微企业及产品（如有）</w:t>
      </w:r>
      <w:bookmarkEnd w:id="372"/>
      <w:bookmarkEnd w:id="373"/>
      <w:bookmarkEnd w:id="374"/>
      <w:bookmarkEnd w:id="375"/>
      <w:bookmarkEnd w:id="376"/>
      <w:bookmarkEnd w:id="377"/>
      <w:bookmarkEnd w:id="378"/>
      <w:bookmarkEnd w:id="379"/>
      <w:bookmarkEnd w:id="380"/>
      <w:bookmarkEnd w:id="381"/>
      <w:bookmarkEnd w:id="382"/>
      <w:bookmarkEnd w:id="383"/>
      <w:bookmarkEnd w:id="384"/>
    </w:p>
    <w:p w14:paraId="529C696C">
      <w:pPr>
        <w:spacing w:before="156" w:beforeLines="50" w:after="156" w:afterLines="50" w:line="480" w:lineRule="auto"/>
        <w:jc w:val="center"/>
        <w:rPr>
          <w:rFonts w:hint="eastAsia" w:ascii="宋体" w:hAnsi="宋体"/>
          <w:b/>
          <w:color w:val="auto"/>
          <w:sz w:val="22"/>
          <w:szCs w:val="22"/>
          <w:highlight w:val="none"/>
        </w:rPr>
      </w:pPr>
      <w:r>
        <w:rPr>
          <w:rFonts w:hint="eastAsia" w:ascii="宋体" w:hAnsi="宋体"/>
          <w:b/>
          <w:color w:val="auto"/>
          <w:sz w:val="22"/>
          <w:szCs w:val="22"/>
          <w:highlight w:val="none"/>
        </w:rPr>
        <w:t>中小企业声明函</w:t>
      </w:r>
    </w:p>
    <w:p w14:paraId="5585247C">
      <w:pPr>
        <w:spacing w:before="156" w:beforeLines="50" w:after="156" w:afterLines="50" w:line="440" w:lineRule="exact"/>
        <w:ind w:firstLine="440" w:firstLineChars="200"/>
        <w:jc w:val="left"/>
        <w:rPr>
          <w:rFonts w:hint="eastAsia" w:ascii="宋体" w:hAnsi="宋体"/>
          <w:color w:val="auto"/>
          <w:sz w:val="22"/>
          <w:szCs w:val="22"/>
          <w:highlight w:val="none"/>
        </w:rPr>
      </w:pPr>
      <w:r>
        <w:rPr>
          <w:rFonts w:hint="eastAsia" w:ascii="宋体" w:hAnsi="宋体"/>
          <w:color w:val="auto"/>
          <w:sz w:val="22"/>
          <w:szCs w:val="22"/>
          <w:highlight w:val="none"/>
        </w:rPr>
        <w:t>本公司（联合体）郑重声明，根据《政府采购促进中小企业发展管理办法》（财库﹝2020﹞46 号）的规定，本公司（联合体）参加</w:t>
      </w:r>
      <w:r>
        <w:rPr>
          <w:rFonts w:hint="eastAsia" w:ascii="宋体" w:hAnsi="宋体"/>
          <w:color w:val="auto"/>
          <w:sz w:val="22"/>
          <w:szCs w:val="22"/>
          <w:highlight w:val="none"/>
          <w:u w:val="single"/>
        </w:rPr>
        <w:t xml:space="preserve">  </w:t>
      </w:r>
      <w:r>
        <w:rPr>
          <w:rFonts w:ascii="宋体" w:hAnsi="宋体"/>
          <w:color w:val="auto"/>
          <w:sz w:val="22"/>
          <w:szCs w:val="22"/>
          <w:highlight w:val="none"/>
          <w:u w:val="single"/>
        </w:rPr>
        <w:t xml:space="preserve">  </w:t>
      </w:r>
      <w:r>
        <w:rPr>
          <w:rFonts w:hint="eastAsia" w:ascii="宋体" w:hAnsi="宋体"/>
          <w:color w:val="auto"/>
          <w:sz w:val="22"/>
          <w:szCs w:val="22"/>
          <w:highlight w:val="none"/>
          <w:u w:val="single"/>
        </w:rPr>
        <w:t>（单位名称）</w:t>
      </w:r>
      <w:r>
        <w:rPr>
          <w:rFonts w:hint="eastAsia" w:ascii="宋体" w:hAnsi="宋体"/>
          <w:color w:val="auto"/>
          <w:sz w:val="22"/>
          <w:szCs w:val="22"/>
          <w:highlight w:val="none"/>
        </w:rPr>
        <w:t>的</w:t>
      </w:r>
      <w:r>
        <w:rPr>
          <w:rFonts w:hint="eastAsia" w:ascii="宋体" w:hAnsi="宋体"/>
          <w:color w:val="auto"/>
          <w:sz w:val="22"/>
          <w:szCs w:val="22"/>
          <w:highlight w:val="none"/>
          <w:u w:val="single"/>
        </w:rPr>
        <w:t xml:space="preserve">  </w:t>
      </w:r>
      <w:r>
        <w:rPr>
          <w:rFonts w:ascii="宋体" w:hAnsi="宋体"/>
          <w:color w:val="auto"/>
          <w:sz w:val="22"/>
          <w:szCs w:val="22"/>
          <w:highlight w:val="none"/>
          <w:u w:val="single"/>
        </w:rPr>
        <w:t xml:space="preserve">  </w:t>
      </w:r>
      <w:r>
        <w:rPr>
          <w:rFonts w:hint="eastAsia" w:ascii="宋体" w:hAnsi="宋体"/>
          <w:color w:val="auto"/>
          <w:sz w:val="22"/>
          <w:szCs w:val="22"/>
          <w:highlight w:val="none"/>
          <w:u w:val="single"/>
        </w:rPr>
        <w:t>（项目名称）</w:t>
      </w:r>
      <w:r>
        <w:rPr>
          <w:rFonts w:hint="eastAsia" w:ascii="宋体" w:hAnsi="宋体"/>
          <w:color w:val="auto"/>
          <w:sz w:val="22"/>
          <w:szCs w:val="22"/>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6FD57F83">
      <w:pPr>
        <w:spacing w:before="156" w:beforeLines="50" w:after="156" w:afterLines="50" w:line="440" w:lineRule="exact"/>
        <w:ind w:left="239" w:leftChars="114" w:firstLine="220" w:firstLineChars="100"/>
        <w:jc w:val="left"/>
        <w:rPr>
          <w:rFonts w:hint="eastAsia" w:ascii="宋体" w:hAnsi="宋体"/>
          <w:color w:val="auto"/>
          <w:sz w:val="22"/>
          <w:szCs w:val="22"/>
          <w:highlight w:val="none"/>
        </w:rPr>
      </w:pPr>
      <w:r>
        <w:rPr>
          <w:rFonts w:hint="eastAsia" w:ascii="宋体" w:hAnsi="宋体"/>
          <w:color w:val="auto"/>
          <w:sz w:val="22"/>
          <w:szCs w:val="22"/>
          <w:highlight w:val="none"/>
        </w:rPr>
        <w:t>1.</w:t>
      </w:r>
      <w:r>
        <w:rPr>
          <w:rFonts w:hint="eastAsia" w:ascii="宋体" w:hAnsi="宋体"/>
          <w:color w:val="auto"/>
          <w:sz w:val="22"/>
          <w:szCs w:val="22"/>
          <w:highlight w:val="none"/>
          <w:u w:val="single"/>
        </w:rPr>
        <w:t xml:space="preserve">   （标的名称）</w:t>
      </w:r>
      <w:r>
        <w:rPr>
          <w:rFonts w:hint="eastAsia" w:ascii="宋体" w:hAnsi="宋体"/>
          <w:color w:val="auto"/>
          <w:sz w:val="22"/>
          <w:szCs w:val="22"/>
          <w:highlight w:val="none"/>
        </w:rPr>
        <w:t>，属于</w:t>
      </w:r>
      <w:r>
        <w:rPr>
          <w:rFonts w:hint="eastAsia" w:ascii="宋体" w:hAnsi="宋体"/>
          <w:color w:val="auto"/>
          <w:sz w:val="22"/>
          <w:szCs w:val="22"/>
          <w:highlight w:val="none"/>
          <w:u w:val="single"/>
        </w:rPr>
        <w:t xml:space="preserve">   （采购文件中明确的所属行业）</w:t>
      </w:r>
      <w:r>
        <w:rPr>
          <w:rFonts w:hint="eastAsia" w:ascii="宋体" w:hAnsi="宋体"/>
          <w:color w:val="auto"/>
          <w:sz w:val="22"/>
          <w:szCs w:val="22"/>
          <w:highlight w:val="none"/>
        </w:rPr>
        <w:t>；承建（承接）企业为</w:t>
      </w:r>
      <w:r>
        <w:rPr>
          <w:rFonts w:hint="eastAsia" w:ascii="宋体" w:hAnsi="宋体"/>
          <w:color w:val="auto"/>
          <w:sz w:val="22"/>
          <w:szCs w:val="22"/>
          <w:highlight w:val="none"/>
          <w:u w:val="single"/>
        </w:rPr>
        <w:t xml:space="preserve">  （企业名称）</w:t>
      </w:r>
      <w:r>
        <w:rPr>
          <w:rFonts w:hint="eastAsia" w:ascii="宋体" w:hAnsi="宋体"/>
          <w:color w:val="auto"/>
          <w:sz w:val="22"/>
          <w:szCs w:val="22"/>
          <w:highlight w:val="none"/>
        </w:rPr>
        <w:t>，从业人员</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u w:val="single"/>
        </w:rPr>
        <w:tab/>
      </w:r>
      <w:r>
        <w:rPr>
          <w:rFonts w:hint="eastAsia" w:ascii="宋体" w:hAnsi="宋体"/>
          <w:color w:val="auto"/>
          <w:sz w:val="22"/>
          <w:szCs w:val="22"/>
          <w:highlight w:val="none"/>
        </w:rPr>
        <w:t>人，营业收入为</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万元，资产总额为</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u w:val="single"/>
        </w:rPr>
        <w:tab/>
      </w:r>
      <w:r>
        <w:rPr>
          <w:rFonts w:hint="eastAsia" w:ascii="宋体" w:hAnsi="宋体"/>
          <w:color w:val="auto"/>
          <w:sz w:val="22"/>
          <w:szCs w:val="22"/>
          <w:highlight w:val="none"/>
        </w:rPr>
        <w:t>万元，属于</w:t>
      </w:r>
      <w:r>
        <w:rPr>
          <w:rFonts w:hint="eastAsia" w:ascii="宋体" w:hAnsi="宋体"/>
          <w:color w:val="auto"/>
          <w:sz w:val="22"/>
          <w:szCs w:val="22"/>
          <w:highlight w:val="none"/>
          <w:u w:val="single"/>
        </w:rPr>
        <w:t xml:space="preserve">       （中型企业、小型企业、微型企业）</w:t>
      </w:r>
      <w:r>
        <w:rPr>
          <w:rFonts w:hint="eastAsia" w:ascii="宋体" w:hAnsi="宋体"/>
          <w:color w:val="auto"/>
          <w:sz w:val="22"/>
          <w:szCs w:val="22"/>
          <w:highlight w:val="none"/>
        </w:rPr>
        <w:t>；</w:t>
      </w:r>
    </w:p>
    <w:p w14:paraId="6C89B5F4">
      <w:pPr>
        <w:spacing w:before="156" w:beforeLines="50" w:after="156" w:afterLines="50" w:line="440" w:lineRule="exact"/>
        <w:ind w:firstLine="440" w:firstLineChars="200"/>
        <w:jc w:val="left"/>
        <w:rPr>
          <w:rFonts w:hint="eastAsia" w:ascii="宋体" w:hAnsi="宋体"/>
          <w:color w:val="auto"/>
          <w:sz w:val="22"/>
          <w:szCs w:val="22"/>
          <w:highlight w:val="none"/>
        </w:rPr>
      </w:pPr>
      <w:r>
        <w:rPr>
          <w:rFonts w:hint="eastAsia" w:ascii="宋体" w:hAnsi="宋体"/>
          <w:color w:val="auto"/>
          <w:sz w:val="22"/>
          <w:szCs w:val="22"/>
          <w:highlight w:val="none"/>
        </w:rPr>
        <w:t>2.</w:t>
      </w:r>
      <w:r>
        <w:rPr>
          <w:rFonts w:hint="eastAsia" w:ascii="宋体" w:hAnsi="宋体"/>
          <w:color w:val="auto"/>
          <w:sz w:val="22"/>
          <w:szCs w:val="22"/>
          <w:highlight w:val="none"/>
          <w:u w:val="single"/>
        </w:rPr>
        <w:t xml:space="preserve">   （标的名称）</w:t>
      </w:r>
      <w:r>
        <w:rPr>
          <w:rFonts w:hint="eastAsia" w:ascii="宋体" w:hAnsi="宋体"/>
          <w:color w:val="auto"/>
          <w:sz w:val="22"/>
          <w:szCs w:val="22"/>
          <w:highlight w:val="none"/>
        </w:rPr>
        <w:t>，属于</w:t>
      </w:r>
      <w:r>
        <w:rPr>
          <w:rFonts w:hint="eastAsia" w:ascii="宋体" w:hAnsi="宋体"/>
          <w:color w:val="auto"/>
          <w:sz w:val="22"/>
          <w:szCs w:val="22"/>
          <w:highlight w:val="none"/>
          <w:u w:val="single"/>
        </w:rPr>
        <w:t xml:space="preserve">   （采购文件中明确的所属行业）</w:t>
      </w:r>
      <w:r>
        <w:rPr>
          <w:rFonts w:hint="eastAsia" w:ascii="宋体" w:hAnsi="宋体"/>
          <w:color w:val="auto"/>
          <w:sz w:val="22"/>
          <w:szCs w:val="22"/>
          <w:highlight w:val="none"/>
        </w:rPr>
        <w:t>；承建（承接）企业为</w:t>
      </w:r>
      <w:r>
        <w:rPr>
          <w:rFonts w:hint="eastAsia" w:ascii="宋体" w:hAnsi="宋体"/>
          <w:color w:val="auto"/>
          <w:sz w:val="22"/>
          <w:szCs w:val="22"/>
          <w:highlight w:val="none"/>
          <w:u w:val="single"/>
        </w:rPr>
        <w:t xml:space="preserve">  （企业名称）</w:t>
      </w:r>
      <w:r>
        <w:rPr>
          <w:rFonts w:hint="eastAsia" w:ascii="宋体" w:hAnsi="宋体"/>
          <w:color w:val="auto"/>
          <w:sz w:val="22"/>
          <w:szCs w:val="22"/>
          <w:highlight w:val="none"/>
        </w:rPr>
        <w:t>，从业人员</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u w:val="single"/>
        </w:rPr>
        <w:tab/>
      </w:r>
      <w:r>
        <w:rPr>
          <w:rFonts w:hint="eastAsia" w:ascii="宋体" w:hAnsi="宋体"/>
          <w:color w:val="auto"/>
          <w:sz w:val="22"/>
          <w:szCs w:val="22"/>
          <w:highlight w:val="none"/>
        </w:rPr>
        <w:t>人，营业收入为</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万元，资产总额为</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u w:val="single"/>
        </w:rPr>
        <w:tab/>
      </w:r>
      <w:r>
        <w:rPr>
          <w:rFonts w:hint="eastAsia" w:ascii="宋体" w:hAnsi="宋体"/>
          <w:color w:val="auto"/>
          <w:sz w:val="22"/>
          <w:szCs w:val="22"/>
          <w:highlight w:val="none"/>
        </w:rPr>
        <w:t>万元，属于</w:t>
      </w:r>
      <w:r>
        <w:rPr>
          <w:rFonts w:hint="eastAsia" w:ascii="宋体" w:hAnsi="宋体"/>
          <w:color w:val="auto"/>
          <w:sz w:val="22"/>
          <w:szCs w:val="22"/>
          <w:highlight w:val="none"/>
          <w:u w:val="single"/>
        </w:rPr>
        <w:t xml:space="preserve">       （中型企业、小型企业、微型企业）</w:t>
      </w:r>
      <w:r>
        <w:rPr>
          <w:rFonts w:hint="eastAsia" w:ascii="宋体" w:hAnsi="宋体"/>
          <w:color w:val="auto"/>
          <w:sz w:val="22"/>
          <w:szCs w:val="22"/>
          <w:highlight w:val="none"/>
        </w:rPr>
        <w:t>；</w:t>
      </w:r>
    </w:p>
    <w:p w14:paraId="7A164B19">
      <w:pPr>
        <w:spacing w:before="156" w:beforeLines="50" w:after="156" w:afterLines="50" w:line="440" w:lineRule="exact"/>
        <w:ind w:firstLine="440" w:firstLineChars="200"/>
        <w:jc w:val="left"/>
        <w:rPr>
          <w:rFonts w:hint="eastAsia" w:ascii="宋体" w:hAnsi="宋体"/>
          <w:color w:val="auto"/>
          <w:sz w:val="22"/>
          <w:szCs w:val="22"/>
          <w:highlight w:val="none"/>
        </w:rPr>
      </w:pPr>
      <w:r>
        <w:rPr>
          <w:rFonts w:hint="eastAsia" w:ascii="宋体" w:hAnsi="宋体"/>
          <w:color w:val="auto"/>
          <w:sz w:val="22"/>
          <w:szCs w:val="22"/>
          <w:highlight w:val="none"/>
        </w:rPr>
        <w:t>……</w:t>
      </w:r>
    </w:p>
    <w:p w14:paraId="444BE8DB">
      <w:pPr>
        <w:spacing w:before="156" w:beforeLines="50" w:after="156" w:afterLines="50" w:line="440" w:lineRule="exact"/>
        <w:ind w:firstLine="440" w:firstLineChars="200"/>
        <w:jc w:val="left"/>
        <w:rPr>
          <w:rFonts w:hint="eastAsia" w:ascii="宋体" w:hAnsi="宋体"/>
          <w:color w:val="auto"/>
          <w:sz w:val="22"/>
          <w:szCs w:val="22"/>
          <w:highlight w:val="none"/>
        </w:rPr>
      </w:pPr>
      <w:r>
        <w:rPr>
          <w:rFonts w:hint="eastAsia" w:ascii="宋体" w:hAnsi="宋体"/>
          <w:color w:val="auto"/>
          <w:sz w:val="22"/>
          <w:szCs w:val="22"/>
          <w:highlight w:val="none"/>
        </w:rPr>
        <w:t>以上企业，不属于大企业的分支机构，不存在控股股东为大企业的情形，也不存在与大企业的负责人为同一人的情形。</w:t>
      </w:r>
    </w:p>
    <w:p w14:paraId="2F30ED41">
      <w:pPr>
        <w:spacing w:before="156" w:beforeLines="50" w:after="156" w:afterLines="50" w:line="440" w:lineRule="exact"/>
        <w:ind w:firstLine="440" w:firstLineChars="200"/>
        <w:jc w:val="left"/>
        <w:rPr>
          <w:rFonts w:hint="eastAsia" w:ascii="宋体" w:hAnsi="宋体"/>
          <w:color w:val="auto"/>
          <w:sz w:val="22"/>
          <w:szCs w:val="22"/>
          <w:highlight w:val="none"/>
        </w:rPr>
      </w:pPr>
      <w:r>
        <w:rPr>
          <w:rFonts w:hint="eastAsia" w:ascii="宋体" w:hAnsi="宋体"/>
          <w:color w:val="auto"/>
          <w:sz w:val="22"/>
          <w:szCs w:val="22"/>
          <w:highlight w:val="none"/>
        </w:rPr>
        <w:t>本企业对上述声明内容的真实性负责。如有虚假，将依法承担相应责任。</w:t>
      </w:r>
    </w:p>
    <w:p w14:paraId="030AAC56">
      <w:pPr>
        <w:wordWrap w:val="0"/>
        <w:spacing w:line="420" w:lineRule="auto"/>
        <w:ind w:firstLine="3084"/>
        <w:jc w:val="right"/>
        <w:rPr>
          <w:rFonts w:hint="eastAsia" w:ascii="宋体" w:hAnsi="宋体"/>
          <w:color w:val="auto"/>
          <w:sz w:val="22"/>
          <w:szCs w:val="22"/>
          <w:highlight w:val="none"/>
        </w:rPr>
      </w:pPr>
    </w:p>
    <w:p w14:paraId="4B820AED">
      <w:pPr>
        <w:wordWrap w:val="0"/>
        <w:spacing w:line="420" w:lineRule="auto"/>
        <w:ind w:firstLine="3084"/>
        <w:jc w:val="right"/>
        <w:rPr>
          <w:rFonts w:hint="eastAsia" w:ascii="宋体" w:hAnsi="宋体" w:cs="楷体"/>
          <w:color w:val="auto"/>
          <w:sz w:val="22"/>
          <w:szCs w:val="22"/>
          <w:highlight w:val="none"/>
          <w:u w:val="single"/>
        </w:rPr>
      </w:pPr>
      <w:r>
        <w:rPr>
          <w:rFonts w:hint="eastAsia" w:ascii="宋体" w:hAnsi="宋体"/>
          <w:color w:val="auto"/>
          <w:sz w:val="22"/>
          <w:szCs w:val="22"/>
          <w:highlight w:val="none"/>
        </w:rPr>
        <w:t>企业名称（盖单位电子章）</w:t>
      </w:r>
      <w:r>
        <w:rPr>
          <w:rFonts w:hint="eastAsia" w:ascii="宋体" w:hAnsi="宋体"/>
          <w:color w:val="auto"/>
          <w:sz w:val="22"/>
          <w:szCs w:val="22"/>
          <w:highlight w:val="none"/>
          <w:u w:val="single"/>
        </w:rPr>
        <w:t>：</w:t>
      </w:r>
      <w:r>
        <w:rPr>
          <w:rFonts w:hint="eastAsia" w:ascii="宋体" w:hAnsi="宋体" w:cs="楷体"/>
          <w:color w:val="auto"/>
          <w:sz w:val="22"/>
          <w:szCs w:val="22"/>
          <w:highlight w:val="none"/>
          <w:u w:val="single"/>
        </w:rPr>
        <w:t xml:space="preserve">              </w:t>
      </w:r>
    </w:p>
    <w:p w14:paraId="56E9FBF7">
      <w:pPr>
        <w:wordWrap w:val="0"/>
        <w:spacing w:line="420" w:lineRule="auto"/>
        <w:ind w:firstLine="3084"/>
        <w:jc w:val="right"/>
        <w:rPr>
          <w:rFonts w:hint="eastAsia" w:ascii="宋体" w:hAnsi="宋体" w:cs="楷体"/>
          <w:color w:val="auto"/>
          <w:sz w:val="22"/>
          <w:szCs w:val="22"/>
          <w:highlight w:val="none"/>
          <w:u w:val="single"/>
        </w:rPr>
      </w:pPr>
      <w:r>
        <w:rPr>
          <w:rFonts w:hint="eastAsia" w:ascii="宋体" w:hAnsi="宋体"/>
          <w:color w:val="auto"/>
          <w:sz w:val="22"/>
          <w:szCs w:val="22"/>
          <w:highlight w:val="none"/>
        </w:rPr>
        <w:t xml:space="preserve">                日期</w:t>
      </w:r>
      <w:r>
        <w:rPr>
          <w:rFonts w:hint="eastAsia" w:ascii="宋体" w:hAnsi="宋体"/>
          <w:color w:val="auto"/>
          <w:sz w:val="22"/>
          <w:szCs w:val="22"/>
          <w:highlight w:val="none"/>
          <w:u w:val="single"/>
        </w:rPr>
        <w:t>：</w:t>
      </w:r>
      <w:r>
        <w:rPr>
          <w:rFonts w:hint="eastAsia" w:ascii="宋体" w:hAnsi="宋体" w:cs="楷体"/>
          <w:color w:val="auto"/>
          <w:sz w:val="22"/>
          <w:szCs w:val="22"/>
          <w:highlight w:val="none"/>
          <w:u w:val="single"/>
        </w:rPr>
        <w:t xml:space="preserve">     年     月    日</w:t>
      </w:r>
    </w:p>
    <w:p w14:paraId="697429B7">
      <w:pPr>
        <w:spacing w:line="360" w:lineRule="auto"/>
        <w:rPr>
          <w:rFonts w:hint="eastAsia" w:ascii="宋体" w:hAnsi="宋体" w:cs="宋体"/>
          <w:color w:val="auto"/>
          <w:spacing w:val="6"/>
          <w:sz w:val="22"/>
          <w:szCs w:val="22"/>
          <w:highlight w:val="none"/>
        </w:rPr>
      </w:pPr>
    </w:p>
    <w:p w14:paraId="28713C68">
      <w:pPr>
        <w:rPr>
          <w:rFonts w:hint="eastAsia" w:ascii="宋体" w:hAnsi="宋体"/>
          <w:color w:val="auto"/>
          <w:sz w:val="22"/>
          <w:szCs w:val="22"/>
          <w:highlight w:val="none"/>
        </w:rPr>
      </w:pPr>
    </w:p>
    <w:p w14:paraId="1B271CFA">
      <w:pPr>
        <w:rPr>
          <w:rFonts w:hint="eastAsia" w:ascii="宋体" w:hAnsi="宋体"/>
          <w:color w:val="auto"/>
          <w:sz w:val="22"/>
          <w:szCs w:val="22"/>
          <w:highlight w:val="none"/>
        </w:rPr>
      </w:pPr>
    </w:p>
    <w:p w14:paraId="468F6954">
      <w:pPr>
        <w:spacing w:line="400" w:lineRule="exact"/>
        <w:jc w:val="left"/>
        <w:rPr>
          <w:rFonts w:hint="eastAsia" w:ascii="宋体" w:hAnsi="宋体"/>
          <w:b/>
          <w:color w:val="auto"/>
          <w:sz w:val="22"/>
          <w:szCs w:val="22"/>
          <w:highlight w:val="none"/>
        </w:rPr>
      </w:pPr>
      <w:r>
        <w:rPr>
          <w:rFonts w:hint="eastAsia" w:ascii="宋体" w:hAnsi="宋体"/>
          <w:b/>
          <w:color w:val="auto"/>
          <w:sz w:val="22"/>
          <w:szCs w:val="22"/>
          <w:highlight w:val="none"/>
        </w:rPr>
        <w:t>注：1、从业人员、营业收入、资产总额填报上一年度数据，无上一年度数据的新成立企业可不填报。</w:t>
      </w:r>
    </w:p>
    <w:p w14:paraId="06C89270">
      <w:pPr>
        <w:spacing w:line="400" w:lineRule="exact"/>
        <w:jc w:val="left"/>
        <w:rPr>
          <w:rFonts w:hint="eastAsia" w:ascii="宋体" w:hAnsi="宋体"/>
          <w:b/>
          <w:color w:val="auto"/>
          <w:sz w:val="22"/>
          <w:szCs w:val="22"/>
          <w:highlight w:val="none"/>
        </w:rPr>
      </w:pPr>
      <w:r>
        <w:rPr>
          <w:rFonts w:hint="eastAsia" w:ascii="宋体" w:hAnsi="宋体"/>
          <w:b/>
          <w:color w:val="auto"/>
          <w:sz w:val="22"/>
          <w:szCs w:val="22"/>
          <w:highlight w:val="none"/>
        </w:rPr>
        <w:t>2、中标人的本声明函随中标结果同时公布，接受其他投标人和社会监督。</w:t>
      </w:r>
    </w:p>
    <w:p w14:paraId="57A67AC6">
      <w:pPr>
        <w:rPr>
          <w:rFonts w:hint="eastAsia" w:ascii="宋体" w:hAnsi="宋体"/>
          <w:color w:val="auto"/>
          <w:highlight w:val="none"/>
        </w:rPr>
      </w:pPr>
    </w:p>
    <w:p w14:paraId="28C0DE97">
      <w:pPr>
        <w:pStyle w:val="37"/>
        <w:rPr>
          <w:color w:val="auto"/>
          <w:highlight w:val="none"/>
        </w:rPr>
      </w:pPr>
    </w:p>
    <w:p w14:paraId="0A280679">
      <w:pPr>
        <w:pStyle w:val="14"/>
        <w:jc w:val="center"/>
        <w:rPr>
          <w:rFonts w:hint="eastAsia" w:hAnsi="宋体" w:cs="宋体"/>
          <w:b/>
          <w:bCs/>
          <w:color w:val="auto"/>
          <w:sz w:val="24"/>
          <w:szCs w:val="24"/>
          <w:highlight w:val="none"/>
        </w:rPr>
      </w:pPr>
    </w:p>
    <w:p w14:paraId="3C8D0B9A">
      <w:pPr>
        <w:pStyle w:val="14"/>
        <w:jc w:val="center"/>
        <w:rPr>
          <w:rFonts w:hint="eastAsia" w:hAnsi="宋体" w:cs="宋体"/>
          <w:b/>
          <w:bCs/>
          <w:color w:val="auto"/>
          <w:sz w:val="24"/>
          <w:szCs w:val="24"/>
          <w:highlight w:val="none"/>
        </w:rPr>
      </w:pPr>
    </w:p>
    <w:p w14:paraId="0A02DCE7">
      <w:pPr>
        <w:pStyle w:val="14"/>
        <w:jc w:val="center"/>
        <w:rPr>
          <w:rFonts w:hint="eastAsia" w:hAnsi="宋体" w:cs="宋体"/>
          <w:b/>
          <w:bCs/>
          <w:color w:val="auto"/>
          <w:sz w:val="24"/>
          <w:szCs w:val="24"/>
          <w:highlight w:val="none"/>
        </w:rPr>
      </w:pPr>
    </w:p>
    <w:p w14:paraId="2AE1481C">
      <w:pPr>
        <w:pStyle w:val="14"/>
        <w:jc w:val="center"/>
        <w:rPr>
          <w:rFonts w:hint="eastAsia" w:hAnsi="宋体" w:cs="宋体"/>
          <w:color w:val="auto"/>
          <w:sz w:val="24"/>
          <w:szCs w:val="24"/>
          <w:highlight w:val="none"/>
        </w:rPr>
      </w:pPr>
      <w:r>
        <w:rPr>
          <w:rFonts w:hint="eastAsia" w:hAnsi="宋体" w:cs="宋体"/>
          <w:b/>
          <w:bCs/>
          <w:color w:val="auto"/>
          <w:sz w:val="24"/>
          <w:szCs w:val="24"/>
          <w:highlight w:val="none"/>
        </w:rPr>
        <w:t>（二）、关于监狱企业（如有）</w:t>
      </w:r>
    </w:p>
    <w:p w14:paraId="1F982ADF">
      <w:pPr>
        <w:widowControl/>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1、政府采购政策</w:t>
      </w:r>
    </w:p>
    <w:p w14:paraId="2BB178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财政部、司法部关于政府采购支持监狱企业发展有关问题的通知（财库【2014】68号）</w:t>
      </w:r>
    </w:p>
    <w:p w14:paraId="526A23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cs="宋体"/>
          <w:color w:val="auto"/>
          <w:kern w:val="0"/>
          <w:szCs w:val="21"/>
          <w:highlight w:val="none"/>
        </w:rPr>
      </w:pPr>
    </w:p>
    <w:p w14:paraId="4CE35EEC">
      <w:pPr>
        <w:widowControl/>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2、附证明材料</w:t>
      </w:r>
    </w:p>
    <w:p w14:paraId="49BD5721">
      <w:pPr>
        <w:widowControl/>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提供由省级以上监狱管理局、戒毒管理局（含新疆生产建设兵团）出具的属于监狱企业的证明文件，否则投标报价评审时不予价格扣除优惠。</w:t>
      </w:r>
    </w:p>
    <w:p w14:paraId="7FC46D31">
      <w:pPr>
        <w:pStyle w:val="37"/>
        <w:spacing w:line="360" w:lineRule="auto"/>
        <w:rPr>
          <w:rFonts w:hint="eastAsia" w:hAnsi="宋体"/>
          <w:color w:val="auto"/>
          <w:sz w:val="21"/>
          <w:szCs w:val="21"/>
          <w:highlight w:val="none"/>
        </w:rPr>
      </w:pPr>
    </w:p>
    <w:p w14:paraId="2D9DF9B2">
      <w:pPr>
        <w:pStyle w:val="37"/>
        <w:rPr>
          <w:rFonts w:hint="eastAsia" w:hAnsi="宋体"/>
          <w:color w:val="auto"/>
          <w:szCs w:val="16"/>
          <w:highlight w:val="none"/>
        </w:rPr>
      </w:pPr>
    </w:p>
    <w:p w14:paraId="2080F61C">
      <w:pPr>
        <w:pStyle w:val="37"/>
        <w:rPr>
          <w:rFonts w:hint="eastAsia" w:hAnsi="宋体"/>
          <w:color w:val="auto"/>
          <w:szCs w:val="16"/>
          <w:highlight w:val="none"/>
        </w:rPr>
      </w:pPr>
    </w:p>
    <w:p w14:paraId="0E6E5EDA">
      <w:pPr>
        <w:pStyle w:val="37"/>
        <w:rPr>
          <w:rFonts w:hint="eastAsia" w:hAnsi="宋体"/>
          <w:color w:val="auto"/>
          <w:szCs w:val="16"/>
          <w:highlight w:val="none"/>
        </w:rPr>
      </w:pPr>
    </w:p>
    <w:p w14:paraId="3B397A08">
      <w:pPr>
        <w:pStyle w:val="37"/>
        <w:rPr>
          <w:rFonts w:hint="eastAsia" w:hAnsi="宋体"/>
          <w:color w:val="auto"/>
          <w:szCs w:val="16"/>
          <w:highlight w:val="none"/>
        </w:rPr>
      </w:pPr>
    </w:p>
    <w:p w14:paraId="270B5E86">
      <w:pPr>
        <w:pStyle w:val="37"/>
        <w:rPr>
          <w:rFonts w:hint="eastAsia" w:hAnsi="宋体"/>
          <w:color w:val="auto"/>
          <w:szCs w:val="16"/>
          <w:highlight w:val="none"/>
        </w:rPr>
      </w:pPr>
    </w:p>
    <w:p w14:paraId="7A35F771">
      <w:pPr>
        <w:pStyle w:val="37"/>
        <w:rPr>
          <w:rFonts w:hint="eastAsia" w:hAnsi="宋体"/>
          <w:color w:val="auto"/>
          <w:szCs w:val="16"/>
          <w:highlight w:val="none"/>
        </w:rPr>
      </w:pPr>
    </w:p>
    <w:p w14:paraId="0362B62C">
      <w:pPr>
        <w:pStyle w:val="37"/>
        <w:rPr>
          <w:rFonts w:hint="eastAsia" w:hAnsi="宋体"/>
          <w:color w:val="auto"/>
          <w:szCs w:val="16"/>
          <w:highlight w:val="none"/>
        </w:rPr>
      </w:pPr>
    </w:p>
    <w:p w14:paraId="7CF35CDE">
      <w:pPr>
        <w:pStyle w:val="37"/>
        <w:rPr>
          <w:rFonts w:hint="eastAsia" w:hAnsi="宋体"/>
          <w:color w:val="auto"/>
          <w:szCs w:val="16"/>
          <w:highlight w:val="none"/>
        </w:rPr>
      </w:pPr>
    </w:p>
    <w:p w14:paraId="1F3EBB45">
      <w:pPr>
        <w:pStyle w:val="37"/>
        <w:rPr>
          <w:rFonts w:hint="eastAsia" w:hAnsi="宋体"/>
          <w:color w:val="auto"/>
          <w:szCs w:val="16"/>
          <w:highlight w:val="none"/>
        </w:rPr>
      </w:pPr>
    </w:p>
    <w:p w14:paraId="44A2FB0A">
      <w:pPr>
        <w:pStyle w:val="37"/>
        <w:rPr>
          <w:rFonts w:hint="eastAsia" w:hAnsi="宋体"/>
          <w:color w:val="auto"/>
          <w:szCs w:val="16"/>
          <w:highlight w:val="none"/>
        </w:rPr>
      </w:pPr>
    </w:p>
    <w:p w14:paraId="3B859895">
      <w:pPr>
        <w:pStyle w:val="37"/>
        <w:rPr>
          <w:rFonts w:hint="eastAsia" w:hAnsi="宋体"/>
          <w:color w:val="auto"/>
          <w:szCs w:val="16"/>
          <w:highlight w:val="none"/>
        </w:rPr>
      </w:pPr>
    </w:p>
    <w:p w14:paraId="0F3B5FD4">
      <w:pPr>
        <w:pStyle w:val="37"/>
        <w:rPr>
          <w:rFonts w:hint="eastAsia" w:hAnsi="宋体"/>
          <w:color w:val="auto"/>
          <w:szCs w:val="16"/>
          <w:highlight w:val="none"/>
        </w:rPr>
      </w:pPr>
    </w:p>
    <w:p w14:paraId="73D7F75E">
      <w:pPr>
        <w:pStyle w:val="37"/>
        <w:rPr>
          <w:rFonts w:hint="eastAsia" w:hAnsi="宋体"/>
          <w:color w:val="auto"/>
          <w:szCs w:val="16"/>
          <w:highlight w:val="none"/>
        </w:rPr>
      </w:pPr>
    </w:p>
    <w:p w14:paraId="3F39C98F">
      <w:pPr>
        <w:pStyle w:val="37"/>
        <w:rPr>
          <w:rFonts w:hint="eastAsia" w:hAnsi="宋体"/>
          <w:color w:val="auto"/>
          <w:szCs w:val="16"/>
          <w:highlight w:val="none"/>
        </w:rPr>
      </w:pPr>
    </w:p>
    <w:p w14:paraId="26F648E5">
      <w:pPr>
        <w:pStyle w:val="37"/>
        <w:rPr>
          <w:rFonts w:hint="eastAsia" w:hAnsi="宋体"/>
          <w:color w:val="auto"/>
          <w:szCs w:val="16"/>
          <w:highlight w:val="none"/>
        </w:rPr>
      </w:pPr>
    </w:p>
    <w:p w14:paraId="515739C7">
      <w:pPr>
        <w:pStyle w:val="37"/>
        <w:rPr>
          <w:rFonts w:hint="eastAsia" w:hAnsi="宋体"/>
          <w:color w:val="auto"/>
          <w:szCs w:val="16"/>
          <w:highlight w:val="none"/>
        </w:rPr>
      </w:pPr>
    </w:p>
    <w:p w14:paraId="1A50772A">
      <w:pPr>
        <w:pStyle w:val="37"/>
        <w:rPr>
          <w:rFonts w:hint="eastAsia" w:hAnsi="宋体"/>
          <w:color w:val="auto"/>
          <w:szCs w:val="16"/>
          <w:highlight w:val="none"/>
        </w:rPr>
      </w:pPr>
    </w:p>
    <w:p w14:paraId="1BF84101">
      <w:pPr>
        <w:pStyle w:val="37"/>
        <w:rPr>
          <w:rFonts w:hint="eastAsia" w:hAnsi="宋体"/>
          <w:color w:val="auto"/>
          <w:szCs w:val="16"/>
          <w:highlight w:val="none"/>
        </w:rPr>
      </w:pPr>
    </w:p>
    <w:p w14:paraId="1DE2866D">
      <w:pPr>
        <w:pStyle w:val="37"/>
        <w:rPr>
          <w:rFonts w:hint="eastAsia" w:hAnsi="宋体"/>
          <w:color w:val="auto"/>
          <w:szCs w:val="16"/>
          <w:highlight w:val="none"/>
        </w:rPr>
      </w:pPr>
    </w:p>
    <w:p w14:paraId="164BCCE1">
      <w:pPr>
        <w:pStyle w:val="37"/>
        <w:rPr>
          <w:rFonts w:hint="eastAsia" w:hAnsi="宋体"/>
          <w:color w:val="auto"/>
          <w:szCs w:val="16"/>
          <w:highlight w:val="none"/>
        </w:rPr>
      </w:pPr>
    </w:p>
    <w:p w14:paraId="74FF9FF0">
      <w:pPr>
        <w:pStyle w:val="37"/>
        <w:rPr>
          <w:rFonts w:hint="eastAsia" w:hAnsi="宋体"/>
          <w:color w:val="auto"/>
          <w:szCs w:val="16"/>
          <w:highlight w:val="none"/>
        </w:rPr>
      </w:pPr>
    </w:p>
    <w:p w14:paraId="0DA7AFFA">
      <w:pPr>
        <w:pStyle w:val="37"/>
        <w:rPr>
          <w:rFonts w:hint="eastAsia" w:hAnsi="宋体"/>
          <w:color w:val="auto"/>
          <w:szCs w:val="16"/>
          <w:highlight w:val="none"/>
        </w:rPr>
      </w:pPr>
    </w:p>
    <w:p w14:paraId="7516D1F9">
      <w:pPr>
        <w:pStyle w:val="37"/>
        <w:rPr>
          <w:rFonts w:hint="eastAsia" w:hAnsi="宋体"/>
          <w:color w:val="auto"/>
          <w:szCs w:val="16"/>
          <w:highlight w:val="none"/>
        </w:rPr>
      </w:pPr>
    </w:p>
    <w:p w14:paraId="07823A97">
      <w:pPr>
        <w:pStyle w:val="37"/>
        <w:rPr>
          <w:rFonts w:hint="eastAsia" w:hAnsi="宋体"/>
          <w:color w:val="auto"/>
          <w:szCs w:val="16"/>
          <w:highlight w:val="none"/>
        </w:rPr>
      </w:pPr>
    </w:p>
    <w:p w14:paraId="2A0E7385">
      <w:pPr>
        <w:pStyle w:val="37"/>
        <w:rPr>
          <w:rFonts w:hint="eastAsia" w:hAnsi="宋体"/>
          <w:color w:val="auto"/>
          <w:szCs w:val="16"/>
          <w:highlight w:val="none"/>
        </w:rPr>
      </w:pPr>
    </w:p>
    <w:p w14:paraId="077285CB">
      <w:pPr>
        <w:pStyle w:val="37"/>
        <w:rPr>
          <w:rFonts w:hint="eastAsia" w:hAnsi="宋体"/>
          <w:color w:val="auto"/>
          <w:szCs w:val="16"/>
          <w:highlight w:val="none"/>
        </w:rPr>
      </w:pPr>
    </w:p>
    <w:p w14:paraId="4F83735E">
      <w:pPr>
        <w:pStyle w:val="38"/>
        <w:rPr>
          <w:color w:val="auto"/>
          <w:highlight w:val="none"/>
        </w:rPr>
      </w:pPr>
    </w:p>
    <w:p w14:paraId="00EDC6F4">
      <w:pPr>
        <w:pStyle w:val="37"/>
        <w:rPr>
          <w:rFonts w:hint="eastAsia" w:hAnsi="宋体"/>
          <w:color w:val="auto"/>
          <w:szCs w:val="16"/>
          <w:highlight w:val="none"/>
        </w:rPr>
      </w:pPr>
    </w:p>
    <w:p w14:paraId="3CF61E09">
      <w:pPr>
        <w:pStyle w:val="37"/>
        <w:rPr>
          <w:rFonts w:hint="eastAsia" w:hAnsi="宋体"/>
          <w:color w:val="auto"/>
          <w:szCs w:val="16"/>
          <w:highlight w:val="none"/>
        </w:rPr>
      </w:pPr>
    </w:p>
    <w:p w14:paraId="48EB1D3B">
      <w:pPr>
        <w:pStyle w:val="37"/>
        <w:rPr>
          <w:rFonts w:hint="eastAsia" w:hAnsi="宋体"/>
          <w:color w:val="auto"/>
          <w:szCs w:val="16"/>
          <w:highlight w:val="none"/>
        </w:rPr>
      </w:pPr>
    </w:p>
    <w:p w14:paraId="7ECD3D31">
      <w:pPr>
        <w:pStyle w:val="37"/>
        <w:rPr>
          <w:rFonts w:hint="eastAsia" w:hAnsi="宋体"/>
          <w:color w:val="auto"/>
          <w:szCs w:val="16"/>
          <w:highlight w:val="none"/>
        </w:rPr>
      </w:pPr>
    </w:p>
    <w:p w14:paraId="22B17C0F">
      <w:pPr>
        <w:pStyle w:val="37"/>
        <w:rPr>
          <w:rFonts w:hint="eastAsia" w:hAnsi="宋体"/>
          <w:color w:val="auto"/>
          <w:szCs w:val="16"/>
          <w:highlight w:val="none"/>
        </w:rPr>
      </w:pPr>
    </w:p>
    <w:p w14:paraId="0DF11DA6">
      <w:pPr>
        <w:pStyle w:val="37"/>
        <w:rPr>
          <w:rFonts w:hint="eastAsia" w:hAnsi="宋体"/>
          <w:color w:val="auto"/>
          <w:szCs w:val="16"/>
          <w:highlight w:val="none"/>
        </w:rPr>
      </w:pPr>
    </w:p>
    <w:p w14:paraId="760B26BE">
      <w:pPr>
        <w:widowControl/>
        <w:jc w:val="center"/>
        <w:rPr>
          <w:rFonts w:hint="eastAsia" w:ascii="宋体" w:hAnsi="宋体" w:cs="宋体"/>
          <w:color w:val="auto"/>
          <w:sz w:val="24"/>
          <w:highlight w:val="none"/>
        </w:rPr>
      </w:pPr>
      <w:r>
        <w:rPr>
          <w:rFonts w:hint="eastAsia" w:ascii="宋体" w:hAnsi="宋体" w:cs="宋体"/>
          <w:b/>
          <w:bCs/>
          <w:color w:val="auto"/>
          <w:sz w:val="24"/>
          <w:highlight w:val="none"/>
        </w:rPr>
        <w:t>（三）、关于促进残疾人就业的政府采购政策（如有）</w:t>
      </w:r>
    </w:p>
    <w:p w14:paraId="24DA4521">
      <w:pPr>
        <w:widowControl/>
        <w:jc w:val="center"/>
        <w:rPr>
          <w:rFonts w:hint="eastAsia" w:ascii="宋体" w:hAnsi="宋体" w:cs="宋体"/>
          <w:color w:val="auto"/>
          <w:sz w:val="24"/>
          <w:szCs w:val="16"/>
          <w:highlight w:val="none"/>
        </w:rPr>
      </w:pPr>
      <w:bookmarkStart w:id="385" w:name="sendNo"/>
    </w:p>
    <w:p w14:paraId="649AD170">
      <w:pPr>
        <w:widowControl/>
        <w:numPr>
          <w:ilvl w:val="0"/>
          <w:numId w:val="5"/>
        </w:numPr>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政府采购政策</w:t>
      </w:r>
    </w:p>
    <w:p w14:paraId="22619659">
      <w:pPr>
        <w:widowControl/>
        <w:spacing w:line="360" w:lineRule="auto"/>
        <w:ind w:left="360"/>
        <w:jc w:val="left"/>
        <w:rPr>
          <w:rFonts w:hint="eastAsia" w:ascii="宋体" w:hAnsi="宋体" w:cs="宋体"/>
          <w:color w:val="auto"/>
          <w:szCs w:val="21"/>
          <w:highlight w:val="none"/>
        </w:rPr>
      </w:pPr>
      <w:r>
        <w:rPr>
          <w:rFonts w:hint="eastAsia" w:ascii="宋体" w:hAnsi="宋体" w:cs="宋体"/>
          <w:color w:val="auto"/>
          <w:szCs w:val="21"/>
          <w:highlight w:val="none"/>
        </w:rPr>
        <w:t>关于促进残疾人就业政府采购政策的通知（财库〔2017〕141号）</w:t>
      </w:r>
    </w:p>
    <w:p w14:paraId="14D193F3">
      <w:pPr>
        <w:widowControl/>
        <w:spacing w:line="360" w:lineRule="auto"/>
        <w:jc w:val="left"/>
        <w:rPr>
          <w:rFonts w:hint="eastAsia" w:ascii="宋体" w:hAnsi="宋体" w:cs="宋体"/>
          <w:b/>
          <w:color w:val="auto"/>
          <w:kern w:val="0"/>
          <w:szCs w:val="21"/>
          <w:highlight w:val="none"/>
        </w:rPr>
      </w:pPr>
      <w:bookmarkStart w:id="386" w:name="toDeptId"/>
      <w:r>
        <w:rPr>
          <w:rFonts w:hint="eastAsia" w:ascii="宋体" w:hAnsi="宋体" w:cs="宋体"/>
          <w:b/>
          <w:color w:val="auto"/>
          <w:kern w:val="0"/>
          <w:szCs w:val="21"/>
          <w:highlight w:val="none"/>
        </w:rPr>
        <w:t>2、附声明函（</w:t>
      </w:r>
      <w:r>
        <w:rPr>
          <w:rFonts w:hint="eastAsia" w:ascii="宋体" w:hAnsi="宋体" w:cs="宋体"/>
          <w:color w:val="auto"/>
          <w:szCs w:val="21"/>
          <w:highlight w:val="none"/>
        </w:rPr>
        <w:t>无声明函投标报价评审时不予价格扣除优惠</w:t>
      </w:r>
      <w:r>
        <w:rPr>
          <w:rFonts w:hint="eastAsia" w:ascii="宋体" w:hAnsi="宋体" w:cs="宋体"/>
          <w:b/>
          <w:color w:val="auto"/>
          <w:kern w:val="0"/>
          <w:szCs w:val="21"/>
          <w:highlight w:val="none"/>
        </w:rPr>
        <w:t>）</w:t>
      </w:r>
    </w:p>
    <w:bookmarkEnd w:id="385"/>
    <w:bookmarkEnd w:id="386"/>
    <w:p w14:paraId="47258CEC">
      <w:pPr>
        <w:widowControl/>
        <w:spacing w:line="360" w:lineRule="auto"/>
        <w:jc w:val="left"/>
        <w:rPr>
          <w:rFonts w:hint="eastAsia" w:ascii="宋体" w:hAnsi="宋体" w:cs="宋体"/>
          <w:color w:val="auto"/>
          <w:kern w:val="0"/>
          <w:szCs w:val="21"/>
          <w:highlight w:val="none"/>
        </w:rPr>
      </w:pPr>
    </w:p>
    <w:p w14:paraId="069C03B1">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残疾人福利性单位声明函</w:t>
      </w:r>
    </w:p>
    <w:p w14:paraId="2A465B7E">
      <w:pPr>
        <w:spacing w:line="360" w:lineRule="auto"/>
        <w:rPr>
          <w:rFonts w:hint="eastAsia" w:ascii="宋体" w:hAnsi="宋体" w:cs="宋体"/>
          <w:b/>
          <w:color w:val="auto"/>
          <w:szCs w:val="21"/>
          <w:highlight w:val="none"/>
        </w:rPr>
      </w:pPr>
    </w:p>
    <w:p w14:paraId="6830C17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本单位郑重声明，根据《财政部 民政部 中国残疾人联合会关于促进残疾人就业政府采购政策的通知》（财库〔2017〕141号）的规定，本单位为符合条件的残疾人福利性单位，且本单位参加__________________单位的______________________项目采购活动提供本单位制造的货物（由本单位承担工程/提供服务），或者提供其他残疾人福利性单位制造的货物（不包括使用非残疾人福利性单位注册商标的货物）。</w:t>
      </w:r>
    </w:p>
    <w:p w14:paraId="317B0A7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本单位对上述声明的真实性负责。如有虚假，将依法承担相应责任。</w:t>
      </w:r>
    </w:p>
    <w:p w14:paraId="584E147B">
      <w:pPr>
        <w:tabs>
          <w:tab w:val="left" w:pos="7220"/>
        </w:tabs>
        <w:autoSpaceDE w:val="0"/>
        <w:autoSpaceDN w:val="0"/>
        <w:adjustRightInd w:val="0"/>
        <w:spacing w:line="360" w:lineRule="auto"/>
        <w:ind w:left="2601" w:right="-20"/>
        <w:jc w:val="left"/>
        <w:rPr>
          <w:rFonts w:hint="eastAsia" w:ascii="宋体" w:hAnsi="宋体" w:cs="宋体"/>
          <w:color w:val="auto"/>
          <w:kern w:val="0"/>
          <w:szCs w:val="21"/>
          <w:highlight w:val="none"/>
        </w:rPr>
      </w:pPr>
    </w:p>
    <w:p w14:paraId="46749FEE">
      <w:pPr>
        <w:tabs>
          <w:tab w:val="left" w:pos="7220"/>
        </w:tabs>
        <w:autoSpaceDE w:val="0"/>
        <w:autoSpaceDN w:val="0"/>
        <w:adjustRightInd w:val="0"/>
        <w:spacing w:line="360" w:lineRule="auto"/>
        <w:ind w:left="2601" w:right="-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投标人：</w:t>
      </w:r>
      <w:r>
        <w:rPr>
          <w:rFonts w:hint="eastAsia" w:ascii="宋体" w:hAnsi="宋体" w:cs="宋体"/>
          <w:color w:val="auto"/>
          <w:kern w:val="0"/>
          <w:szCs w:val="21"/>
          <w:highlight w:val="none"/>
          <w:u w:val="single"/>
        </w:rPr>
        <w:tab/>
      </w:r>
      <w:r>
        <w:rPr>
          <w:rFonts w:hint="eastAsia" w:ascii="宋体" w:hAnsi="宋体" w:cs="宋体"/>
          <w:color w:val="auto"/>
          <w:kern w:val="0"/>
          <w:szCs w:val="21"/>
          <w:highlight w:val="none"/>
        </w:rPr>
        <w:t>（盖单位电子章）</w:t>
      </w:r>
    </w:p>
    <w:p w14:paraId="032840DC">
      <w:pPr>
        <w:spacing w:line="440" w:lineRule="exact"/>
        <w:ind w:firstLine="5670" w:firstLineChars="2700"/>
        <w:rPr>
          <w:rFonts w:hint="eastAsia" w:ascii="宋体" w:hAnsi="宋体" w:cs="宋体"/>
          <w:color w:val="auto"/>
          <w:kern w:val="0"/>
          <w:szCs w:val="21"/>
          <w:highlight w:val="none"/>
        </w:rPr>
      </w:pPr>
      <w:r>
        <w:rPr>
          <w:rFonts w:ascii="宋体" w:hAnsi="宋体"/>
          <w:bCs/>
          <w:color w:val="auto"/>
          <w:szCs w:val="21"/>
          <w:highlight w:val="none"/>
        </w:rPr>
        <w:t>日期：</w:t>
      </w:r>
      <w:r>
        <w:rPr>
          <w:rFonts w:hint="eastAsia" w:ascii="宋体" w:hAnsi="宋体"/>
          <w:bCs/>
          <w:color w:val="auto"/>
          <w:szCs w:val="21"/>
          <w:highlight w:val="none"/>
          <w:u w:val="single"/>
        </w:rPr>
        <w:t xml:space="preserve">                    </w:t>
      </w:r>
    </w:p>
    <w:p w14:paraId="3A4CF1C4">
      <w:pPr>
        <w:rPr>
          <w:color w:val="auto"/>
          <w:highlight w:val="none"/>
        </w:rPr>
      </w:pPr>
    </w:p>
    <w:p w14:paraId="34E3CEBD">
      <w:pPr>
        <w:pStyle w:val="37"/>
        <w:rPr>
          <w:color w:val="auto"/>
          <w:highlight w:val="none"/>
        </w:rPr>
      </w:pPr>
    </w:p>
    <w:p w14:paraId="227EEDAC">
      <w:pPr>
        <w:pStyle w:val="37"/>
        <w:rPr>
          <w:color w:val="auto"/>
          <w:highlight w:val="none"/>
        </w:rPr>
      </w:pPr>
    </w:p>
    <w:sectPr>
      <w:headerReference r:id="rId7" w:type="first"/>
      <w:footerReference r:id="rId9" w:type="first"/>
      <w:headerReference r:id="rId6" w:type="default"/>
      <w:footerReference r:id="rId8" w:type="default"/>
      <w:pgSz w:w="11907" w:h="16840"/>
      <w:pgMar w:top="1440" w:right="1080" w:bottom="1440" w:left="1080" w:header="850"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
    <w:altName w:val="Courier New"/>
    <w:panose1 w:val="00000000000000000000"/>
    <w:charset w:val="00"/>
    <w:family w:val="auto"/>
    <w:pitch w:val="default"/>
    <w:sig w:usb0="00000000" w:usb1="00000000" w:usb2="00000000" w:usb3="00000000" w:csb0="00000001" w:csb1="00000000"/>
  </w:font>
  <w:font w:name="??????">
    <w:altName w:val="Courier New"/>
    <w:panose1 w:val="00000000000000000000"/>
    <w:charset w:val="00"/>
    <w:family w:val="auto"/>
    <w:pitch w:val="default"/>
    <w:sig w:usb0="00000000" w:usb1="00000000" w:usb2="00000000" w:usb3="00000000" w:csb0="00000001" w:csb1="00000000"/>
  </w:font>
  <w:font w:name="Times New">
    <w:altName w:val="Times New Roman"/>
    <w:panose1 w:val="00000000000000000000"/>
    <w:charset w:val="00"/>
    <w:family w:val="auto"/>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imesNewRomanPSMT">
    <w:altName w:val="Times New Roman"/>
    <w:panose1 w:val="00000000000000000000"/>
    <w:charset w:val="00"/>
    <w:family w:val="roman"/>
    <w:pitch w:val="default"/>
    <w:sig w:usb0="00000000" w:usb1="00000000" w:usb2="00000000" w:usb3="00000000" w:csb0="00000001" w:csb1="00000000"/>
  </w:font>
  <w:font w:name="??_GB2312">
    <w:altName w:val="Lucida Console"/>
    <w:panose1 w:val="00000000000000000000"/>
    <w:charset w:val="00"/>
    <w:family w:val="auto"/>
    <w:pitch w:val="default"/>
    <w:sig w:usb0="00000000" w:usb1="00000000" w:usb2="00000000" w:usb3="00000000" w:csb0="00000001" w:csb1="00000000"/>
  </w:font>
  <w:font w:name="Lucida Console">
    <w:panose1 w:val="020B0609040504020204"/>
    <w:charset w:val="00"/>
    <w:family w:val="auto"/>
    <w:pitch w:val="default"/>
    <w:sig w:usb0="8000028F" w:usb1="00001800" w:usb2="00000000" w:usb3="00000000" w:csb0="0000001F" w:csb1="D7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F9D6A">
    <w:pPr>
      <w:spacing w:line="178" w:lineRule="auto"/>
      <w:rPr>
        <w:rFonts w:ascii="Calibri" w:hAnsi="Calibri" w:eastAsia="Calibri" w:cs="Calibri"/>
        <w:sz w:val="18"/>
        <w:szCs w:val="18"/>
      </w:rPr>
    </w:pPr>
    <w:r>
      <w:rPr>
        <w:sz w:val="18"/>
      </w:rPr>
      <w:pict>
        <v:shape id="文本框 5" o:spid="_x0000_s4097"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8zq8sIBAACN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GfM6vLCAQAAjQMAAA4AAAAAAAAAAQAgAAAAHgEAAGRycy9lMm9Eb2MueG1sUEsF&#10;BgAAAAAGAAYAWQEAAFIFAAAAAA==&#10;">
          <v:path/>
          <v:fill on="f" focussize="0,0"/>
          <v:stroke on="f"/>
          <v:imagedata o:title=""/>
          <o:lock v:ext="edit" aspectratio="f"/>
          <v:textbox inset="0mm,0mm,0mm,0mm" style="mso-fit-shape-to-text:t;">
            <w:txbxContent>
              <w:p w14:paraId="787FDC4A">
                <w:pPr>
                  <w:pStyle w:val="17"/>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239FE">
    <w:pPr>
      <w:pStyle w:val="17"/>
    </w:pPr>
    <w:r>
      <w:pict>
        <v:shape id="文本框 6" o:spid="_x0000_s4098" o:spt="202" type="#_x0000_t202" style="position:absolute;left:0pt;margin-left:230.5pt;margin-top:-1.55pt;height:9.15pt;width:23.2pt;mso-position-horizontal-relative:margin;z-index:251660288;mso-width-relative:page;mso-height-relative:page;" filled="f" stroked="f" coordsize="21600,21600" o:gfxdata="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uiW7z2AAAAAkBAAAPAAAAAAAAAAEAIAAAACIAAABkcnMvZG93bnJl&#10;di54bWxQSwECFAAUAAAACACHTuJAY8f0kDYCAABjBAAADgAAAAAAAAABACAAAAAnAQAAZHJzL2Uy&#10;b0RvYy54bWxQSwUGAAAAAAYABgBZAQAAzwUAAAAA&#10;">
          <v:path/>
          <v:fill on="f" focussize="0,0"/>
          <v:stroke on="f" weight="0.5pt"/>
          <v:imagedata o:title=""/>
          <o:lock v:ext="edit" aspectratio="f"/>
          <v:textbox inset="0mm,0mm,0mm,0mm">
            <w:txbxContent>
              <w:p w14:paraId="2CB98CC7">
                <w:pPr>
                  <w:pStyle w:val="17"/>
                </w:pPr>
                <w:r>
                  <w:rPr>
                    <w:rFonts w:hint="eastAsia"/>
                  </w:rPr>
                  <w:t xml:space="preserve"> </w:t>
                </w:r>
                <w:r>
                  <w:fldChar w:fldCharType="begin"/>
                </w:r>
                <w:r>
                  <w:instrText xml:space="preserve"> PAGE  \* MERGEFORMAT </w:instrText>
                </w:r>
                <w:r>
                  <w:fldChar w:fldCharType="separate"/>
                </w:r>
                <w:r>
                  <w:t>5</w:t>
                </w:r>
                <w:r>
                  <w:fldChar w:fldCharType="end"/>
                </w:r>
                <w:r>
                  <w:rPr>
                    <w:rFonts w:hint="eastAsia"/>
                  </w:rPr>
                  <w:t xml:space="preserve"> </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5D9D2">
    <w:pPr>
      <w:pStyle w:val="17"/>
      <w:rPr>
        <w:rStyle w:val="31"/>
      </w:rPr>
    </w:pPr>
    <w:r>
      <w:pict>
        <v:shape id="文本框 7" o:spid="_x0000_s4099" o:spt="202" type="#_x0000_t202" style="position:absolute;left:0pt;margin-left:222.2pt;margin-top:-2.45pt;height:14.85pt;width:24.4pt;mso-position-horizontal-relative:margin;z-index:251661312;mso-width-relative:page;mso-height-relative:page;" filled="f" stroked="f" coordsize="21600,21600" o:gfxdata="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KLwy4jYAAAACQEAAA8AAAAAAAAAAQAgAAAAIgAAAGRycy9kb3du&#10;cmV2LnhtbFBLAQIUABQAAAAIAIdO4kCdPoLhOAIAAGMEAAAOAAAAAAAAAAEAIAAAACcBAABkcnMv&#10;ZTJvRG9jLnhtbFBLBQYAAAAABgAGAFkBAADRBQAAAAA=&#10;">
          <v:path/>
          <v:fill on="f" focussize="0,0"/>
          <v:stroke on="f" weight="0.5pt"/>
          <v:imagedata o:title=""/>
          <o:lock v:ext="edit" aspectratio="f"/>
          <v:textbox inset="0mm,0mm,0mm,0mm">
            <w:txbxContent>
              <w:p w14:paraId="59E69766">
                <w:pPr>
                  <w:pStyle w:val="17"/>
                  <w:jc w:val="center"/>
                </w:pPr>
                <w:r>
                  <w:rPr>
                    <w:rFonts w:hint="eastAsia"/>
                  </w:rPr>
                  <w:t xml:space="preserve"> </w:t>
                </w:r>
                <w:r>
                  <w:fldChar w:fldCharType="begin"/>
                </w:r>
                <w:r>
                  <w:instrText xml:space="preserve"> PAGE  \* MERGEFORMAT </w:instrText>
                </w:r>
                <w:r>
                  <w:fldChar w:fldCharType="separate"/>
                </w:r>
                <w:r>
                  <w:t>30</w:t>
                </w:r>
                <w:r>
                  <w:fldChar w:fldCharType="end"/>
                </w:r>
                <w:r>
                  <w:rPr>
                    <w:rFonts w:hint="eastAsia"/>
                  </w:rPr>
                  <w:t xml:space="preserve"> </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92A16">
    <w:pPr>
      <w:pStyle w:val="17"/>
      <w:ind w:right="360"/>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4A76A">
    <w:pPr>
      <w:pStyle w:val="19"/>
      <w:pBdr>
        <w:bottom w:val="none" w:color="auto" w:sz="0" w:space="1"/>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8D970">
    <w:pPr>
      <w:tabs>
        <w:tab w:val="left" w:pos="8788"/>
      </w:tabs>
      <w:spacing w:line="500" w:lineRule="exact"/>
      <w:ind w:right="-32"/>
      <w:rPr>
        <w:rFonts w:hint="eastAsia" w:ascii="宋体" w:hAnsi="宋体"/>
        <w:color w:val="000000"/>
        <w:spacing w:val="-6"/>
        <w:szCs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C2CD9">
    <w:pPr>
      <w:pStyle w:val="1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687C84"/>
    <w:multiLevelType w:val="singleLevel"/>
    <w:tmpl w:val="F6687C84"/>
    <w:lvl w:ilvl="0" w:tentative="0">
      <w:start w:val="2"/>
      <w:numFmt w:val="decimal"/>
      <w:suff w:val="nothing"/>
      <w:lvlText w:val="%1、"/>
      <w:lvlJc w:val="left"/>
    </w:lvl>
  </w:abstractNum>
  <w:abstractNum w:abstractNumId="1">
    <w:nsid w:val="00000007"/>
    <w:multiLevelType w:val="multilevel"/>
    <w:tmpl w:val="00000007"/>
    <w:lvl w:ilvl="0" w:tentative="0">
      <w:start w:val="1"/>
      <w:numFmt w:val="bullet"/>
      <w:lvlText w:val="□"/>
      <w:lvlJc w:val="left"/>
      <w:pPr>
        <w:tabs>
          <w:tab w:val="left" w:pos="360"/>
        </w:tabs>
        <w:ind w:left="360" w:hanging="360"/>
      </w:pPr>
      <w:rPr>
        <w:rFonts w:hint="eastAsia" w:ascii="宋体" w:hAnsi="宋体" w:eastAsia="宋体"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0349A3D9"/>
    <w:multiLevelType w:val="singleLevel"/>
    <w:tmpl w:val="0349A3D9"/>
    <w:lvl w:ilvl="0" w:tentative="0">
      <w:start w:val="2"/>
      <w:numFmt w:val="chineseCounting"/>
      <w:suff w:val="space"/>
      <w:lvlText w:val="第%1章"/>
      <w:lvlJc w:val="left"/>
      <w:pPr>
        <w:ind w:left="3240" w:firstLine="0"/>
      </w:pPr>
      <w:rPr>
        <w:rFonts w:hint="eastAsia"/>
      </w:rPr>
    </w:lvl>
  </w:abstractNum>
  <w:abstractNum w:abstractNumId="3">
    <w:nsid w:val="10873D5D"/>
    <w:multiLevelType w:val="multilevel"/>
    <w:tmpl w:val="10873D5D"/>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1D388B1E"/>
    <w:multiLevelType w:val="singleLevel"/>
    <w:tmpl w:val="1D388B1E"/>
    <w:lvl w:ilvl="0" w:tentative="0">
      <w:start w:val="3"/>
      <w:numFmt w:val="decimal"/>
      <w:suff w:val="nothing"/>
      <w:lvlText w:val="%1、"/>
      <w:lvlJc w:val="left"/>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attachedTemplate r:id="rId1"/>
  <w:documentProtection w:enforcement="0"/>
  <w:defaultTabStop w:val="420"/>
  <w:drawingGridHorizontalSpacing w:val="105"/>
  <w:drawingGridVerticalSpacing w:val="156"/>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mVlNDIyOGQ4NjI0ZjEyNWQ1MjVhMzRiNzQ3ZGVjYTEifQ=="/>
    <w:docVar w:name="KSO_WPS_MARK_KEY" w:val="2538792b-84c3-4564-a4b0-ccd76bb98c98"/>
  </w:docVars>
  <w:rsids>
    <w:rsidRoot w:val="591D2D5D"/>
    <w:rsid w:val="00002747"/>
    <w:rsid w:val="0000453F"/>
    <w:rsid w:val="00020AE4"/>
    <w:rsid w:val="00022D1C"/>
    <w:rsid w:val="00027230"/>
    <w:rsid w:val="00036153"/>
    <w:rsid w:val="00036556"/>
    <w:rsid w:val="00037FBA"/>
    <w:rsid w:val="00056066"/>
    <w:rsid w:val="00061D06"/>
    <w:rsid w:val="00062462"/>
    <w:rsid w:val="00063154"/>
    <w:rsid w:val="00064D82"/>
    <w:rsid w:val="00070A99"/>
    <w:rsid w:val="00077E46"/>
    <w:rsid w:val="00080F73"/>
    <w:rsid w:val="000934A1"/>
    <w:rsid w:val="000A38F7"/>
    <w:rsid w:val="000B1CB5"/>
    <w:rsid w:val="000B2A72"/>
    <w:rsid w:val="000B2C4D"/>
    <w:rsid w:val="000B6902"/>
    <w:rsid w:val="000C16B6"/>
    <w:rsid w:val="000C3124"/>
    <w:rsid w:val="000D3C0F"/>
    <w:rsid w:val="000D6584"/>
    <w:rsid w:val="000D65C8"/>
    <w:rsid w:val="000E4028"/>
    <w:rsid w:val="001106CF"/>
    <w:rsid w:val="001109B6"/>
    <w:rsid w:val="001115AC"/>
    <w:rsid w:val="001249AA"/>
    <w:rsid w:val="00134724"/>
    <w:rsid w:val="00136979"/>
    <w:rsid w:val="00140C0D"/>
    <w:rsid w:val="00146C72"/>
    <w:rsid w:val="00162BC1"/>
    <w:rsid w:val="0017653B"/>
    <w:rsid w:val="00177947"/>
    <w:rsid w:val="001842E4"/>
    <w:rsid w:val="00186BE3"/>
    <w:rsid w:val="00195F72"/>
    <w:rsid w:val="0019700C"/>
    <w:rsid w:val="001A14CF"/>
    <w:rsid w:val="001A35A9"/>
    <w:rsid w:val="001A3A12"/>
    <w:rsid w:val="001B202B"/>
    <w:rsid w:val="001C27EF"/>
    <w:rsid w:val="001C7824"/>
    <w:rsid w:val="001E0AB2"/>
    <w:rsid w:val="001E0F31"/>
    <w:rsid w:val="001E6233"/>
    <w:rsid w:val="001E69F4"/>
    <w:rsid w:val="001F1086"/>
    <w:rsid w:val="001F188D"/>
    <w:rsid w:val="00203A46"/>
    <w:rsid w:val="00207904"/>
    <w:rsid w:val="00217888"/>
    <w:rsid w:val="00222660"/>
    <w:rsid w:val="00233E93"/>
    <w:rsid w:val="00241F30"/>
    <w:rsid w:val="00244DC0"/>
    <w:rsid w:val="00252E50"/>
    <w:rsid w:val="00256814"/>
    <w:rsid w:val="002A2EDB"/>
    <w:rsid w:val="002A4B3D"/>
    <w:rsid w:val="002A5DB8"/>
    <w:rsid w:val="002A6E5A"/>
    <w:rsid w:val="002C02B1"/>
    <w:rsid w:val="002D0CC3"/>
    <w:rsid w:val="002D0F29"/>
    <w:rsid w:val="002D1BB9"/>
    <w:rsid w:val="002D372A"/>
    <w:rsid w:val="002D5340"/>
    <w:rsid w:val="002D5A53"/>
    <w:rsid w:val="002E1484"/>
    <w:rsid w:val="002F6ECC"/>
    <w:rsid w:val="00306ECD"/>
    <w:rsid w:val="003234A4"/>
    <w:rsid w:val="00324806"/>
    <w:rsid w:val="0034168F"/>
    <w:rsid w:val="00352863"/>
    <w:rsid w:val="0035379C"/>
    <w:rsid w:val="00370FC0"/>
    <w:rsid w:val="00373A02"/>
    <w:rsid w:val="00384C9D"/>
    <w:rsid w:val="00385A51"/>
    <w:rsid w:val="003958D5"/>
    <w:rsid w:val="00396177"/>
    <w:rsid w:val="003A1471"/>
    <w:rsid w:val="003A45A4"/>
    <w:rsid w:val="003B1660"/>
    <w:rsid w:val="003B4C3D"/>
    <w:rsid w:val="003C6997"/>
    <w:rsid w:val="003D43C3"/>
    <w:rsid w:val="003E2310"/>
    <w:rsid w:val="003F7313"/>
    <w:rsid w:val="00402F3F"/>
    <w:rsid w:val="00410190"/>
    <w:rsid w:val="0041203A"/>
    <w:rsid w:val="004144D1"/>
    <w:rsid w:val="0042168B"/>
    <w:rsid w:val="00421EE7"/>
    <w:rsid w:val="00422DBD"/>
    <w:rsid w:val="00435D5F"/>
    <w:rsid w:val="00437008"/>
    <w:rsid w:val="0044494C"/>
    <w:rsid w:val="00453039"/>
    <w:rsid w:val="0046474F"/>
    <w:rsid w:val="00473A2E"/>
    <w:rsid w:val="00486AE7"/>
    <w:rsid w:val="004870CE"/>
    <w:rsid w:val="00491E7E"/>
    <w:rsid w:val="004A611B"/>
    <w:rsid w:val="004C4EAC"/>
    <w:rsid w:val="004D3B06"/>
    <w:rsid w:val="004E76E6"/>
    <w:rsid w:val="004F0596"/>
    <w:rsid w:val="0051123D"/>
    <w:rsid w:val="00512B2A"/>
    <w:rsid w:val="00516135"/>
    <w:rsid w:val="00522AB2"/>
    <w:rsid w:val="005315BB"/>
    <w:rsid w:val="00533083"/>
    <w:rsid w:val="00533C01"/>
    <w:rsid w:val="005340BC"/>
    <w:rsid w:val="00537220"/>
    <w:rsid w:val="00541DB4"/>
    <w:rsid w:val="0054365D"/>
    <w:rsid w:val="005547A5"/>
    <w:rsid w:val="00562C4D"/>
    <w:rsid w:val="00567969"/>
    <w:rsid w:val="00576C7D"/>
    <w:rsid w:val="00577B42"/>
    <w:rsid w:val="00592C63"/>
    <w:rsid w:val="00592D0A"/>
    <w:rsid w:val="00596B28"/>
    <w:rsid w:val="005A6037"/>
    <w:rsid w:val="005D19F3"/>
    <w:rsid w:val="005D7E40"/>
    <w:rsid w:val="005E0EC9"/>
    <w:rsid w:val="005E60E7"/>
    <w:rsid w:val="006056B9"/>
    <w:rsid w:val="0061685D"/>
    <w:rsid w:val="00623500"/>
    <w:rsid w:val="00625F6D"/>
    <w:rsid w:val="00631006"/>
    <w:rsid w:val="00633E6F"/>
    <w:rsid w:val="00635804"/>
    <w:rsid w:val="00640C29"/>
    <w:rsid w:val="00645A89"/>
    <w:rsid w:val="00653FE6"/>
    <w:rsid w:val="00683BA8"/>
    <w:rsid w:val="00686F15"/>
    <w:rsid w:val="00687F10"/>
    <w:rsid w:val="00692525"/>
    <w:rsid w:val="006A2301"/>
    <w:rsid w:val="006B3314"/>
    <w:rsid w:val="006D7922"/>
    <w:rsid w:val="006F19AC"/>
    <w:rsid w:val="006F1B84"/>
    <w:rsid w:val="00701C34"/>
    <w:rsid w:val="0070368C"/>
    <w:rsid w:val="00715325"/>
    <w:rsid w:val="00715772"/>
    <w:rsid w:val="0071638E"/>
    <w:rsid w:val="007171C7"/>
    <w:rsid w:val="00717683"/>
    <w:rsid w:val="00724720"/>
    <w:rsid w:val="00746FA1"/>
    <w:rsid w:val="00757BB6"/>
    <w:rsid w:val="0076019C"/>
    <w:rsid w:val="007639BB"/>
    <w:rsid w:val="00765575"/>
    <w:rsid w:val="00776244"/>
    <w:rsid w:val="00776CE7"/>
    <w:rsid w:val="0078139A"/>
    <w:rsid w:val="00791A0B"/>
    <w:rsid w:val="00796EB6"/>
    <w:rsid w:val="007B36F8"/>
    <w:rsid w:val="007D1C51"/>
    <w:rsid w:val="007E2EC1"/>
    <w:rsid w:val="007E7757"/>
    <w:rsid w:val="007F3501"/>
    <w:rsid w:val="00803172"/>
    <w:rsid w:val="008041E6"/>
    <w:rsid w:val="0081031C"/>
    <w:rsid w:val="008133C5"/>
    <w:rsid w:val="00813E74"/>
    <w:rsid w:val="00814582"/>
    <w:rsid w:val="008159B5"/>
    <w:rsid w:val="00827CB7"/>
    <w:rsid w:val="00851FC9"/>
    <w:rsid w:val="00860A30"/>
    <w:rsid w:val="00861878"/>
    <w:rsid w:val="00864C44"/>
    <w:rsid w:val="00871250"/>
    <w:rsid w:val="00876724"/>
    <w:rsid w:val="00892CFC"/>
    <w:rsid w:val="00896D74"/>
    <w:rsid w:val="008A30B8"/>
    <w:rsid w:val="008A7142"/>
    <w:rsid w:val="008B5EDE"/>
    <w:rsid w:val="008C5263"/>
    <w:rsid w:val="008D11A7"/>
    <w:rsid w:val="008E3718"/>
    <w:rsid w:val="00927A3F"/>
    <w:rsid w:val="00941B80"/>
    <w:rsid w:val="0094291E"/>
    <w:rsid w:val="00945144"/>
    <w:rsid w:val="00967373"/>
    <w:rsid w:val="00970D50"/>
    <w:rsid w:val="009760D3"/>
    <w:rsid w:val="00985D03"/>
    <w:rsid w:val="009871E2"/>
    <w:rsid w:val="00990867"/>
    <w:rsid w:val="009A515B"/>
    <w:rsid w:val="009B08E8"/>
    <w:rsid w:val="009B43AD"/>
    <w:rsid w:val="009B43AE"/>
    <w:rsid w:val="009C6640"/>
    <w:rsid w:val="009D29EC"/>
    <w:rsid w:val="009D40DD"/>
    <w:rsid w:val="009F741C"/>
    <w:rsid w:val="00A03538"/>
    <w:rsid w:val="00A115C5"/>
    <w:rsid w:val="00A2198F"/>
    <w:rsid w:val="00A22DA9"/>
    <w:rsid w:val="00A23C33"/>
    <w:rsid w:val="00A24C4A"/>
    <w:rsid w:val="00A26E3B"/>
    <w:rsid w:val="00A4451B"/>
    <w:rsid w:val="00A55111"/>
    <w:rsid w:val="00A55E5A"/>
    <w:rsid w:val="00A56174"/>
    <w:rsid w:val="00A60F6C"/>
    <w:rsid w:val="00A64715"/>
    <w:rsid w:val="00A717F4"/>
    <w:rsid w:val="00A72C2F"/>
    <w:rsid w:val="00A764B3"/>
    <w:rsid w:val="00A8473C"/>
    <w:rsid w:val="00A903E8"/>
    <w:rsid w:val="00A9438F"/>
    <w:rsid w:val="00A95C60"/>
    <w:rsid w:val="00A97848"/>
    <w:rsid w:val="00A979EA"/>
    <w:rsid w:val="00AA0222"/>
    <w:rsid w:val="00AA0C88"/>
    <w:rsid w:val="00AA78C6"/>
    <w:rsid w:val="00AB12C7"/>
    <w:rsid w:val="00AB3319"/>
    <w:rsid w:val="00AB386E"/>
    <w:rsid w:val="00AD1013"/>
    <w:rsid w:val="00AD1C39"/>
    <w:rsid w:val="00AE30B0"/>
    <w:rsid w:val="00AE4EFF"/>
    <w:rsid w:val="00AE740A"/>
    <w:rsid w:val="00B118AD"/>
    <w:rsid w:val="00B14A4D"/>
    <w:rsid w:val="00B1682F"/>
    <w:rsid w:val="00B20DF2"/>
    <w:rsid w:val="00B25410"/>
    <w:rsid w:val="00B25FE2"/>
    <w:rsid w:val="00B2756D"/>
    <w:rsid w:val="00B3797C"/>
    <w:rsid w:val="00B61D1F"/>
    <w:rsid w:val="00B637EB"/>
    <w:rsid w:val="00B67A98"/>
    <w:rsid w:val="00B7457A"/>
    <w:rsid w:val="00BA386E"/>
    <w:rsid w:val="00BB0F92"/>
    <w:rsid w:val="00BC2ABF"/>
    <w:rsid w:val="00BC532D"/>
    <w:rsid w:val="00BD0078"/>
    <w:rsid w:val="00BD236A"/>
    <w:rsid w:val="00BD6180"/>
    <w:rsid w:val="00BE09AF"/>
    <w:rsid w:val="00BF66E6"/>
    <w:rsid w:val="00C0649C"/>
    <w:rsid w:val="00C072AA"/>
    <w:rsid w:val="00C120D4"/>
    <w:rsid w:val="00C20782"/>
    <w:rsid w:val="00C209B5"/>
    <w:rsid w:val="00C258BD"/>
    <w:rsid w:val="00C25E69"/>
    <w:rsid w:val="00C2604C"/>
    <w:rsid w:val="00C324E0"/>
    <w:rsid w:val="00C347EB"/>
    <w:rsid w:val="00C40F7E"/>
    <w:rsid w:val="00C46A08"/>
    <w:rsid w:val="00C5223C"/>
    <w:rsid w:val="00C66851"/>
    <w:rsid w:val="00C74565"/>
    <w:rsid w:val="00C74D90"/>
    <w:rsid w:val="00CA7EEC"/>
    <w:rsid w:val="00CB4E25"/>
    <w:rsid w:val="00CD2873"/>
    <w:rsid w:val="00CD2A9C"/>
    <w:rsid w:val="00CE4E8D"/>
    <w:rsid w:val="00CF27CC"/>
    <w:rsid w:val="00CF43EA"/>
    <w:rsid w:val="00CF49C7"/>
    <w:rsid w:val="00D01705"/>
    <w:rsid w:val="00D0382A"/>
    <w:rsid w:val="00D03A29"/>
    <w:rsid w:val="00D07C34"/>
    <w:rsid w:val="00D22256"/>
    <w:rsid w:val="00D22640"/>
    <w:rsid w:val="00D34847"/>
    <w:rsid w:val="00D52273"/>
    <w:rsid w:val="00D541FE"/>
    <w:rsid w:val="00D7569D"/>
    <w:rsid w:val="00D906D2"/>
    <w:rsid w:val="00DA2E61"/>
    <w:rsid w:val="00DA5342"/>
    <w:rsid w:val="00DA677A"/>
    <w:rsid w:val="00DA7D62"/>
    <w:rsid w:val="00DB0758"/>
    <w:rsid w:val="00DB2D13"/>
    <w:rsid w:val="00DB6641"/>
    <w:rsid w:val="00DD0C60"/>
    <w:rsid w:val="00DD6D02"/>
    <w:rsid w:val="00DE2CE6"/>
    <w:rsid w:val="00DE4692"/>
    <w:rsid w:val="00DE54E5"/>
    <w:rsid w:val="00DF63BE"/>
    <w:rsid w:val="00E0753F"/>
    <w:rsid w:val="00E07678"/>
    <w:rsid w:val="00E12147"/>
    <w:rsid w:val="00E13FAC"/>
    <w:rsid w:val="00E3127B"/>
    <w:rsid w:val="00E318AE"/>
    <w:rsid w:val="00E420F2"/>
    <w:rsid w:val="00E451F2"/>
    <w:rsid w:val="00E47D46"/>
    <w:rsid w:val="00E6226F"/>
    <w:rsid w:val="00E63623"/>
    <w:rsid w:val="00E64FE2"/>
    <w:rsid w:val="00E74F40"/>
    <w:rsid w:val="00E82318"/>
    <w:rsid w:val="00EA2ECB"/>
    <w:rsid w:val="00EB6596"/>
    <w:rsid w:val="00EC3B9B"/>
    <w:rsid w:val="00EC40A8"/>
    <w:rsid w:val="00EC5698"/>
    <w:rsid w:val="00EC7315"/>
    <w:rsid w:val="00ED3C30"/>
    <w:rsid w:val="00ED5060"/>
    <w:rsid w:val="00ED5986"/>
    <w:rsid w:val="00ED62A9"/>
    <w:rsid w:val="00EE6114"/>
    <w:rsid w:val="00EE65C6"/>
    <w:rsid w:val="00EF16FF"/>
    <w:rsid w:val="00EF4402"/>
    <w:rsid w:val="00EF59AE"/>
    <w:rsid w:val="00F07123"/>
    <w:rsid w:val="00F14325"/>
    <w:rsid w:val="00F23D68"/>
    <w:rsid w:val="00F25342"/>
    <w:rsid w:val="00F27FED"/>
    <w:rsid w:val="00F35202"/>
    <w:rsid w:val="00F43512"/>
    <w:rsid w:val="00F44207"/>
    <w:rsid w:val="00F53466"/>
    <w:rsid w:val="00F65C50"/>
    <w:rsid w:val="00F67B08"/>
    <w:rsid w:val="00F810C3"/>
    <w:rsid w:val="00F8468B"/>
    <w:rsid w:val="00F8595A"/>
    <w:rsid w:val="00F9023D"/>
    <w:rsid w:val="00F9060A"/>
    <w:rsid w:val="00F943E7"/>
    <w:rsid w:val="00FA3B45"/>
    <w:rsid w:val="00FA6268"/>
    <w:rsid w:val="00FB23D7"/>
    <w:rsid w:val="00FC436E"/>
    <w:rsid w:val="00FC575B"/>
    <w:rsid w:val="00FC7FF4"/>
    <w:rsid w:val="00FD3497"/>
    <w:rsid w:val="00FE7D98"/>
    <w:rsid w:val="00FF4C7D"/>
    <w:rsid w:val="01352872"/>
    <w:rsid w:val="0157752C"/>
    <w:rsid w:val="016245C6"/>
    <w:rsid w:val="01780E1C"/>
    <w:rsid w:val="01785B98"/>
    <w:rsid w:val="017936BE"/>
    <w:rsid w:val="01A03493"/>
    <w:rsid w:val="01AA2EE4"/>
    <w:rsid w:val="01CB1B5D"/>
    <w:rsid w:val="01F27E78"/>
    <w:rsid w:val="02065212"/>
    <w:rsid w:val="02070CCA"/>
    <w:rsid w:val="020C0A39"/>
    <w:rsid w:val="021C4DD6"/>
    <w:rsid w:val="022A76EB"/>
    <w:rsid w:val="0236335D"/>
    <w:rsid w:val="02410C16"/>
    <w:rsid w:val="025832D3"/>
    <w:rsid w:val="025C796A"/>
    <w:rsid w:val="0274561E"/>
    <w:rsid w:val="028C7EBB"/>
    <w:rsid w:val="02AA3092"/>
    <w:rsid w:val="02E46F10"/>
    <w:rsid w:val="02EA22CA"/>
    <w:rsid w:val="03032159"/>
    <w:rsid w:val="03072CD2"/>
    <w:rsid w:val="030E7F19"/>
    <w:rsid w:val="03135D23"/>
    <w:rsid w:val="033A74D7"/>
    <w:rsid w:val="03426E87"/>
    <w:rsid w:val="034A70C0"/>
    <w:rsid w:val="03597303"/>
    <w:rsid w:val="037800D1"/>
    <w:rsid w:val="038641B4"/>
    <w:rsid w:val="0390173B"/>
    <w:rsid w:val="03960D67"/>
    <w:rsid w:val="03987BAF"/>
    <w:rsid w:val="03AD764F"/>
    <w:rsid w:val="03BA545D"/>
    <w:rsid w:val="03D92B0A"/>
    <w:rsid w:val="03F139E0"/>
    <w:rsid w:val="03F21B81"/>
    <w:rsid w:val="03FC3432"/>
    <w:rsid w:val="04217246"/>
    <w:rsid w:val="0464788E"/>
    <w:rsid w:val="04696755"/>
    <w:rsid w:val="047168CE"/>
    <w:rsid w:val="04735A2B"/>
    <w:rsid w:val="048A318B"/>
    <w:rsid w:val="04BC1928"/>
    <w:rsid w:val="04CB4231"/>
    <w:rsid w:val="04D050A3"/>
    <w:rsid w:val="04D16C61"/>
    <w:rsid w:val="04E76C88"/>
    <w:rsid w:val="04ED02B7"/>
    <w:rsid w:val="0500198F"/>
    <w:rsid w:val="05031042"/>
    <w:rsid w:val="051F632A"/>
    <w:rsid w:val="0560706F"/>
    <w:rsid w:val="057F74F5"/>
    <w:rsid w:val="059A3D98"/>
    <w:rsid w:val="05D13618"/>
    <w:rsid w:val="063858F6"/>
    <w:rsid w:val="063F2183"/>
    <w:rsid w:val="0644429B"/>
    <w:rsid w:val="064A73D7"/>
    <w:rsid w:val="064D5F44"/>
    <w:rsid w:val="0696086E"/>
    <w:rsid w:val="06AF0C53"/>
    <w:rsid w:val="06B50CF4"/>
    <w:rsid w:val="06E43B62"/>
    <w:rsid w:val="06FA2BAB"/>
    <w:rsid w:val="0702107C"/>
    <w:rsid w:val="071874D5"/>
    <w:rsid w:val="07245105"/>
    <w:rsid w:val="072651EF"/>
    <w:rsid w:val="072C432C"/>
    <w:rsid w:val="077A1787"/>
    <w:rsid w:val="07AC46D2"/>
    <w:rsid w:val="07C67134"/>
    <w:rsid w:val="07D57406"/>
    <w:rsid w:val="07F47DB4"/>
    <w:rsid w:val="08000695"/>
    <w:rsid w:val="081B154E"/>
    <w:rsid w:val="081E0C5B"/>
    <w:rsid w:val="082751D4"/>
    <w:rsid w:val="089B1E76"/>
    <w:rsid w:val="08A7157D"/>
    <w:rsid w:val="08D147D2"/>
    <w:rsid w:val="08E1129A"/>
    <w:rsid w:val="08E564A6"/>
    <w:rsid w:val="09285B65"/>
    <w:rsid w:val="096133B5"/>
    <w:rsid w:val="0966277A"/>
    <w:rsid w:val="09752120"/>
    <w:rsid w:val="097B2303"/>
    <w:rsid w:val="0996241E"/>
    <w:rsid w:val="09C40184"/>
    <w:rsid w:val="09C47ED7"/>
    <w:rsid w:val="0A1549DF"/>
    <w:rsid w:val="0A2D5046"/>
    <w:rsid w:val="0A36214C"/>
    <w:rsid w:val="0A3F2F2A"/>
    <w:rsid w:val="0A5C1147"/>
    <w:rsid w:val="0A6071C9"/>
    <w:rsid w:val="0A8226A5"/>
    <w:rsid w:val="0A8577E8"/>
    <w:rsid w:val="0A963711"/>
    <w:rsid w:val="0AA74DF8"/>
    <w:rsid w:val="0AB42F12"/>
    <w:rsid w:val="0AC8346D"/>
    <w:rsid w:val="0AE4777C"/>
    <w:rsid w:val="0AE82236"/>
    <w:rsid w:val="0B011F9A"/>
    <w:rsid w:val="0B06596C"/>
    <w:rsid w:val="0B0F433A"/>
    <w:rsid w:val="0B375B07"/>
    <w:rsid w:val="0B3F14D4"/>
    <w:rsid w:val="0B505490"/>
    <w:rsid w:val="0B5E2EEA"/>
    <w:rsid w:val="0B64074F"/>
    <w:rsid w:val="0B83012F"/>
    <w:rsid w:val="0BEE5F55"/>
    <w:rsid w:val="0BF16C73"/>
    <w:rsid w:val="0BF95B27"/>
    <w:rsid w:val="0C0D7353"/>
    <w:rsid w:val="0C102A84"/>
    <w:rsid w:val="0C352BF1"/>
    <w:rsid w:val="0C4843B9"/>
    <w:rsid w:val="0C4940EB"/>
    <w:rsid w:val="0C5126CF"/>
    <w:rsid w:val="0C642DA9"/>
    <w:rsid w:val="0C790716"/>
    <w:rsid w:val="0C7E7DDA"/>
    <w:rsid w:val="0C8551E1"/>
    <w:rsid w:val="0CB61994"/>
    <w:rsid w:val="0CBA7011"/>
    <w:rsid w:val="0CD57FAB"/>
    <w:rsid w:val="0CE77D31"/>
    <w:rsid w:val="0CFE2CC9"/>
    <w:rsid w:val="0D156991"/>
    <w:rsid w:val="0D314E4D"/>
    <w:rsid w:val="0D3F3A0E"/>
    <w:rsid w:val="0D6D6E22"/>
    <w:rsid w:val="0D705975"/>
    <w:rsid w:val="0D786F20"/>
    <w:rsid w:val="0DA47D15"/>
    <w:rsid w:val="0DA50C06"/>
    <w:rsid w:val="0DA77B36"/>
    <w:rsid w:val="0DCA40BB"/>
    <w:rsid w:val="0DCB3373"/>
    <w:rsid w:val="0DD25EA4"/>
    <w:rsid w:val="0DE775E3"/>
    <w:rsid w:val="0DFB2B2B"/>
    <w:rsid w:val="0E010F06"/>
    <w:rsid w:val="0E076582"/>
    <w:rsid w:val="0E1053AA"/>
    <w:rsid w:val="0E364A4E"/>
    <w:rsid w:val="0E3E7266"/>
    <w:rsid w:val="0E415099"/>
    <w:rsid w:val="0E5D6215"/>
    <w:rsid w:val="0E617C86"/>
    <w:rsid w:val="0E763F86"/>
    <w:rsid w:val="0E87566C"/>
    <w:rsid w:val="0E8F4618"/>
    <w:rsid w:val="0E9852E6"/>
    <w:rsid w:val="0EAA0FA3"/>
    <w:rsid w:val="0EB126E9"/>
    <w:rsid w:val="0EC60EB9"/>
    <w:rsid w:val="0ECF18FB"/>
    <w:rsid w:val="0ECF2B6F"/>
    <w:rsid w:val="0EE3661B"/>
    <w:rsid w:val="0F115809"/>
    <w:rsid w:val="0F271573"/>
    <w:rsid w:val="0F337FCF"/>
    <w:rsid w:val="0F360E40"/>
    <w:rsid w:val="0F3A7C05"/>
    <w:rsid w:val="0F412916"/>
    <w:rsid w:val="0F520635"/>
    <w:rsid w:val="0F7200CA"/>
    <w:rsid w:val="0F784FB5"/>
    <w:rsid w:val="0FB56209"/>
    <w:rsid w:val="0FC35DCF"/>
    <w:rsid w:val="0FE95EB3"/>
    <w:rsid w:val="0FF3000F"/>
    <w:rsid w:val="100114B9"/>
    <w:rsid w:val="10052B96"/>
    <w:rsid w:val="10122F56"/>
    <w:rsid w:val="10260EB5"/>
    <w:rsid w:val="10480D80"/>
    <w:rsid w:val="105C48D7"/>
    <w:rsid w:val="10660230"/>
    <w:rsid w:val="1093534F"/>
    <w:rsid w:val="109B05DF"/>
    <w:rsid w:val="10B01ED0"/>
    <w:rsid w:val="10E072B6"/>
    <w:rsid w:val="10E34F4D"/>
    <w:rsid w:val="10EC5C5A"/>
    <w:rsid w:val="10F93ED3"/>
    <w:rsid w:val="110876FC"/>
    <w:rsid w:val="111B56F4"/>
    <w:rsid w:val="111C25B1"/>
    <w:rsid w:val="11203B56"/>
    <w:rsid w:val="113542C9"/>
    <w:rsid w:val="113D7A9A"/>
    <w:rsid w:val="114E6332"/>
    <w:rsid w:val="1173218F"/>
    <w:rsid w:val="11767517"/>
    <w:rsid w:val="119B4F8B"/>
    <w:rsid w:val="11A0059D"/>
    <w:rsid w:val="11AC4290"/>
    <w:rsid w:val="11C02950"/>
    <w:rsid w:val="11D7384A"/>
    <w:rsid w:val="11ED2E29"/>
    <w:rsid w:val="11F0177A"/>
    <w:rsid w:val="1206374E"/>
    <w:rsid w:val="1215235A"/>
    <w:rsid w:val="126B2BAF"/>
    <w:rsid w:val="127134B4"/>
    <w:rsid w:val="1293234F"/>
    <w:rsid w:val="129C4C2C"/>
    <w:rsid w:val="12A8322B"/>
    <w:rsid w:val="12B66F38"/>
    <w:rsid w:val="12C7072D"/>
    <w:rsid w:val="12EC203F"/>
    <w:rsid w:val="130C4392"/>
    <w:rsid w:val="1324536A"/>
    <w:rsid w:val="13614FA5"/>
    <w:rsid w:val="138A52B7"/>
    <w:rsid w:val="139E7E8C"/>
    <w:rsid w:val="13A429E7"/>
    <w:rsid w:val="13AB24EB"/>
    <w:rsid w:val="13B80076"/>
    <w:rsid w:val="13CA6C39"/>
    <w:rsid w:val="13D11138"/>
    <w:rsid w:val="13F75AD6"/>
    <w:rsid w:val="14055672"/>
    <w:rsid w:val="142974EA"/>
    <w:rsid w:val="143778C7"/>
    <w:rsid w:val="143C4803"/>
    <w:rsid w:val="143D585F"/>
    <w:rsid w:val="144933C4"/>
    <w:rsid w:val="145A107D"/>
    <w:rsid w:val="145F06DB"/>
    <w:rsid w:val="146B439E"/>
    <w:rsid w:val="147F6DE6"/>
    <w:rsid w:val="149B12EA"/>
    <w:rsid w:val="14A814E0"/>
    <w:rsid w:val="14B604C5"/>
    <w:rsid w:val="14C5366B"/>
    <w:rsid w:val="14D53BA2"/>
    <w:rsid w:val="14FD2957"/>
    <w:rsid w:val="15194B44"/>
    <w:rsid w:val="151C63E2"/>
    <w:rsid w:val="155434F7"/>
    <w:rsid w:val="15602FA3"/>
    <w:rsid w:val="15643482"/>
    <w:rsid w:val="15850E30"/>
    <w:rsid w:val="158D108E"/>
    <w:rsid w:val="159B7C4F"/>
    <w:rsid w:val="15B01C1E"/>
    <w:rsid w:val="15B733C2"/>
    <w:rsid w:val="15C2342E"/>
    <w:rsid w:val="1601755D"/>
    <w:rsid w:val="160E3980"/>
    <w:rsid w:val="16413A5D"/>
    <w:rsid w:val="165F6ECF"/>
    <w:rsid w:val="168406E3"/>
    <w:rsid w:val="169A39A1"/>
    <w:rsid w:val="169B6AE9"/>
    <w:rsid w:val="16D340EF"/>
    <w:rsid w:val="17041FCF"/>
    <w:rsid w:val="17086345"/>
    <w:rsid w:val="170B17D6"/>
    <w:rsid w:val="171E6442"/>
    <w:rsid w:val="176A0C86"/>
    <w:rsid w:val="17795407"/>
    <w:rsid w:val="179E181F"/>
    <w:rsid w:val="17AA5BEB"/>
    <w:rsid w:val="17C52D61"/>
    <w:rsid w:val="17C95632"/>
    <w:rsid w:val="17DD2DFE"/>
    <w:rsid w:val="17E9368A"/>
    <w:rsid w:val="17F51899"/>
    <w:rsid w:val="17FD1D0E"/>
    <w:rsid w:val="185048DF"/>
    <w:rsid w:val="185A5982"/>
    <w:rsid w:val="18747AA2"/>
    <w:rsid w:val="18851ADB"/>
    <w:rsid w:val="18903EF8"/>
    <w:rsid w:val="18A93681"/>
    <w:rsid w:val="18B55806"/>
    <w:rsid w:val="18B9269D"/>
    <w:rsid w:val="18E664E9"/>
    <w:rsid w:val="18EA6F23"/>
    <w:rsid w:val="190722CA"/>
    <w:rsid w:val="190A2AF7"/>
    <w:rsid w:val="192F4E2E"/>
    <w:rsid w:val="19342E2B"/>
    <w:rsid w:val="19414D23"/>
    <w:rsid w:val="1942229C"/>
    <w:rsid w:val="19575C3B"/>
    <w:rsid w:val="195C4443"/>
    <w:rsid w:val="195D0EAA"/>
    <w:rsid w:val="19666BC2"/>
    <w:rsid w:val="198A7DBF"/>
    <w:rsid w:val="198B3B37"/>
    <w:rsid w:val="19A075E2"/>
    <w:rsid w:val="19A838B9"/>
    <w:rsid w:val="19C21C4E"/>
    <w:rsid w:val="19CB1914"/>
    <w:rsid w:val="19E57F62"/>
    <w:rsid w:val="19EF4F8F"/>
    <w:rsid w:val="1A0042F9"/>
    <w:rsid w:val="1A262EF8"/>
    <w:rsid w:val="1A293A7B"/>
    <w:rsid w:val="1A355BFA"/>
    <w:rsid w:val="1A424B3D"/>
    <w:rsid w:val="1A4C44A0"/>
    <w:rsid w:val="1A5C74F2"/>
    <w:rsid w:val="1A6B1AAE"/>
    <w:rsid w:val="1A710F7F"/>
    <w:rsid w:val="1A8769F4"/>
    <w:rsid w:val="1A8E1D01"/>
    <w:rsid w:val="1A92045C"/>
    <w:rsid w:val="1AA01F84"/>
    <w:rsid w:val="1AD75846"/>
    <w:rsid w:val="1AFF2A2E"/>
    <w:rsid w:val="1B040045"/>
    <w:rsid w:val="1B082132"/>
    <w:rsid w:val="1B10775A"/>
    <w:rsid w:val="1B1E6E4E"/>
    <w:rsid w:val="1B3274A2"/>
    <w:rsid w:val="1B4F6B39"/>
    <w:rsid w:val="1B544659"/>
    <w:rsid w:val="1B64799F"/>
    <w:rsid w:val="1B6650FA"/>
    <w:rsid w:val="1B8A6FDA"/>
    <w:rsid w:val="1BBB70BE"/>
    <w:rsid w:val="1BCC3FAE"/>
    <w:rsid w:val="1BCD30DB"/>
    <w:rsid w:val="1BD6378F"/>
    <w:rsid w:val="1BE94E95"/>
    <w:rsid w:val="1BF34341"/>
    <w:rsid w:val="1C032365"/>
    <w:rsid w:val="1C1C4F1A"/>
    <w:rsid w:val="1C7E7FDF"/>
    <w:rsid w:val="1C8177E9"/>
    <w:rsid w:val="1C971C5B"/>
    <w:rsid w:val="1C9B49BF"/>
    <w:rsid w:val="1CCD4535"/>
    <w:rsid w:val="1CCE15D5"/>
    <w:rsid w:val="1CD35F20"/>
    <w:rsid w:val="1CD83537"/>
    <w:rsid w:val="1CDE05F2"/>
    <w:rsid w:val="1CE3025C"/>
    <w:rsid w:val="1CE50312"/>
    <w:rsid w:val="1CEC7F3F"/>
    <w:rsid w:val="1CED4F09"/>
    <w:rsid w:val="1CFA1766"/>
    <w:rsid w:val="1D281EAC"/>
    <w:rsid w:val="1D7D2EAE"/>
    <w:rsid w:val="1D883F36"/>
    <w:rsid w:val="1D8B182D"/>
    <w:rsid w:val="1DA925DA"/>
    <w:rsid w:val="1DD3037F"/>
    <w:rsid w:val="1DDB32DF"/>
    <w:rsid w:val="1DDD09EE"/>
    <w:rsid w:val="1DED6B6E"/>
    <w:rsid w:val="1DEF7B48"/>
    <w:rsid w:val="1E3F7CDF"/>
    <w:rsid w:val="1E401394"/>
    <w:rsid w:val="1E537319"/>
    <w:rsid w:val="1E6F330B"/>
    <w:rsid w:val="1E7A6EF7"/>
    <w:rsid w:val="1E8F7791"/>
    <w:rsid w:val="1EB564D4"/>
    <w:rsid w:val="1EDE4F48"/>
    <w:rsid w:val="1EEE2819"/>
    <w:rsid w:val="1F0B3750"/>
    <w:rsid w:val="1F1929A5"/>
    <w:rsid w:val="1F4A6878"/>
    <w:rsid w:val="1F5A78BA"/>
    <w:rsid w:val="1F662CB1"/>
    <w:rsid w:val="1F861028"/>
    <w:rsid w:val="1F8B40AC"/>
    <w:rsid w:val="1F903AD2"/>
    <w:rsid w:val="1FAA0BD0"/>
    <w:rsid w:val="1FB060A5"/>
    <w:rsid w:val="1FB256ED"/>
    <w:rsid w:val="1FBC7140"/>
    <w:rsid w:val="1FBD281E"/>
    <w:rsid w:val="1FE16A4A"/>
    <w:rsid w:val="1FF75113"/>
    <w:rsid w:val="20032ADA"/>
    <w:rsid w:val="200A6274"/>
    <w:rsid w:val="200C49A1"/>
    <w:rsid w:val="205B78A5"/>
    <w:rsid w:val="20664106"/>
    <w:rsid w:val="2091237A"/>
    <w:rsid w:val="20A042C4"/>
    <w:rsid w:val="20B3409F"/>
    <w:rsid w:val="20BA01A2"/>
    <w:rsid w:val="20C6324C"/>
    <w:rsid w:val="20CE26CE"/>
    <w:rsid w:val="20DC445F"/>
    <w:rsid w:val="20F63590"/>
    <w:rsid w:val="210963B5"/>
    <w:rsid w:val="213852A2"/>
    <w:rsid w:val="214D23A2"/>
    <w:rsid w:val="219F2875"/>
    <w:rsid w:val="21A73454"/>
    <w:rsid w:val="21BE54E6"/>
    <w:rsid w:val="21CD14FF"/>
    <w:rsid w:val="21EA1D42"/>
    <w:rsid w:val="21EC48CE"/>
    <w:rsid w:val="21F50BC9"/>
    <w:rsid w:val="21FF1C3C"/>
    <w:rsid w:val="220B1127"/>
    <w:rsid w:val="221072CF"/>
    <w:rsid w:val="22266552"/>
    <w:rsid w:val="22266AF2"/>
    <w:rsid w:val="22394639"/>
    <w:rsid w:val="224872E5"/>
    <w:rsid w:val="22532AEE"/>
    <w:rsid w:val="22573150"/>
    <w:rsid w:val="22627BE7"/>
    <w:rsid w:val="22661207"/>
    <w:rsid w:val="22700273"/>
    <w:rsid w:val="229E48DB"/>
    <w:rsid w:val="22B57C66"/>
    <w:rsid w:val="22B727F6"/>
    <w:rsid w:val="22B97967"/>
    <w:rsid w:val="22CE384A"/>
    <w:rsid w:val="22CF2295"/>
    <w:rsid w:val="22E0566B"/>
    <w:rsid w:val="22F04783"/>
    <w:rsid w:val="22F913FB"/>
    <w:rsid w:val="234D3738"/>
    <w:rsid w:val="236B231D"/>
    <w:rsid w:val="237355B1"/>
    <w:rsid w:val="238670C8"/>
    <w:rsid w:val="239D4B92"/>
    <w:rsid w:val="23B45E9D"/>
    <w:rsid w:val="23D12A2F"/>
    <w:rsid w:val="23EA3ADF"/>
    <w:rsid w:val="23EA77CA"/>
    <w:rsid w:val="23F46EA8"/>
    <w:rsid w:val="24547947"/>
    <w:rsid w:val="24570F67"/>
    <w:rsid w:val="249073D6"/>
    <w:rsid w:val="24CA3815"/>
    <w:rsid w:val="24D942F0"/>
    <w:rsid w:val="24DE2055"/>
    <w:rsid w:val="24E30CCB"/>
    <w:rsid w:val="24E87456"/>
    <w:rsid w:val="24F11E83"/>
    <w:rsid w:val="250B47F3"/>
    <w:rsid w:val="25290DD3"/>
    <w:rsid w:val="254A0D4A"/>
    <w:rsid w:val="254D7446"/>
    <w:rsid w:val="255A72E3"/>
    <w:rsid w:val="256C4082"/>
    <w:rsid w:val="257B622C"/>
    <w:rsid w:val="25B11B92"/>
    <w:rsid w:val="25BC242D"/>
    <w:rsid w:val="25BF4783"/>
    <w:rsid w:val="25CE7B47"/>
    <w:rsid w:val="25DA3E7C"/>
    <w:rsid w:val="25E60F52"/>
    <w:rsid w:val="26017E16"/>
    <w:rsid w:val="261B18AE"/>
    <w:rsid w:val="261E7F0C"/>
    <w:rsid w:val="263018F0"/>
    <w:rsid w:val="2647340C"/>
    <w:rsid w:val="268C5A9B"/>
    <w:rsid w:val="269417D9"/>
    <w:rsid w:val="26A23E50"/>
    <w:rsid w:val="26A5448A"/>
    <w:rsid w:val="26DD00C8"/>
    <w:rsid w:val="27082C6B"/>
    <w:rsid w:val="2713603C"/>
    <w:rsid w:val="27327D7E"/>
    <w:rsid w:val="275B0FEC"/>
    <w:rsid w:val="276D6196"/>
    <w:rsid w:val="27830C51"/>
    <w:rsid w:val="278903FC"/>
    <w:rsid w:val="278F6EED"/>
    <w:rsid w:val="279C3CF7"/>
    <w:rsid w:val="27B27BF3"/>
    <w:rsid w:val="27B568E6"/>
    <w:rsid w:val="27BC5F2F"/>
    <w:rsid w:val="27BD1A14"/>
    <w:rsid w:val="27CE5C62"/>
    <w:rsid w:val="27D001FB"/>
    <w:rsid w:val="27E2526A"/>
    <w:rsid w:val="27F31225"/>
    <w:rsid w:val="27F60D15"/>
    <w:rsid w:val="28040A8A"/>
    <w:rsid w:val="281A2C55"/>
    <w:rsid w:val="2829733C"/>
    <w:rsid w:val="284339E3"/>
    <w:rsid w:val="28437BCE"/>
    <w:rsid w:val="28605C78"/>
    <w:rsid w:val="286B5C1F"/>
    <w:rsid w:val="286F2FA1"/>
    <w:rsid w:val="2881593B"/>
    <w:rsid w:val="288448DC"/>
    <w:rsid w:val="28933C97"/>
    <w:rsid w:val="289E3886"/>
    <w:rsid w:val="28B92525"/>
    <w:rsid w:val="28CD1A76"/>
    <w:rsid w:val="28E474D1"/>
    <w:rsid w:val="29531CFB"/>
    <w:rsid w:val="295F5454"/>
    <w:rsid w:val="29606D8E"/>
    <w:rsid w:val="296248B4"/>
    <w:rsid w:val="299753D5"/>
    <w:rsid w:val="29B65F53"/>
    <w:rsid w:val="29F04FFF"/>
    <w:rsid w:val="29F2697D"/>
    <w:rsid w:val="29FD45DD"/>
    <w:rsid w:val="2A0C49FC"/>
    <w:rsid w:val="2A250ADB"/>
    <w:rsid w:val="2A273408"/>
    <w:rsid w:val="2A447628"/>
    <w:rsid w:val="2A7A0CEB"/>
    <w:rsid w:val="2A9F38E6"/>
    <w:rsid w:val="2AAC1D3B"/>
    <w:rsid w:val="2AC901B1"/>
    <w:rsid w:val="2ACE16B2"/>
    <w:rsid w:val="2AD91375"/>
    <w:rsid w:val="2AF754D0"/>
    <w:rsid w:val="2B114EE9"/>
    <w:rsid w:val="2B274C59"/>
    <w:rsid w:val="2B3E30FF"/>
    <w:rsid w:val="2B486A6D"/>
    <w:rsid w:val="2B4D50F0"/>
    <w:rsid w:val="2B6D28C9"/>
    <w:rsid w:val="2B91392E"/>
    <w:rsid w:val="2BAD5C08"/>
    <w:rsid w:val="2BD24CFE"/>
    <w:rsid w:val="2BD84244"/>
    <w:rsid w:val="2BED788C"/>
    <w:rsid w:val="2C0E5270"/>
    <w:rsid w:val="2C247F18"/>
    <w:rsid w:val="2C26473B"/>
    <w:rsid w:val="2C4209CD"/>
    <w:rsid w:val="2C4468CE"/>
    <w:rsid w:val="2C4604BD"/>
    <w:rsid w:val="2C465D5F"/>
    <w:rsid w:val="2C4D33CF"/>
    <w:rsid w:val="2C6D77BD"/>
    <w:rsid w:val="2C8E73DC"/>
    <w:rsid w:val="2CD107F3"/>
    <w:rsid w:val="2CD168AA"/>
    <w:rsid w:val="2CE73CA3"/>
    <w:rsid w:val="2D260298"/>
    <w:rsid w:val="2D470744"/>
    <w:rsid w:val="2D493232"/>
    <w:rsid w:val="2D597FB3"/>
    <w:rsid w:val="2D8C0FAC"/>
    <w:rsid w:val="2D990AC0"/>
    <w:rsid w:val="2DB94D8F"/>
    <w:rsid w:val="2DB94F78"/>
    <w:rsid w:val="2DCB3767"/>
    <w:rsid w:val="2DF3744C"/>
    <w:rsid w:val="2E031289"/>
    <w:rsid w:val="2E190834"/>
    <w:rsid w:val="2E3F5343"/>
    <w:rsid w:val="2E450300"/>
    <w:rsid w:val="2E453790"/>
    <w:rsid w:val="2E4A5917"/>
    <w:rsid w:val="2E6C551C"/>
    <w:rsid w:val="2E732971"/>
    <w:rsid w:val="2E7967FF"/>
    <w:rsid w:val="2E9C4AA6"/>
    <w:rsid w:val="2EAC037F"/>
    <w:rsid w:val="2EB21E3A"/>
    <w:rsid w:val="2EC1611A"/>
    <w:rsid w:val="2F065CE2"/>
    <w:rsid w:val="2F0873B9"/>
    <w:rsid w:val="2F220384"/>
    <w:rsid w:val="2F2E21A1"/>
    <w:rsid w:val="2F5A04C3"/>
    <w:rsid w:val="2F6D5D61"/>
    <w:rsid w:val="2F7B7A69"/>
    <w:rsid w:val="2F944B24"/>
    <w:rsid w:val="2F9E416C"/>
    <w:rsid w:val="2FB1517C"/>
    <w:rsid w:val="2FC67A85"/>
    <w:rsid w:val="2FD113DA"/>
    <w:rsid w:val="30004E27"/>
    <w:rsid w:val="3027082A"/>
    <w:rsid w:val="30295D48"/>
    <w:rsid w:val="302F2ACC"/>
    <w:rsid w:val="30460EB8"/>
    <w:rsid w:val="304844CB"/>
    <w:rsid w:val="307B152E"/>
    <w:rsid w:val="3089305D"/>
    <w:rsid w:val="309457EF"/>
    <w:rsid w:val="309B4007"/>
    <w:rsid w:val="309C6B5A"/>
    <w:rsid w:val="309E03A3"/>
    <w:rsid w:val="30A16B37"/>
    <w:rsid w:val="30B6368E"/>
    <w:rsid w:val="30C301B1"/>
    <w:rsid w:val="30DD36DD"/>
    <w:rsid w:val="30DE0EA6"/>
    <w:rsid w:val="30E3452C"/>
    <w:rsid w:val="30E71708"/>
    <w:rsid w:val="310B7735"/>
    <w:rsid w:val="313E1763"/>
    <w:rsid w:val="31C373C7"/>
    <w:rsid w:val="31E247E4"/>
    <w:rsid w:val="31E935DD"/>
    <w:rsid w:val="31EC01FF"/>
    <w:rsid w:val="323D5EBE"/>
    <w:rsid w:val="325B4E5A"/>
    <w:rsid w:val="32607DFF"/>
    <w:rsid w:val="3274558C"/>
    <w:rsid w:val="328F7539"/>
    <w:rsid w:val="32A93554"/>
    <w:rsid w:val="32C635D3"/>
    <w:rsid w:val="33045CC3"/>
    <w:rsid w:val="33077B96"/>
    <w:rsid w:val="33255A6A"/>
    <w:rsid w:val="335C6818"/>
    <w:rsid w:val="33723946"/>
    <w:rsid w:val="337F74F6"/>
    <w:rsid w:val="338A5DAD"/>
    <w:rsid w:val="33C2512E"/>
    <w:rsid w:val="33FB26D9"/>
    <w:rsid w:val="342019D6"/>
    <w:rsid w:val="342A6B27"/>
    <w:rsid w:val="342F05E5"/>
    <w:rsid w:val="34330FA8"/>
    <w:rsid w:val="343751D9"/>
    <w:rsid w:val="34451C83"/>
    <w:rsid w:val="345B1602"/>
    <w:rsid w:val="346B4741"/>
    <w:rsid w:val="349C037B"/>
    <w:rsid w:val="349C63DF"/>
    <w:rsid w:val="349E2D09"/>
    <w:rsid w:val="34BC4C43"/>
    <w:rsid w:val="34C816C9"/>
    <w:rsid w:val="34DD5737"/>
    <w:rsid w:val="35150821"/>
    <w:rsid w:val="354E2E3F"/>
    <w:rsid w:val="35515B68"/>
    <w:rsid w:val="35561B0D"/>
    <w:rsid w:val="356D6ABA"/>
    <w:rsid w:val="35732682"/>
    <w:rsid w:val="35861A58"/>
    <w:rsid w:val="359E5F75"/>
    <w:rsid w:val="35A95619"/>
    <w:rsid w:val="35B926F1"/>
    <w:rsid w:val="35BF6BEA"/>
    <w:rsid w:val="35D86ACE"/>
    <w:rsid w:val="35DA1C76"/>
    <w:rsid w:val="35E96EE5"/>
    <w:rsid w:val="35FD0E9C"/>
    <w:rsid w:val="360F53AF"/>
    <w:rsid w:val="361E0577"/>
    <w:rsid w:val="36351095"/>
    <w:rsid w:val="365E4655"/>
    <w:rsid w:val="36672AFA"/>
    <w:rsid w:val="3679148F"/>
    <w:rsid w:val="36832E12"/>
    <w:rsid w:val="36A56D6E"/>
    <w:rsid w:val="36AC53C0"/>
    <w:rsid w:val="36B204FD"/>
    <w:rsid w:val="36C97333"/>
    <w:rsid w:val="36D668E1"/>
    <w:rsid w:val="36E82D4C"/>
    <w:rsid w:val="37117919"/>
    <w:rsid w:val="37253BAF"/>
    <w:rsid w:val="37393CB6"/>
    <w:rsid w:val="373B161D"/>
    <w:rsid w:val="375C0B95"/>
    <w:rsid w:val="37640F43"/>
    <w:rsid w:val="376860E2"/>
    <w:rsid w:val="378073BA"/>
    <w:rsid w:val="37907FDB"/>
    <w:rsid w:val="37911E53"/>
    <w:rsid w:val="37CF1DD8"/>
    <w:rsid w:val="37DD081D"/>
    <w:rsid w:val="38007FE8"/>
    <w:rsid w:val="380135CA"/>
    <w:rsid w:val="38056CCF"/>
    <w:rsid w:val="380E04C6"/>
    <w:rsid w:val="38110C23"/>
    <w:rsid w:val="381946EE"/>
    <w:rsid w:val="38194CD8"/>
    <w:rsid w:val="383737E0"/>
    <w:rsid w:val="384229F7"/>
    <w:rsid w:val="38601AF9"/>
    <w:rsid w:val="38673CD8"/>
    <w:rsid w:val="387B504A"/>
    <w:rsid w:val="388332A6"/>
    <w:rsid w:val="388C7258"/>
    <w:rsid w:val="38966328"/>
    <w:rsid w:val="38B95B73"/>
    <w:rsid w:val="38D66F26"/>
    <w:rsid w:val="392020E5"/>
    <w:rsid w:val="39260C0B"/>
    <w:rsid w:val="39266647"/>
    <w:rsid w:val="39345C80"/>
    <w:rsid w:val="39472B87"/>
    <w:rsid w:val="394915ED"/>
    <w:rsid w:val="395F2BBE"/>
    <w:rsid w:val="396764B9"/>
    <w:rsid w:val="39A62826"/>
    <w:rsid w:val="39A84565"/>
    <w:rsid w:val="39DB4D59"/>
    <w:rsid w:val="39E84962"/>
    <w:rsid w:val="3A560ED9"/>
    <w:rsid w:val="3A5F2AD5"/>
    <w:rsid w:val="3A723DFD"/>
    <w:rsid w:val="3A960861"/>
    <w:rsid w:val="3ADF400E"/>
    <w:rsid w:val="3AEC57EE"/>
    <w:rsid w:val="3AF56EF0"/>
    <w:rsid w:val="3B293484"/>
    <w:rsid w:val="3B3B4F65"/>
    <w:rsid w:val="3B3E6803"/>
    <w:rsid w:val="3B483EC7"/>
    <w:rsid w:val="3B611C12"/>
    <w:rsid w:val="3BAD46C6"/>
    <w:rsid w:val="3BC8415F"/>
    <w:rsid w:val="3BDD11D6"/>
    <w:rsid w:val="3C0A6A0D"/>
    <w:rsid w:val="3C2B7D42"/>
    <w:rsid w:val="3C2D0D52"/>
    <w:rsid w:val="3C3136A4"/>
    <w:rsid w:val="3C33120E"/>
    <w:rsid w:val="3C460065"/>
    <w:rsid w:val="3C497957"/>
    <w:rsid w:val="3C4D13F4"/>
    <w:rsid w:val="3C8A3691"/>
    <w:rsid w:val="3C95402D"/>
    <w:rsid w:val="3C9962E1"/>
    <w:rsid w:val="3CEF24AB"/>
    <w:rsid w:val="3D0F66A9"/>
    <w:rsid w:val="3D4F478D"/>
    <w:rsid w:val="3D5C2616"/>
    <w:rsid w:val="3D640E3F"/>
    <w:rsid w:val="3D7D2D33"/>
    <w:rsid w:val="3D891623"/>
    <w:rsid w:val="3D90430A"/>
    <w:rsid w:val="3DB07BC0"/>
    <w:rsid w:val="3DCA7510"/>
    <w:rsid w:val="3DDC4187"/>
    <w:rsid w:val="3DDC47DD"/>
    <w:rsid w:val="3E052E8F"/>
    <w:rsid w:val="3E0572CB"/>
    <w:rsid w:val="3E0755D2"/>
    <w:rsid w:val="3E2540C3"/>
    <w:rsid w:val="3E2951A4"/>
    <w:rsid w:val="3E3F71F8"/>
    <w:rsid w:val="3E595E2E"/>
    <w:rsid w:val="3E8377B3"/>
    <w:rsid w:val="3E8E35FE"/>
    <w:rsid w:val="3EBC460F"/>
    <w:rsid w:val="3ED123BC"/>
    <w:rsid w:val="3EE5368C"/>
    <w:rsid w:val="3EEF6C51"/>
    <w:rsid w:val="3F00274D"/>
    <w:rsid w:val="3F020776"/>
    <w:rsid w:val="3F0263E0"/>
    <w:rsid w:val="3F047DE6"/>
    <w:rsid w:val="3F163D1F"/>
    <w:rsid w:val="3F1E4982"/>
    <w:rsid w:val="3F253B64"/>
    <w:rsid w:val="3F2B4B01"/>
    <w:rsid w:val="3F2F3033"/>
    <w:rsid w:val="3F314B61"/>
    <w:rsid w:val="3F3379F0"/>
    <w:rsid w:val="3F8904C0"/>
    <w:rsid w:val="3F8B4416"/>
    <w:rsid w:val="3F981AC7"/>
    <w:rsid w:val="3FA92B6B"/>
    <w:rsid w:val="3FB452E6"/>
    <w:rsid w:val="3FBB2BF6"/>
    <w:rsid w:val="3FC0128D"/>
    <w:rsid w:val="3FDA11F0"/>
    <w:rsid w:val="3FF678FA"/>
    <w:rsid w:val="4001612E"/>
    <w:rsid w:val="402A1D1D"/>
    <w:rsid w:val="404843AC"/>
    <w:rsid w:val="40503261"/>
    <w:rsid w:val="4065487F"/>
    <w:rsid w:val="40833636"/>
    <w:rsid w:val="4093314D"/>
    <w:rsid w:val="40963B96"/>
    <w:rsid w:val="40C01233"/>
    <w:rsid w:val="40CA4471"/>
    <w:rsid w:val="40D03395"/>
    <w:rsid w:val="40E679AE"/>
    <w:rsid w:val="40E92112"/>
    <w:rsid w:val="41344930"/>
    <w:rsid w:val="41405083"/>
    <w:rsid w:val="415B1EBD"/>
    <w:rsid w:val="41945DFD"/>
    <w:rsid w:val="41961147"/>
    <w:rsid w:val="41A970CC"/>
    <w:rsid w:val="41AC2719"/>
    <w:rsid w:val="41B453F2"/>
    <w:rsid w:val="41C65BE8"/>
    <w:rsid w:val="41C81630"/>
    <w:rsid w:val="41CF2D27"/>
    <w:rsid w:val="41CF6CC5"/>
    <w:rsid w:val="41E35238"/>
    <w:rsid w:val="420024FA"/>
    <w:rsid w:val="42010F19"/>
    <w:rsid w:val="42044303"/>
    <w:rsid w:val="42044568"/>
    <w:rsid w:val="42155F9A"/>
    <w:rsid w:val="421B4CDC"/>
    <w:rsid w:val="421E71BF"/>
    <w:rsid w:val="424524FA"/>
    <w:rsid w:val="42641E27"/>
    <w:rsid w:val="42675052"/>
    <w:rsid w:val="427D107A"/>
    <w:rsid w:val="427E64BE"/>
    <w:rsid w:val="42C5104B"/>
    <w:rsid w:val="43002ED1"/>
    <w:rsid w:val="43195901"/>
    <w:rsid w:val="43217136"/>
    <w:rsid w:val="43343DC8"/>
    <w:rsid w:val="433B57B2"/>
    <w:rsid w:val="43450475"/>
    <w:rsid w:val="435B357D"/>
    <w:rsid w:val="43A062AD"/>
    <w:rsid w:val="44035A09"/>
    <w:rsid w:val="44327309"/>
    <w:rsid w:val="4433634D"/>
    <w:rsid w:val="443F27A9"/>
    <w:rsid w:val="4444781F"/>
    <w:rsid w:val="44465A14"/>
    <w:rsid w:val="446438B1"/>
    <w:rsid w:val="447D3F45"/>
    <w:rsid w:val="448D4A83"/>
    <w:rsid w:val="4498797D"/>
    <w:rsid w:val="44A43B7B"/>
    <w:rsid w:val="44B972F0"/>
    <w:rsid w:val="44EA7FA2"/>
    <w:rsid w:val="44F75984"/>
    <w:rsid w:val="450D1720"/>
    <w:rsid w:val="45252F0E"/>
    <w:rsid w:val="453F5652"/>
    <w:rsid w:val="4547041C"/>
    <w:rsid w:val="454964D0"/>
    <w:rsid w:val="454D637B"/>
    <w:rsid w:val="457334D9"/>
    <w:rsid w:val="4581498B"/>
    <w:rsid w:val="45A277D5"/>
    <w:rsid w:val="45AB56C7"/>
    <w:rsid w:val="45DC10F2"/>
    <w:rsid w:val="45FB3C6E"/>
    <w:rsid w:val="46134973"/>
    <w:rsid w:val="462036D5"/>
    <w:rsid w:val="462E1A2E"/>
    <w:rsid w:val="464153A3"/>
    <w:rsid w:val="464E3D9E"/>
    <w:rsid w:val="46506E39"/>
    <w:rsid w:val="465A0995"/>
    <w:rsid w:val="467058B1"/>
    <w:rsid w:val="46732AA8"/>
    <w:rsid w:val="4677165F"/>
    <w:rsid w:val="467F664E"/>
    <w:rsid w:val="46823EF6"/>
    <w:rsid w:val="468477C0"/>
    <w:rsid w:val="4693034E"/>
    <w:rsid w:val="46A55988"/>
    <w:rsid w:val="46D07953"/>
    <w:rsid w:val="46F579A4"/>
    <w:rsid w:val="46FD7572"/>
    <w:rsid w:val="470B7EE1"/>
    <w:rsid w:val="4717028C"/>
    <w:rsid w:val="472E6B9D"/>
    <w:rsid w:val="473B735A"/>
    <w:rsid w:val="47523D62"/>
    <w:rsid w:val="47A13338"/>
    <w:rsid w:val="47A3396B"/>
    <w:rsid w:val="47B9793D"/>
    <w:rsid w:val="47D00D68"/>
    <w:rsid w:val="47FD3D6B"/>
    <w:rsid w:val="48096DEF"/>
    <w:rsid w:val="48200C00"/>
    <w:rsid w:val="482C010F"/>
    <w:rsid w:val="48336B73"/>
    <w:rsid w:val="4838131C"/>
    <w:rsid w:val="486F624E"/>
    <w:rsid w:val="48872930"/>
    <w:rsid w:val="489152DF"/>
    <w:rsid w:val="48947178"/>
    <w:rsid w:val="48AF489B"/>
    <w:rsid w:val="48B2768D"/>
    <w:rsid w:val="48C84043"/>
    <w:rsid w:val="48D507A7"/>
    <w:rsid w:val="48E07F64"/>
    <w:rsid w:val="48F17AC0"/>
    <w:rsid w:val="48F350D1"/>
    <w:rsid w:val="48F97312"/>
    <w:rsid w:val="49055CDE"/>
    <w:rsid w:val="49301E81"/>
    <w:rsid w:val="49314C7A"/>
    <w:rsid w:val="493213A4"/>
    <w:rsid w:val="49425710"/>
    <w:rsid w:val="49793828"/>
    <w:rsid w:val="49A67591"/>
    <w:rsid w:val="49B30787"/>
    <w:rsid w:val="49D4261E"/>
    <w:rsid w:val="49EB7F15"/>
    <w:rsid w:val="49F121CF"/>
    <w:rsid w:val="49FB248F"/>
    <w:rsid w:val="4A2500A6"/>
    <w:rsid w:val="4A563C9A"/>
    <w:rsid w:val="4A684F71"/>
    <w:rsid w:val="4A861503"/>
    <w:rsid w:val="4A871F75"/>
    <w:rsid w:val="4ABD14F2"/>
    <w:rsid w:val="4AE36F1F"/>
    <w:rsid w:val="4B0B04B0"/>
    <w:rsid w:val="4B6D62F0"/>
    <w:rsid w:val="4B7047B7"/>
    <w:rsid w:val="4B717E33"/>
    <w:rsid w:val="4B910A7E"/>
    <w:rsid w:val="4B9D2E43"/>
    <w:rsid w:val="4BDF049E"/>
    <w:rsid w:val="4BFC6F56"/>
    <w:rsid w:val="4C107D48"/>
    <w:rsid w:val="4C241392"/>
    <w:rsid w:val="4C3E48B5"/>
    <w:rsid w:val="4C487881"/>
    <w:rsid w:val="4C5C4D3B"/>
    <w:rsid w:val="4C646F30"/>
    <w:rsid w:val="4C71246E"/>
    <w:rsid w:val="4C802FA0"/>
    <w:rsid w:val="4CA706AC"/>
    <w:rsid w:val="4CAF1562"/>
    <w:rsid w:val="4CB84667"/>
    <w:rsid w:val="4CD94BBC"/>
    <w:rsid w:val="4D0645F9"/>
    <w:rsid w:val="4D160839"/>
    <w:rsid w:val="4D2F0B58"/>
    <w:rsid w:val="4D371A30"/>
    <w:rsid w:val="4D733638"/>
    <w:rsid w:val="4D8E669C"/>
    <w:rsid w:val="4DC01745"/>
    <w:rsid w:val="4DD424E8"/>
    <w:rsid w:val="4DD47FD6"/>
    <w:rsid w:val="4DFA5ACA"/>
    <w:rsid w:val="4E1160F1"/>
    <w:rsid w:val="4E296052"/>
    <w:rsid w:val="4E381F9E"/>
    <w:rsid w:val="4E3A5D0E"/>
    <w:rsid w:val="4E52057F"/>
    <w:rsid w:val="4E630603"/>
    <w:rsid w:val="4E7068AF"/>
    <w:rsid w:val="4E7C1358"/>
    <w:rsid w:val="4EBF3EEB"/>
    <w:rsid w:val="4EDF198A"/>
    <w:rsid w:val="4F0F58E3"/>
    <w:rsid w:val="4F144957"/>
    <w:rsid w:val="4F1E3411"/>
    <w:rsid w:val="4F2E3A17"/>
    <w:rsid w:val="4F3778AA"/>
    <w:rsid w:val="4F42646A"/>
    <w:rsid w:val="4F634F72"/>
    <w:rsid w:val="4F756840"/>
    <w:rsid w:val="4F7B197C"/>
    <w:rsid w:val="4F8A58A6"/>
    <w:rsid w:val="4FAD6A0E"/>
    <w:rsid w:val="4FAF3C00"/>
    <w:rsid w:val="4FB51868"/>
    <w:rsid w:val="4FC71A10"/>
    <w:rsid w:val="4FCC40BB"/>
    <w:rsid w:val="4FE95390"/>
    <w:rsid w:val="500F2E37"/>
    <w:rsid w:val="50242014"/>
    <w:rsid w:val="50305002"/>
    <w:rsid w:val="503638A8"/>
    <w:rsid w:val="50595C18"/>
    <w:rsid w:val="505D0936"/>
    <w:rsid w:val="505E71AE"/>
    <w:rsid w:val="50655C0C"/>
    <w:rsid w:val="509240DF"/>
    <w:rsid w:val="509C7502"/>
    <w:rsid w:val="50A075E8"/>
    <w:rsid w:val="50B6165D"/>
    <w:rsid w:val="50D17611"/>
    <w:rsid w:val="50D37CC2"/>
    <w:rsid w:val="50D44082"/>
    <w:rsid w:val="50F94906"/>
    <w:rsid w:val="51103AD6"/>
    <w:rsid w:val="51273B6A"/>
    <w:rsid w:val="514A5F52"/>
    <w:rsid w:val="514C7376"/>
    <w:rsid w:val="515B7A1D"/>
    <w:rsid w:val="516267E6"/>
    <w:rsid w:val="516C77CE"/>
    <w:rsid w:val="517C2410"/>
    <w:rsid w:val="519B14BE"/>
    <w:rsid w:val="51CA32E3"/>
    <w:rsid w:val="51D11D27"/>
    <w:rsid w:val="51DC4954"/>
    <w:rsid w:val="51DC6B91"/>
    <w:rsid w:val="51EF6EEF"/>
    <w:rsid w:val="522307D5"/>
    <w:rsid w:val="52262073"/>
    <w:rsid w:val="525B41E5"/>
    <w:rsid w:val="52613415"/>
    <w:rsid w:val="526606C2"/>
    <w:rsid w:val="526D1A50"/>
    <w:rsid w:val="527B54B4"/>
    <w:rsid w:val="52956AD4"/>
    <w:rsid w:val="52A4188E"/>
    <w:rsid w:val="52A57C86"/>
    <w:rsid w:val="52C04276"/>
    <w:rsid w:val="52C34C47"/>
    <w:rsid w:val="52E15F9A"/>
    <w:rsid w:val="52EC3697"/>
    <w:rsid w:val="52F1442F"/>
    <w:rsid w:val="531A29C7"/>
    <w:rsid w:val="53246291"/>
    <w:rsid w:val="53442347"/>
    <w:rsid w:val="53474B02"/>
    <w:rsid w:val="535A7CEA"/>
    <w:rsid w:val="53623CDA"/>
    <w:rsid w:val="5373753A"/>
    <w:rsid w:val="5374598A"/>
    <w:rsid w:val="538208AF"/>
    <w:rsid w:val="53C90155"/>
    <w:rsid w:val="53D86E0B"/>
    <w:rsid w:val="53DB4FD4"/>
    <w:rsid w:val="53F16810"/>
    <w:rsid w:val="53F177BB"/>
    <w:rsid w:val="53FC752F"/>
    <w:rsid w:val="53FD32A8"/>
    <w:rsid w:val="54065CB8"/>
    <w:rsid w:val="54370568"/>
    <w:rsid w:val="546B6463"/>
    <w:rsid w:val="54A51C9E"/>
    <w:rsid w:val="54A648A3"/>
    <w:rsid w:val="54CB0CB0"/>
    <w:rsid w:val="54CB6F02"/>
    <w:rsid w:val="54D1276A"/>
    <w:rsid w:val="54D44008"/>
    <w:rsid w:val="54E81862"/>
    <w:rsid w:val="554D7917"/>
    <w:rsid w:val="55521BC9"/>
    <w:rsid w:val="5562256D"/>
    <w:rsid w:val="556C484B"/>
    <w:rsid w:val="55A4007F"/>
    <w:rsid w:val="55F33E8B"/>
    <w:rsid w:val="560421A1"/>
    <w:rsid w:val="561A52C9"/>
    <w:rsid w:val="562408B1"/>
    <w:rsid w:val="562A776B"/>
    <w:rsid w:val="56517561"/>
    <w:rsid w:val="565804FA"/>
    <w:rsid w:val="567323A2"/>
    <w:rsid w:val="56755722"/>
    <w:rsid w:val="568E136C"/>
    <w:rsid w:val="569C0506"/>
    <w:rsid w:val="56BE4164"/>
    <w:rsid w:val="56CE2338"/>
    <w:rsid w:val="56D20788"/>
    <w:rsid w:val="56D33994"/>
    <w:rsid w:val="56E16F8B"/>
    <w:rsid w:val="56E62BE6"/>
    <w:rsid w:val="56ED5254"/>
    <w:rsid w:val="56F31844"/>
    <w:rsid w:val="570D735E"/>
    <w:rsid w:val="5727547F"/>
    <w:rsid w:val="573C40E7"/>
    <w:rsid w:val="573E12D6"/>
    <w:rsid w:val="57415259"/>
    <w:rsid w:val="57472E20"/>
    <w:rsid w:val="57664A1C"/>
    <w:rsid w:val="57722648"/>
    <w:rsid w:val="57740A14"/>
    <w:rsid w:val="577A6D3A"/>
    <w:rsid w:val="57885248"/>
    <w:rsid w:val="57923D07"/>
    <w:rsid w:val="57AA2DFF"/>
    <w:rsid w:val="57BB3492"/>
    <w:rsid w:val="57CD1C5D"/>
    <w:rsid w:val="57DB474F"/>
    <w:rsid w:val="57DF519E"/>
    <w:rsid w:val="57E13AC7"/>
    <w:rsid w:val="580B63A1"/>
    <w:rsid w:val="5824611D"/>
    <w:rsid w:val="58262129"/>
    <w:rsid w:val="5838665C"/>
    <w:rsid w:val="58530F60"/>
    <w:rsid w:val="586713C4"/>
    <w:rsid w:val="587C0C3F"/>
    <w:rsid w:val="58A037E3"/>
    <w:rsid w:val="58A106A5"/>
    <w:rsid w:val="58AC2BA6"/>
    <w:rsid w:val="58B61482"/>
    <w:rsid w:val="58C16BF8"/>
    <w:rsid w:val="58D8106F"/>
    <w:rsid w:val="58FF53CC"/>
    <w:rsid w:val="59004098"/>
    <w:rsid w:val="590D5D3B"/>
    <w:rsid w:val="591D2D5D"/>
    <w:rsid w:val="595C6BA8"/>
    <w:rsid w:val="595E71E6"/>
    <w:rsid w:val="596029D6"/>
    <w:rsid w:val="59646CF7"/>
    <w:rsid w:val="59772FAE"/>
    <w:rsid w:val="59856687"/>
    <w:rsid w:val="5988716F"/>
    <w:rsid w:val="59E3042D"/>
    <w:rsid w:val="59E331A8"/>
    <w:rsid w:val="5A4B6B1B"/>
    <w:rsid w:val="5A517EA9"/>
    <w:rsid w:val="5A520CA7"/>
    <w:rsid w:val="5A59716E"/>
    <w:rsid w:val="5A77590E"/>
    <w:rsid w:val="5A7B4AD5"/>
    <w:rsid w:val="5A7B6C10"/>
    <w:rsid w:val="5A8D7133"/>
    <w:rsid w:val="5A9A0C31"/>
    <w:rsid w:val="5AA955EF"/>
    <w:rsid w:val="5AB046B9"/>
    <w:rsid w:val="5ACD5F86"/>
    <w:rsid w:val="5B045B2D"/>
    <w:rsid w:val="5B43614A"/>
    <w:rsid w:val="5B636D24"/>
    <w:rsid w:val="5B6854AA"/>
    <w:rsid w:val="5B6F1A7E"/>
    <w:rsid w:val="5B7E5D6E"/>
    <w:rsid w:val="5BB939E9"/>
    <w:rsid w:val="5BCA3CDF"/>
    <w:rsid w:val="5BEA2363"/>
    <w:rsid w:val="5BF50385"/>
    <w:rsid w:val="5C081A68"/>
    <w:rsid w:val="5C2F7D76"/>
    <w:rsid w:val="5C3921D3"/>
    <w:rsid w:val="5C677510"/>
    <w:rsid w:val="5C851C2A"/>
    <w:rsid w:val="5CA23AD9"/>
    <w:rsid w:val="5CA249EC"/>
    <w:rsid w:val="5CEA667B"/>
    <w:rsid w:val="5CF92E9E"/>
    <w:rsid w:val="5D16080B"/>
    <w:rsid w:val="5D213B63"/>
    <w:rsid w:val="5D301CA3"/>
    <w:rsid w:val="5D341A46"/>
    <w:rsid w:val="5D454CC3"/>
    <w:rsid w:val="5D4613CB"/>
    <w:rsid w:val="5D4A13E8"/>
    <w:rsid w:val="5D4A6D64"/>
    <w:rsid w:val="5D526412"/>
    <w:rsid w:val="5D5B5747"/>
    <w:rsid w:val="5D8177AC"/>
    <w:rsid w:val="5D99194B"/>
    <w:rsid w:val="5DA640CB"/>
    <w:rsid w:val="5DAE00A2"/>
    <w:rsid w:val="5DB06557"/>
    <w:rsid w:val="5DCD43AB"/>
    <w:rsid w:val="5DDF7A60"/>
    <w:rsid w:val="5DED037F"/>
    <w:rsid w:val="5DFB0858"/>
    <w:rsid w:val="5E113BD7"/>
    <w:rsid w:val="5E1E1E07"/>
    <w:rsid w:val="5E205B08"/>
    <w:rsid w:val="5E385567"/>
    <w:rsid w:val="5E615505"/>
    <w:rsid w:val="5E673C65"/>
    <w:rsid w:val="5E6A778C"/>
    <w:rsid w:val="5E7B5BBF"/>
    <w:rsid w:val="5E865AD5"/>
    <w:rsid w:val="5EB22A2A"/>
    <w:rsid w:val="5EC72A14"/>
    <w:rsid w:val="5ECE7D1A"/>
    <w:rsid w:val="5ED0043C"/>
    <w:rsid w:val="5ED706FA"/>
    <w:rsid w:val="5F090D52"/>
    <w:rsid w:val="5F157E5B"/>
    <w:rsid w:val="5F2D60B8"/>
    <w:rsid w:val="5F2E6A0B"/>
    <w:rsid w:val="5F3759A0"/>
    <w:rsid w:val="5F467D0B"/>
    <w:rsid w:val="5F4F557A"/>
    <w:rsid w:val="5F5B5EBE"/>
    <w:rsid w:val="5FA0033E"/>
    <w:rsid w:val="5FA44924"/>
    <w:rsid w:val="5FDC7576"/>
    <w:rsid w:val="5FE5431B"/>
    <w:rsid w:val="602816AC"/>
    <w:rsid w:val="60335F4C"/>
    <w:rsid w:val="60466FCE"/>
    <w:rsid w:val="605C6513"/>
    <w:rsid w:val="606C1B82"/>
    <w:rsid w:val="60770C84"/>
    <w:rsid w:val="60C2243D"/>
    <w:rsid w:val="60D809DC"/>
    <w:rsid w:val="60DA6D4B"/>
    <w:rsid w:val="60DA793B"/>
    <w:rsid w:val="60E76F28"/>
    <w:rsid w:val="6155202D"/>
    <w:rsid w:val="617613AF"/>
    <w:rsid w:val="6189617B"/>
    <w:rsid w:val="618C17C7"/>
    <w:rsid w:val="61926DDD"/>
    <w:rsid w:val="61930DA7"/>
    <w:rsid w:val="619C19CF"/>
    <w:rsid w:val="61B36D25"/>
    <w:rsid w:val="61C5270B"/>
    <w:rsid w:val="61DC44FC"/>
    <w:rsid w:val="61E73A27"/>
    <w:rsid w:val="61E86705"/>
    <w:rsid w:val="62187CA6"/>
    <w:rsid w:val="6229463E"/>
    <w:rsid w:val="62444710"/>
    <w:rsid w:val="6262573D"/>
    <w:rsid w:val="628D3A49"/>
    <w:rsid w:val="62916153"/>
    <w:rsid w:val="62DD0876"/>
    <w:rsid w:val="62DE42A4"/>
    <w:rsid w:val="62DF6945"/>
    <w:rsid w:val="62E84D6B"/>
    <w:rsid w:val="62F15D85"/>
    <w:rsid w:val="6304250C"/>
    <w:rsid w:val="631D301E"/>
    <w:rsid w:val="633A3EB9"/>
    <w:rsid w:val="633F1BC7"/>
    <w:rsid w:val="6355471F"/>
    <w:rsid w:val="635B004C"/>
    <w:rsid w:val="635B1021"/>
    <w:rsid w:val="635D7D81"/>
    <w:rsid w:val="635F53E5"/>
    <w:rsid w:val="63893AD3"/>
    <w:rsid w:val="639975BA"/>
    <w:rsid w:val="63B3069F"/>
    <w:rsid w:val="63BA3FE7"/>
    <w:rsid w:val="63C65E85"/>
    <w:rsid w:val="63CC1D0C"/>
    <w:rsid w:val="63E1229E"/>
    <w:rsid w:val="63E4413C"/>
    <w:rsid w:val="63F4655B"/>
    <w:rsid w:val="64175CC0"/>
    <w:rsid w:val="643178DC"/>
    <w:rsid w:val="64344084"/>
    <w:rsid w:val="6443151A"/>
    <w:rsid w:val="64435F8E"/>
    <w:rsid w:val="644C3BBB"/>
    <w:rsid w:val="646E29E0"/>
    <w:rsid w:val="646F4877"/>
    <w:rsid w:val="64A80FC2"/>
    <w:rsid w:val="64A84B6A"/>
    <w:rsid w:val="64AB72F7"/>
    <w:rsid w:val="64CE5C72"/>
    <w:rsid w:val="64D06AA2"/>
    <w:rsid w:val="64D57F57"/>
    <w:rsid w:val="650717B3"/>
    <w:rsid w:val="65102E3B"/>
    <w:rsid w:val="651B7747"/>
    <w:rsid w:val="651E3CBD"/>
    <w:rsid w:val="651F4E36"/>
    <w:rsid w:val="654C7BEB"/>
    <w:rsid w:val="65563146"/>
    <w:rsid w:val="656F15CC"/>
    <w:rsid w:val="6578278E"/>
    <w:rsid w:val="65815AE7"/>
    <w:rsid w:val="658C3A4D"/>
    <w:rsid w:val="658D1477"/>
    <w:rsid w:val="658F3948"/>
    <w:rsid w:val="65B202BD"/>
    <w:rsid w:val="65BD5F3A"/>
    <w:rsid w:val="65C46A14"/>
    <w:rsid w:val="65CB1873"/>
    <w:rsid w:val="65E47E23"/>
    <w:rsid w:val="660C7CFF"/>
    <w:rsid w:val="663200B6"/>
    <w:rsid w:val="6638278E"/>
    <w:rsid w:val="664310C5"/>
    <w:rsid w:val="66503748"/>
    <w:rsid w:val="665A5642"/>
    <w:rsid w:val="66660B1E"/>
    <w:rsid w:val="6686016D"/>
    <w:rsid w:val="66976C44"/>
    <w:rsid w:val="66A745C7"/>
    <w:rsid w:val="66E6359D"/>
    <w:rsid w:val="66EC4CCA"/>
    <w:rsid w:val="670342D9"/>
    <w:rsid w:val="671019D1"/>
    <w:rsid w:val="673C7152"/>
    <w:rsid w:val="67416140"/>
    <w:rsid w:val="675F2D38"/>
    <w:rsid w:val="677807FE"/>
    <w:rsid w:val="67AE1A3B"/>
    <w:rsid w:val="67AF4FEA"/>
    <w:rsid w:val="67DC208F"/>
    <w:rsid w:val="67E35121"/>
    <w:rsid w:val="67ED7463"/>
    <w:rsid w:val="685206AF"/>
    <w:rsid w:val="68646FFA"/>
    <w:rsid w:val="68831087"/>
    <w:rsid w:val="689F7A51"/>
    <w:rsid w:val="68A21B66"/>
    <w:rsid w:val="68A344A5"/>
    <w:rsid w:val="68AB69D7"/>
    <w:rsid w:val="68BD756B"/>
    <w:rsid w:val="68C64BD7"/>
    <w:rsid w:val="69010033"/>
    <w:rsid w:val="690A194F"/>
    <w:rsid w:val="691952F4"/>
    <w:rsid w:val="692C53C1"/>
    <w:rsid w:val="693251D3"/>
    <w:rsid w:val="693F7F1A"/>
    <w:rsid w:val="694C5D2B"/>
    <w:rsid w:val="69623A87"/>
    <w:rsid w:val="69735746"/>
    <w:rsid w:val="697F12FB"/>
    <w:rsid w:val="697F2E44"/>
    <w:rsid w:val="69816233"/>
    <w:rsid w:val="699B487D"/>
    <w:rsid w:val="69BE2739"/>
    <w:rsid w:val="69C25A59"/>
    <w:rsid w:val="69CE32D0"/>
    <w:rsid w:val="69DC1DC2"/>
    <w:rsid w:val="69E0370C"/>
    <w:rsid w:val="69F31571"/>
    <w:rsid w:val="69FA755A"/>
    <w:rsid w:val="6A2D7FEB"/>
    <w:rsid w:val="6A441EA6"/>
    <w:rsid w:val="6A490C4B"/>
    <w:rsid w:val="6A4D269B"/>
    <w:rsid w:val="6A503ED1"/>
    <w:rsid w:val="6A9E7C48"/>
    <w:rsid w:val="6AA62616"/>
    <w:rsid w:val="6AAA3CF0"/>
    <w:rsid w:val="6ABB6531"/>
    <w:rsid w:val="6ACF4DB3"/>
    <w:rsid w:val="6AFB1E97"/>
    <w:rsid w:val="6B2A452A"/>
    <w:rsid w:val="6B2E6722"/>
    <w:rsid w:val="6B382743"/>
    <w:rsid w:val="6B514C91"/>
    <w:rsid w:val="6B5E41D4"/>
    <w:rsid w:val="6B6E3640"/>
    <w:rsid w:val="6B961BC0"/>
    <w:rsid w:val="6B985938"/>
    <w:rsid w:val="6BBE04ED"/>
    <w:rsid w:val="6BC02799"/>
    <w:rsid w:val="6C047635"/>
    <w:rsid w:val="6C132292"/>
    <w:rsid w:val="6C2C7242"/>
    <w:rsid w:val="6C486CD0"/>
    <w:rsid w:val="6C5D0160"/>
    <w:rsid w:val="6CDC7AA6"/>
    <w:rsid w:val="6D2E2136"/>
    <w:rsid w:val="6D48562C"/>
    <w:rsid w:val="6D535020"/>
    <w:rsid w:val="6D5528F2"/>
    <w:rsid w:val="6D6F0736"/>
    <w:rsid w:val="6D723F67"/>
    <w:rsid w:val="6D852358"/>
    <w:rsid w:val="6DBB337C"/>
    <w:rsid w:val="6DCC7B1B"/>
    <w:rsid w:val="6DEA61F3"/>
    <w:rsid w:val="6E0734C3"/>
    <w:rsid w:val="6E146DCC"/>
    <w:rsid w:val="6E2B7D4C"/>
    <w:rsid w:val="6E537FA9"/>
    <w:rsid w:val="6E5673E4"/>
    <w:rsid w:val="6E781A51"/>
    <w:rsid w:val="6EA36399"/>
    <w:rsid w:val="6ED02820"/>
    <w:rsid w:val="6EF2710D"/>
    <w:rsid w:val="6EFB3EA2"/>
    <w:rsid w:val="6EFC40AD"/>
    <w:rsid w:val="6F4831D1"/>
    <w:rsid w:val="6FAA68CC"/>
    <w:rsid w:val="6FAD572A"/>
    <w:rsid w:val="700B6F04"/>
    <w:rsid w:val="70194B6E"/>
    <w:rsid w:val="701D12CF"/>
    <w:rsid w:val="701E7C08"/>
    <w:rsid w:val="70382221"/>
    <w:rsid w:val="705F71BF"/>
    <w:rsid w:val="708F3903"/>
    <w:rsid w:val="70BE1611"/>
    <w:rsid w:val="70C61DF0"/>
    <w:rsid w:val="70D9342B"/>
    <w:rsid w:val="70E8645E"/>
    <w:rsid w:val="7104581E"/>
    <w:rsid w:val="711321BC"/>
    <w:rsid w:val="712D0787"/>
    <w:rsid w:val="712E5E16"/>
    <w:rsid w:val="71327C95"/>
    <w:rsid w:val="71331E53"/>
    <w:rsid w:val="715C0ADC"/>
    <w:rsid w:val="7170412F"/>
    <w:rsid w:val="71706A0F"/>
    <w:rsid w:val="71806376"/>
    <w:rsid w:val="719A5E92"/>
    <w:rsid w:val="71B608C6"/>
    <w:rsid w:val="71C832D5"/>
    <w:rsid w:val="71D64AC4"/>
    <w:rsid w:val="71EF5B86"/>
    <w:rsid w:val="72121D7C"/>
    <w:rsid w:val="72127AC6"/>
    <w:rsid w:val="72226908"/>
    <w:rsid w:val="724C5252"/>
    <w:rsid w:val="72562570"/>
    <w:rsid w:val="725A0553"/>
    <w:rsid w:val="726D7BC5"/>
    <w:rsid w:val="726F6344"/>
    <w:rsid w:val="72730565"/>
    <w:rsid w:val="728A2691"/>
    <w:rsid w:val="72A51661"/>
    <w:rsid w:val="72B352CD"/>
    <w:rsid w:val="731C0BFD"/>
    <w:rsid w:val="732B5337"/>
    <w:rsid w:val="736443A1"/>
    <w:rsid w:val="73A6630C"/>
    <w:rsid w:val="73AA7753"/>
    <w:rsid w:val="73AB59C1"/>
    <w:rsid w:val="73B2612A"/>
    <w:rsid w:val="73BC6D60"/>
    <w:rsid w:val="73D01950"/>
    <w:rsid w:val="73EB05CF"/>
    <w:rsid w:val="73F456D6"/>
    <w:rsid w:val="74031145"/>
    <w:rsid w:val="74052C97"/>
    <w:rsid w:val="7406374F"/>
    <w:rsid w:val="741E6C86"/>
    <w:rsid w:val="745A625F"/>
    <w:rsid w:val="746A1E3C"/>
    <w:rsid w:val="746D7C40"/>
    <w:rsid w:val="74940C67"/>
    <w:rsid w:val="74E27C24"/>
    <w:rsid w:val="74F45108"/>
    <w:rsid w:val="74FB3256"/>
    <w:rsid w:val="75081CB4"/>
    <w:rsid w:val="751C3DA7"/>
    <w:rsid w:val="75210917"/>
    <w:rsid w:val="75395D82"/>
    <w:rsid w:val="754824FF"/>
    <w:rsid w:val="75683CD2"/>
    <w:rsid w:val="75B36FAB"/>
    <w:rsid w:val="75BA38C1"/>
    <w:rsid w:val="75BB5396"/>
    <w:rsid w:val="75EB641E"/>
    <w:rsid w:val="76057031"/>
    <w:rsid w:val="761E390B"/>
    <w:rsid w:val="7624775D"/>
    <w:rsid w:val="762B4319"/>
    <w:rsid w:val="762D25F0"/>
    <w:rsid w:val="764E54A2"/>
    <w:rsid w:val="767F437E"/>
    <w:rsid w:val="76853D2B"/>
    <w:rsid w:val="76BF0E5C"/>
    <w:rsid w:val="76E068BE"/>
    <w:rsid w:val="76FE59D9"/>
    <w:rsid w:val="770519A8"/>
    <w:rsid w:val="77195203"/>
    <w:rsid w:val="771D1364"/>
    <w:rsid w:val="7724396F"/>
    <w:rsid w:val="772B1EBA"/>
    <w:rsid w:val="77375538"/>
    <w:rsid w:val="774140FD"/>
    <w:rsid w:val="77664B3C"/>
    <w:rsid w:val="777D03A5"/>
    <w:rsid w:val="777D1E86"/>
    <w:rsid w:val="778C3111"/>
    <w:rsid w:val="77902907"/>
    <w:rsid w:val="7798242E"/>
    <w:rsid w:val="77A515AD"/>
    <w:rsid w:val="77C40974"/>
    <w:rsid w:val="77DC6BAC"/>
    <w:rsid w:val="77FF7EB5"/>
    <w:rsid w:val="78034139"/>
    <w:rsid w:val="78151675"/>
    <w:rsid w:val="781C3E8F"/>
    <w:rsid w:val="782D7408"/>
    <w:rsid w:val="78362761"/>
    <w:rsid w:val="784D106E"/>
    <w:rsid w:val="78542BE7"/>
    <w:rsid w:val="785602F1"/>
    <w:rsid w:val="78871387"/>
    <w:rsid w:val="788B2A45"/>
    <w:rsid w:val="789313C7"/>
    <w:rsid w:val="78981D74"/>
    <w:rsid w:val="78E24281"/>
    <w:rsid w:val="79074AB5"/>
    <w:rsid w:val="790D2B21"/>
    <w:rsid w:val="79116D2A"/>
    <w:rsid w:val="7918142C"/>
    <w:rsid w:val="791A15BB"/>
    <w:rsid w:val="791C7835"/>
    <w:rsid w:val="79297BCF"/>
    <w:rsid w:val="792E4B0A"/>
    <w:rsid w:val="79382508"/>
    <w:rsid w:val="793A6280"/>
    <w:rsid w:val="793B1B85"/>
    <w:rsid w:val="79714F0C"/>
    <w:rsid w:val="79743D21"/>
    <w:rsid w:val="798925CC"/>
    <w:rsid w:val="798B18F2"/>
    <w:rsid w:val="7994614D"/>
    <w:rsid w:val="79997AC2"/>
    <w:rsid w:val="799B610F"/>
    <w:rsid w:val="79A13C0A"/>
    <w:rsid w:val="79C36B41"/>
    <w:rsid w:val="79C8563A"/>
    <w:rsid w:val="79CF5B4B"/>
    <w:rsid w:val="79ED6E4F"/>
    <w:rsid w:val="79F939AB"/>
    <w:rsid w:val="7A013016"/>
    <w:rsid w:val="7A0F1A8E"/>
    <w:rsid w:val="7A372D9C"/>
    <w:rsid w:val="7A4020AC"/>
    <w:rsid w:val="7A53759E"/>
    <w:rsid w:val="7A6423E0"/>
    <w:rsid w:val="7A927D22"/>
    <w:rsid w:val="7A9B3A11"/>
    <w:rsid w:val="7A9B4AFD"/>
    <w:rsid w:val="7A9F566D"/>
    <w:rsid w:val="7AA75778"/>
    <w:rsid w:val="7AAF10AD"/>
    <w:rsid w:val="7AB076DD"/>
    <w:rsid w:val="7AB750E0"/>
    <w:rsid w:val="7AE14686"/>
    <w:rsid w:val="7AE40E52"/>
    <w:rsid w:val="7AF95CC7"/>
    <w:rsid w:val="7B0E70B6"/>
    <w:rsid w:val="7B3B008E"/>
    <w:rsid w:val="7B3D282F"/>
    <w:rsid w:val="7B51340D"/>
    <w:rsid w:val="7B5761A4"/>
    <w:rsid w:val="7B6D60C5"/>
    <w:rsid w:val="7B7315D6"/>
    <w:rsid w:val="7B853268"/>
    <w:rsid w:val="7B897830"/>
    <w:rsid w:val="7B9A10BA"/>
    <w:rsid w:val="7B9E134C"/>
    <w:rsid w:val="7BBC33D9"/>
    <w:rsid w:val="7BBF7CFF"/>
    <w:rsid w:val="7BC706E6"/>
    <w:rsid w:val="7BDA1655"/>
    <w:rsid w:val="7BDF6C6B"/>
    <w:rsid w:val="7BEE727C"/>
    <w:rsid w:val="7BF81ADB"/>
    <w:rsid w:val="7C012117"/>
    <w:rsid w:val="7C180F26"/>
    <w:rsid w:val="7C694787"/>
    <w:rsid w:val="7C7541BA"/>
    <w:rsid w:val="7C8C0FE1"/>
    <w:rsid w:val="7CDF64B4"/>
    <w:rsid w:val="7CE20F6D"/>
    <w:rsid w:val="7CE4046F"/>
    <w:rsid w:val="7D027035"/>
    <w:rsid w:val="7D0F17D2"/>
    <w:rsid w:val="7D332376"/>
    <w:rsid w:val="7D335DFE"/>
    <w:rsid w:val="7D3954DE"/>
    <w:rsid w:val="7D4D4C67"/>
    <w:rsid w:val="7D670130"/>
    <w:rsid w:val="7D730D03"/>
    <w:rsid w:val="7D7C6016"/>
    <w:rsid w:val="7D94310B"/>
    <w:rsid w:val="7D965C61"/>
    <w:rsid w:val="7DB163E5"/>
    <w:rsid w:val="7DFA7D8C"/>
    <w:rsid w:val="7E01736D"/>
    <w:rsid w:val="7E097784"/>
    <w:rsid w:val="7E171402"/>
    <w:rsid w:val="7E1F3C97"/>
    <w:rsid w:val="7E1F6898"/>
    <w:rsid w:val="7E340E8C"/>
    <w:rsid w:val="7E531E44"/>
    <w:rsid w:val="7E6A026C"/>
    <w:rsid w:val="7E6B0287"/>
    <w:rsid w:val="7E7538B7"/>
    <w:rsid w:val="7E881667"/>
    <w:rsid w:val="7E971905"/>
    <w:rsid w:val="7EB3766C"/>
    <w:rsid w:val="7EC20AE4"/>
    <w:rsid w:val="7ECC4CB6"/>
    <w:rsid w:val="7EF46511"/>
    <w:rsid w:val="7EF70770"/>
    <w:rsid w:val="7F054C3B"/>
    <w:rsid w:val="7F1D01D6"/>
    <w:rsid w:val="7F304634"/>
    <w:rsid w:val="7F460177"/>
    <w:rsid w:val="7F5C155D"/>
    <w:rsid w:val="7F5D4A77"/>
    <w:rsid w:val="7F5F2928"/>
    <w:rsid w:val="7F7023B0"/>
    <w:rsid w:val="7F785D4D"/>
    <w:rsid w:val="7F7B070E"/>
    <w:rsid w:val="7F7D6EC7"/>
    <w:rsid w:val="7FBA5A25"/>
    <w:rsid w:val="7FC503E3"/>
    <w:rsid w:val="7FDA60C7"/>
    <w:rsid w:val="7FEA72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4"/>
    <w:link w:val="35"/>
    <w:autoRedefine/>
    <w:qFormat/>
    <w:uiPriority w:val="0"/>
    <w:pPr>
      <w:keepNext/>
      <w:keepLines/>
      <w:spacing w:line="360" w:lineRule="auto"/>
      <w:outlineLvl w:val="0"/>
    </w:pPr>
    <w:rPr>
      <w:b/>
      <w:bCs/>
      <w:kern w:val="44"/>
      <w:sz w:val="32"/>
      <w:szCs w:val="44"/>
    </w:rPr>
  </w:style>
  <w:style w:type="paragraph" w:styleId="4">
    <w:name w:val="heading 2"/>
    <w:basedOn w:val="1"/>
    <w:next w:val="1"/>
    <w:autoRedefine/>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autoRedefine/>
    <w:qFormat/>
    <w:uiPriority w:val="0"/>
    <w:pPr>
      <w:keepNext/>
      <w:keepLines/>
      <w:spacing w:before="260" w:after="260" w:line="416" w:lineRule="auto"/>
      <w:outlineLvl w:val="2"/>
    </w:pPr>
    <w:rPr>
      <w:b/>
      <w:bCs/>
      <w:sz w:val="32"/>
      <w:szCs w:val="32"/>
    </w:rPr>
  </w:style>
  <w:style w:type="paragraph" w:styleId="2">
    <w:name w:val="heading 4"/>
    <w:basedOn w:val="1"/>
    <w:next w:val="1"/>
    <w:autoRedefine/>
    <w:unhideWhenUsed/>
    <w:qFormat/>
    <w:uiPriority w:val="0"/>
    <w:pPr>
      <w:keepNext/>
      <w:keepLines/>
      <w:spacing w:line="360" w:lineRule="auto"/>
      <w:outlineLvl w:val="3"/>
    </w:pPr>
    <w:rPr>
      <w:rFonts w:ascii="Arial" w:hAnsi="Arial"/>
      <w:b/>
      <w:bCs/>
      <w:szCs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1"/>
    <w:autoRedefine/>
    <w:qFormat/>
    <w:uiPriority w:val="99"/>
    <w:pPr>
      <w:ind w:firstLine="420" w:firstLineChars="200"/>
    </w:pPr>
    <w:rPr>
      <w:szCs w:val="20"/>
    </w:rPr>
  </w:style>
  <w:style w:type="paragraph" w:styleId="7">
    <w:name w:val="caption"/>
    <w:basedOn w:val="1"/>
    <w:next w:val="1"/>
    <w:autoRedefine/>
    <w:qFormat/>
    <w:uiPriority w:val="0"/>
    <w:rPr>
      <w:rFonts w:ascii="Cambria" w:hAnsi="Cambria" w:eastAsia="黑体"/>
      <w:sz w:val="20"/>
      <w:szCs w:val="20"/>
    </w:rPr>
  </w:style>
  <w:style w:type="paragraph" w:styleId="8">
    <w:name w:val="annotation text"/>
    <w:basedOn w:val="1"/>
    <w:autoRedefine/>
    <w:qFormat/>
    <w:uiPriority w:val="0"/>
    <w:pPr>
      <w:jc w:val="left"/>
    </w:pPr>
    <w:rPr>
      <w:rFonts w:ascii="Calibri" w:hAnsi="Calibri"/>
      <w:kern w:val="0"/>
      <w:sz w:val="22"/>
      <w:szCs w:val="22"/>
    </w:rPr>
  </w:style>
  <w:style w:type="paragraph" w:styleId="9">
    <w:name w:val="Body Text"/>
    <w:basedOn w:val="1"/>
    <w:next w:val="1"/>
    <w:autoRedefine/>
    <w:qFormat/>
    <w:uiPriority w:val="0"/>
    <w:pPr>
      <w:spacing w:after="120"/>
    </w:pPr>
  </w:style>
  <w:style w:type="paragraph" w:styleId="10">
    <w:name w:val="Body Text Indent"/>
    <w:basedOn w:val="1"/>
    <w:autoRedefine/>
    <w:qFormat/>
    <w:uiPriority w:val="0"/>
    <w:pPr>
      <w:spacing w:after="120"/>
      <w:ind w:left="420" w:leftChars="200"/>
      <w:jc w:val="left"/>
    </w:pPr>
    <w:rPr>
      <w:rFonts w:ascii="Calibri" w:hAnsi="Calibri" w:eastAsia="Times New Roman"/>
      <w:kern w:val="0"/>
      <w:sz w:val="22"/>
      <w:szCs w:val="20"/>
    </w:rPr>
  </w:style>
  <w:style w:type="paragraph" w:styleId="11">
    <w:name w:val="List 2"/>
    <w:basedOn w:val="1"/>
    <w:autoRedefine/>
    <w:qFormat/>
    <w:uiPriority w:val="0"/>
    <w:pPr>
      <w:ind w:left="100" w:leftChars="200" w:hanging="200" w:hangingChars="200"/>
    </w:pPr>
  </w:style>
  <w:style w:type="paragraph" w:styleId="12">
    <w:name w:val="index 4"/>
    <w:basedOn w:val="1"/>
    <w:next w:val="1"/>
    <w:autoRedefine/>
    <w:qFormat/>
    <w:uiPriority w:val="0"/>
    <w:pPr>
      <w:ind w:left="600" w:leftChars="600"/>
    </w:pPr>
  </w:style>
  <w:style w:type="paragraph" w:styleId="13">
    <w:name w:val="toc 3"/>
    <w:basedOn w:val="1"/>
    <w:next w:val="1"/>
    <w:autoRedefine/>
    <w:qFormat/>
    <w:uiPriority w:val="0"/>
    <w:pPr>
      <w:ind w:left="840" w:leftChars="400"/>
    </w:pPr>
  </w:style>
  <w:style w:type="paragraph" w:styleId="14">
    <w:name w:val="Plain Text"/>
    <w:basedOn w:val="1"/>
    <w:autoRedefine/>
    <w:qFormat/>
    <w:uiPriority w:val="0"/>
    <w:rPr>
      <w:rFonts w:ascii="宋体" w:hAnsi="Courier New" w:cs="Courier New"/>
      <w:szCs w:val="21"/>
    </w:rPr>
  </w:style>
  <w:style w:type="paragraph" w:styleId="15">
    <w:name w:val="Date"/>
    <w:basedOn w:val="1"/>
    <w:next w:val="1"/>
    <w:autoRedefine/>
    <w:qFormat/>
    <w:uiPriority w:val="0"/>
    <w:pPr>
      <w:ind w:left="100" w:leftChars="2500"/>
    </w:pPr>
  </w:style>
  <w:style w:type="paragraph" w:styleId="16">
    <w:name w:val="Balloon Text"/>
    <w:basedOn w:val="1"/>
    <w:link w:val="54"/>
    <w:autoRedefine/>
    <w:qFormat/>
    <w:uiPriority w:val="0"/>
    <w:rPr>
      <w:sz w:val="18"/>
      <w:szCs w:val="18"/>
    </w:rPr>
  </w:style>
  <w:style w:type="paragraph" w:styleId="17">
    <w:name w:val="footer"/>
    <w:basedOn w:val="1"/>
    <w:autoRedefine/>
    <w:qFormat/>
    <w:uiPriority w:val="0"/>
    <w:pPr>
      <w:tabs>
        <w:tab w:val="center" w:pos="4153"/>
        <w:tab w:val="right" w:pos="8306"/>
      </w:tabs>
      <w:snapToGrid w:val="0"/>
      <w:jc w:val="left"/>
    </w:pPr>
    <w:rPr>
      <w:sz w:val="18"/>
      <w:szCs w:val="18"/>
    </w:rPr>
  </w:style>
  <w:style w:type="paragraph" w:styleId="18">
    <w:name w:val="envelope return"/>
    <w:basedOn w:val="1"/>
    <w:autoRedefine/>
    <w:qFormat/>
    <w:uiPriority w:val="0"/>
    <w:pPr>
      <w:snapToGrid w:val="0"/>
    </w:pPr>
    <w:rPr>
      <w:rFonts w:ascii="Arial" w:hAnsi="Arial"/>
    </w:rPr>
  </w:style>
  <w:style w:type="paragraph" w:styleId="19">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autoRedefine/>
    <w:qFormat/>
    <w:uiPriority w:val="39"/>
  </w:style>
  <w:style w:type="paragraph" w:styleId="21">
    <w:name w:val="toc 2"/>
    <w:basedOn w:val="1"/>
    <w:next w:val="1"/>
    <w:autoRedefine/>
    <w:qFormat/>
    <w:uiPriority w:val="39"/>
    <w:pPr>
      <w:tabs>
        <w:tab w:val="left" w:pos="840"/>
        <w:tab w:val="right" w:leader="dot" w:pos="9061"/>
      </w:tabs>
      <w:ind w:left="420" w:leftChars="200"/>
    </w:pPr>
  </w:style>
  <w:style w:type="paragraph" w:styleId="22">
    <w:name w:val="Body Text 2"/>
    <w:basedOn w:val="1"/>
    <w:next w:val="9"/>
    <w:autoRedefine/>
    <w:qFormat/>
    <w:uiPriority w:val="0"/>
    <w:pPr>
      <w:spacing w:after="120" w:line="480" w:lineRule="auto"/>
    </w:pPr>
  </w:style>
  <w:style w:type="paragraph" w:styleId="23">
    <w:name w:val="Normal (Web)"/>
    <w:basedOn w:val="1"/>
    <w:autoRedefine/>
    <w:qFormat/>
    <w:uiPriority w:val="0"/>
    <w:pPr>
      <w:widowControl/>
      <w:spacing w:before="100" w:beforeAutospacing="1" w:after="100" w:afterAutospacing="1" w:line="320" w:lineRule="atLeast"/>
      <w:jc w:val="left"/>
    </w:pPr>
    <w:rPr>
      <w:rFonts w:ascii="宋体" w:hAnsi="宋体"/>
      <w:kern w:val="0"/>
      <w:sz w:val="18"/>
      <w:szCs w:val="18"/>
    </w:rPr>
  </w:style>
  <w:style w:type="paragraph" w:styleId="24">
    <w:name w:val="Title"/>
    <w:basedOn w:val="1"/>
    <w:next w:val="1"/>
    <w:autoRedefine/>
    <w:qFormat/>
    <w:uiPriority w:val="0"/>
    <w:pPr>
      <w:spacing w:before="240" w:after="60"/>
      <w:jc w:val="center"/>
      <w:outlineLvl w:val="0"/>
    </w:pPr>
    <w:rPr>
      <w:rFonts w:ascii="Cambria" w:hAnsi="Cambria" w:eastAsia="Times New Roman"/>
      <w:b/>
      <w:kern w:val="0"/>
      <w:sz w:val="32"/>
      <w:szCs w:val="32"/>
    </w:rPr>
  </w:style>
  <w:style w:type="paragraph" w:styleId="25">
    <w:name w:val="Body Text First Indent"/>
    <w:basedOn w:val="9"/>
    <w:next w:val="26"/>
    <w:autoRedefine/>
    <w:qFormat/>
    <w:uiPriority w:val="0"/>
    <w:pPr>
      <w:ind w:firstLine="420" w:firstLineChars="100"/>
    </w:pPr>
    <w:rPr>
      <w:rFonts w:eastAsia="楷体_GB2312"/>
    </w:rPr>
  </w:style>
  <w:style w:type="paragraph" w:styleId="26">
    <w:name w:val="Body Text First Indent 2"/>
    <w:basedOn w:val="10"/>
    <w:next w:val="27"/>
    <w:autoRedefine/>
    <w:unhideWhenUsed/>
    <w:qFormat/>
    <w:uiPriority w:val="99"/>
    <w:pPr>
      <w:ind w:firstLine="420" w:firstLineChars="200"/>
    </w:pPr>
  </w:style>
  <w:style w:type="paragraph" w:customStyle="1" w:styleId="27">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table" w:styleId="29">
    <w:name w:val="Table Grid"/>
    <w:basedOn w:val="28"/>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page number"/>
    <w:basedOn w:val="30"/>
    <w:autoRedefine/>
    <w:qFormat/>
    <w:uiPriority w:val="0"/>
  </w:style>
  <w:style w:type="character" w:styleId="32">
    <w:name w:val="FollowedHyperlink"/>
    <w:basedOn w:val="30"/>
    <w:autoRedefine/>
    <w:qFormat/>
    <w:uiPriority w:val="0"/>
    <w:rPr>
      <w:color w:val="333333"/>
      <w:u w:val="none"/>
    </w:rPr>
  </w:style>
  <w:style w:type="character" w:styleId="33">
    <w:name w:val="Emphasis"/>
    <w:basedOn w:val="30"/>
    <w:autoRedefine/>
    <w:qFormat/>
    <w:uiPriority w:val="0"/>
  </w:style>
  <w:style w:type="character" w:styleId="34">
    <w:name w:val="Hyperlink"/>
    <w:basedOn w:val="30"/>
    <w:autoRedefine/>
    <w:qFormat/>
    <w:uiPriority w:val="99"/>
    <w:rPr>
      <w:color w:val="0000FF"/>
      <w:u w:val="single"/>
    </w:rPr>
  </w:style>
  <w:style w:type="character" w:customStyle="1" w:styleId="35">
    <w:name w:val="标题 1 字符"/>
    <w:basedOn w:val="30"/>
    <w:link w:val="3"/>
    <w:autoRedefine/>
    <w:qFormat/>
    <w:uiPriority w:val="0"/>
    <w:rPr>
      <w:rFonts w:ascii="Times New Roman" w:hAnsi="Times New Roman"/>
      <w:b/>
      <w:bCs/>
      <w:kern w:val="44"/>
      <w:sz w:val="32"/>
      <w:szCs w:val="44"/>
    </w:rPr>
  </w:style>
  <w:style w:type="paragraph" w:customStyle="1" w:styleId="36">
    <w:name w:val="正文（缩进）"/>
    <w:basedOn w:val="1"/>
    <w:autoRedefine/>
    <w:qFormat/>
    <w:uiPriority w:val="0"/>
    <w:pPr>
      <w:ind w:firstLine="480" w:firstLineChars="200"/>
    </w:pPr>
  </w:style>
  <w:style w:type="paragraph" w:customStyle="1" w:styleId="37">
    <w:name w:val="Default"/>
    <w:basedOn w:val="14"/>
    <w:autoRedefine/>
    <w:qFormat/>
    <w:uiPriority w:val="0"/>
    <w:pPr>
      <w:autoSpaceDE w:val="0"/>
      <w:autoSpaceDN w:val="0"/>
      <w:adjustRightInd w:val="0"/>
    </w:pPr>
    <w:rPr>
      <w:rFonts w:hAnsi="Times New Roman" w:cs="宋体"/>
      <w:color w:val="000000"/>
      <w:sz w:val="24"/>
      <w:szCs w:val="24"/>
    </w:rPr>
  </w:style>
  <w:style w:type="paragraph" w:customStyle="1" w:styleId="38">
    <w:name w:val="大标题"/>
    <w:basedOn w:val="1"/>
    <w:next w:val="26"/>
    <w:autoRedefine/>
    <w:qFormat/>
    <w:uiPriority w:val="0"/>
    <w:pPr>
      <w:jc w:val="center"/>
    </w:pPr>
    <w:rPr>
      <w:rFonts w:ascii="Arial" w:hAnsi="Arial"/>
      <w:b/>
      <w:sz w:val="28"/>
    </w:rPr>
  </w:style>
  <w:style w:type="character" w:customStyle="1" w:styleId="39">
    <w:name w:val="CharAttribute17"/>
    <w:autoRedefine/>
    <w:qFormat/>
    <w:uiPriority w:val="99"/>
    <w:rPr>
      <w:rFonts w:ascii="¨¦?????" w:hAnsi="¨¦?????" w:cs="¨¦?????"/>
      <w:b/>
      <w:bCs/>
      <w:sz w:val="31"/>
      <w:szCs w:val="31"/>
    </w:rPr>
  </w:style>
  <w:style w:type="character" w:customStyle="1" w:styleId="40">
    <w:name w:val="CharAttribute11"/>
    <w:autoRedefine/>
    <w:qFormat/>
    <w:uiPriority w:val="0"/>
    <w:rPr>
      <w:rFonts w:ascii="??????" w:hAnsi="??????" w:cs="??????"/>
      <w:sz w:val="21"/>
      <w:szCs w:val="21"/>
    </w:rPr>
  </w:style>
  <w:style w:type="paragraph" w:customStyle="1" w:styleId="41">
    <w:name w:val="ParaAttribute12"/>
    <w:autoRedefine/>
    <w:qFormat/>
    <w:uiPriority w:val="99"/>
    <w:pPr>
      <w:widowControl w:val="0"/>
      <w:wordWrap w:val="0"/>
      <w:spacing w:line="240" w:lineRule="exact"/>
    </w:pPr>
    <w:rPr>
      <w:rFonts w:ascii="Times New Roman" w:hAnsi="Times New Roman" w:eastAsia="宋体" w:cs="Times New Roman"/>
      <w:sz w:val="21"/>
      <w:szCs w:val="22"/>
      <w:lang w:val="en-US" w:eastAsia="zh-CN" w:bidi="ar-SA"/>
    </w:rPr>
  </w:style>
  <w:style w:type="character" w:customStyle="1" w:styleId="42">
    <w:name w:val="CharAttribute13"/>
    <w:autoRedefine/>
    <w:qFormat/>
    <w:uiPriority w:val="0"/>
    <w:rPr>
      <w:rFonts w:ascii="Times New" w:hAnsi="Times New" w:cs="Times New"/>
      <w:sz w:val="21"/>
      <w:szCs w:val="21"/>
    </w:rPr>
  </w:style>
  <w:style w:type="paragraph" w:customStyle="1" w:styleId="43">
    <w:name w:val="样式 标题 3 + (中文) 黑体 小四 非加粗 段前: 7.8 磅 段后: 0 磅 行距: 固定值 20 磅"/>
    <w:basedOn w:val="5"/>
    <w:autoRedefine/>
    <w:qFormat/>
    <w:uiPriority w:val="0"/>
    <w:pPr>
      <w:spacing w:before="0" w:after="0" w:line="400" w:lineRule="exact"/>
    </w:pPr>
    <w:rPr>
      <w:rFonts w:eastAsia="黑体"/>
      <w:sz w:val="24"/>
      <w:szCs w:val="20"/>
    </w:rPr>
  </w:style>
  <w:style w:type="character" w:customStyle="1" w:styleId="44">
    <w:name w:val="apple-converted-space"/>
    <w:basedOn w:val="30"/>
    <w:autoRedefine/>
    <w:qFormat/>
    <w:uiPriority w:val="0"/>
  </w:style>
  <w:style w:type="paragraph" w:customStyle="1" w:styleId="45">
    <w:name w:val="style11"/>
    <w:basedOn w:val="1"/>
    <w:autoRedefine/>
    <w:qFormat/>
    <w:uiPriority w:val="0"/>
    <w:pPr>
      <w:widowControl/>
      <w:spacing w:before="100" w:beforeAutospacing="1" w:after="100" w:afterAutospacing="1"/>
      <w:jc w:val="left"/>
    </w:pPr>
    <w:rPr>
      <w:rFonts w:hint="eastAsia" w:ascii="宋体" w:hAnsi="宋体"/>
      <w:kern w:val="0"/>
      <w:sz w:val="24"/>
      <w:szCs w:val="22"/>
    </w:rPr>
  </w:style>
  <w:style w:type="paragraph" w:customStyle="1" w:styleId="46">
    <w:name w:val="无间隔1"/>
    <w:basedOn w:val="1"/>
    <w:next w:val="7"/>
    <w:autoRedefine/>
    <w:qFormat/>
    <w:uiPriority w:val="0"/>
    <w:pPr>
      <w:widowControl/>
      <w:adjustRightInd w:val="0"/>
      <w:snapToGrid w:val="0"/>
      <w:jc w:val="left"/>
    </w:pPr>
    <w:rPr>
      <w:rFonts w:ascii="Tahoma" w:hAnsi="Tahoma" w:eastAsia="微软雅黑"/>
      <w:kern w:val="0"/>
      <w:sz w:val="22"/>
      <w:szCs w:val="22"/>
    </w:rPr>
  </w:style>
  <w:style w:type="paragraph" w:customStyle="1" w:styleId="47">
    <w:name w:val="样式 标题 2 + Times New Roman 四号 非加粗 段前: 5 磅 段后: 0 磅 行距: 固定值 20..."/>
    <w:basedOn w:val="4"/>
    <w:autoRedefine/>
    <w:qFormat/>
    <w:uiPriority w:val="0"/>
    <w:pPr>
      <w:keepNext w:val="0"/>
      <w:keepLines w:val="0"/>
      <w:spacing w:before="100" w:after="0" w:line="400" w:lineRule="exact"/>
      <w:jc w:val="left"/>
    </w:pPr>
    <w:rPr>
      <w:rFonts w:ascii="Times New Roman" w:hAnsi="Times New Roman"/>
      <w:kern w:val="0"/>
      <w:sz w:val="28"/>
      <w:szCs w:val="44"/>
    </w:rPr>
  </w:style>
  <w:style w:type="character" w:customStyle="1" w:styleId="48">
    <w:name w:val="font41"/>
    <w:basedOn w:val="30"/>
    <w:autoRedefine/>
    <w:qFormat/>
    <w:uiPriority w:val="0"/>
    <w:rPr>
      <w:rFonts w:hint="eastAsia" w:ascii="宋体" w:hAnsi="宋体" w:eastAsia="宋体" w:cs="宋体"/>
      <w:color w:val="000000"/>
      <w:sz w:val="24"/>
      <w:szCs w:val="24"/>
      <w:u w:val="none"/>
    </w:rPr>
  </w:style>
  <w:style w:type="character" w:customStyle="1" w:styleId="49">
    <w:name w:val="font11"/>
    <w:basedOn w:val="30"/>
    <w:autoRedefine/>
    <w:qFormat/>
    <w:uiPriority w:val="0"/>
    <w:rPr>
      <w:rFonts w:ascii="宋体" w:hAnsi="宋体" w:eastAsia="宋体" w:cs="宋体"/>
      <w:color w:val="000000"/>
      <w:sz w:val="24"/>
      <w:szCs w:val="24"/>
      <w:u w:val="none"/>
    </w:rPr>
  </w:style>
  <w:style w:type="paragraph" w:customStyle="1" w:styleId="50">
    <w:name w:val="ParaAttribute109"/>
    <w:autoRedefine/>
    <w:qFormat/>
    <w:uiPriority w:val="99"/>
    <w:pPr>
      <w:widowControl w:val="0"/>
      <w:wordWrap w:val="0"/>
      <w:spacing w:line="163" w:lineRule="exact"/>
    </w:pPr>
    <w:rPr>
      <w:rFonts w:ascii="Times New Roman" w:hAnsi="Times New Roman" w:eastAsia="宋体" w:cs="Times New Roman"/>
      <w:sz w:val="21"/>
      <w:szCs w:val="22"/>
      <w:lang w:val="en-US" w:eastAsia="zh-CN" w:bidi="ar-SA"/>
    </w:rPr>
  </w:style>
  <w:style w:type="paragraph" w:customStyle="1" w:styleId="51">
    <w:name w:val="List Paragraph1"/>
    <w:basedOn w:val="1"/>
    <w:autoRedefine/>
    <w:qFormat/>
    <w:uiPriority w:val="0"/>
    <w:pPr>
      <w:ind w:firstLine="420" w:firstLineChars="200"/>
    </w:pPr>
    <w:rPr>
      <w:rFonts w:ascii="Calibri" w:hAnsi="Calibri"/>
    </w:rPr>
  </w:style>
  <w:style w:type="paragraph" w:customStyle="1" w:styleId="52">
    <w:name w:val="文档正文"/>
    <w:basedOn w:val="1"/>
    <w:autoRedefine/>
    <w:qFormat/>
    <w:uiPriority w:val="0"/>
    <w:pPr>
      <w:adjustRightInd w:val="0"/>
      <w:spacing w:line="480" w:lineRule="atLeast"/>
      <w:ind w:firstLine="567"/>
      <w:textAlignment w:val="baseline"/>
    </w:pPr>
    <w:rPr>
      <w:rFonts w:ascii="Ari" w:eastAsia="Ari"/>
      <w:kern w:val="0"/>
      <w:sz w:val="28"/>
      <w:szCs w:val="20"/>
    </w:rPr>
  </w:style>
  <w:style w:type="paragraph" w:styleId="53">
    <w:name w:val="List Paragraph"/>
    <w:basedOn w:val="1"/>
    <w:link w:val="57"/>
    <w:autoRedefine/>
    <w:qFormat/>
    <w:uiPriority w:val="34"/>
    <w:pPr>
      <w:ind w:firstLine="420"/>
    </w:pPr>
  </w:style>
  <w:style w:type="character" w:customStyle="1" w:styleId="54">
    <w:name w:val="批注框文本 字符"/>
    <w:basedOn w:val="30"/>
    <w:link w:val="16"/>
    <w:autoRedefine/>
    <w:qFormat/>
    <w:uiPriority w:val="0"/>
    <w:rPr>
      <w:rFonts w:ascii="Times New Roman" w:hAnsi="Times New Roman"/>
      <w:kern w:val="2"/>
      <w:sz w:val="18"/>
      <w:szCs w:val="18"/>
    </w:rPr>
  </w:style>
  <w:style w:type="paragraph" w:customStyle="1" w:styleId="55">
    <w:name w:val="Body Text First Indent1"/>
    <w:basedOn w:val="9"/>
    <w:autoRedefine/>
    <w:qFormat/>
    <w:uiPriority w:val="99"/>
    <w:pPr>
      <w:ind w:firstLine="420"/>
    </w:pPr>
    <w:rPr>
      <w:rFonts w:ascii="Calibri" w:hAnsi="Calibri"/>
      <w:sz w:val="32"/>
    </w:rPr>
  </w:style>
  <w:style w:type="paragraph" w:customStyle="1" w:styleId="56">
    <w:name w:val="shsj2em"/>
    <w:basedOn w:val="1"/>
    <w:autoRedefine/>
    <w:qFormat/>
    <w:uiPriority w:val="0"/>
    <w:pPr>
      <w:widowControl/>
      <w:jc w:val="left"/>
    </w:pPr>
    <w:rPr>
      <w:rFonts w:ascii="宋体" w:hAnsi="宋体" w:cs="宋体"/>
      <w:kern w:val="0"/>
      <w:sz w:val="24"/>
    </w:rPr>
  </w:style>
  <w:style w:type="character" w:customStyle="1" w:styleId="57">
    <w:name w:val="列表段落 字符"/>
    <w:link w:val="53"/>
    <w:autoRedefine/>
    <w:qFormat/>
    <w:uiPriority w:val="34"/>
    <w:rPr>
      <w:rFonts w:ascii="Times New Roman" w:hAnsi="Times New Roman"/>
      <w:kern w:val="2"/>
      <w:sz w:val="21"/>
      <w:szCs w:val="24"/>
    </w:rPr>
  </w:style>
  <w:style w:type="paragraph" w:customStyle="1" w:styleId="58">
    <w:name w:val="Table Paragraph"/>
    <w:basedOn w:val="1"/>
    <w:autoRedefine/>
    <w:qFormat/>
    <w:uiPriority w:val="1"/>
    <w:rPr>
      <w:rFonts w:ascii="宋体" w:hAnsi="宋体" w:cs="宋体"/>
      <w:lang w:val="zh-CN" w:bidi="zh-CN"/>
    </w:rPr>
  </w:style>
  <w:style w:type="character" w:customStyle="1" w:styleId="59">
    <w:name w:val="green"/>
    <w:basedOn w:val="30"/>
    <w:autoRedefine/>
    <w:qFormat/>
    <w:uiPriority w:val="0"/>
    <w:rPr>
      <w:color w:val="58B200"/>
      <w:sz w:val="21"/>
      <w:szCs w:val="21"/>
    </w:rPr>
  </w:style>
  <w:style w:type="character" w:customStyle="1" w:styleId="60">
    <w:name w:val="red"/>
    <w:basedOn w:val="30"/>
    <w:autoRedefine/>
    <w:qFormat/>
    <w:uiPriority w:val="0"/>
    <w:rPr>
      <w:color w:val="FF0000"/>
      <w:sz w:val="24"/>
      <w:szCs w:val="24"/>
    </w:rPr>
  </w:style>
  <w:style w:type="character" w:customStyle="1" w:styleId="61">
    <w:name w:val="red1"/>
    <w:basedOn w:val="30"/>
    <w:autoRedefine/>
    <w:qFormat/>
    <w:uiPriority w:val="0"/>
    <w:rPr>
      <w:color w:val="FF0000"/>
      <w:sz w:val="21"/>
      <w:szCs w:val="21"/>
    </w:rPr>
  </w:style>
  <w:style w:type="character" w:customStyle="1" w:styleId="62">
    <w:name w:val="blue"/>
    <w:basedOn w:val="30"/>
    <w:autoRedefine/>
    <w:qFormat/>
    <w:uiPriority w:val="0"/>
    <w:rPr>
      <w:color w:val="0371C6"/>
      <w:sz w:val="21"/>
      <w:szCs w:val="21"/>
    </w:rPr>
  </w:style>
  <w:style w:type="character" w:customStyle="1" w:styleId="63">
    <w:name w:val="right"/>
    <w:basedOn w:val="30"/>
    <w:autoRedefine/>
    <w:qFormat/>
    <w:uiPriority w:val="0"/>
    <w:rPr>
      <w:color w:val="999999"/>
    </w:rPr>
  </w:style>
  <w:style w:type="character" w:customStyle="1" w:styleId="64">
    <w:name w:val="right1"/>
    <w:basedOn w:val="30"/>
    <w:autoRedefine/>
    <w:qFormat/>
    <w:uiPriority w:val="0"/>
    <w:rPr>
      <w:color w:val="999999"/>
      <w:sz w:val="18"/>
      <w:szCs w:val="18"/>
    </w:rPr>
  </w:style>
  <w:style w:type="character" w:customStyle="1" w:styleId="65">
    <w:name w:val="active1"/>
    <w:basedOn w:val="30"/>
    <w:autoRedefine/>
    <w:qFormat/>
    <w:uiPriority w:val="0"/>
    <w:rPr>
      <w:color w:val="FFFFFF"/>
      <w:shd w:val="clear" w:color="auto" w:fill="2B7AFC"/>
    </w:rPr>
  </w:style>
  <w:style w:type="character" w:customStyle="1" w:styleId="66">
    <w:name w:val="fl2"/>
    <w:basedOn w:val="30"/>
    <w:autoRedefine/>
    <w:qFormat/>
    <w:uiPriority w:val="0"/>
    <w:rPr>
      <w:color w:val="666666"/>
    </w:rPr>
  </w:style>
  <w:style w:type="character" w:customStyle="1" w:styleId="67">
    <w:name w:val="hover24"/>
    <w:basedOn w:val="30"/>
    <w:autoRedefine/>
    <w:qFormat/>
    <w:uiPriority w:val="0"/>
  </w:style>
  <w:style w:type="character" w:customStyle="1" w:styleId="68">
    <w:name w:val="gb-jt"/>
    <w:basedOn w:val="30"/>
    <w:autoRedefine/>
    <w:qFormat/>
    <w:uiPriority w:val="0"/>
  </w:style>
  <w:style w:type="character" w:customStyle="1" w:styleId="69">
    <w:name w:val="fr4"/>
    <w:basedOn w:val="30"/>
    <w:autoRedefine/>
    <w:qFormat/>
    <w:uiPriority w:val="0"/>
  </w:style>
  <w:style w:type="character" w:customStyle="1" w:styleId="70">
    <w:name w:val="active"/>
    <w:basedOn w:val="30"/>
    <w:autoRedefine/>
    <w:qFormat/>
    <w:uiPriority w:val="0"/>
    <w:rPr>
      <w:color w:val="FFFFFF"/>
      <w:shd w:val="clear" w:color="auto" w:fill="2B7AFC"/>
    </w:rPr>
  </w:style>
  <w:style w:type="character" w:customStyle="1" w:styleId="71">
    <w:name w:val="fl"/>
    <w:basedOn w:val="30"/>
    <w:autoRedefine/>
    <w:qFormat/>
    <w:uiPriority w:val="0"/>
    <w:rPr>
      <w:color w:val="666666"/>
    </w:rPr>
  </w:style>
  <w:style w:type="character" w:customStyle="1" w:styleId="72">
    <w:name w:val="hover22"/>
    <w:basedOn w:val="30"/>
    <w:autoRedefine/>
    <w:qFormat/>
    <w:uiPriority w:val="0"/>
  </w:style>
  <w:style w:type="character" w:customStyle="1" w:styleId="73">
    <w:name w:val="red2"/>
    <w:basedOn w:val="30"/>
    <w:autoRedefine/>
    <w:qFormat/>
    <w:uiPriority w:val="0"/>
    <w:rPr>
      <w:color w:val="FF0000"/>
      <w:sz w:val="21"/>
      <w:szCs w:val="21"/>
    </w:rPr>
  </w:style>
  <w:style w:type="character" w:customStyle="1" w:styleId="74">
    <w:name w:val="red3"/>
    <w:basedOn w:val="30"/>
    <w:autoRedefine/>
    <w:qFormat/>
    <w:uiPriority w:val="0"/>
    <w:rPr>
      <w:color w:val="FF0000"/>
      <w:sz w:val="24"/>
      <w:szCs w:val="24"/>
    </w:rPr>
  </w:style>
  <w:style w:type="character" w:customStyle="1" w:styleId="75">
    <w:name w:val="active3"/>
    <w:basedOn w:val="30"/>
    <w:autoRedefine/>
    <w:qFormat/>
    <w:uiPriority w:val="0"/>
    <w:rPr>
      <w:color w:val="FFFFFF"/>
      <w:shd w:val="clear" w:color="auto" w:fill="2B7AFC"/>
    </w:rPr>
  </w:style>
  <w:style w:type="paragraph" w:customStyle="1" w:styleId="76">
    <w:name w:val="WPSOffice手动目录 1"/>
    <w:autoRedefine/>
    <w:qFormat/>
    <w:uiPriority w:val="0"/>
    <w:rPr>
      <w:rFonts w:ascii="Times New Roman" w:hAnsi="Times New Roman" w:eastAsia="宋体" w:cs="Times New Roman"/>
      <w:lang w:val="en-US" w:eastAsia="zh-CN" w:bidi="ar-SA"/>
    </w:rPr>
  </w:style>
  <w:style w:type="character" w:customStyle="1" w:styleId="77">
    <w:name w:val="15"/>
    <w:basedOn w:val="30"/>
    <w:autoRedefine/>
    <w:qFormat/>
    <w:uiPriority w:val="0"/>
    <w:rPr>
      <w:rFonts w:hint="default" w:ascii="Times New Roman" w:hAnsi="Times New Roman" w:cs="Times New Roman"/>
      <w:color w:val="333333"/>
    </w:rPr>
  </w:style>
  <w:style w:type="paragraph" w:customStyle="1" w:styleId="78">
    <w:name w:val="正文1"/>
    <w:basedOn w:val="1"/>
    <w:autoRedefine/>
    <w:qFormat/>
    <w:uiPriority w:val="0"/>
    <w:pPr>
      <w:adjustRightInd w:val="0"/>
      <w:spacing w:line="318" w:lineRule="atLeast"/>
      <w:ind w:left="369" w:firstLine="369"/>
      <w:textAlignment w:val="baseline"/>
    </w:pPr>
    <w:rPr>
      <w:rFonts w:ascii="宋体"/>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wps\addons\pool\win-i386\knewfileres_1.0.0.3\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customShpInfo spid="_x0000_s4098"/>
    <customShpInfo spid="_x0000_s4099"/>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54</Pages>
  <Words>13587</Words>
  <Characters>14689</Characters>
  <Lines>169</Lines>
  <Paragraphs>47</Paragraphs>
  <TotalTime>12</TotalTime>
  <ScaleCrop>false</ScaleCrop>
  <LinksUpToDate>false</LinksUpToDate>
  <CharactersWithSpaces>14925</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2021-11-15T03:13:00Z</dcterms:created>
  <dc:creator>你笑得就像海市蜃楼。</dc:creator>
  <cp:lastModifiedBy>方大国际工程咨询股份有限公司:方大国际工程咨询股份有限公司</cp:lastModifiedBy>
  <cp:lastPrinted>2025-04-09T08:56:00Z</cp:lastPrinted>
  <dcterms:modified xsi:type="dcterms:W3CDTF">2025-10-17T03:17:16Z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38ACB4771F34479F811DA0FE3A5FAAA4_13</vt:lpwstr>
  </property>
  <property fmtid="{D5CDD505-2E9C-101B-9397-08002B2CF9AE}" pid="4" name="KSOTemplateDocerSaveRecord">
    <vt:lpwstr>eyJoZGlkIjoiYTQ0MTQ1NWRiNDQ5Mjk1OGY4ZTE2MzAwMTFjN2M2NWEiLCJ1c2VySWQiOiI1MDk3NzMxMTIifQ==</vt:lpwstr>
  </property>
</Properties>
</file>