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6A367">
      <w:pPr>
        <w:pStyle w:val="2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微软雅黑" w:hAnsi="微软雅黑" w:eastAsia="微软雅黑" w:cs="微软雅黑"/>
          <w:b/>
          <w:spacing w:val="20"/>
          <w:sz w:val="72"/>
          <w:szCs w:val="72"/>
          <w:highlight w:val="none"/>
        </w:rPr>
      </w:pPr>
      <w:bookmarkStart w:id="0" w:name="OLE_LINK24"/>
      <w:r>
        <w:rPr>
          <w:rFonts w:hint="eastAsia" w:ascii="微软雅黑" w:hAnsi="微软雅黑" w:eastAsia="微软雅黑" w:cs="微软雅黑"/>
          <w:b/>
          <w:bCs/>
          <w:sz w:val="48"/>
          <w:szCs w:val="48"/>
          <w:highlight w:val="none"/>
          <w:lang w:val="en-US" w:eastAsia="zh-CN"/>
        </w:rPr>
        <w:t>2025年义务教育薄弱环节改善与能力提升项目（杞县南关小学、大同实验小学等三所学校录播教室）二次</w:t>
      </w:r>
    </w:p>
    <w:p w14:paraId="08D0EBFD">
      <w:pPr>
        <w:bidi w:val="0"/>
        <w:jc w:val="center"/>
        <w:rPr>
          <w:rFonts w:hint="eastAsia" w:ascii="微软雅黑" w:hAnsi="微软雅黑" w:eastAsia="微软雅黑" w:cs="微软雅黑"/>
          <w:b/>
          <w:bCs/>
          <w:sz w:val="32"/>
          <w:szCs w:val="32"/>
          <w:highlight w:val="none"/>
          <w:lang w:eastAsia="zh-CN"/>
        </w:rPr>
      </w:pPr>
    </w:p>
    <w:p w14:paraId="448E810F">
      <w:pPr>
        <w:pStyle w:val="3"/>
        <w:rPr>
          <w:rFonts w:hint="eastAsia"/>
          <w:highlight w:val="none"/>
          <w:lang w:eastAsia="zh-CN"/>
        </w:rPr>
      </w:pPr>
    </w:p>
    <w:p w14:paraId="071C2E01">
      <w:pPr>
        <w:bidi w:val="0"/>
        <w:jc w:val="center"/>
        <w:rPr>
          <w:rFonts w:hint="eastAsia" w:ascii="微软雅黑" w:hAnsi="微软雅黑" w:eastAsia="微软雅黑" w:cs="微软雅黑"/>
          <w:b/>
          <w:spacing w:val="20"/>
          <w:sz w:val="72"/>
          <w:szCs w:val="72"/>
          <w:highlight w:val="none"/>
        </w:rPr>
      </w:pPr>
      <w:r>
        <w:rPr>
          <w:rFonts w:hint="eastAsia" w:ascii="微软雅黑" w:hAnsi="微软雅黑" w:eastAsia="微软雅黑" w:cs="微软雅黑"/>
          <w:b/>
          <w:spacing w:val="20"/>
          <w:sz w:val="72"/>
          <w:szCs w:val="72"/>
          <w:highlight w:val="none"/>
        </w:rPr>
        <w:t>招标文件</w:t>
      </w:r>
    </w:p>
    <w:p w14:paraId="66DF2165">
      <w:pPr>
        <w:spacing w:before="156" w:beforeLines="50" w:line="360" w:lineRule="auto"/>
        <w:jc w:val="center"/>
        <w:rPr>
          <w:rFonts w:hint="eastAsia" w:ascii="微软雅黑" w:hAnsi="微软雅黑" w:eastAsia="微软雅黑" w:cs="微软雅黑"/>
          <w:highlight w:val="none"/>
        </w:rPr>
      </w:pPr>
      <w:r>
        <w:rPr>
          <w:rFonts w:hint="eastAsia" w:ascii="微软雅黑" w:hAnsi="微软雅黑" w:eastAsia="微软雅黑" w:cs="微软雅黑"/>
          <w:b/>
          <w:sz w:val="32"/>
          <w:szCs w:val="36"/>
          <w:highlight w:val="none"/>
        </w:rPr>
        <w:t xml:space="preserve">项目编号:汴杞财招标采购-2025-53 </w:t>
      </w:r>
      <w:bookmarkStart w:id="1" w:name="OLE_LINK10"/>
    </w:p>
    <w:p w14:paraId="797CFDE9">
      <w:pPr>
        <w:pStyle w:val="21"/>
        <w:rPr>
          <w:rFonts w:hint="eastAsia" w:ascii="微软雅黑" w:hAnsi="微软雅黑" w:eastAsia="微软雅黑" w:cs="微软雅黑"/>
          <w:highlight w:val="none"/>
        </w:rPr>
      </w:pPr>
    </w:p>
    <w:p w14:paraId="4E05B4DD">
      <w:pPr>
        <w:pStyle w:val="21"/>
        <w:rPr>
          <w:rFonts w:hint="eastAsia" w:ascii="微软雅黑" w:hAnsi="微软雅黑" w:eastAsia="微软雅黑" w:cs="微软雅黑"/>
          <w:highlight w:val="none"/>
        </w:rPr>
      </w:pPr>
    </w:p>
    <w:p w14:paraId="4097E51C">
      <w:pPr>
        <w:pStyle w:val="21"/>
        <w:rPr>
          <w:rFonts w:hint="eastAsia" w:ascii="微软雅黑" w:hAnsi="微软雅黑" w:eastAsia="微软雅黑" w:cs="微软雅黑"/>
          <w:highlight w:val="none"/>
        </w:rPr>
      </w:pPr>
    </w:p>
    <w:p w14:paraId="503F6AFD">
      <w:pPr>
        <w:pStyle w:val="21"/>
        <w:rPr>
          <w:rFonts w:hint="eastAsia" w:ascii="微软雅黑" w:hAnsi="微软雅黑" w:eastAsia="微软雅黑" w:cs="微软雅黑"/>
          <w:highlight w:val="none"/>
        </w:rPr>
      </w:pPr>
    </w:p>
    <w:p w14:paraId="65CD8E88">
      <w:pPr>
        <w:pStyle w:val="21"/>
        <w:rPr>
          <w:rFonts w:hint="eastAsia" w:ascii="微软雅黑" w:hAnsi="微软雅黑" w:eastAsia="微软雅黑" w:cs="微软雅黑"/>
          <w:highlight w:val="none"/>
        </w:rPr>
      </w:pPr>
    </w:p>
    <w:p w14:paraId="78F06754">
      <w:pPr>
        <w:pStyle w:val="21"/>
        <w:rPr>
          <w:rFonts w:hint="eastAsia" w:ascii="微软雅黑" w:hAnsi="微软雅黑" w:eastAsia="微软雅黑" w:cs="微软雅黑"/>
          <w:highlight w:val="none"/>
        </w:rPr>
      </w:pPr>
    </w:p>
    <w:p w14:paraId="5C525D00">
      <w:pPr>
        <w:pStyle w:val="21"/>
        <w:rPr>
          <w:rFonts w:hint="eastAsia" w:ascii="微软雅黑" w:hAnsi="微软雅黑" w:eastAsia="微软雅黑" w:cs="微软雅黑"/>
          <w:highlight w:val="none"/>
        </w:rPr>
      </w:pPr>
    </w:p>
    <w:p w14:paraId="5C4C75B5">
      <w:pPr>
        <w:pStyle w:val="21"/>
        <w:rPr>
          <w:rFonts w:hint="eastAsia" w:ascii="微软雅黑" w:hAnsi="微软雅黑" w:eastAsia="微软雅黑" w:cs="微软雅黑"/>
          <w:highlight w:val="none"/>
        </w:rPr>
      </w:pPr>
    </w:p>
    <w:p w14:paraId="2E7BBD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微软雅黑" w:hAnsi="微软雅黑" w:eastAsia="微软雅黑" w:cs="微软雅黑"/>
          <w:b/>
          <w:sz w:val="32"/>
          <w:szCs w:val="36"/>
          <w:highlight w:val="none"/>
          <w:lang w:val="en-US" w:eastAsia="zh-CN"/>
        </w:rPr>
      </w:pPr>
      <w:r>
        <w:rPr>
          <w:rFonts w:hint="eastAsia" w:ascii="微软雅黑" w:hAnsi="微软雅黑" w:eastAsia="微软雅黑" w:cs="微软雅黑"/>
          <w:b/>
          <w:sz w:val="32"/>
          <w:szCs w:val="36"/>
          <w:highlight w:val="none"/>
        </w:rPr>
        <w:t>招标人：</w:t>
      </w:r>
      <w:r>
        <w:rPr>
          <w:rFonts w:hint="eastAsia" w:ascii="微软雅黑" w:hAnsi="微软雅黑" w:eastAsia="微软雅黑" w:cs="微软雅黑"/>
          <w:b/>
          <w:sz w:val="32"/>
          <w:szCs w:val="36"/>
          <w:highlight w:val="none"/>
          <w:lang w:eastAsia="zh-CN"/>
        </w:rPr>
        <w:t>杞县教育体育局</w:t>
      </w:r>
    </w:p>
    <w:p w14:paraId="38D754D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微软雅黑" w:hAnsi="微软雅黑" w:eastAsia="微软雅黑" w:cs="微软雅黑"/>
          <w:b/>
          <w:sz w:val="32"/>
          <w:szCs w:val="36"/>
          <w:highlight w:val="none"/>
          <w:lang w:eastAsia="zh-CN"/>
        </w:rPr>
      </w:pPr>
      <w:r>
        <w:rPr>
          <w:rFonts w:hint="eastAsia" w:ascii="微软雅黑" w:hAnsi="微软雅黑" w:eastAsia="微软雅黑" w:cs="微软雅黑"/>
          <w:b/>
          <w:sz w:val="32"/>
          <w:szCs w:val="36"/>
          <w:highlight w:val="none"/>
        </w:rPr>
        <w:t>招标代理机构：</w:t>
      </w:r>
      <w:bookmarkStart w:id="2" w:name="OLE_LINK19"/>
      <w:r>
        <w:rPr>
          <w:rFonts w:hint="eastAsia" w:ascii="微软雅黑" w:hAnsi="微软雅黑" w:eastAsia="微软雅黑" w:cs="微软雅黑"/>
          <w:b/>
          <w:sz w:val="32"/>
          <w:szCs w:val="36"/>
          <w:highlight w:val="none"/>
          <w:lang w:eastAsia="zh-CN"/>
        </w:rPr>
        <w:t>中海域安项目管理咨询有限公司</w:t>
      </w:r>
    </w:p>
    <w:p w14:paraId="189D318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微软雅黑" w:hAnsi="微软雅黑" w:eastAsia="微软雅黑" w:cs="微软雅黑"/>
          <w:b/>
          <w:sz w:val="32"/>
          <w:szCs w:val="36"/>
          <w:highlight w:val="none"/>
        </w:rPr>
      </w:pP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sz w:val="32"/>
          <w:szCs w:val="36"/>
          <w:highlight w:val="none"/>
        </w:rPr>
        <w:t>日期：</w:t>
      </w:r>
      <w:bookmarkEnd w:id="1"/>
      <w:bookmarkEnd w:id="2"/>
      <w:r>
        <w:rPr>
          <w:rFonts w:hint="eastAsia" w:ascii="微软雅黑" w:hAnsi="微软雅黑" w:eastAsia="微软雅黑" w:cs="微软雅黑"/>
          <w:b/>
          <w:sz w:val="32"/>
          <w:szCs w:val="36"/>
          <w:highlight w:val="none"/>
        </w:rPr>
        <w:t>二</w:t>
      </w:r>
      <w:r>
        <w:rPr>
          <w:rFonts w:hint="eastAsia" w:ascii="微软雅黑" w:hAnsi="微软雅黑" w:eastAsia="微软雅黑" w:cs="微软雅黑"/>
          <w:b/>
          <w:sz w:val="32"/>
          <w:szCs w:val="36"/>
          <w:highlight w:val="none"/>
          <w:lang w:val="en-US" w:eastAsia="zh-CN"/>
        </w:rPr>
        <w:t>〇</w:t>
      </w:r>
      <w:r>
        <w:rPr>
          <w:rFonts w:hint="eastAsia" w:ascii="微软雅黑" w:hAnsi="微软雅黑" w:eastAsia="微软雅黑" w:cs="微软雅黑"/>
          <w:b/>
          <w:sz w:val="32"/>
          <w:szCs w:val="36"/>
          <w:highlight w:val="none"/>
        </w:rPr>
        <w:t>二</w:t>
      </w:r>
      <w:r>
        <w:rPr>
          <w:rFonts w:hint="eastAsia" w:ascii="微软雅黑" w:hAnsi="微软雅黑" w:eastAsia="微软雅黑" w:cs="微软雅黑"/>
          <w:b/>
          <w:sz w:val="32"/>
          <w:szCs w:val="36"/>
          <w:highlight w:val="none"/>
          <w:lang w:val="en-US" w:eastAsia="zh-CN"/>
        </w:rPr>
        <w:t>五</w:t>
      </w:r>
      <w:r>
        <w:rPr>
          <w:rFonts w:hint="eastAsia" w:ascii="微软雅黑" w:hAnsi="微软雅黑" w:eastAsia="微软雅黑" w:cs="微软雅黑"/>
          <w:b/>
          <w:sz w:val="32"/>
          <w:szCs w:val="36"/>
          <w:highlight w:val="none"/>
        </w:rPr>
        <w:t>年</w:t>
      </w:r>
      <w:r>
        <w:rPr>
          <w:rFonts w:hint="eastAsia" w:ascii="微软雅黑" w:hAnsi="微软雅黑" w:eastAsia="微软雅黑" w:cs="微软雅黑"/>
          <w:b/>
          <w:sz w:val="32"/>
          <w:szCs w:val="36"/>
          <w:highlight w:val="none"/>
          <w:lang w:val="en-US" w:eastAsia="zh-CN"/>
        </w:rPr>
        <w:t>十二</w:t>
      </w:r>
      <w:r>
        <w:rPr>
          <w:rFonts w:hint="eastAsia" w:ascii="微软雅黑" w:hAnsi="微软雅黑" w:eastAsia="微软雅黑" w:cs="微软雅黑"/>
          <w:b/>
          <w:sz w:val="32"/>
          <w:szCs w:val="36"/>
          <w:highlight w:val="none"/>
        </w:rPr>
        <w:t>月</w:t>
      </w:r>
    </w:p>
    <w:p w14:paraId="105A2305">
      <w:pPr>
        <w:pStyle w:val="22"/>
        <w:rPr>
          <w:rFonts w:hint="eastAsia" w:ascii="微软雅黑" w:hAnsi="微软雅黑" w:eastAsia="微软雅黑" w:cs="微软雅黑"/>
          <w:highlight w:val="none"/>
        </w:rPr>
      </w:pPr>
    </w:p>
    <w:p w14:paraId="6861FAD6">
      <w:pPr>
        <w:pStyle w:val="23"/>
        <w:rPr>
          <w:rFonts w:hint="eastAsia" w:ascii="微软雅黑" w:hAnsi="微软雅黑" w:eastAsia="微软雅黑" w:cs="微软雅黑"/>
          <w:highlight w:val="none"/>
        </w:rPr>
        <w:sectPr>
          <w:footerReference r:id="rId4" w:type="first"/>
          <w:headerReference r:id="rId3" w:type="default"/>
          <w:pgSz w:w="11900" w:h="16821"/>
          <w:pgMar w:top="1417" w:right="1134" w:bottom="1417" w:left="1134" w:header="720" w:footer="720" w:gutter="0"/>
          <w:pgNumType w:start="1"/>
          <w:cols w:space="720" w:num="1"/>
          <w:rtlGutter w:val="0"/>
          <w:docGrid w:linePitch="312" w:charSpace="0"/>
        </w:sectPr>
      </w:pPr>
    </w:p>
    <w:p w14:paraId="50D6549C">
      <w:pPr>
        <w:pStyle w:val="22"/>
        <w:tabs>
          <w:tab w:val="right" w:leader="dot" w:pos="9638"/>
        </w:tabs>
        <w:spacing w:before="624" w:beforeLines="200" w:after="624" w:afterLines="200" w:line="360" w:lineRule="auto"/>
        <w:ind w:firstLine="0" w:firstLineChars="0"/>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drawing>
          <wp:inline distT="0" distB="0" distL="114300" distR="114300">
            <wp:extent cx="6108065" cy="8794750"/>
            <wp:effectExtent l="0" t="0" r="6985" b="6350"/>
            <wp:docPr id="2" name="图片 1" descr="64793723047c2d6f68d91adc43a2f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4793723047c2d6f68d91adc43a2fde4"/>
                    <pic:cNvPicPr>
                      <a:picLocks noChangeAspect="1"/>
                    </pic:cNvPicPr>
                  </pic:nvPicPr>
                  <pic:blipFill>
                    <a:blip r:embed="rId15"/>
                    <a:stretch>
                      <a:fillRect/>
                    </a:stretch>
                  </pic:blipFill>
                  <pic:spPr>
                    <a:xfrm>
                      <a:off x="0" y="0"/>
                      <a:ext cx="6108065" cy="8794750"/>
                    </a:xfrm>
                    <a:prstGeom prst="rect">
                      <a:avLst/>
                    </a:prstGeom>
                    <a:noFill/>
                    <a:ln>
                      <a:noFill/>
                    </a:ln>
                  </pic:spPr>
                </pic:pic>
              </a:graphicData>
            </a:graphic>
          </wp:inline>
        </w:drawing>
      </w:r>
      <w:r>
        <w:rPr>
          <w:rFonts w:hint="eastAsia" w:ascii="微软雅黑" w:hAnsi="微软雅黑" w:eastAsia="微软雅黑" w:cs="微软雅黑"/>
          <w:b/>
          <w:bCs/>
          <w:color w:val="000000"/>
          <w:sz w:val="36"/>
          <w:szCs w:val="36"/>
          <w:highlight w:val="none"/>
        </w:rPr>
        <w:t>目  录</w:t>
      </w:r>
    </w:p>
    <w:p w14:paraId="665CBF74">
      <w:pPr>
        <w:pStyle w:val="9"/>
        <w:tabs>
          <w:tab w:val="right" w:leader="dot" w:pos="9638"/>
        </w:tabs>
        <w:spacing w:line="480" w:lineRule="auto"/>
        <w:ind w:left="0" w:leftChars="0"/>
        <w:rPr>
          <w:rFonts w:hint="eastAsia" w:ascii="微软雅黑" w:hAnsi="微软雅黑" w:eastAsia="微软雅黑" w:cs="微软雅黑"/>
          <w:sz w:val="24"/>
          <w:highlight w:val="none"/>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color w:val="000000"/>
          <w:sz w:val="24"/>
          <w:highlight w:val="none"/>
        </w:rPr>
        <w:instrText xml:space="preserve">TOC \o "1-3" \h \u </w:instrText>
      </w:r>
      <w:r>
        <w:rPr>
          <w:rFonts w:hint="eastAsia" w:ascii="微软雅黑" w:hAnsi="微软雅黑" w:eastAsia="微软雅黑" w:cs="微软雅黑"/>
          <w:bCs/>
          <w:color w:val="000000"/>
          <w:sz w:val="24"/>
          <w:highlight w:val="none"/>
        </w:rPr>
        <w:fldChar w:fldCharType="separate"/>
      </w: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_Toc28110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第一章 招标公告</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1</w:t>
      </w:r>
      <w:r>
        <w:rPr>
          <w:rFonts w:hint="eastAsia" w:ascii="微软雅黑" w:hAnsi="微软雅黑" w:eastAsia="微软雅黑" w:cs="微软雅黑"/>
          <w:bCs/>
          <w:color w:val="000000"/>
          <w:sz w:val="24"/>
          <w:highlight w:val="none"/>
        </w:rPr>
        <w:fldChar w:fldCharType="end"/>
      </w:r>
    </w:p>
    <w:p w14:paraId="532FC4F3">
      <w:pPr>
        <w:pStyle w:val="9"/>
        <w:tabs>
          <w:tab w:val="right" w:leader="dot" w:pos="9638"/>
        </w:tabs>
        <w:spacing w:line="480" w:lineRule="auto"/>
        <w:ind w:left="0" w:leftChars="0"/>
        <w:rPr>
          <w:rFonts w:hint="eastAsia" w:ascii="微软雅黑" w:hAnsi="微软雅黑" w:eastAsia="微软雅黑" w:cs="微软雅黑"/>
          <w:sz w:val="24"/>
          <w:highlight w:val="none"/>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_Toc29491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第二章 投标人须知</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fldChar w:fldCharType="begin"/>
      </w:r>
      <w:r>
        <w:rPr>
          <w:rFonts w:hint="eastAsia" w:ascii="微软雅黑" w:hAnsi="微软雅黑" w:eastAsia="微软雅黑" w:cs="微软雅黑"/>
          <w:sz w:val="24"/>
          <w:highlight w:val="none"/>
        </w:rPr>
        <w:instrText xml:space="preserve"> PAGEREF _Toc29491 \h </w:instrText>
      </w:r>
      <w:r>
        <w:rPr>
          <w:rFonts w:hint="eastAsia" w:ascii="微软雅黑" w:hAnsi="微软雅黑" w:eastAsia="微软雅黑" w:cs="微软雅黑"/>
          <w:sz w:val="24"/>
          <w:highlight w:val="none"/>
        </w:rPr>
        <w:fldChar w:fldCharType="separate"/>
      </w:r>
      <w:r>
        <w:rPr>
          <w:rFonts w:hint="eastAsia" w:ascii="微软雅黑" w:hAnsi="微软雅黑" w:eastAsia="微软雅黑" w:cs="微软雅黑"/>
          <w:sz w:val="24"/>
          <w:highlight w:val="none"/>
        </w:rPr>
        <w:t>5</w:t>
      </w:r>
      <w:r>
        <w:rPr>
          <w:rFonts w:hint="eastAsia" w:ascii="微软雅黑" w:hAnsi="微软雅黑" w:eastAsia="微软雅黑" w:cs="微软雅黑"/>
          <w:sz w:val="24"/>
          <w:highlight w:val="none"/>
        </w:rPr>
        <w:fldChar w:fldCharType="end"/>
      </w:r>
      <w:r>
        <w:rPr>
          <w:rFonts w:hint="eastAsia" w:ascii="微软雅黑" w:hAnsi="微软雅黑" w:eastAsia="微软雅黑" w:cs="微软雅黑"/>
          <w:bCs/>
          <w:color w:val="000000"/>
          <w:sz w:val="24"/>
          <w:highlight w:val="none"/>
        </w:rPr>
        <w:fldChar w:fldCharType="end"/>
      </w:r>
    </w:p>
    <w:p w14:paraId="5C5448BD">
      <w:pPr>
        <w:pStyle w:val="9"/>
        <w:tabs>
          <w:tab w:val="right" w:leader="dot" w:pos="9638"/>
        </w:tabs>
        <w:spacing w:line="480" w:lineRule="auto"/>
        <w:ind w:left="0" w:leftChars="0"/>
        <w:rPr>
          <w:rFonts w:hint="eastAsia" w:ascii="微软雅黑" w:hAnsi="微软雅黑" w:eastAsia="微软雅黑" w:cs="微软雅黑"/>
          <w:sz w:val="24"/>
          <w:highlight w:val="none"/>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_Toc3941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第三章 评标办法</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fldChar w:fldCharType="begin"/>
      </w:r>
      <w:r>
        <w:rPr>
          <w:rFonts w:hint="eastAsia" w:ascii="微软雅黑" w:hAnsi="微软雅黑" w:eastAsia="微软雅黑" w:cs="微软雅黑"/>
          <w:sz w:val="24"/>
          <w:highlight w:val="none"/>
        </w:rPr>
        <w:instrText xml:space="preserve"> PAGEREF _Toc3941 \h </w:instrText>
      </w:r>
      <w:r>
        <w:rPr>
          <w:rFonts w:hint="eastAsia" w:ascii="微软雅黑" w:hAnsi="微软雅黑" w:eastAsia="微软雅黑" w:cs="微软雅黑"/>
          <w:sz w:val="24"/>
          <w:highlight w:val="none"/>
        </w:rPr>
        <w:fldChar w:fldCharType="separate"/>
      </w:r>
      <w:r>
        <w:rPr>
          <w:rFonts w:hint="eastAsia" w:ascii="微软雅黑" w:hAnsi="微软雅黑" w:eastAsia="微软雅黑" w:cs="微软雅黑"/>
          <w:sz w:val="24"/>
          <w:highlight w:val="none"/>
        </w:rPr>
        <w:t>24</w:t>
      </w:r>
      <w:r>
        <w:rPr>
          <w:rFonts w:hint="eastAsia" w:ascii="微软雅黑" w:hAnsi="微软雅黑" w:eastAsia="微软雅黑" w:cs="微软雅黑"/>
          <w:sz w:val="24"/>
          <w:highlight w:val="none"/>
        </w:rPr>
        <w:fldChar w:fldCharType="end"/>
      </w:r>
      <w:r>
        <w:rPr>
          <w:rFonts w:hint="eastAsia" w:ascii="微软雅黑" w:hAnsi="微软雅黑" w:eastAsia="微软雅黑" w:cs="微软雅黑"/>
          <w:bCs/>
          <w:color w:val="000000"/>
          <w:sz w:val="24"/>
          <w:highlight w:val="none"/>
        </w:rPr>
        <w:fldChar w:fldCharType="end"/>
      </w:r>
    </w:p>
    <w:p w14:paraId="3BDF5CD6">
      <w:pPr>
        <w:pStyle w:val="9"/>
        <w:tabs>
          <w:tab w:val="right" w:leader="dot" w:pos="9638"/>
        </w:tabs>
        <w:spacing w:line="480" w:lineRule="auto"/>
        <w:ind w:left="0" w:leftChars="0"/>
        <w:rPr>
          <w:rFonts w:hint="eastAsia" w:ascii="微软雅黑" w:hAnsi="微软雅黑" w:eastAsia="微软雅黑" w:cs="微软雅黑"/>
          <w:sz w:val="24"/>
          <w:highlight w:val="none"/>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_Toc7689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第四章 采购</w:t>
      </w:r>
      <w:r>
        <w:rPr>
          <w:rFonts w:hint="eastAsia" w:ascii="微软雅黑" w:hAnsi="微软雅黑" w:eastAsia="微软雅黑" w:cs="微软雅黑"/>
          <w:sz w:val="24"/>
          <w:highlight w:val="none"/>
          <w:lang w:val="zh-CN"/>
        </w:rPr>
        <w:t>内容</w:t>
      </w:r>
      <w:r>
        <w:rPr>
          <w:rFonts w:hint="eastAsia" w:ascii="微软雅黑" w:hAnsi="微软雅黑" w:eastAsia="微软雅黑" w:cs="微软雅黑"/>
          <w:sz w:val="24"/>
          <w:highlight w:val="none"/>
        </w:rPr>
        <w:t>及技术要求</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fldChar w:fldCharType="begin"/>
      </w:r>
      <w:r>
        <w:rPr>
          <w:rFonts w:hint="eastAsia" w:ascii="微软雅黑" w:hAnsi="微软雅黑" w:eastAsia="微软雅黑" w:cs="微软雅黑"/>
          <w:sz w:val="24"/>
          <w:highlight w:val="none"/>
        </w:rPr>
        <w:instrText xml:space="preserve"> PAGEREF _Toc7689 \h </w:instrText>
      </w:r>
      <w:r>
        <w:rPr>
          <w:rFonts w:hint="eastAsia" w:ascii="微软雅黑" w:hAnsi="微软雅黑" w:eastAsia="微软雅黑" w:cs="微软雅黑"/>
          <w:sz w:val="24"/>
          <w:highlight w:val="none"/>
        </w:rPr>
        <w:fldChar w:fldCharType="separate"/>
      </w:r>
      <w:r>
        <w:rPr>
          <w:rFonts w:hint="eastAsia" w:ascii="微软雅黑" w:hAnsi="微软雅黑" w:eastAsia="微软雅黑" w:cs="微软雅黑"/>
          <w:sz w:val="24"/>
          <w:highlight w:val="none"/>
        </w:rPr>
        <w:t>31</w:t>
      </w:r>
      <w:r>
        <w:rPr>
          <w:rFonts w:hint="eastAsia" w:ascii="微软雅黑" w:hAnsi="微软雅黑" w:eastAsia="微软雅黑" w:cs="微软雅黑"/>
          <w:sz w:val="24"/>
          <w:highlight w:val="none"/>
        </w:rPr>
        <w:fldChar w:fldCharType="end"/>
      </w:r>
      <w:r>
        <w:rPr>
          <w:rFonts w:hint="eastAsia" w:ascii="微软雅黑" w:hAnsi="微软雅黑" w:eastAsia="微软雅黑" w:cs="微软雅黑"/>
          <w:bCs/>
          <w:color w:val="000000"/>
          <w:sz w:val="24"/>
          <w:highlight w:val="none"/>
        </w:rPr>
        <w:fldChar w:fldCharType="end"/>
      </w:r>
    </w:p>
    <w:p w14:paraId="00FA51A4">
      <w:pPr>
        <w:pStyle w:val="9"/>
        <w:tabs>
          <w:tab w:val="right" w:leader="dot" w:pos="9638"/>
        </w:tabs>
        <w:spacing w:line="480" w:lineRule="auto"/>
        <w:ind w:left="0" w:leftChars="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_Toc29011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第五章 合同</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bCs/>
          <w:color w:val="000000"/>
          <w:sz w:val="24"/>
          <w:highlight w:val="none"/>
        </w:rPr>
        <w:fldChar w:fldCharType="end"/>
      </w:r>
      <w:r>
        <w:rPr>
          <w:rFonts w:hint="eastAsia" w:ascii="微软雅黑" w:hAnsi="微软雅黑" w:eastAsia="微软雅黑" w:cs="微软雅黑"/>
          <w:bCs/>
          <w:color w:val="000000"/>
          <w:sz w:val="24"/>
          <w:highlight w:val="none"/>
          <w:lang w:val="en-US" w:eastAsia="zh-CN"/>
        </w:rPr>
        <w:t>2</w:t>
      </w:r>
    </w:p>
    <w:p w14:paraId="4EFF9AA7">
      <w:pPr>
        <w:pStyle w:val="9"/>
        <w:tabs>
          <w:tab w:val="right" w:leader="dot" w:pos="9638"/>
        </w:tabs>
        <w:spacing w:line="480" w:lineRule="auto"/>
        <w:ind w:left="0" w:leftChars="0"/>
        <w:rPr>
          <w:rFonts w:hint="eastAsia" w:ascii="微软雅黑" w:hAnsi="微软雅黑" w:eastAsia="微软雅黑" w:cs="微软雅黑"/>
          <w:highlight w:val="none"/>
        </w:rPr>
      </w:pPr>
      <w:r>
        <w:rPr>
          <w:rFonts w:hint="eastAsia" w:ascii="微软雅黑" w:hAnsi="微软雅黑" w:eastAsia="微软雅黑" w:cs="微软雅黑"/>
          <w:bCs/>
          <w:color w:val="000000"/>
          <w:sz w:val="24"/>
          <w:highlight w:val="none"/>
        </w:rPr>
        <w:fldChar w:fldCharType="begin"/>
      </w:r>
      <w:r>
        <w:rPr>
          <w:rFonts w:hint="eastAsia" w:ascii="微软雅黑" w:hAnsi="微软雅黑" w:eastAsia="微软雅黑" w:cs="微软雅黑"/>
          <w:bCs/>
          <w:sz w:val="24"/>
          <w:highlight w:val="none"/>
        </w:rPr>
        <w:instrText xml:space="preserve"> HYPERLINK \l _Toc11653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sz w:val="24"/>
          <w:highlight w:val="none"/>
        </w:rPr>
        <w:t>第六章 投标文件格式</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fldChar w:fldCharType="begin"/>
      </w:r>
      <w:r>
        <w:rPr>
          <w:rFonts w:hint="eastAsia" w:ascii="微软雅黑" w:hAnsi="微软雅黑" w:eastAsia="微软雅黑" w:cs="微软雅黑"/>
          <w:sz w:val="24"/>
          <w:highlight w:val="none"/>
        </w:rPr>
        <w:instrText xml:space="preserve"> PAGEREF _Toc11653 \h </w:instrText>
      </w:r>
      <w:r>
        <w:rPr>
          <w:rFonts w:hint="eastAsia" w:ascii="微软雅黑" w:hAnsi="微软雅黑" w:eastAsia="微软雅黑" w:cs="微软雅黑"/>
          <w:sz w:val="24"/>
          <w:highlight w:val="none"/>
        </w:rPr>
        <w:fldChar w:fldCharType="separate"/>
      </w:r>
      <w:r>
        <w:rPr>
          <w:rFonts w:hint="eastAsia" w:ascii="微软雅黑" w:hAnsi="微软雅黑" w:eastAsia="微软雅黑" w:cs="微软雅黑"/>
          <w:sz w:val="24"/>
          <w:highlight w:val="none"/>
        </w:rPr>
        <w:t>73</w:t>
      </w:r>
      <w:r>
        <w:rPr>
          <w:rFonts w:hint="eastAsia" w:ascii="微软雅黑" w:hAnsi="微软雅黑" w:eastAsia="微软雅黑" w:cs="微软雅黑"/>
          <w:sz w:val="24"/>
          <w:highlight w:val="none"/>
        </w:rPr>
        <w:fldChar w:fldCharType="end"/>
      </w:r>
      <w:r>
        <w:rPr>
          <w:rFonts w:hint="eastAsia" w:ascii="微软雅黑" w:hAnsi="微软雅黑" w:eastAsia="微软雅黑" w:cs="微软雅黑"/>
          <w:bCs/>
          <w:color w:val="000000"/>
          <w:sz w:val="24"/>
          <w:highlight w:val="none"/>
        </w:rPr>
        <w:fldChar w:fldCharType="end"/>
      </w:r>
    </w:p>
    <w:p w14:paraId="530885E3">
      <w:pPr>
        <w:pStyle w:val="13"/>
        <w:tabs>
          <w:tab w:val="right" w:leader="dot" w:pos="9638"/>
        </w:tabs>
        <w:rPr>
          <w:rFonts w:hint="eastAsia" w:ascii="微软雅黑" w:hAnsi="微软雅黑" w:eastAsia="微软雅黑" w:cs="微软雅黑"/>
          <w:highlight w:val="none"/>
        </w:rPr>
      </w:pPr>
    </w:p>
    <w:p w14:paraId="7789DC16">
      <w:pPr>
        <w:widowControl/>
        <w:spacing w:line="480" w:lineRule="auto"/>
        <w:outlineLvl w:val="1"/>
        <w:rPr>
          <w:rFonts w:hint="eastAsia" w:ascii="微软雅黑" w:hAnsi="微软雅黑" w:eastAsia="微软雅黑" w:cs="微软雅黑"/>
          <w:color w:val="000000"/>
          <w:sz w:val="36"/>
          <w:szCs w:val="36"/>
          <w:highlight w:val="none"/>
        </w:rPr>
        <w:sectPr>
          <w:pgSz w:w="11900" w:h="16821"/>
          <w:pgMar w:top="1417" w:right="1134" w:bottom="1417" w:left="1134" w:header="720" w:footer="720" w:gutter="0"/>
          <w:cols w:space="720" w:num="1"/>
          <w:rtlGutter w:val="0"/>
          <w:docGrid w:linePitch="312" w:charSpace="0"/>
        </w:sectPr>
      </w:pPr>
      <w:r>
        <w:rPr>
          <w:rFonts w:hint="eastAsia" w:ascii="微软雅黑" w:hAnsi="微软雅黑" w:eastAsia="微软雅黑" w:cs="微软雅黑"/>
          <w:bCs/>
          <w:color w:val="000000"/>
          <w:highlight w:val="none"/>
        </w:rPr>
        <w:fldChar w:fldCharType="end"/>
      </w:r>
      <w:bookmarkStart w:id="3" w:name="_Toc6108"/>
      <w:bookmarkEnd w:id="3"/>
      <w:bookmarkStart w:id="4" w:name="_Toc13803"/>
      <w:bookmarkEnd w:id="4"/>
      <w:bookmarkStart w:id="5" w:name="_Toc28110"/>
    </w:p>
    <w:p w14:paraId="33E3F852">
      <w:pPr>
        <w:widowControl/>
        <w:spacing w:line="240" w:lineRule="auto"/>
        <w:jc w:val="center"/>
        <w:outlineLvl w:val="1"/>
        <w:rPr>
          <w:rFonts w:hint="eastAsia" w:ascii="微软雅黑" w:hAnsi="微软雅黑" w:eastAsia="微软雅黑" w:cs="微软雅黑"/>
          <w:b/>
          <w:bCs/>
          <w:sz w:val="36"/>
          <w:szCs w:val="44"/>
          <w:highlight w:val="none"/>
        </w:rPr>
      </w:pPr>
      <w:r>
        <w:rPr>
          <w:rFonts w:hint="eastAsia" w:ascii="微软雅黑" w:hAnsi="微软雅黑" w:eastAsia="微软雅黑" w:cs="微软雅黑"/>
          <w:b/>
          <w:bCs/>
          <w:sz w:val="36"/>
          <w:szCs w:val="44"/>
          <w:highlight w:val="none"/>
        </w:rPr>
        <w:t>第一章 招标公告</w:t>
      </w:r>
      <w:bookmarkEnd w:id="5"/>
    </w:p>
    <w:p w14:paraId="20E7562B">
      <w:pPr>
        <w:spacing w:line="400" w:lineRule="exact"/>
        <w:jc w:val="center"/>
        <w:rPr>
          <w:rFonts w:hint="eastAsia" w:ascii="微软雅黑" w:hAnsi="微软雅黑" w:eastAsia="微软雅黑" w:cs="微软雅黑"/>
          <w:b/>
          <w:bCs/>
          <w:sz w:val="32"/>
          <w:szCs w:val="32"/>
          <w:highlight w:val="none"/>
          <w:lang w:eastAsia="zh-CN"/>
        </w:rPr>
      </w:pPr>
      <w:bookmarkStart w:id="6" w:name="_Hlk528226866"/>
      <w:bookmarkStart w:id="7" w:name="_Toc339642312"/>
      <w:r>
        <w:rPr>
          <w:rFonts w:hint="eastAsia" w:ascii="微软雅黑" w:hAnsi="微软雅黑" w:eastAsia="微软雅黑" w:cs="微软雅黑"/>
          <w:b/>
          <w:bCs/>
          <w:sz w:val="32"/>
          <w:szCs w:val="32"/>
          <w:highlight w:val="none"/>
          <w:lang w:val="en-US" w:eastAsia="zh-CN"/>
        </w:rPr>
        <w:t>2025年义务教育薄弱环节改善与能力提升项目（杞县南关小学、大同实验小学等三所学校录播教室）二次-公开</w:t>
      </w:r>
      <w:r>
        <w:rPr>
          <w:rFonts w:hint="eastAsia" w:ascii="微软雅黑" w:hAnsi="微软雅黑" w:eastAsia="微软雅黑" w:cs="微软雅黑"/>
          <w:b/>
          <w:bCs/>
          <w:sz w:val="32"/>
          <w:szCs w:val="32"/>
          <w:highlight w:val="none"/>
        </w:rPr>
        <w:t>招标公告</w:t>
      </w:r>
    </w:p>
    <w:p w14:paraId="23216860">
      <w:pPr>
        <w:spacing w:line="400" w:lineRule="exact"/>
        <w:ind w:left="720"/>
        <w:rPr>
          <w:rFonts w:hint="eastAsia" w:ascii="微软雅黑" w:hAnsi="微软雅黑" w:eastAsia="微软雅黑" w:cs="微软雅黑"/>
          <w:highlight w:val="none"/>
        </w:rPr>
      </w:pPr>
    </w:p>
    <w:p w14:paraId="7D3F2997">
      <w:pPr>
        <w:pageBreakBefore w:val="0"/>
        <w:kinsoku/>
        <w:wordWrap/>
        <w:overflowPunct/>
        <w:topLinePunct w:val="0"/>
        <w:autoSpaceDE/>
        <w:autoSpaceDN/>
        <w:bidi w:val="0"/>
        <w:adjustRightInd/>
        <w:spacing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项目概况</w:t>
      </w:r>
    </w:p>
    <w:p w14:paraId="195B7C11">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2025年义务教育薄弱环节改善与能力提升项目（杞县南关小学、大同实验小学等三所学校录播教室）二次</w:t>
      </w:r>
      <w:r>
        <w:rPr>
          <w:rFonts w:hint="eastAsia" w:ascii="微软雅黑" w:hAnsi="微软雅黑" w:eastAsia="微软雅黑" w:cs="微软雅黑"/>
          <w:highlight w:val="none"/>
          <w:lang w:eastAsia="zh-CN"/>
        </w:rPr>
        <w:t>的潜在投标人应在开封市公共资源交易网（http://www.kfsggzyjyw.cn）会员系统网上下载；获取招标文件，并于202</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eastAsia="zh-CN"/>
        </w:rPr>
        <w:t>年</w:t>
      </w:r>
      <w:r>
        <w:rPr>
          <w:rFonts w:hint="eastAsia" w:ascii="微软雅黑" w:hAnsi="微软雅黑" w:eastAsia="微软雅黑" w:cs="微软雅黑"/>
          <w:highlight w:val="none"/>
          <w:lang w:val="en-US" w:eastAsia="zh-CN"/>
        </w:rPr>
        <w:t>12</w:t>
      </w:r>
      <w:r>
        <w:rPr>
          <w:rFonts w:hint="eastAsia" w:ascii="微软雅黑" w:hAnsi="微软雅黑" w:eastAsia="微软雅黑" w:cs="微软雅黑"/>
          <w:highlight w:val="none"/>
          <w:lang w:eastAsia="zh-CN"/>
        </w:rPr>
        <w:t>月</w:t>
      </w:r>
      <w:r>
        <w:rPr>
          <w:rFonts w:hint="eastAsia" w:ascii="微软雅黑" w:hAnsi="微软雅黑" w:eastAsia="微软雅黑" w:cs="微软雅黑"/>
          <w:highlight w:val="none"/>
          <w:lang w:val="en-US" w:eastAsia="zh-CN"/>
        </w:rPr>
        <w:t>26</w:t>
      </w:r>
      <w:r>
        <w:rPr>
          <w:rFonts w:hint="eastAsia" w:ascii="微软雅黑" w:hAnsi="微软雅黑" w:eastAsia="微软雅黑" w:cs="微软雅黑"/>
          <w:highlight w:val="none"/>
          <w:lang w:eastAsia="zh-CN"/>
        </w:rPr>
        <w:t>日09时30分（北京时间）前递交投标文件。</w:t>
      </w:r>
    </w:p>
    <w:p w14:paraId="4A44CBE4">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一、项目基本情况：</w:t>
      </w:r>
    </w:p>
    <w:p w14:paraId="1EB240D9">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1、采购项目编号：汴杞财招标采购-2025-53</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 xml:space="preserve"> </w:t>
      </w:r>
    </w:p>
    <w:p w14:paraId="6C6250B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2、采购项目名称：</w:t>
      </w:r>
      <w:r>
        <w:rPr>
          <w:rFonts w:hint="eastAsia" w:ascii="微软雅黑" w:hAnsi="微软雅黑" w:eastAsia="微软雅黑" w:cs="微软雅黑"/>
          <w:highlight w:val="none"/>
          <w:lang w:val="en-US" w:eastAsia="zh-CN"/>
        </w:rPr>
        <w:t>2025年义务教育薄弱环节改善与能力提升项目（杞县南关小学、大同实验小学等三所学校录播教室）二次</w:t>
      </w:r>
    </w:p>
    <w:p w14:paraId="756C9726">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3、采购方式：公开招标</w:t>
      </w:r>
    </w:p>
    <w:p w14:paraId="685B7032">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4、预算金额：</w:t>
      </w:r>
      <w:r>
        <w:rPr>
          <w:rFonts w:hint="eastAsia" w:ascii="微软雅黑" w:hAnsi="微软雅黑" w:eastAsia="微软雅黑" w:cs="微软雅黑"/>
          <w:highlight w:val="none"/>
          <w:lang w:val="en-US" w:eastAsia="zh-CN"/>
        </w:rPr>
        <w:t>1155140.00</w:t>
      </w:r>
      <w:r>
        <w:rPr>
          <w:rFonts w:hint="eastAsia" w:ascii="微软雅黑" w:hAnsi="微软雅黑" w:eastAsia="微软雅黑" w:cs="微软雅黑"/>
          <w:highlight w:val="none"/>
        </w:rPr>
        <w:t>元 </w:t>
      </w:r>
    </w:p>
    <w:p w14:paraId="51613AE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   最高限价：</w:t>
      </w:r>
      <w:r>
        <w:rPr>
          <w:rFonts w:hint="eastAsia" w:ascii="微软雅黑" w:hAnsi="微软雅黑" w:eastAsia="微软雅黑" w:cs="微软雅黑"/>
          <w:highlight w:val="none"/>
          <w:lang w:val="en-US" w:eastAsia="zh-CN"/>
        </w:rPr>
        <w:t>1155140.00</w:t>
      </w:r>
      <w:r>
        <w:rPr>
          <w:rFonts w:hint="eastAsia" w:ascii="微软雅黑" w:hAnsi="微软雅黑" w:eastAsia="微软雅黑" w:cs="微软雅黑"/>
          <w:highlight w:val="none"/>
        </w:rPr>
        <w:t>元</w:t>
      </w:r>
    </w:p>
    <w:tbl>
      <w:tblPr>
        <w:tblStyle w:val="19"/>
        <w:tblW w:w="5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16"/>
        <w:gridCol w:w="4860"/>
        <w:gridCol w:w="1619"/>
        <w:gridCol w:w="1699"/>
      </w:tblGrid>
      <w:tr w14:paraId="09E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16" w:type="pct"/>
            <w:noWrap w:val="0"/>
            <w:vAlign w:val="center"/>
          </w:tcPr>
          <w:p w14:paraId="71920DF8">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序号</w:t>
            </w:r>
          </w:p>
        </w:tc>
        <w:tc>
          <w:tcPr>
            <w:tcW w:w="812" w:type="pct"/>
            <w:noWrap w:val="0"/>
            <w:vAlign w:val="center"/>
          </w:tcPr>
          <w:p w14:paraId="32C1AF10">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包号</w:t>
            </w:r>
          </w:p>
        </w:tc>
        <w:tc>
          <w:tcPr>
            <w:tcW w:w="2300" w:type="pct"/>
            <w:noWrap w:val="0"/>
            <w:vAlign w:val="center"/>
          </w:tcPr>
          <w:p w14:paraId="580E4D60">
            <w:pPr>
              <w:pageBreakBefore w:val="0"/>
              <w:kinsoku/>
              <w:wordWrap/>
              <w:overflowPunct/>
              <w:topLinePunct w:val="0"/>
              <w:autoSpaceDE/>
              <w:autoSpaceDN/>
              <w:bidi w:val="0"/>
              <w:adjustRightInd/>
              <w:spacing w:line="420" w:lineRule="exact"/>
              <w:ind w:firstLine="420" w:firstLineChars="20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包名称</w:t>
            </w:r>
          </w:p>
        </w:tc>
        <w:tc>
          <w:tcPr>
            <w:tcW w:w="766" w:type="pct"/>
            <w:noWrap w:val="0"/>
            <w:vAlign w:val="center"/>
          </w:tcPr>
          <w:p w14:paraId="6CF97E5F">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包预算（元）</w:t>
            </w:r>
          </w:p>
        </w:tc>
        <w:tc>
          <w:tcPr>
            <w:tcW w:w="804" w:type="pct"/>
            <w:noWrap w:val="0"/>
            <w:vAlign w:val="center"/>
          </w:tcPr>
          <w:p w14:paraId="39C12DCE">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最高限价（元）</w:t>
            </w:r>
          </w:p>
        </w:tc>
      </w:tr>
      <w:tr w14:paraId="7EA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316" w:type="pct"/>
            <w:noWrap w:val="0"/>
            <w:vAlign w:val="center"/>
          </w:tcPr>
          <w:p w14:paraId="132C91A5">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1</w:t>
            </w:r>
          </w:p>
        </w:tc>
        <w:tc>
          <w:tcPr>
            <w:tcW w:w="812" w:type="pct"/>
            <w:noWrap w:val="0"/>
            <w:vAlign w:val="center"/>
          </w:tcPr>
          <w:p w14:paraId="5E0E08D3">
            <w:pPr>
              <w:pageBreakBefore w:val="0"/>
              <w:kinsoku/>
              <w:wordWrap/>
              <w:overflowPunct/>
              <w:topLinePunct w:val="0"/>
              <w:autoSpaceDE/>
              <w:autoSpaceDN/>
              <w:bidi w:val="0"/>
              <w:adjustRightInd/>
              <w:spacing w:line="420" w:lineRule="exact"/>
              <w:jc w:val="center"/>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highlight w:val="none"/>
              </w:rPr>
              <w:t>汴杞财招标采购-2025-53</w:t>
            </w:r>
          </w:p>
        </w:tc>
        <w:tc>
          <w:tcPr>
            <w:tcW w:w="2300" w:type="pct"/>
            <w:noWrap w:val="0"/>
            <w:vAlign w:val="center"/>
          </w:tcPr>
          <w:p w14:paraId="1068BFDA">
            <w:pPr>
              <w:pageBreakBefore w:val="0"/>
              <w:kinsoku/>
              <w:wordWrap/>
              <w:overflowPunct/>
              <w:topLinePunct w:val="0"/>
              <w:autoSpaceDE/>
              <w:autoSpaceDN/>
              <w:bidi w:val="0"/>
              <w:adjustRightInd/>
              <w:spacing w:line="420" w:lineRule="exact"/>
              <w:jc w:val="both"/>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highlight w:val="none"/>
                <w:lang w:val="en-US" w:eastAsia="zh-CN"/>
              </w:rPr>
              <w:t>2025年义务教育薄弱环节改善与能力提升项目（杞县南关小学、大同实验小学等三所学校录播教室）二次</w:t>
            </w:r>
          </w:p>
        </w:tc>
        <w:tc>
          <w:tcPr>
            <w:tcW w:w="766" w:type="pct"/>
            <w:noWrap w:val="0"/>
            <w:vAlign w:val="center"/>
          </w:tcPr>
          <w:p w14:paraId="5F0901C5">
            <w:pPr>
              <w:pageBreakBefore w:val="0"/>
              <w:kinsoku/>
              <w:wordWrap/>
              <w:overflowPunct/>
              <w:topLinePunct w:val="0"/>
              <w:autoSpaceDE/>
              <w:autoSpaceDN/>
              <w:bidi w:val="0"/>
              <w:adjustRightInd/>
              <w:spacing w:line="420" w:lineRule="exact"/>
              <w:jc w:val="center"/>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highlight w:val="none"/>
                <w:lang w:val="en-US" w:eastAsia="zh-CN"/>
              </w:rPr>
              <w:t>1155140.00</w:t>
            </w:r>
          </w:p>
        </w:tc>
        <w:tc>
          <w:tcPr>
            <w:tcW w:w="804" w:type="pct"/>
            <w:noWrap w:val="0"/>
            <w:vAlign w:val="center"/>
          </w:tcPr>
          <w:p w14:paraId="39A78B10">
            <w:pPr>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lang w:val="en-US" w:eastAsia="zh-CN"/>
              </w:rPr>
              <w:t>1155140.00</w:t>
            </w:r>
          </w:p>
        </w:tc>
      </w:tr>
    </w:tbl>
    <w:p w14:paraId="0AE520FE">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5、采购需求（包括但不限于标的的名称、数量、简要技术需求或服务要求等）</w:t>
      </w:r>
    </w:p>
    <w:p w14:paraId="73B61273">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（1）资金来源：</w:t>
      </w:r>
      <w:r>
        <w:rPr>
          <w:rFonts w:hint="eastAsia" w:ascii="微软雅黑" w:hAnsi="微软雅黑" w:eastAsia="微软雅黑" w:cs="微软雅黑"/>
          <w:highlight w:val="none"/>
          <w:lang w:val="en-US" w:eastAsia="zh-CN"/>
        </w:rPr>
        <w:t>财政资金</w:t>
      </w:r>
      <w:bookmarkStart w:id="279" w:name="_GoBack"/>
      <w:bookmarkEnd w:id="279"/>
    </w:p>
    <w:p w14:paraId="484DAB5C">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highlight w:val="none"/>
        </w:rPr>
        <w:t>（2）采购内容：精品录播教室设备采购(南关学校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大同实验学校</w:t>
      </w:r>
      <w:r>
        <w:rPr>
          <w:rFonts w:hint="eastAsia" w:ascii="微软雅黑" w:hAnsi="微软雅黑" w:eastAsia="微软雅黑" w:cs="微软雅黑"/>
          <w:highlight w:val="none"/>
          <w:lang w:eastAsia="zh-CN"/>
        </w:rPr>
        <w:t>、杞县高中附属中学</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1.86 LED屏等设备采购安装(大同实验学校）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会议长条桌(大同实验学校）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办公桌椅、文件柜（</w:t>
      </w:r>
      <w:r>
        <w:rPr>
          <w:rFonts w:hint="eastAsia" w:ascii="微软雅黑" w:hAnsi="微软雅黑" w:eastAsia="微软雅黑" w:cs="微软雅黑"/>
          <w:highlight w:val="none"/>
          <w:lang w:eastAsia="zh-CN"/>
        </w:rPr>
        <w:t>杞县高中附属中学</w:t>
      </w:r>
      <w:r>
        <w:rPr>
          <w:rFonts w:hint="eastAsia" w:ascii="微软雅黑" w:hAnsi="微软雅黑" w:eastAsia="微软雅黑" w:cs="微软雅黑"/>
          <w:highlight w:val="none"/>
          <w:lang w:val="en-US" w:eastAsia="zh-CN"/>
        </w:rPr>
        <w:t>）</w:t>
      </w:r>
      <w:r>
        <w:rPr>
          <w:rFonts w:hint="eastAsia" w:ascii="微软雅黑" w:hAnsi="微软雅黑" w:eastAsia="微软雅黑" w:cs="微软雅黑"/>
          <w:highlight w:val="none"/>
          <w:lang w:eastAsia="zh-CN"/>
        </w:rPr>
        <w:t>（详见招标文件采购需求）。</w:t>
      </w:r>
    </w:p>
    <w:p w14:paraId="588F0670">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（3）供货及安装期限：</w:t>
      </w:r>
      <w:r>
        <w:rPr>
          <w:rFonts w:hint="eastAsia" w:ascii="微软雅黑" w:hAnsi="微软雅黑" w:eastAsia="微软雅黑" w:cs="微软雅黑"/>
          <w:highlight w:val="none"/>
          <w:lang w:eastAsia="zh-CN"/>
        </w:rPr>
        <w:t>合同签订后20日历天内供货并安装调试完毕。</w:t>
      </w:r>
    </w:p>
    <w:p w14:paraId="03EDEEA2">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（4）质量：</w:t>
      </w:r>
      <w:r>
        <w:rPr>
          <w:rFonts w:hint="eastAsia" w:ascii="微软雅黑" w:hAnsi="微软雅黑" w:eastAsia="微软雅黑" w:cs="微软雅黑"/>
          <w:szCs w:val="21"/>
          <w:highlight w:val="none"/>
        </w:rPr>
        <w:t>合格</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符合国家现行相关行业标准</w:t>
      </w:r>
    </w:p>
    <w:p w14:paraId="398234E6">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（5）质保期：</w:t>
      </w: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年</w:t>
      </w:r>
    </w:p>
    <w:p w14:paraId="5136C517">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6、合同履行期限：</w:t>
      </w:r>
      <w:r>
        <w:rPr>
          <w:rFonts w:hint="eastAsia" w:ascii="微软雅黑" w:hAnsi="微软雅黑" w:eastAsia="微软雅黑" w:cs="微软雅黑"/>
          <w:highlight w:val="none"/>
          <w:lang w:eastAsia="zh-CN"/>
        </w:rPr>
        <w:t>同</w:t>
      </w:r>
      <w:r>
        <w:rPr>
          <w:rFonts w:hint="eastAsia" w:ascii="微软雅黑" w:hAnsi="微软雅黑" w:eastAsia="微软雅黑" w:cs="微软雅黑"/>
          <w:highlight w:val="none"/>
        </w:rPr>
        <w:t>供货及安装期限</w:t>
      </w:r>
    </w:p>
    <w:p w14:paraId="47C589A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7、本项目是否接受联合体投标：否</w:t>
      </w:r>
    </w:p>
    <w:p w14:paraId="1C6A615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8、是否接受进口产品：否</w:t>
      </w:r>
    </w:p>
    <w:p w14:paraId="4B4A0972">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9、是否专门面向中小企业：</w:t>
      </w:r>
      <w:r>
        <w:rPr>
          <w:rFonts w:hint="eastAsia" w:ascii="微软雅黑" w:hAnsi="微软雅黑" w:eastAsia="微软雅黑" w:cs="微软雅黑"/>
          <w:highlight w:val="none"/>
          <w:lang w:eastAsia="zh-CN"/>
        </w:rPr>
        <w:t>否</w:t>
      </w:r>
    </w:p>
    <w:p w14:paraId="75636354">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二、投标人资格要求：</w:t>
      </w:r>
    </w:p>
    <w:p w14:paraId="073A0692">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1、满足《中华人民共和国政府采购法》第二十二条规定；</w:t>
      </w:r>
    </w:p>
    <w:p w14:paraId="7FBFE649">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2、落实政府采购政策满足的资格要求：</w:t>
      </w:r>
    </w:p>
    <w:p w14:paraId="7EDA7A60">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rPr>
        <w:t>本项目</w:t>
      </w:r>
      <w:r>
        <w:rPr>
          <w:rFonts w:hint="eastAsia" w:ascii="微软雅黑" w:hAnsi="微软雅黑" w:eastAsia="微软雅黑" w:cs="微软雅黑"/>
          <w:szCs w:val="21"/>
          <w:highlight w:val="none"/>
          <w:lang w:val="en-US" w:eastAsia="zh-CN"/>
        </w:rPr>
        <w:t>（1）执行《政府采购促进中小企业发展管理办法》（财库[2020]46号）；（2）执行《关于进一步加大政府采购支持中小企业力度的通知》（财库[2022]19号）；（3）执行《开封市财政局文件》（汴财购[2022]3号）；（4）执行《财政部、司法部关于政府采购支持监狱企业发展有关问题的通知》（财库[2014]68号）；（5）执行《三部门联合发布关于促进残疾人就业政府采购政策的通知》（财库[2017]141号）；（6）执行《关于印发节能产品政府采购品目清单的通知》（财库[2019]19号）；（7）执行《关于印发环境标志产品政府采购品目清单的通知》（财库[2019]18号）；</w:t>
      </w:r>
    </w:p>
    <w:p w14:paraId="6B0B1A23">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highlight w:val="none"/>
        </w:rPr>
        <w:t>3、本项</w:t>
      </w:r>
      <w:r>
        <w:rPr>
          <w:rFonts w:hint="eastAsia" w:ascii="微软雅黑" w:hAnsi="微软雅黑" w:eastAsia="微软雅黑" w:cs="微软雅黑"/>
          <w:szCs w:val="21"/>
          <w:highlight w:val="none"/>
        </w:rPr>
        <w:t>目的特定资格要求</w:t>
      </w:r>
    </w:p>
    <w:p w14:paraId="4871978D">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3.1、投标人在中华人民共和国境内注册，具有独立承担民事责任的能力（提供合法有效的营业执照）；</w:t>
      </w:r>
    </w:p>
    <w:p w14:paraId="27E5521D">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2</w:t>
      </w:r>
      <w:r>
        <w:rPr>
          <w:rFonts w:hint="eastAsia" w:ascii="微软雅黑" w:hAnsi="微软雅黑" w:eastAsia="微软雅黑" w:cs="微软雅黑"/>
          <w:szCs w:val="21"/>
          <w:highlight w:val="none"/>
        </w:rPr>
        <w:t>、具有健全的财务会计制度（提供2023或2024年度经审计的财务报告，新成立的公司时间不足一年的提供近期基本户银行出具的资信证明）；</w:t>
      </w:r>
    </w:p>
    <w:p w14:paraId="3D45AA2C">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3</w:t>
      </w:r>
      <w:r>
        <w:rPr>
          <w:rFonts w:hint="eastAsia" w:ascii="微软雅黑" w:hAnsi="微软雅黑" w:eastAsia="微软雅黑" w:cs="微软雅黑"/>
          <w:szCs w:val="21"/>
          <w:highlight w:val="none"/>
        </w:rPr>
        <w:t>、具有履行合同所必需的设备和专业技术能力（提供承诺书，格式自拟）；</w:t>
      </w:r>
    </w:p>
    <w:p w14:paraId="2E7A1DC9">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具</w:t>
      </w:r>
      <w:r>
        <w:rPr>
          <w:rFonts w:hint="eastAsia" w:ascii="微软雅黑" w:hAnsi="微软雅黑" w:eastAsia="微软雅黑" w:cs="微软雅黑"/>
          <w:szCs w:val="21"/>
          <w:highlight w:val="none"/>
        </w:rPr>
        <w:t>有依法缴纳税收和社会保障资金的良好记录（提供202</w:t>
      </w:r>
      <w:r>
        <w:rPr>
          <w:rFonts w:hint="eastAsia" w:ascii="微软雅黑" w:hAnsi="微软雅黑" w:eastAsia="微软雅黑" w:cs="微软雅黑"/>
          <w:szCs w:val="21"/>
          <w:highlight w:val="none"/>
          <w:lang w:val="en-US" w:eastAsia="zh-CN"/>
        </w:rPr>
        <w:t>5</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月以来任意3个月的依法缴纳税收的证明（缴费凭证）和依法缴纳社会保障资金的证明（缴费凭证）</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依法免税或不需要缴纳社会保障资金的投标人，应提供相应证明文件）；</w:t>
      </w:r>
    </w:p>
    <w:p w14:paraId="799DA2C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5</w:t>
      </w:r>
      <w:r>
        <w:rPr>
          <w:rFonts w:hint="eastAsia" w:ascii="微软雅黑" w:hAnsi="微软雅黑" w:eastAsia="微软雅黑" w:cs="微软雅黑"/>
          <w:szCs w:val="21"/>
          <w:highlight w:val="none"/>
        </w:rPr>
        <w:t>、参加政府采购活动前三年内，在经营活动中没有重大违法记录（提供书面声明，格式自拟）；</w:t>
      </w:r>
    </w:p>
    <w:p w14:paraId="06C8CFA6">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6</w:t>
      </w:r>
      <w:r>
        <w:rPr>
          <w:rFonts w:hint="eastAsia" w:ascii="微软雅黑" w:hAnsi="微软雅黑" w:eastAsia="微软雅黑" w:cs="微软雅黑"/>
          <w:szCs w:val="21"/>
          <w:highlight w:val="none"/>
        </w:rPr>
        <w:t>、法律、行政法规规定的其他条件（提供承诺书）；</w:t>
      </w:r>
    </w:p>
    <w:p w14:paraId="349139BF">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、投标人</w:t>
      </w:r>
      <w:r>
        <w:rPr>
          <w:rFonts w:hint="eastAsia" w:ascii="微软雅黑" w:hAnsi="微软雅黑" w:eastAsia="微软雅黑" w:cs="微软雅黑"/>
          <w:szCs w:val="21"/>
          <w:highlight w:val="none"/>
          <w:lang w:val="en-US" w:eastAsia="zh-CN"/>
        </w:rPr>
        <w:t>不得存在财库[2016]125号《关于在政府采购活动中查询及使用信用记录有关问题的通知》中拒绝其参与政府采购活动的行为。供应商应通过“信用中国（www.creditchina.gov.cn）”查询“重大税收违法失信主体”，通过“中国执行信息公开网（http://zxgk.court.gov.cn/）”网站查询“失信被执行人”和“中国政府采购网（www.ccgp.gov.cn）”查询“政府采购严重违法失信行为记录名单”进行企业的信用查询，并提供以上查询截图（查询日期不得早于发布公告日期）。供应商下载文件至与招标人签订合同期间一旦发现供应商存在信用问题，招标人均有权取消其中标资格；</w:t>
      </w:r>
    </w:p>
    <w:p w14:paraId="20CCECFA">
      <w:pPr>
        <w:pStyle w:val="24"/>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bCs/>
          <w:szCs w:val="21"/>
          <w:highlight w:val="none"/>
        </w:rPr>
      </w:pPr>
      <w:r>
        <w:rPr>
          <w:rFonts w:hint="eastAsia" w:ascii="微软雅黑" w:hAnsi="微软雅黑" w:eastAsia="微软雅黑" w:cs="微软雅黑"/>
          <w:bCs/>
          <w:szCs w:val="21"/>
          <w:highlight w:val="none"/>
        </w:rPr>
        <w:t>3.</w:t>
      </w:r>
      <w:r>
        <w:rPr>
          <w:rFonts w:hint="eastAsia" w:ascii="微软雅黑" w:hAnsi="微软雅黑" w:eastAsia="微软雅黑" w:cs="微软雅黑"/>
          <w:bCs/>
          <w:szCs w:val="21"/>
          <w:highlight w:val="none"/>
          <w:lang w:val="en-US" w:eastAsia="zh-CN"/>
        </w:rPr>
        <w:t>8</w:t>
      </w:r>
      <w:r>
        <w:rPr>
          <w:rFonts w:hint="eastAsia" w:ascii="微软雅黑" w:hAnsi="微软雅黑" w:eastAsia="微软雅黑" w:cs="微软雅黑"/>
          <w:bCs/>
          <w:szCs w:val="21"/>
          <w:highlight w:val="none"/>
        </w:rPr>
        <w:t>、与采购人存在利害关系可能影响招标公正性的单位不得参加投标。单位负责人为同一人或存在控股、管理关系的不同单位，不得参加同一标段投标，否则，相关投标均无效。</w:t>
      </w:r>
    </w:p>
    <w:p w14:paraId="2A821B80">
      <w:pPr>
        <w:pageBreakBefore w:val="0"/>
        <w:numPr>
          <w:ilvl w:val="0"/>
          <w:numId w:val="1"/>
        </w:numPr>
        <w:kinsoku/>
        <w:wordWrap/>
        <w:overflowPunct/>
        <w:topLinePunct w:val="0"/>
        <w:autoSpaceDE/>
        <w:autoSpaceDN/>
        <w:bidi w:val="0"/>
        <w:adjustRightInd/>
        <w:spacing w:line="420" w:lineRule="exact"/>
        <w:textAlignment w:val="auto"/>
        <w:rPr>
          <w:rFonts w:hint="eastAsia" w:ascii="微软雅黑" w:hAnsi="微软雅黑" w:eastAsia="微软雅黑" w:cs="微软雅黑"/>
          <w:b w:val="0"/>
          <w:bCs/>
          <w:kern w:val="2"/>
          <w:sz w:val="21"/>
          <w:szCs w:val="21"/>
          <w:highlight w:val="none"/>
          <w:lang w:val="en-US" w:eastAsia="zh-CN" w:bidi="ar-SA"/>
        </w:rPr>
      </w:pPr>
      <w:bookmarkStart w:id="8" w:name="_Toc519168245"/>
      <w:r>
        <w:rPr>
          <w:rFonts w:hint="eastAsia" w:ascii="微软雅黑" w:hAnsi="微软雅黑" w:eastAsia="微软雅黑" w:cs="微软雅黑"/>
          <w:b/>
          <w:highlight w:val="none"/>
        </w:rPr>
        <w:t>获取采购文件：</w:t>
      </w:r>
      <w:bookmarkEnd w:id="8"/>
    </w:p>
    <w:p w14:paraId="57676D4A">
      <w:pPr>
        <w:pageBreakBefore w:val="0"/>
        <w:numPr>
          <w:ilvl w:val="0"/>
          <w:numId w:val="2"/>
        </w:numPr>
        <w:kinsoku/>
        <w:wordWrap/>
        <w:overflowPunct/>
        <w:topLinePunct w:val="0"/>
        <w:autoSpaceDE/>
        <w:autoSpaceDN/>
        <w:bidi w:val="0"/>
        <w:adjustRightInd/>
        <w:spacing w:line="420" w:lineRule="exact"/>
        <w:textAlignment w:val="auto"/>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时间：2025年12月5日至2025年12 月25日，每</w:t>
      </w:r>
      <w:r>
        <w:rPr>
          <w:rFonts w:hint="eastAsia" w:ascii="微软雅黑" w:hAnsi="微软雅黑" w:eastAsia="微软雅黑" w:cs="微软雅黑"/>
          <w:b w:val="0"/>
          <w:bCs/>
          <w:kern w:val="2"/>
          <w:sz w:val="21"/>
          <w:szCs w:val="21"/>
          <w:highlight w:val="none"/>
          <w:u w:val="none"/>
          <w:lang w:val="en-US" w:eastAsia="zh-CN" w:bidi="ar-SA"/>
        </w:rPr>
        <w:t>天上午00:01至</w:t>
      </w:r>
      <w:r>
        <w:rPr>
          <w:rFonts w:hint="eastAsia" w:ascii="微软雅黑" w:hAnsi="微软雅黑" w:eastAsia="微软雅黑" w:cs="微软雅黑"/>
          <w:b w:val="0"/>
          <w:bCs/>
          <w:kern w:val="2"/>
          <w:sz w:val="21"/>
          <w:szCs w:val="21"/>
          <w:highlight w:val="none"/>
          <w:lang w:val="en-US" w:eastAsia="zh-CN" w:bidi="ar-SA"/>
        </w:rPr>
        <w:t>12:00，下午12:00至23:59（北京时间，法定节假日除外）。</w:t>
      </w:r>
    </w:p>
    <w:p w14:paraId="06E80EBE">
      <w:pPr>
        <w:pageBreakBefore w:val="0"/>
        <w:numPr>
          <w:ilvl w:val="0"/>
          <w:numId w:val="2"/>
        </w:numPr>
        <w:kinsoku/>
        <w:wordWrap/>
        <w:overflowPunct/>
        <w:topLinePunct w:val="0"/>
        <w:autoSpaceDE/>
        <w:autoSpaceDN/>
        <w:bidi w:val="0"/>
        <w:adjustRightInd/>
        <w:spacing w:line="420" w:lineRule="exact"/>
        <w:textAlignment w:val="auto"/>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地点：开封市公共资源交易网（http://www.kfsggzyjyw.cn）会员系统网上下载。</w:t>
      </w:r>
    </w:p>
    <w:p w14:paraId="676AE02C">
      <w:pPr>
        <w:pageBreakBefore w:val="0"/>
        <w:numPr>
          <w:ilvl w:val="0"/>
          <w:numId w:val="2"/>
        </w:numPr>
        <w:kinsoku/>
        <w:wordWrap/>
        <w:overflowPunct/>
        <w:topLinePunct w:val="0"/>
        <w:autoSpaceDE/>
        <w:autoSpaceDN/>
        <w:bidi w:val="0"/>
        <w:adjustRightInd/>
        <w:spacing w:line="420" w:lineRule="exact"/>
        <w:textAlignment w:val="auto"/>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方式：投标人应注册成为开封市公共资源交易中心网站会员并取得 CA钥,凭CA密钥登录开封市公共资源交易网（http://www.kfsggzyjyw.cn/kfggzy/）会员系统，按要求下载电子招标文件。投标人未按规定下载电子招标文件的，其投标将被拒绝。</w:t>
      </w:r>
    </w:p>
    <w:p w14:paraId="16E35138">
      <w:pPr>
        <w:pStyle w:val="3"/>
        <w:numPr>
          <w:ilvl w:val="0"/>
          <w:numId w:val="0"/>
        </w:numPr>
        <w:ind w:leftChars="200"/>
        <w:jc w:val="both"/>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4.售价：0元</w:t>
      </w:r>
      <w:r>
        <w:rPr>
          <w:rFonts w:hint="eastAsia" w:ascii="微软雅黑" w:hAnsi="微软雅黑" w:eastAsia="微软雅黑" w:cs="微软雅黑"/>
          <w:b w:val="0"/>
          <w:bCs/>
          <w:kern w:val="2"/>
          <w:sz w:val="21"/>
          <w:szCs w:val="21"/>
          <w:highlight w:val="none"/>
          <w:lang w:val="en-US" w:eastAsia="zh-CN" w:bidi="ar-SA"/>
        </w:rPr>
        <w:tab/>
      </w:r>
    </w:p>
    <w:p w14:paraId="18D8ABDE">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四、投标截止时间及地点：</w:t>
      </w:r>
    </w:p>
    <w:p w14:paraId="7DA173D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1.时间：</w:t>
      </w:r>
      <w:r>
        <w:rPr>
          <w:rFonts w:hint="eastAsia" w:ascii="微软雅黑" w:hAnsi="微软雅黑" w:eastAsia="微软雅黑" w:cs="微软雅黑"/>
          <w:kern w:val="0"/>
          <w:szCs w:val="21"/>
          <w:highlight w:val="none"/>
          <w:lang w:eastAsia="zh-CN"/>
        </w:rPr>
        <w:t>2025年</w:t>
      </w:r>
      <w:r>
        <w:rPr>
          <w:rFonts w:hint="eastAsia" w:ascii="微软雅黑" w:hAnsi="微软雅黑" w:eastAsia="微软雅黑" w:cs="微软雅黑"/>
          <w:kern w:val="0"/>
          <w:szCs w:val="21"/>
          <w:highlight w:val="none"/>
          <w:lang w:val="en-US" w:eastAsia="zh-CN"/>
        </w:rPr>
        <w:t>12</w:t>
      </w:r>
      <w:r>
        <w:rPr>
          <w:rFonts w:hint="eastAsia" w:ascii="微软雅黑" w:hAnsi="微软雅黑" w:eastAsia="微软雅黑" w:cs="微软雅黑"/>
          <w:kern w:val="0"/>
          <w:szCs w:val="21"/>
          <w:highlight w:val="none"/>
          <w:lang w:eastAsia="zh-CN"/>
        </w:rPr>
        <w:t>月</w:t>
      </w:r>
      <w:r>
        <w:rPr>
          <w:rFonts w:hint="eastAsia" w:ascii="微软雅黑" w:hAnsi="微软雅黑" w:eastAsia="微软雅黑" w:cs="微软雅黑"/>
          <w:kern w:val="0"/>
          <w:szCs w:val="21"/>
          <w:highlight w:val="none"/>
          <w:lang w:val="en-US" w:eastAsia="zh-CN"/>
        </w:rPr>
        <w:t>26</w:t>
      </w:r>
      <w:r>
        <w:rPr>
          <w:rFonts w:hint="eastAsia" w:ascii="微软雅黑" w:hAnsi="微软雅黑" w:eastAsia="微软雅黑" w:cs="微软雅黑"/>
          <w:kern w:val="0"/>
          <w:szCs w:val="21"/>
          <w:highlight w:val="none"/>
          <w:lang w:eastAsia="zh-CN"/>
        </w:rPr>
        <w:t>日</w:t>
      </w:r>
      <w:r>
        <w:rPr>
          <w:rFonts w:hint="eastAsia" w:ascii="微软雅黑" w:hAnsi="微软雅黑" w:eastAsia="微软雅黑" w:cs="微软雅黑"/>
          <w:kern w:val="0"/>
          <w:szCs w:val="21"/>
          <w:highlight w:val="none"/>
          <w:lang w:val="en-US" w:eastAsia="zh-CN"/>
        </w:rPr>
        <w:t>09</w:t>
      </w:r>
      <w:r>
        <w:rPr>
          <w:rFonts w:hint="eastAsia" w:ascii="微软雅黑" w:hAnsi="微软雅黑" w:eastAsia="微软雅黑" w:cs="微软雅黑"/>
          <w:kern w:val="0"/>
          <w:szCs w:val="21"/>
          <w:highlight w:val="none"/>
        </w:rPr>
        <w:t>时</w:t>
      </w:r>
      <w:r>
        <w:rPr>
          <w:rFonts w:hint="eastAsia" w:ascii="微软雅黑" w:hAnsi="微软雅黑" w:eastAsia="微软雅黑" w:cs="微软雅黑"/>
          <w:kern w:val="0"/>
          <w:szCs w:val="21"/>
          <w:highlight w:val="none"/>
          <w:lang w:val="en-US" w:eastAsia="zh-CN"/>
        </w:rPr>
        <w:t>30</w:t>
      </w:r>
      <w:r>
        <w:rPr>
          <w:rFonts w:hint="eastAsia" w:ascii="微软雅黑" w:hAnsi="微软雅黑" w:eastAsia="微软雅黑" w:cs="微软雅黑"/>
          <w:kern w:val="0"/>
          <w:szCs w:val="21"/>
          <w:highlight w:val="none"/>
        </w:rPr>
        <w:t>分（北京时间）</w:t>
      </w:r>
    </w:p>
    <w:p w14:paraId="20F86F0B">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kern w:val="0"/>
          <w:szCs w:val="21"/>
          <w:highlight w:val="none"/>
          <w:lang w:eastAsia="zh-CN"/>
        </w:rPr>
      </w:pPr>
      <w:r>
        <w:rPr>
          <w:rFonts w:hint="eastAsia" w:ascii="微软雅黑" w:hAnsi="微软雅黑" w:eastAsia="微软雅黑" w:cs="微软雅黑"/>
          <w:kern w:val="0"/>
          <w:szCs w:val="21"/>
          <w:highlight w:val="none"/>
        </w:rPr>
        <w:t>2.地点：电子响应文件须在响应文件提交的截止时间前在开封市公共资源交易中心网站（http://www.kfsggzyjyw.cn/kfggzy/）会员系统中加密上传</w:t>
      </w:r>
      <w:r>
        <w:rPr>
          <w:rFonts w:hint="eastAsia" w:ascii="微软雅黑" w:hAnsi="微软雅黑" w:eastAsia="微软雅黑" w:cs="微软雅黑"/>
          <w:kern w:val="0"/>
          <w:szCs w:val="21"/>
          <w:highlight w:val="none"/>
          <w:lang w:eastAsia="zh-CN"/>
        </w:rPr>
        <w:t>。</w:t>
      </w:r>
    </w:p>
    <w:p w14:paraId="096704B6">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五、开标时间及地点：</w:t>
      </w:r>
    </w:p>
    <w:p w14:paraId="6D9E583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1.时间：</w:t>
      </w:r>
      <w:r>
        <w:rPr>
          <w:rFonts w:hint="eastAsia" w:ascii="微软雅黑" w:hAnsi="微软雅黑" w:eastAsia="微软雅黑" w:cs="微软雅黑"/>
          <w:kern w:val="0"/>
          <w:szCs w:val="21"/>
          <w:highlight w:val="none"/>
          <w:lang w:eastAsia="zh-CN"/>
        </w:rPr>
        <w:t>2025年</w:t>
      </w:r>
      <w:r>
        <w:rPr>
          <w:rFonts w:hint="eastAsia" w:ascii="微软雅黑" w:hAnsi="微软雅黑" w:eastAsia="微软雅黑" w:cs="微软雅黑"/>
          <w:kern w:val="0"/>
          <w:szCs w:val="21"/>
          <w:highlight w:val="none"/>
          <w:lang w:val="en-US" w:eastAsia="zh-CN"/>
        </w:rPr>
        <w:t>12</w:t>
      </w:r>
      <w:r>
        <w:rPr>
          <w:rFonts w:hint="eastAsia" w:ascii="微软雅黑" w:hAnsi="微软雅黑" w:eastAsia="微软雅黑" w:cs="微软雅黑"/>
          <w:kern w:val="0"/>
          <w:szCs w:val="21"/>
          <w:highlight w:val="none"/>
          <w:lang w:eastAsia="zh-CN"/>
        </w:rPr>
        <w:t>月</w:t>
      </w:r>
      <w:r>
        <w:rPr>
          <w:rFonts w:hint="eastAsia" w:ascii="微软雅黑" w:hAnsi="微软雅黑" w:eastAsia="微软雅黑" w:cs="微软雅黑"/>
          <w:kern w:val="0"/>
          <w:szCs w:val="21"/>
          <w:highlight w:val="none"/>
          <w:lang w:val="en-US" w:eastAsia="zh-CN"/>
        </w:rPr>
        <w:t>26</w:t>
      </w:r>
      <w:r>
        <w:rPr>
          <w:rFonts w:hint="eastAsia" w:ascii="微软雅黑" w:hAnsi="微软雅黑" w:eastAsia="微软雅黑" w:cs="微软雅黑"/>
          <w:kern w:val="0"/>
          <w:szCs w:val="21"/>
          <w:highlight w:val="none"/>
          <w:lang w:eastAsia="zh-CN"/>
        </w:rPr>
        <w:t>日</w:t>
      </w:r>
      <w:r>
        <w:rPr>
          <w:rFonts w:hint="eastAsia" w:ascii="微软雅黑" w:hAnsi="微软雅黑" w:eastAsia="微软雅黑" w:cs="微软雅黑"/>
          <w:kern w:val="0"/>
          <w:szCs w:val="21"/>
          <w:highlight w:val="none"/>
          <w:lang w:val="en-US" w:eastAsia="zh-CN"/>
        </w:rPr>
        <w:t>09</w:t>
      </w:r>
      <w:r>
        <w:rPr>
          <w:rFonts w:hint="eastAsia" w:ascii="微软雅黑" w:hAnsi="微软雅黑" w:eastAsia="微软雅黑" w:cs="微软雅黑"/>
          <w:kern w:val="0"/>
          <w:szCs w:val="21"/>
          <w:highlight w:val="none"/>
        </w:rPr>
        <w:t>时</w:t>
      </w:r>
      <w:r>
        <w:rPr>
          <w:rFonts w:hint="eastAsia" w:ascii="微软雅黑" w:hAnsi="微软雅黑" w:eastAsia="微软雅黑" w:cs="微软雅黑"/>
          <w:kern w:val="0"/>
          <w:szCs w:val="21"/>
          <w:highlight w:val="none"/>
          <w:lang w:val="en-US" w:eastAsia="zh-CN"/>
        </w:rPr>
        <w:t>30</w:t>
      </w:r>
      <w:r>
        <w:rPr>
          <w:rFonts w:hint="eastAsia" w:ascii="微软雅黑" w:hAnsi="微软雅黑" w:eastAsia="微软雅黑" w:cs="微软雅黑"/>
          <w:kern w:val="0"/>
          <w:szCs w:val="21"/>
          <w:highlight w:val="none"/>
        </w:rPr>
        <w:t>分（北京时间）</w:t>
      </w:r>
    </w:p>
    <w:p w14:paraId="2AAF4F60">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2.地点：杞县综合服务大厦11楼开标室（地址：杞县金城大道与经四路交叉口东北角杞县便民服务中心）。</w:t>
      </w:r>
    </w:p>
    <w:p w14:paraId="62F46FFD">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六、发布公告的媒介及招标公告期限：</w:t>
      </w:r>
    </w:p>
    <w:p w14:paraId="16DB3D2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本次招标公告在</w:t>
      </w:r>
      <w:r>
        <w:rPr>
          <w:rFonts w:hint="eastAsia" w:ascii="微软雅黑" w:hAnsi="微软雅黑" w:eastAsia="微软雅黑" w:cs="微软雅黑"/>
          <w:kern w:val="0"/>
          <w:szCs w:val="21"/>
          <w:highlight w:val="none"/>
          <w:lang w:eastAsia="zh-CN"/>
        </w:rPr>
        <w:t>《中国招标投标公共服务平台》、《河南省政府采购网》、《开封市公共资源交易信息网》</w:t>
      </w:r>
      <w:r>
        <w:rPr>
          <w:rFonts w:hint="eastAsia" w:ascii="微软雅黑" w:hAnsi="微软雅黑" w:eastAsia="微软雅黑" w:cs="微软雅黑"/>
          <w:kern w:val="0"/>
          <w:szCs w:val="21"/>
          <w:highlight w:val="none"/>
        </w:rPr>
        <w:t>上发布，招标公告期限为</w:t>
      </w:r>
      <w:r>
        <w:rPr>
          <w:rFonts w:hint="eastAsia" w:ascii="微软雅黑" w:hAnsi="微软雅黑" w:eastAsia="微软雅黑" w:cs="微软雅黑"/>
          <w:kern w:val="0"/>
          <w:szCs w:val="21"/>
          <w:highlight w:val="none"/>
          <w:lang w:eastAsia="zh-CN"/>
        </w:rPr>
        <w:t>五</w:t>
      </w:r>
      <w:r>
        <w:rPr>
          <w:rFonts w:hint="eastAsia" w:ascii="微软雅黑" w:hAnsi="微软雅黑" w:eastAsia="微软雅黑" w:cs="微软雅黑"/>
          <w:kern w:val="0"/>
          <w:szCs w:val="21"/>
          <w:highlight w:val="none"/>
        </w:rPr>
        <w:t>个工作日。</w:t>
      </w:r>
    </w:p>
    <w:p w14:paraId="1B86D91A">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七、其他补充事宜：</w:t>
      </w:r>
    </w:p>
    <w:p w14:paraId="0742E6B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本项目采用“远程不见面”开标方式,供应商无需到现场提交原件资料、无需到杞县公共资源交易中心现场参加开标会议；供应商应当在开标时间前,登录远程开标大厅,在线准时参加开标活动并进行投标文件解密、答疑澄清等。（系统解密时长默认为40分钟，错过解密时长者视为自动放弃本次投标）。</w:t>
      </w:r>
    </w:p>
    <w:p w14:paraId="44244AAE">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2.递交质疑或投诉的方式</w:t>
      </w:r>
    </w:p>
    <w:p w14:paraId="56A28D46">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根据汴公管办〔2020〕13号文件规定，投标人需在“开封市公共资源交易信息网”交易系统中提出质疑（异议）与投诉，招标人或招标代理机构在规定时间内进行回复，各投标人应时刻关注电子交易系统中的项目进度和状态。</w:t>
      </w:r>
    </w:p>
    <w:p w14:paraId="138BF512">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（2）递交地址:《开封市公共资源交易信息网》会员投标系统中本项目“质询信息”位置线上直接提起。(如有疑问可拨打服务电话咨询0371-23859291)</w:t>
      </w:r>
    </w:p>
    <w:p w14:paraId="1030C0DC">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（3）监督单位：杞县采购办</w:t>
      </w:r>
    </w:p>
    <w:p w14:paraId="70116437">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 xml:space="preserve"> 联系电话：0371-28666979</w:t>
      </w:r>
    </w:p>
    <w:p w14:paraId="2B4D5F7D">
      <w:pPr>
        <w:pageBreakBefore w:val="0"/>
        <w:kinsoku/>
        <w:wordWrap/>
        <w:overflowPunct/>
        <w:topLinePunct w:val="0"/>
        <w:autoSpaceDE/>
        <w:autoSpaceDN/>
        <w:bidi w:val="0"/>
        <w:adjustRightInd/>
        <w:spacing w:line="420" w:lineRule="exact"/>
        <w:textAlignment w:val="auto"/>
        <w:rPr>
          <w:rFonts w:hint="eastAsia" w:ascii="微软雅黑" w:hAnsi="微软雅黑" w:eastAsia="微软雅黑" w:cs="微软雅黑"/>
          <w:b/>
          <w:kern w:val="0"/>
          <w:szCs w:val="21"/>
          <w:highlight w:val="none"/>
        </w:rPr>
      </w:pPr>
      <w:r>
        <w:rPr>
          <w:rFonts w:hint="eastAsia" w:ascii="微软雅黑" w:hAnsi="微软雅黑" w:eastAsia="微软雅黑" w:cs="微软雅黑"/>
          <w:b/>
          <w:bCs/>
          <w:kern w:val="0"/>
          <w:szCs w:val="21"/>
          <w:highlight w:val="none"/>
        </w:rPr>
        <w:t>八、凡对本次招标提出询问，请</w:t>
      </w:r>
      <w:r>
        <w:rPr>
          <w:rFonts w:hint="eastAsia" w:ascii="微软雅黑" w:hAnsi="微软雅黑" w:eastAsia="微软雅黑" w:cs="微软雅黑"/>
          <w:b/>
          <w:kern w:val="0"/>
          <w:szCs w:val="21"/>
          <w:highlight w:val="none"/>
        </w:rPr>
        <w:t>按照以下方式联系。</w:t>
      </w:r>
    </w:p>
    <w:p w14:paraId="72F1D36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1、采购人信息</w:t>
      </w:r>
    </w:p>
    <w:p w14:paraId="1AAB74B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名称：杞县教育体育局</w:t>
      </w:r>
    </w:p>
    <w:p w14:paraId="05AC499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地址：杞县建设路东段</w:t>
      </w:r>
    </w:p>
    <w:p w14:paraId="60F2481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联系人：邓先生</w:t>
      </w:r>
    </w:p>
    <w:p w14:paraId="3B86D5C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 xml:space="preserve">联系方式：0371-28961628 </w:t>
      </w:r>
    </w:p>
    <w:p w14:paraId="626F6256">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2、采购代理机构信息（如有）</w:t>
      </w:r>
    </w:p>
    <w:p w14:paraId="2298ECA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bookmarkStart w:id="9" w:name="OLE_LINK8"/>
      <w:r>
        <w:rPr>
          <w:rFonts w:hint="eastAsia" w:ascii="微软雅黑" w:hAnsi="微软雅黑" w:eastAsia="微软雅黑" w:cs="微软雅黑"/>
          <w:highlight w:val="none"/>
          <w:lang w:val="en-US" w:eastAsia="zh-CN"/>
        </w:rPr>
        <w:t>代理机构：中海域安项目管理咨询有限公司</w:t>
      </w:r>
    </w:p>
    <w:p w14:paraId="2FA6480B">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地址：河南省郑州市金水区中州大道1188号置地广场3号楼12层63号</w:t>
      </w:r>
    </w:p>
    <w:p w14:paraId="218C9B6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联系人：张女士</w:t>
      </w:r>
    </w:p>
    <w:p w14:paraId="71329FA5">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联系电话：18337866588 </w:t>
      </w:r>
      <w:bookmarkEnd w:id="9"/>
    </w:p>
    <w:p w14:paraId="64A2330D">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3、项目联系方式</w:t>
      </w:r>
    </w:p>
    <w:bookmarkEnd w:id="6"/>
    <w:p w14:paraId="6F575CC8">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联系人：张女士</w:t>
      </w:r>
    </w:p>
    <w:p w14:paraId="233ED904">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联系电话：18337866588 </w:t>
      </w:r>
    </w:p>
    <w:p w14:paraId="7F17E44A">
      <w:pPr>
        <w:pageBreakBefore w:val="0"/>
        <w:kinsoku/>
        <w:wordWrap/>
        <w:overflowPunct/>
        <w:topLinePunct w:val="0"/>
        <w:autoSpaceDE/>
        <w:autoSpaceDN/>
        <w:bidi w:val="0"/>
        <w:adjustRightInd/>
        <w:spacing w:line="420" w:lineRule="exact"/>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 </w:t>
      </w:r>
    </w:p>
    <w:p w14:paraId="7DB0D5C8">
      <w:pPr>
        <w:pStyle w:val="4"/>
        <w:pageBreakBefore w:val="0"/>
        <w:kinsoku/>
        <w:wordWrap/>
        <w:overflowPunct/>
        <w:topLinePunct w:val="0"/>
        <w:autoSpaceDE/>
        <w:autoSpaceDN/>
        <w:bidi w:val="0"/>
        <w:adjustRightInd/>
        <w:spacing w:line="420" w:lineRule="exact"/>
        <w:jc w:val="center"/>
        <w:textAlignment w:val="auto"/>
        <w:rPr>
          <w:rFonts w:hint="eastAsia" w:ascii="微软雅黑" w:hAnsi="微软雅黑" w:eastAsia="微软雅黑" w:cs="微软雅黑"/>
          <w:highlight w:val="none"/>
        </w:rPr>
        <w:sectPr>
          <w:footerReference r:id="rId5" w:type="default"/>
          <w:pgSz w:w="11900" w:h="16821"/>
          <w:pgMar w:top="1417" w:right="1134" w:bottom="1417" w:left="1134" w:header="720" w:footer="720" w:gutter="0"/>
          <w:pgNumType w:start="1"/>
          <w:cols w:space="720" w:num="1"/>
          <w:rtlGutter w:val="0"/>
          <w:docGrid w:linePitch="286" w:charSpace="0"/>
        </w:sectPr>
      </w:pPr>
    </w:p>
    <w:p w14:paraId="38703810">
      <w:pPr>
        <w:pStyle w:val="2"/>
        <w:bidi w:val="0"/>
        <w:rPr>
          <w:rFonts w:hint="eastAsia" w:ascii="微软雅黑" w:hAnsi="微软雅黑" w:eastAsia="微软雅黑" w:cs="微软雅黑"/>
          <w:highlight w:val="none"/>
        </w:rPr>
      </w:pPr>
      <w:bookmarkStart w:id="10" w:name="_Toc29491"/>
      <w:r>
        <w:rPr>
          <w:rFonts w:hint="eastAsia" w:ascii="微软雅黑" w:hAnsi="微软雅黑" w:eastAsia="微软雅黑" w:cs="微软雅黑"/>
          <w:highlight w:val="none"/>
        </w:rPr>
        <w:t>第二章 投标人须</w:t>
      </w:r>
      <w:bookmarkStart w:id="11" w:name="_Toc7375"/>
      <w:r>
        <w:rPr>
          <w:rFonts w:hint="eastAsia" w:ascii="微软雅黑" w:hAnsi="微软雅黑" w:eastAsia="微软雅黑" w:cs="微软雅黑"/>
          <w:highlight w:val="none"/>
        </w:rPr>
        <w:t>知</w:t>
      </w:r>
      <w:bookmarkEnd w:id="10"/>
    </w:p>
    <w:bookmarkEnd w:id="11"/>
    <w:p w14:paraId="4AA7B8AB">
      <w:pPr>
        <w:spacing w:before="24" w:beforeLines="10" w:after="24" w:afterLines="10" w:line="600" w:lineRule="exact"/>
        <w:jc w:val="center"/>
        <w:rPr>
          <w:rFonts w:hint="eastAsia" w:ascii="微软雅黑" w:hAnsi="微软雅黑" w:eastAsia="微软雅黑" w:cs="微软雅黑"/>
          <w:b/>
          <w:color w:val="000000"/>
          <w:sz w:val="24"/>
          <w:highlight w:val="none"/>
        </w:rPr>
      </w:pPr>
      <w:bookmarkStart w:id="12" w:name="_Toc27432"/>
      <w:bookmarkStart w:id="13" w:name="_Toc257729921"/>
      <w:bookmarkStart w:id="14" w:name="_Toc346029014"/>
      <w:bookmarkStart w:id="15" w:name="_Toc23470"/>
      <w:r>
        <w:rPr>
          <w:rFonts w:hint="eastAsia" w:ascii="微软雅黑" w:hAnsi="微软雅黑" w:eastAsia="微软雅黑" w:cs="微软雅黑"/>
          <w:b/>
          <w:color w:val="000000"/>
          <w:sz w:val="24"/>
          <w:highlight w:val="none"/>
        </w:rPr>
        <w:t>投标人须知前附表</w:t>
      </w:r>
      <w:bookmarkEnd w:id="12"/>
      <w:bookmarkEnd w:id="13"/>
      <w:bookmarkEnd w:id="14"/>
      <w:bookmarkEnd w:id="15"/>
    </w:p>
    <w:tbl>
      <w:tblPr>
        <w:tblStyle w:val="18"/>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30"/>
        <w:gridCol w:w="7078"/>
      </w:tblGrid>
      <w:tr w14:paraId="6CF9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5051D4FB">
            <w:pPr>
              <w:spacing w:line="360" w:lineRule="exact"/>
              <w:jc w:val="center"/>
              <w:rPr>
                <w:rFonts w:hint="eastAsia" w:ascii="微软雅黑" w:hAnsi="微软雅黑" w:eastAsia="微软雅黑" w:cs="微软雅黑"/>
                <w:b/>
                <w:color w:val="000000"/>
                <w:sz w:val="22"/>
                <w:szCs w:val="22"/>
                <w:highlight w:val="none"/>
              </w:rPr>
            </w:pPr>
            <w:r>
              <w:rPr>
                <w:rFonts w:hint="eastAsia" w:ascii="微软雅黑" w:hAnsi="微软雅黑" w:eastAsia="微软雅黑" w:cs="微软雅黑"/>
                <w:b/>
                <w:color w:val="000000"/>
                <w:sz w:val="22"/>
                <w:szCs w:val="22"/>
                <w:highlight w:val="none"/>
              </w:rPr>
              <w:t>条款号</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2E8712A">
            <w:pPr>
              <w:spacing w:line="360" w:lineRule="exact"/>
              <w:jc w:val="center"/>
              <w:rPr>
                <w:rFonts w:hint="eastAsia" w:ascii="微软雅黑" w:hAnsi="微软雅黑" w:eastAsia="微软雅黑" w:cs="微软雅黑"/>
                <w:b/>
                <w:color w:val="000000"/>
                <w:sz w:val="22"/>
                <w:szCs w:val="22"/>
                <w:highlight w:val="none"/>
              </w:rPr>
            </w:pPr>
            <w:r>
              <w:rPr>
                <w:rFonts w:hint="eastAsia" w:ascii="微软雅黑" w:hAnsi="微软雅黑" w:eastAsia="微软雅黑" w:cs="微软雅黑"/>
                <w:b/>
                <w:color w:val="000000"/>
                <w:sz w:val="22"/>
                <w:szCs w:val="22"/>
                <w:highlight w:val="none"/>
              </w:rPr>
              <w:t>条 款 名 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110C904A">
            <w:pPr>
              <w:spacing w:line="360" w:lineRule="exact"/>
              <w:jc w:val="center"/>
              <w:rPr>
                <w:rFonts w:hint="eastAsia" w:ascii="微软雅黑" w:hAnsi="微软雅黑" w:eastAsia="微软雅黑" w:cs="微软雅黑"/>
                <w:b/>
                <w:color w:val="000000"/>
                <w:sz w:val="22"/>
                <w:szCs w:val="22"/>
                <w:highlight w:val="none"/>
              </w:rPr>
            </w:pPr>
            <w:r>
              <w:rPr>
                <w:rFonts w:hint="eastAsia" w:ascii="微软雅黑" w:hAnsi="微软雅黑" w:eastAsia="微软雅黑" w:cs="微软雅黑"/>
                <w:b/>
                <w:color w:val="000000"/>
                <w:sz w:val="22"/>
                <w:szCs w:val="22"/>
                <w:highlight w:val="none"/>
              </w:rPr>
              <w:t>编 列 内 容</w:t>
            </w:r>
          </w:p>
        </w:tc>
      </w:tr>
      <w:tr w14:paraId="343D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28AEFAB1">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9729383">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采购人</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1462F096">
            <w:pPr>
              <w:pStyle w:val="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名称：杞县教育体育局</w:t>
            </w:r>
          </w:p>
          <w:p w14:paraId="6E5FF542">
            <w:pPr>
              <w:pStyle w:val="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地址：杞县建设路东段</w:t>
            </w:r>
          </w:p>
          <w:p w14:paraId="4FB8F298">
            <w:pPr>
              <w:pStyle w:val="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联系人：邓先生</w:t>
            </w:r>
          </w:p>
          <w:p w14:paraId="48097F71">
            <w:pPr>
              <w:pStyle w:val="6"/>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 xml:space="preserve">联系方式：0371-28961628 </w:t>
            </w:r>
          </w:p>
        </w:tc>
      </w:tr>
      <w:tr w14:paraId="05F9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1E4902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0016E812">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代理机构</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653D3194">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代理机构：中海域安项目管理咨询有限公司</w:t>
            </w:r>
          </w:p>
          <w:p w14:paraId="2D5EAB36">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地址：河南省郑州市金水区中州大道1188号置地广场3号楼12层63号</w:t>
            </w:r>
          </w:p>
          <w:p w14:paraId="279A4D75">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张</w:t>
            </w:r>
            <w:r>
              <w:rPr>
                <w:rFonts w:hint="eastAsia" w:ascii="微软雅黑" w:hAnsi="微软雅黑" w:eastAsia="微软雅黑" w:cs="微软雅黑"/>
                <w:sz w:val="21"/>
                <w:szCs w:val="21"/>
                <w:highlight w:val="none"/>
              </w:rPr>
              <w:t>女士</w:t>
            </w:r>
          </w:p>
          <w:p w14:paraId="785B8B75">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联系电话：18337866588 </w:t>
            </w:r>
          </w:p>
        </w:tc>
      </w:tr>
      <w:tr w14:paraId="4BAA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E8C504F">
            <w:pPr>
              <w:spacing w:line="36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3</w:t>
            </w:r>
            <w:r>
              <w:rPr>
                <w:rFonts w:hint="eastAsia" w:ascii="微软雅黑" w:hAnsi="微软雅黑" w:eastAsia="微软雅黑" w:cs="微软雅黑"/>
                <w:color w:val="000000"/>
                <w:szCs w:val="21"/>
                <w:highlight w:val="none"/>
                <w:lang w:val="en-US" w:eastAsia="zh-CN"/>
              </w:rPr>
              <w:t>.1</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7C6E01A">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项目名称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6F99375D">
            <w:pPr>
              <w:pStyle w:val="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2025年义务教育薄弱环节改善与能力提升项目（杞县南关小学、大同实验小学等三所学校录播教室）二次</w:t>
            </w:r>
          </w:p>
          <w:p w14:paraId="7864EF54">
            <w:pPr>
              <w:pStyle w:val="6"/>
              <w:rPr>
                <w:rFonts w:hint="eastAsia" w:ascii="微软雅黑" w:hAnsi="微软雅黑" w:eastAsia="微软雅黑" w:cs="微软雅黑"/>
                <w:sz w:val="21"/>
                <w:szCs w:val="21"/>
                <w:highlight w:val="none"/>
                <w:lang w:eastAsia="zh-CN"/>
              </w:rPr>
            </w:pPr>
          </w:p>
        </w:tc>
      </w:tr>
      <w:tr w14:paraId="0F5F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75CF929">
            <w:pPr>
              <w:spacing w:line="36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3.2</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A7E5B1D">
            <w:pPr>
              <w:spacing w:line="36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标段名称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BCF8F01">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w:t>
            </w:r>
          </w:p>
        </w:tc>
      </w:tr>
      <w:tr w14:paraId="562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37F75D16">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4</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FC6EB99">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交货地点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77ECD37">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采购人指定地点</w:t>
            </w:r>
          </w:p>
        </w:tc>
      </w:tr>
      <w:tr w14:paraId="3BD8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EE1B23E">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5</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D01FC8D">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资金来源</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4795B7FB">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财政资金</w:t>
            </w:r>
          </w:p>
        </w:tc>
      </w:tr>
      <w:tr w14:paraId="3404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66C4E4D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6</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292FBEB7">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资金落实情况</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544B310">
            <w:pPr>
              <w:pStyle w:val="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已落实</w:t>
            </w:r>
          </w:p>
        </w:tc>
      </w:tr>
      <w:tr w14:paraId="472A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5723269">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7</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4472496">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采购内容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CA4DF9D">
            <w:pPr>
              <w:pStyle w:val="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精品录播教室设备采购(南关学校、大同实验学校、杞县高中附属中学），1.86 LED屏等设备采购安装(大同实验学校），会议长条桌(大同实验学校），办公桌椅、文件柜（杞县高中附属中学）（详见招标文件采购需求）。</w:t>
            </w:r>
          </w:p>
        </w:tc>
      </w:tr>
      <w:tr w14:paraId="486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2B2A54B1">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8</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4F3A36D">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供货及安装期限</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F400C60">
            <w:pPr>
              <w:spacing w:line="360" w:lineRule="exact"/>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合同签订后20日历天内供货并安装调试完毕。</w:t>
            </w:r>
          </w:p>
        </w:tc>
      </w:tr>
      <w:tr w14:paraId="022E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547224A2">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9</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1A5D7A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质量要求</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C34E6E9">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szCs w:val="21"/>
                <w:highlight w:val="none"/>
              </w:rPr>
              <w:t>合格</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符合国家现行相关行业标准</w:t>
            </w:r>
          </w:p>
        </w:tc>
      </w:tr>
      <w:tr w14:paraId="6439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5CE970A">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10</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0D78DB81">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质保期</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018793B9">
            <w:pPr>
              <w:pStyle w:val="5"/>
              <w:rPr>
                <w:rFonts w:hint="eastAsia" w:ascii="微软雅黑" w:hAnsi="微软雅黑" w:eastAsia="微软雅黑" w:cs="微软雅黑"/>
                <w:highlight w:val="none"/>
                <w:lang w:val="en-US" w:eastAsia="zh-CN"/>
              </w:rPr>
            </w:pPr>
            <w:bookmarkStart w:id="16" w:name="OLE_LINK1"/>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rPr>
              <w:t>年</w:t>
            </w:r>
            <w:bookmarkEnd w:id="16"/>
          </w:p>
        </w:tc>
      </w:tr>
      <w:tr w14:paraId="208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1B2E45A">
            <w:pPr>
              <w:spacing w:line="36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11</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CADE5A4">
            <w:pPr>
              <w:spacing w:line="36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付款方式</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694EF37">
            <w:pPr>
              <w:pStyle w:val="24"/>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货物送达指定地点，安装调试完毕后，由乙方派人到甲方递交书面纸质验收申请，经甲方或第三方质量监督检验机构验收合格后，可申领合同价款的97% ；剩余3%款额质保期满后可申领。县财政部门负责资金支付，实际支付金额及时间以县财政部门最终支付为准。</w:t>
            </w:r>
          </w:p>
        </w:tc>
      </w:tr>
      <w:tr w14:paraId="3367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33E3EF2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12</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A94FFBC">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投标人资质条件和能力</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67BEB6E">
            <w:pPr>
              <w:pStyle w:val="24"/>
              <w:spacing w:line="240" w:lineRule="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详见招标公告“ </w:t>
            </w:r>
            <w:r>
              <w:rPr>
                <w:rFonts w:hint="eastAsia" w:ascii="微软雅黑" w:hAnsi="微软雅黑" w:eastAsia="微软雅黑" w:cs="微软雅黑"/>
                <w:highlight w:val="none"/>
              </w:rPr>
              <w:t>二、投标人资格要求</w:t>
            </w:r>
            <w:r>
              <w:rPr>
                <w:rFonts w:hint="eastAsia" w:ascii="微软雅黑" w:hAnsi="微软雅黑" w:eastAsia="微软雅黑" w:cs="微软雅黑"/>
                <w:color w:val="000000"/>
                <w:szCs w:val="21"/>
                <w:highlight w:val="none"/>
              </w:rPr>
              <w:t>”</w:t>
            </w:r>
          </w:p>
        </w:tc>
      </w:tr>
      <w:tr w14:paraId="140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544B38BD">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13</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D7D407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是否接受联合体投标</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6AEE20FC">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color w:val="000000"/>
                <w:szCs w:val="21"/>
                <w:highlight w:val="none"/>
              </w:rPr>
              <w:instrText xml:space="preserve"> eq \o\ac(</w:instrText>
            </w:r>
            <w:r>
              <w:rPr>
                <w:rFonts w:hint="eastAsia" w:ascii="微软雅黑" w:hAnsi="微软雅黑" w:eastAsia="微软雅黑" w:cs="微软雅黑"/>
                <w:color w:val="000000"/>
                <w:position w:val="-4"/>
                <w:szCs w:val="21"/>
                <w:highlight w:val="none"/>
              </w:rPr>
              <w:instrText xml:space="preserve">□</w:instrText>
            </w:r>
            <w:r>
              <w:rPr>
                <w:rFonts w:hint="eastAsia" w:ascii="微软雅黑" w:hAnsi="微软雅黑" w:eastAsia="微软雅黑" w:cs="微软雅黑"/>
                <w:color w:val="000000"/>
                <w:szCs w:val="21"/>
                <w:highlight w:val="none"/>
              </w:rPr>
              <w:instrText xml:space="preserve">,√)</w:instrTex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000000"/>
                <w:szCs w:val="21"/>
                <w:highlight w:val="none"/>
              </w:rPr>
              <w:t>不接受</w:t>
            </w:r>
          </w:p>
        </w:tc>
      </w:tr>
      <w:tr w14:paraId="5EC3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320EFC66">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14</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25D685FA">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构成招标文件的其他材料</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06D93A64">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招标文件补充文件、澄清、修改、答疑。</w:t>
            </w:r>
          </w:p>
          <w:p w14:paraId="756020A3">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当招标文件、补充（答疑）通知文件内容相互矛盾时，以最后发出的文件为准</w:t>
            </w:r>
          </w:p>
        </w:tc>
      </w:tr>
      <w:tr w14:paraId="420E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7F66755E">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16</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2E50FDEB">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投标有效期</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49B6BFF7">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投标截止时间起60日历天</w:t>
            </w:r>
          </w:p>
        </w:tc>
      </w:tr>
      <w:tr w14:paraId="3DBC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6DF604D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17</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650004F">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是否允许递交备选投标方案</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5CFAFFE4">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不允许</w:t>
            </w:r>
          </w:p>
        </w:tc>
      </w:tr>
      <w:tr w14:paraId="26C0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5C260DF7">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18</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7A698D5">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签字或盖章要求</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664B310B">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highlight w:val="none"/>
              </w:rPr>
              <w:t>电子投标响应文件由投标单位法定代表人或授权委托人在规定签字盖章处签字或盖章和加盖单位公章。</w:t>
            </w:r>
            <w:r>
              <w:rPr>
                <w:rFonts w:hint="eastAsia" w:ascii="微软雅黑" w:hAnsi="微软雅黑" w:eastAsia="微软雅黑" w:cs="微软雅黑"/>
                <w:highlight w:val="none"/>
              </w:rPr>
              <w:t xml:space="preserve">委托代理人签字的，响应文件应附法定代表人签署的授权委托书，不符合要求的，其投标将被拒绝。 </w:t>
            </w:r>
          </w:p>
        </w:tc>
      </w:tr>
      <w:tr w14:paraId="4BD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1EBA52C">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eastAsia="zh-CN"/>
              </w:rPr>
              <w:t>19</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C8DC19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投标保证金</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1B7C20D7">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不收取</w:t>
            </w:r>
          </w:p>
        </w:tc>
      </w:tr>
      <w:tr w14:paraId="615C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BC4672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124A36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递交投标文件截止时间</w:t>
            </w:r>
            <w:r>
              <w:rPr>
                <w:rFonts w:hint="eastAsia" w:ascii="微软雅黑" w:hAnsi="微软雅黑" w:eastAsia="微软雅黑" w:cs="微软雅黑"/>
                <w:color w:val="000000"/>
                <w:szCs w:val="21"/>
                <w:highlight w:val="none"/>
                <w:lang w:val="en-US" w:eastAsia="zh-CN"/>
              </w:rPr>
              <w:t>及</w:t>
            </w:r>
            <w:r>
              <w:rPr>
                <w:rFonts w:hint="eastAsia" w:ascii="微软雅黑" w:hAnsi="微软雅黑" w:eastAsia="微软雅黑" w:cs="微软雅黑"/>
                <w:color w:val="000000"/>
                <w:szCs w:val="21"/>
                <w:highlight w:val="none"/>
              </w:rPr>
              <w:t>地点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1E54E1FD">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截止时间：</w:t>
            </w:r>
            <w:r>
              <w:rPr>
                <w:rFonts w:hint="eastAsia" w:ascii="微软雅黑" w:hAnsi="微软雅黑" w:eastAsia="微软雅黑" w:cs="微软雅黑"/>
                <w:color w:val="000000"/>
                <w:szCs w:val="21"/>
                <w:highlight w:val="none"/>
                <w:lang w:val="en-US" w:eastAsia="zh-CN"/>
              </w:rPr>
              <w:t>同</w:t>
            </w:r>
            <w:r>
              <w:rPr>
                <w:rFonts w:hint="eastAsia" w:ascii="微软雅黑" w:hAnsi="微软雅黑" w:eastAsia="微软雅黑" w:cs="微软雅黑"/>
                <w:color w:val="000000"/>
                <w:szCs w:val="21"/>
                <w:highlight w:val="none"/>
              </w:rPr>
              <w:t>投标截止时间</w:t>
            </w:r>
          </w:p>
          <w:p w14:paraId="54D5F275">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递交地点：各投标人应在投标截止时间前上传加密的电子投标文件到会员系统的指定位置。</w:t>
            </w:r>
          </w:p>
        </w:tc>
      </w:tr>
      <w:tr w14:paraId="296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2084ED1B">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23</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4C1C64A">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是否退还投标文件</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03AB6AA9">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否</w:t>
            </w:r>
          </w:p>
        </w:tc>
      </w:tr>
      <w:tr w14:paraId="4291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43D230D">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24</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BE05ADA">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开标时间和地点</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78506B30">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开标时间：同投标截止时间</w:t>
            </w:r>
          </w:p>
          <w:p w14:paraId="4084BC1B">
            <w:pPr>
              <w:spacing w:line="360" w:lineRule="exact"/>
              <w:jc w:val="left"/>
              <w:rPr>
                <w:rFonts w:hint="eastAsia" w:ascii="微软雅黑" w:hAnsi="微软雅黑" w:eastAsia="微软雅黑" w:cs="微软雅黑"/>
                <w:color w:val="000000"/>
                <w:spacing w:val="-6"/>
                <w:szCs w:val="21"/>
                <w:highlight w:val="none"/>
              </w:rPr>
            </w:pPr>
            <w:r>
              <w:rPr>
                <w:rFonts w:hint="eastAsia" w:ascii="微软雅黑" w:hAnsi="微软雅黑" w:eastAsia="微软雅黑" w:cs="微软雅黑"/>
                <w:color w:val="000000"/>
                <w:spacing w:val="-6"/>
                <w:szCs w:val="21"/>
                <w:highlight w:val="none"/>
              </w:rPr>
              <w:t>开标地点</w:t>
            </w:r>
            <w:r>
              <w:rPr>
                <w:rFonts w:hint="eastAsia" w:ascii="微软雅黑" w:hAnsi="微软雅黑" w:eastAsia="微软雅黑" w:cs="微软雅黑"/>
                <w:color w:val="000000"/>
                <w:spacing w:val="-6"/>
                <w:szCs w:val="21"/>
                <w:highlight w:val="none"/>
                <w:lang w:eastAsia="zh-CN"/>
              </w:rPr>
              <w:t>：</w:t>
            </w:r>
            <w:r>
              <w:rPr>
                <w:rFonts w:hint="eastAsia" w:ascii="微软雅黑" w:hAnsi="微软雅黑" w:eastAsia="微软雅黑" w:cs="微软雅黑"/>
                <w:color w:val="000000"/>
                <w:spacing w:val="-6"/>
                <w:szCs w:val="21"/>
                <w:highlight w:val="none"/>
              </w:rPr>
              <w:t xml:space="preserve"> 杞县综合服务大厦11楼开标室（地址：杞县金城大道与经四路交叉口东北角杞县便民服务中心）</w:t>
            </w:r>
            <w:r>
              <w:rPr>
                <w:rFonts w:hint="eastAsia" w:ascii="微软雅黑" w:hAnsi="微软雅黑" w:eastAsia="微软雅黑" w:cs="微软雅黑"/>
                <w:color w:val="000000"/>
                <w:szCs w:val="21"/>
                <w:highlight w:val="none"/>
              </w:rPr>
              <w:t>（远程开标）</w:t>
            </w:r>
          </w:p>
        </w:tc>
      </w:tr>
      <w:tr w14:paraId="62DE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729CD859">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25</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18DE30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开标程序</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04F3872A">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1.采购人在规定的投标文件递交截止时间（开标时间）和投标人须知前附表规定的地点进行开标。</w:t>
            </w:r>
          </w:p>
          <w:p w14:paraId="73A9DECB">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2.投标人须在规定的时间内完成解密，若出现非系统原因无法解密的，不再参与开评标。</w:t>
            </w:r>
          </w:p>
          <w:p w14:paraId="2E97C672">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3.开标程序</w:t>
            </w:r>
          </w:p>
          <w:p w14:paraId="24AC3867">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(1) 本项目采用“远程不见面”开标方式,供应商无需到现场提交原件资料、无需到</w:t>
            </w:r>
            <w:r>
              <w:rPr>
                <w:rFonts w:hint="eastAsia" w:ascii="微软雅黑" w:hAnsi="微软雅黑" w:eastAsia="微软雅黑" w:cs="微软雅黑"/>
                <w:highlight w:val="none"/>
                <w:lang w:eastAsia="zh-CN"/>
              </w:rPr>
              <w:t>杞县</w:t>
            </w:r>
            <w:r>
              <w:rPr>
                <w:rFonts w:hint="eastAsia" w:ascii="微软雅黑" w:hAnsi="微软雅黑" w:eastAsia="微软雅黑" w:cs="微软雅黑"/>
                <w:highlight w:val="none"/>
              </w:rPr>
              <w:t>公共资源交易中心开标室现场参加开标会议；供应商应当在开标时间前,登录远程开标大厅,在线准时参加开标活动并进行投标文件解密、答疑澄清等。（系统解密时长默认为40分钟，错过解密时长者视为自动放弃本次投标）；</w:t>
            </w:r>
          </w:p>
          <w:p w14:paraId="537596BF">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(2)开标后投标人对所上传加密的投标文件在规定时间内进行解密(40分钟解密时间)；</w:t>
            </w:r>
          </w:p>
          <w:p w14:paraId="3A365CD0">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(3)所有投标人解密完成后或已到规定解密时间，开始唱标；</w:t>
            </w:r>
          </w:p>
          <w:p w14:paraId="3A2253D4">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highlight w:val="none"/>
              </w:rPr>
              <w:t>(4)唱标完毕后(5分钟质疑期)，无投标人提出异议，开标结束。</w:t>
            </w:r>
          </w:p>
        </w:tc>
      </w:tr>
      <w:tr w14:paraId="6DCD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11F64C6">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26</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F7AB5E4">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评标委员会的组建</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253A1A7A">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评标委员会构成:</w:t>
            </w:r>
            <w:r>
              <w:rPr>
                <w:rFonts w:hint="eastAsia" w:ascii="微软雅黑" w:hAnsi="微软雅黑" w:eastAsia="微软雅黑" w:cs="微软雅黑"/>
                <w:color w:val="000000"/>
                <w:szCs w:val="21"/>
                <w:highlight w:val="none"/>
                <w:u w:val="single"/>
              </w:rPr>
              <w:t xml:space="preserve"> </w:t>
            </w:r>
            <w:r>
              <w:rPr>
                <w:rFonts w:hint="eastAsia" w:ascii="微软雅黑" w:hAnsi="微软雅黑" w:eastAsia="微软雅黑" w:cs="微软雅黑"/>
                <w:color w:val="000000"/>
                <w:szCs w:val="21"/>
                <w:highlight w:val="none"/>
                <w:u w:val="single"/>
                <w:lang w:val="en-US" w:eastAsia="zh-CN"/>
              </w:rPr>
              <w:t>5</w:t>
            </w:r>
            <w:r>
              <w:rPr>
                <w:rFonts w:hint="eastAsia" w:ascii="微软雅黑" w:hAnsi="微软雅黑" w:eastAsia="微软雅黑" w:cs="微软雅黑"/>
                <w:color w:val="000000"/>
                <w:szCs w:val="21"/>
                <w:highlight w:val="none"/>
              </w:rPr>
              <w:t>人，其中采购人代表</w:t>
            </w:r>
            <w:r>
              <w:rPr>
                <w:rFonts w:hint="eastAsia" w:ascii="微软雅黑" w:hAnsi="微软雅黑" w:eastAsia="微软雅黑" w:cs="微软雅黑"/>
                <w:color w:val="000000"/>
                <w:szCs w:val="21"/>
                <w:highlight w:val="none"/>
                <w:u w:val="single"/>
                <w:lang w:val="en-US" w:eastAsia="zh-CN"/>
              </w:rPr>
              <w:t>1</w:t>
            </w:r>
            <w:r>
              <w:rPr>
                <w:rFonts w:hint="eastAsia" w:ascii="微软雅黑" w:hAnsi="微软雅黑" w:eastAsia="微软雅黑" w:cs="微软雅黑"/>
                <w:color w:val="000000"/>
                <w:szCs w:val="21"/>
                <w:highlight w:val="none"/>
              </w:rPr>
              <w:t>人，有关经济、技术等方面专家</w:t>
            </w:r>
            <w:r>
              <w:rPr>
                <w:rFonts w:hint="eastAsia" w:ascii="微软雅黑" w:hAnsi="微软雅黑" w:eastAsia="微软雅黑" w:cs="微软雅黑"/>
                <w:color w:val="000000"/>
                <w:szCs w:val="21"/>
                <w:highlight w:val="none"/>
                <w:u w:val="single"/>
              </w:rPr>
              <w:t xml:space="preserve"> </w:t>
            </w:r>
            <w:r>
              <w:rPr>
                <w:rFonts w:hint="eastAsia" w:ascii="微软雅黑" w:hAnsi="微软雅黑" w:eastAsia="微软雅黑" w:cs="微软雅黑"/>
                <w:color w:val="000000"/>
                <w:szCs w:val="21"/>
                <w:highlight w:val="none"/>
                <w:u w:val="single"/>
                <w:lang w:val="en-US" w:eastAsia="zh-CN"/>
              </w:rPr>
              <w:t>4</w:t>
            </w:r>
            <w:r>
              <w:rPr>
                <w:rFonts w:hint="eastAsia" w:ascii="微软雅黑" w:hAnsi="微软雅黑" w:eastAsia="微软雅黑" w:cs="微软雅黑"/>
                <w:color w:val="000000"/>
                <w:szCs w:val="21"/>
                <w:highlight w:val="none"/>
              </w:rPr>
              <w:t>人；（业主评委须由本单位正式工作人员担任，若本单位没有符合条件的</w:t>
            </w:r>
            <w:r>
              <w:rPr>
                <w:rFonts w:hint="eastAsia" w:ascii="微软雅黑" w:hAnsi="微软雅黑" w:eastAsia="微软雅黑" w:cs="微软雅黑"/>
                <w:color w:val="000000"/>
                <w:szCs w:val="21"/>
                <w:highlight w:val="none"/>
                <w:lang w:val="en-US" w:eastAsia="zh-CN"/>
              </w:rPr>
              <w:t>采购人代表参加，则</w:t>
            </w:r>
            <w:r>
              <w:rPr>
                <w:rFonts w:hint="eastAsia" w:ascii="微软雅黑" w:hAnsi="微软雅黑" w:eastAsia="微软雅黑" w:cs="微软雅黑"/>
                <w:color w:val="000000"/>
                <w:szCs w:val="21"/>
                <w:highlight w:val="none"/>
              </w:rPr>
              <w:t>从专家库中随机抽取）</w:t>
            </w:r>
          </w:p>
          <w:p w14:paraId="4679B6F4">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评标专家确定方式：从省级相关评标专家库中随机抽取。</w:t>
            </w:r>
          </w:p>
        </w:tc>
      </w:tr>
      <w:tr w14:paraId="02E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872005E">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27</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89BCAA1">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是否授权评标委员会确定中标人</w:t>
            </w:r>
          </w:p>
        </w:tc>
        <w:tc>
          <w:tcPr>
            <w:tcW w:w="7078" w:type="dxa"/>
            <w:tcBorders>
              <w:top w:val="single" w:color="auto" w:sz="4" w:space="0"/>
              <w:left w:val="single" w:color="auto" w:sz="4" w:space="0"/>
              <w:bottom w:val="single" w:color="auto" w:sz="4" w:space="0"/>
              <w:right w:val="single" w:color="auto" w:sz="4" w:space="0"/>
            </w:tcBorders>
            <w:noWrap w:val="0"/>
            <w:vAlign w:val="top"/>
          </w:tcPr>
          <w:p w14:paraId="0AC62319">
            <w:pPr>
              <w:spacing w:line="360" w:lineRule="exact"/>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□是</w:t>
            </w:r>
          </w:p>
          <w:p w14:paraId="495203B3">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b/>
                <w:color w:val="000000"/>
                <w:szCs w:val="21"/>
                <w:highlight w:val="none"/>
              </w:rPr>
              <w:instrText xml:space="preserve"> eq \o\ac(</w:instrText>
            </w:r>
            <w:r>
              <w:rPr>
                <w:rFonts w:hint="eastAsia" w:ascii="微软雅黑" w:hAnsi="微软雅黑" w:eastAsia="微软雅黑" w:cs="微软雅黑"/>
                <w:b/>
                <w:color w:val="000000"/>
                <w:position w:val="-4"/>
                <w:szCs w:val="21"/>
                <w:highlight w:val="none"/>
              </w:rPr>
              <w:instrText xml:space="preserve">□</w:instrText>
            </w:r>
            <w:r>
              <w:rPr>
                <w:rFonts w:hint="eastAsia" w:ascii="微软雅黑" w:hAnsi="微软雅黑" w:eastAsia="微软雅黑" w:cs="微软雅黑"/>
                <w:b/>
                <w:color w:val="000000"/>
                <w:szCs w:val="21"/>
                <w:highlight w:val="none"/>
              </w:rPr>
              <w:instrText xml:space="preserve">,√)</w:instrTex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000000"/>
                <w:szCs w:val="21"/>
                <w:highlight w:val="none"/>
              </w:rPr>
              <w:t>否，推荐的中标候选人数：</w:t>
            </w:r>
            <w:r>
              <w:rPr>
                <w:rFonts w:hint="eastAsia" w:ascii="微软雅黑" w:hAnsi="微软雅黑" w:eastAsia="微软雅黑" w:cs="微软雅黑"/>
                <w:color w:val="000000"/>
                <w:szCs w:val="21"/>
                <w:highlight w:val="none"/>
                <w:u w:val="single"/>
              </w:rPr>
              <w:t xml:space="preserve"> 3 </w:t>
            </w:r>
            <w:r>
              <w:rPr>
                <w:rFonts w:hint="eastAsia" w:ascii="微软雅黑" w:hAnsi="微软雅黑" w:eastAsia="微软雅黑" w:cs="微软雅黑"/>
                <w:color w:val="000000"/>
                <w:szCs w:val="21"/>
                <w:highlight w:val="none"/>
              </w:rPr>
              <w:t>名</w:t>
            </w:r>
          </w:p>
        </w:tc>
      </w:tr>
      <w:tr w14:paraId="0D1B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6DFD39C5">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28</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0313782">
            <w:pPr>
              <w:pStyle w:val="10"/>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color w:val="000000"/>
                <w:kern w:val="2"/>
                <w:sz w:val="21"/>
                <w:highlight w:val="none"/>
              </w:rPr>
              <w:t>递交投标文件地点及方式</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CA85A70">
            <w:pPr>
              <w:spacing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（1）电子投标文件的递交</w:t>
            </w:r>
          </w:p>
          <w:p w14:paraId="06E4DB24">
            <w:pPr>
              <w:spacing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a、各投标人应在投标截止时间前上传加密的电子投标文件到会员系统的指定位置。请投标人在上传时认真检查上传响应文件是否完整、正确。</w:t>
            </w:r>
          </w:p>
          <w:p w14:paraId="22CAE05B">
            <w:pPr>
              <w:spacing w:line="360" w:lineRule="auto"/>
              <w:jc w:val="left"/>
              <w:rPr>
                <w:rFonts w:hint="eastAsia" w:ascii="微软雅黑" w:hAnsi="微软雅黑" w:eastAsia="微软雅黑" w:cs="微软雅黑"/>
                <w:highlight w:val="none"/>
              </w:rPr>
            </w:pPr>
            <w:r>
              <w:rPr>
                <w:rFonts w:hint="eastAsia" w:ascii="微软雅黑" w:hAnsi="微软雅黑" w:eastAsia="微软雅黑" w:cs="微软雅黑"/>
                <w:highlight w:val="none"/>
              </w:rPr>
              <w:t>b</w:t>
            </w:r>
            <w:r>
              <w:rPr>
                <w:rFonts w:hint="eastAsia" w:ascii="微软雅黑" w:hAnsi="微软雅黑" w:eastAsia="微软雅黑" w:cs="微软雅黑"/>
                <w:szCs w:val="21"/>
                <w:highlight w:val="none"/>
              </w:rPr>
              <w:t>、投标人因交易中心系统问题无法上传电子投标文件时，</w:t>
            </w:r>
            <w:r>
              <w:rPr>
                <w:rFonts w:hint="eastAsia" w:ascii="微软雅黑" w:hAnsi="微软雅黑" w:eastAsia="微软雅黑" w:cs="微软雅黑"/>
                <w:b/>
                <w:szCs w:val="21"/>
                <w:highlight w:val="none"/>
              </w:rPr>
              <w:t>请在工作时间与开封市公共资源交易中心交易平台运维电话联系，联系电话：0371-23859291</w:t>
            </w:r>
          </w:p>
        </w:tc>
      </w:tr>
      <w:tr w14:paraId="1B5E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exac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30B5EBC">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29</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7BDA2F4">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招标控制价</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0645A7CE">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招标控制价：</w:t>
            </w:r>
          </w:p>
          <w:p w14:paraId="72F58717">
            <w:pPr>
              <w:pStyle w:val="25"/>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大写：</w:t>
            </w:r>
            <w:r>
              <w:rPr>
                <w:rFonts w:hint="eastAsia" w:ascii="微软雅黑" w:hAnsi="微软雅黑" w:eastAsia="微软雅黑" w:cs="微软雅黑"/>
                <w:sz w:val="21"/>
                <w:szCs w:val="21"/>
                <w:highlight w:val="none"/>
                <w:lang w:val="en-US" w:eastAsia="zh-CN"/>
              </w:rPr>
              <w:t xml:space="preserve"> 壹佰壹拾伍万伍仟壹佰肆拾元零角零分</w:t>
            </w:r>
          </w:p>
          <w:p w14:paraId="64F0C1BC">
            <w:pPr>
              <w:pStyle w:val="25"/>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小写：</w:t>
            </w:r>
            <w:r>
              <w:rPr>
                <w:rFonts w:hint="eastAsia" w:ascii="微软雅黑" w:hAnsi="微软雅黑" w:eastAsia="微软雅黑" w:cs="微软雅黑"/>
                <w:sz w:val="21"/>
                <w:szCs w:val="21"/>
                <w:highlight w:val="none"/>
                <w:lang w:val="en-US" w:eastAsia="zh-CN"/>
              </w:rPr>
              <w:t>1155140.00</w:t>
            </w:r>
            <w:r>
              <w:rPr>
                <w:rFonts w:hint="eastAsia" w:ascii="微软雅黑" w:hAnsi="微软雅黑" w:eastAsia="微软雅黑" w:cs="微软雅黑"/>
                <w:sz w:val="21"/>
                <w:szCs w:val="21"/>
                <w:highlight w:val="none"/>
              </w:rPr>
              <w:t>元</w:t>
            </w:r>
          </w:p>
          <w:p w14:paraId="38942F8F">
            <w:pPr>
              <w:pStyle w:val="25"/>
              <w:rPr>
                <w:rFonts w:hint="eastAsia" w:ascii="微软雅黑" w:hAnsi="微软雅黑" w:eastAsia="微软雅黑" w:cs="微软雅黑"/>
                <w:color w:val="000000"/>
                <w:kern w:val="2"/>
                <w:sz w:val="21"/>
                <w:szCs w:val="21"/>
                <w:highlight w:val="none"/>
                <w:lang w:val="en-US" w:eastAsia="zh-CN" w:bidi="ar-SA"/>
              </w:rPr>
            </w:pPr>
            <w:r>
              <w:rPr>
                <w:rFonts w:hint="eastAsia" w:ascii="微软雅黑" w:hAnsi="微软雅黑" w:eastAsia="微软雅黑" w:cs="微软雅黑"/>
                <w:sz w:val="21"/>
                <w:szCs w:val="21"/>
                <w:highlight w:val="none"/>
              </w:rPr>
              <w:t>报价高于招标控制价的视为无效报价，其投标予以拒绝</w:t>
            </w:r>
            <w:r>
              <w:rPr>
                <w:rFonts w:hint="eastAsia" w:ascii="微软雅黑" w:hAnsi="微软雅黑" w:eastAsia="微软雅黑" w:cs="微软雅黑"/>
                <w:szCs w:val="21"/>
                <w:highlight w:val="none"/>
              </w:rPr>
              <w:t>。</w:t>
            </w:r>
          </w:p>
        </w:tc>
      </w:tr>
      <w:tr w14:paraId="0B07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0B422AA2">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30</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40B06AC">
            <w:pPr>
              <w:spacing w:line="36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招标代理费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69E06F25">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参照《河南省招标代理服务收费指导意见》豫招协[2023]002号文规定</w:t>
            </w:r>
            <w:r>
              <w:rPr>
                <w:rFonts w:hint="eastAsia" w:ascii="微软雅黑" w:hAnsi="微软雅黑" w:eastAsia="微软雅黑" w:cs="微软雅黑"/>
                <w:color w:val="000000"/>
                <w:szCs w:val="21"/>
                <w:highlight w:val="none"/>
                <w:lang w:eastAsia="zh-CN"/>
              </w:rPr>
              <w:t>，</w:t>
            </w:r>
            <w:r>
              <w:rPr>
                <w:rFonts w:hint="eastAsia" w:ascii="微软雅黑" w:hAnsi="微软雅黑" w:eastAsia="微软雅黑" w:cs="微软雅黑"/>
                <w:color w:val="000000"/>
                <w:szCs w:val="21"/>
                <w:highlight w:val="none"/>
              </w:rPr>
              <w:t>由中标人在领取中标通知书之前向代理机构一次性</w:t>
            </w:r>
            <w:r>
              <w:rPr>
                <w:rFonts w:hint="eastAsia" w:ascii="微软雅黑" w:hAnsi="微软雅黑" w:eastAsia="微软雅黑" w:cs="微软雅黑"/>
                <w:b w:val="0"/>
                <w:color w:val="auto"/>
                <w:kern w:val="2"/>
                <w:sz w:val="21"/>
                <w:szCs w:val="21"/>
                <w:highlight w:val="none"/>
                <w:lang w:val="zh-CN" w:eastAsia="zh-CN" w:bidi="ar-SA"/>
              </w:rPr>
              <w:t>缴纳代理服务费，领取中标通知书前以转账或现金形式支付。</w:t>
            </w:r>
          </w:p>
          <w:p w14:paraId="37B068A9">
            <w:pPr>
              <w:spacing w:line="36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综合服务费：由中标人至杞县公共资源交易服务中心自行完善相关手续。</w:t>
            </w:r>
          </w:p>
        </w:tc>
      </w:tr>
      <w:tr w14:paraId="3B51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8051A25">
            <w:pPr>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31</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25CCCB47">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1、投标人必须在投标文件中作出如下承诺：“我公司独立制作、修改和上传投标文件，并承担因‘硬件特征码一致’所造成的不良后果”。</w:t>
            </w:r>
          </w:p>
          <w:p w14:paraId="16EBE223">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2、对于被认定为“硬件特征码一致”的投标人，禁止其一年内在开封行政区域内参与招投标活动并在网上予以通报。</w:t>
            </w:r>
          </w:p>
        </w:tc>
      </w:tr>
      <w:tr w14:paraId="3EC1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53D20F63">
            <w:pPr>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32</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6257D102">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r w14:paraId="481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DADF6F4">
            <w:pPr>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33</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07C92FD7">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根据开封市公共资源交易管理委员会办公室文件（汴公管办【2020】13号）的规定：</w:t>
            </w:r>
          </w:p>
          <w:p w14:paraId="00104E2D">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递交质疑或投诉的方式：</w:t>
            </w:r>
          </w:p>
          <w:p w14:paraId="3158DB01">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1、递交方式：提出质疑（异议）、投诉的方式为线上提起。（格式详见《开封市公共资源交易信息网》重要通知中的“政府采购项目质疑注意事项”/“政府采购项目投诉注意事项”）</w:t>
            </w:r>
          </w:p>
          <w:p w14:paraId="33D81E82">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2、递交地址：《开封市公共资源交易信息网》会员投标系统中本项目“质询信息”位置线上直接提起。（如有疑问可拨打服务电话咨询）</w:t>
            </w:r>
          </w:p>
          <w:p w14:paraId="2295823C">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3、</w:t>
            </w:r>
            <w:r>
              <w:rPr>
                <w:rFonts w:hint="eastAsia" w:ascii="微软雅黑" w:hAnsi="微软雅黑" w:eastAsia="微软雅黑" w:cs="微软雅黑"/>
                <w:szCs w:val="21"/>
                <w:highlight w:val="none"/>
              </w:rPr>
              <w:t>询问、质疑与投诉的递交方式为线上递交，供应商需在“开封市公共资源交易信息网”交易系统中提出询问、质疑与投诉,并电话告知采购人或采购代理机构，采购人或采购代理机构在规定时间内进行回复，各供应商应时刻关注电子交易系统中的项目进度和状态。</w:t>
            </w:r>
          </w:p>
          <w:p w14:paraId="76D375BC">
            <w:pPr>
              <w:spacing w:line="240"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供应商应在法定质疑期内一次性提出针对同一采购程序环节的质疑。否则不予受理。</w:t>
            </w:r>
          </w:p>
        </w:tc>
      </w:tr>
      <w:tr w14:paraId="4BE4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4FEA9CC8">
            <w:pPr>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34</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385ACE14">
            <w:pPr>
              <w:tabs>
                <w:tab w:val="left" w:pos="5010"/>
              </w:tabs>
              <w:spacing w:line="360" w:lineRule="auto"/>
              <w:jc w:val="both"/>
              <w:rPr>
                <w:rFonts w:hint="eastAsia" w:ascii="微软雅黑" w:hAnsi="微软雅黑" w:eastAsia="微软雅黑" w:cs="微软雅黑"/>
                <w:b/>
                <w:color w:val="000000"/>
                <w:sz w:val="24"/>
                <w:highlight w:val="none"/>
              </w:rPr>
            </w:pPr>
            <w:r>
              <w:rPr>
                <w:rFonts w:hint="eastAsia" w:ascii="微软雅黑" w:hAnsi="微软雅黑" w:eastAsia="微软雅黑" w:cs="微软雅黑"/>
                <w:b/>
                <w:color w:val="000000"/>
                <w:sz w:val="24"/>
                <w:highlight w:val="none"/>
                <w:lang w:val="en-US" w:eastAsia="zh-CN"/>
              </w:rPr>
              <w:t>1</w:t>
            </w:r>
            <w:r>
              <w:rPr>
                <w:rFonts w:hint="eastAsia" w:ascii="微软雅黑" w:hAnsi="微软雅黑" w:eastAsia="微软雅黑" w:cs="微软雅黑"/>
                <w:b/>
                <w:color w:val="000000"/>
                <w:sz w:val="24"/>
                <w:highlight w:val="none"/>
              </w:rPr>
              <w:t>、政府采购政策</w:t>
            </w:r>
          </w:p>
          <w:p w14:paraId="73A9E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1为贯彻落实财库[2020]46 号《政府采购促进中小企业发展管理办法》、（中小企业划型标准依据工信部联企业〔2011〕300 号《工业和信息化部、国家统计局、国家发展和改革委员会、财政部关于印发中小企业划型标准规定的通知》）；</w:t>
            </w:r>
            <w:r>
              <w:rPr>
                <w:rFonts w:hint="eastAsia" w:ascii="微软雅黑" w:hAnsi="微软雅黑" w:eastAsia="微软雅黑" w:cs="微软雅黑"/>
                <w:sz w:val="21"/>
                <w:szCs w:val="24"/>
                <w:highlight w:val="none"/>
              </w:rPr>
              <w:t>按要求出具《中小企业声明函》，根据《开封市财政局关于进一步加大政府采购支持中小企业力度的通知》（汴财购〔2022〕3号），对</w:t>
            </w:r>
            <w:r>
              <w:rPr>
                <w:rFonts w:hint="eastAsia" w:ascii="微软雅黑" w:hAnsi="微软雅黑" w:eastAsia="微软雅黑" w:cs="微软雅黑"/>
                <w:sz w:val="21"/>
                <w:szCs w:val="24"/>
                <w:highlight w:val="none"/>
                <w:lang w:eastAsia="zh-CN"/>
              </w:rPr>
              <w:t>小型和微型</w:t>
            </w:r>
            <w:r>
              <w:rPr>
                <w:rFonts w:hint="eastAsia" w:ascii="微软雅黑" w:hAnsi="微软雅黑" w:eastAsia="微软雅黑" w:cs="微软雅黑"/>
                <w:sz w:val="21"/>
                <w:szCs w:val="21"/>
                <w:highlight w:val="none"/>
              </w:rPr>
              <w:t>企业报价给予20%的扣除，用扣除后的价格参加评审。</w:t>
            </w:r>
          </w:p>
          <w:p w14:paraId="7C0C3E1C">
            <w:pPr>
              <w:pStyle w:val="27"/>
              <w:keepNext w:val="0"/>
              <w:keepLines w:val="0"/>
              <w:pageBreakBefore w:val="0"/>
              <w:kinsoku/>
              <w:wordWrap w:val="0"/>
              <w:overflowPunct/>
              <w:topLinePunct w:val="0"/>
              <w:bidi w:val="0"/>
              <w:spacing w:line="410" w:lineRule="exact"/>
              <w:ind w:left="0" w:right="0"/>
              <w:textAlignment w:val="auto"/>
              <w:rPr>
                <w:rFonts w:hint="eastAsia" w:ascii="微软雅黑" w:hAnsi="微软雅黑" w:eastAsia="微软雅黑" w:cs="微软雅黑"/>
                <w:kern w:val="2"/>
                <w:sz w:val="21"/>
                <w:szCs w:val="24"/>
                <w:highlight w:val="none"/>
                <w:lang w:val="en-US" w:eastAsia="zh-CN" w:bidi="ar-SA"/>
              </w:rPr>
            </w:pPr>
            <w:r>
              <w:rPr>
                <w:rFonts w:hint="eastAsia" w:ascii="微软雅黑" w:hAnsi="微软雅黑" w:eastAsia="微软雅黑" w:cs="微软雅黑"/>
                <w:kern w:val="2"/>
                <w:sz w:val="21"/>
                <w:szCs w:val="24"/>
                <w:highlight w:val="none"/>
                <w:lang w:val="en-US" w:eastAsia="zh-CN" w:bidi="ar-SA"/>
              </w:rPr>
              <w:t>大型企业评标报价=投标报价</w:t>
            </w:r>
          </w:p>
          <w:p w14:paraId="24F745C9">
            <w:pPr>
              <w:pStyle w:val="27"/>
              <w:keepNext w:val="0"/>
              <w:keepLines w:val="0"/>
              <w:pageBreakBefore w:val="0"/>
              <w:kinsoku/>
              <w:wordWrap w:val="0"/>
              <w:overflowPunct/>
              <w:topLinePunct w:val="0"/>
              <w:bidi w:val="0"/>
              <w:spacing w:line="410" w:lineRule="exact"/>
              <w:ind w:left="0" w:right="0"/>
              <w:textAlignment w:val="auto"/>
              <w:rPr>
                <w:rFonts w:hint="eastAsia" w:ascii="微软雅黑" w:hAnsi="微软雅黑" w:eastAsia="微软雅黑" w:cs="微软雅黑"/>
                <w:kern w:val="2"/>
                <w:sz w:val="21"/>
                <w:szCs w:val="24"/>
                <w:highlight w:val="none"/>
                <w:lang w:val="en-US" w:eastAsia="zh-CN" w:bidi="ar-SA"/>
              </w:rPr>
            </w:pPr>
            <w:r>
              <w:rPr>
                <w:rFonts w:hint="eastAsia" w:ascii="微软雅黑" w:hAnsi="微软雅黑" w:eastAsia="微软雅黑" w:cs="微软雅黑"/>
                <w:kern w:val="2"/>
                <w:sz w:val="21"/>
                <w:szCs w:val="24"/>
                <w:highlight w:val="none"/>
                <w:lang w:val="en-US" w:eastAsia="zh-CN" w:bidi="ar-SA"/>
              </w:rPr>
              <w:t>中型企业评标报价=投标报价</w:t>
            </w:r>
          </w:p>
          <w:p w14:paraId="25E73BA7">
            <w:pPr>
              <w:pStyle w:val="27"/>
              <w:keepNext w:val="0"/>
              <w:keepLines w:val="0"/>
              <w:pageBreakBefore w:val="0"/>
              <w:kinsoku/>
              <w:wordWrap w:val="0"/>
              <w:overflowPunct/>
              <w:topLinePunct w:val="0"/>
              <w:bidi w:val="0"/>
              <w:spacing w:line="410" w:lineRule="exact"/>
              <w:ind w:left="0" w:right="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kern w:val="2"/>
                <w:sz w:val="21"/>
                <w:szCs w:val="24"/>
                <w:highlight w:val="none"/>
                <w:lang w:val="en-US" w:eastAsia="zh-CN" w:bidi="ar-SA"/>
              </w:rPr>
              <w:t>小型或微型企业评标报价=投标报价*（20%）</w:t>
            </w:r>
          </w:p>
          <w:p w14:paraId="3EC16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2根据《财政部、司法部关于政府采购支持监狱企业发展有关问题的通知》（财库[2014]68 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Pr>
                <w:rFonts w:hint="eastAsia" w:ascii="微软雅黑" w:hAnsi="微软雅黑" w:eastAsia="微软雅黑" w:cs="微软雅黑"/>
                <w:b/>
                <w:sz w:val="21"/>
                <w:szCs w:val="21"/>
                <w:highlight w:val="none"/>
              </w:rPr>
              <w:t>。</w:t>
            </w:r>
          </w:p>
          <w:p w14:paraId="3A3D5A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3根据《财政部 民政部 中国残疾人联合会关于促进残疾人就业政府采购政策的通知》(财库〔2017〕141号)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Pr>
                <w:rFonts w:hint="eastAsia" w:ascii="微软雅黑" w:hAnsi="微软雅黑" w:eastAsia="微软雅黑" w:cs="微软雅黑"/>
                <w:b/>
                <w:sz w:val="21"/>
                <w:szCs w:val="21"/>
                <w:highlight w:val="none"/>
              </w:rPr>
              <w:t>。</w:t>
            </w:r>
          </w:p>
          <w:p w14:paraId="0B4DE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4涉及节能产品的，将按根据《</w:t>
            </w:r>
            <w:bookmarkStart w:id="17" w:name="OLE_LINK2"/>
            <w:r>
              <w:rPr>
                <w:rFonts w:hint="eastAsia" w:ascii="微软雅黑" w:hAnsi="微软雅黑" w:eastAsia="微软雅黑" w:cs="微软雅黑"/>
                <w:sz w:val="21"/>
                <w:szCs w:val="21"/>
                <w:highlight w:val="none"/>
              </w:rPr>
              <w:t>财政部发展改革委 生态环境部 市场监管总局关于调整优化节能产品 环境标志产品政府采购执行机制的通知</w:t>
            </w:r>
            <w:bookmarkEnd w:id="17"/>
            <w:r>
              <w:rPr>
                <w:rFonts w:hint="eastAsia" w:ascii="微软雅黑" w:hAnsi="微软雅黑" w:eastAsia="微软雅黑" w:cs="微软雅黑"/>
                <w:sz w:val="21"/>
                <w:szCs w:val="21"/>
                <w:highlight w:val="none"/>
              </w:rPr>
              <w:t>》（财库〔2019〕9号），的规定执行。采购人拟采购的产品如属于品目清单范围的，采购人及其委托的采购代理机构应当根据国家确定的认证机构出具的、处于有效期之内的节能产品、环境标志产品认证证书，对获得证书的产品实施政府优先采购或强制采购。</w:t>
            </w:r>
          </w:p>
          <w:p w14:paraId="3841E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5</w:t>
            </w:r>
            <w:r>
              <w:rPr>
                <w:rFonts w:hint="eastAsia" w:ascii="微软雅黑" w:hAnsi="微软雅黑" w:eastAsia="微软雅黑" w:cs="微软雅黑"/>
                <w:bCs/>
                <w:sz w:val="21"/>
                <w:szCs w:val="21"/>
                <w:highlight w:val="none"/>
              </w:rPr>
              <w:t>根据财政部、国家环保总局联合印发《关于环境标志产品政府采购实施的意见》（财库[2006]90号），如供应商所提供产品属于被列入最新一期环境标志产品政府采购清单产品，将给以优先采购。</w:t>
            </w:r>
          </w:p>
          <w:p w14:paraId="28EF2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6根据《政府采购进口产品管理办法》（财库[2007]119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未在采购文件中明确规定不允许进口产品参加的，视为拒绝进口产品参加。财政部门审核同意购买进口产品的，将在采购文件中明确规定可以采购进口产品。</w:t>
            </w:r>
          </w:p>
          <w:p w14:paraId="5CBD1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7根据政府采购政策，</w:t>
            </w:r>
            <w:r>
              <w:rPr>
                <w:rFonts w:hint="eastAsia" w:ascii="微软雅黑" w:hAnsi="微软雅黑" w:eastAsia="微软雅黑" w:cs="微软雅黑"/>
                <w:b/>
                <w:bCs/>
                <w:sz w:val="21"/>
                <w:szCs w:val="21"/>
                <w:highlight w:val="none"/>
              </w:rPr>
              <w:t>本项目如涉及到计算机办公设备产品，供应商所投产品必须是原装正版操作系统软件的计算机产品。</w:t>
            </w:r>
          </w:p>
          <w:p w14:paraId="007969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8其它未尽事宜，按国家有关法律、法规执行。</w:t>
            </w:r>
          </w:p>
          <w:p w14:paraId="61994FF3">
            <w:pPr>
              <w:rPr>
                <w:rFonts w:hint="eastAsia" w:ascii="微软雅黑" w:hAnsi="微软雅黑" w:eastAsia="微软雅黑" w:cs="微软雅黑"/>
                <w:b/>
                <w:bCs/>
                <w:kern w:val="0"/>
                <w:sz w:val="21"/>
                <w:szCs w:val="21"/>
                <w:highlight w:val="none"/>
              </w:rPr>
            </w:pPr>
            <w:r>
              <w:rPr>
                <w:rFonts w:hint="eastAsia" w:ascii="微软雅黑" w:hAnsi="微软雅黑" w:eastAsia="微软雅黑" w:cs="微软雅黑"/>
                <w:b/>
                <w:bCs/>
                <w:kern w:val="0"/>
                <w:sz w:val="21"/>
                <w:szCs w:val="21"/>
                <w:highlight w:val="none"/>
              </w:rPr>
              <w:t>2</w:t>
            </w:r>
            <w:r>
              <w:rPr>
                <w:rFonts w:hint="eastAsia" w:ascii="微软雅黑" w:hAnsi="微软雅黑" w:eastAsia="微软雅黑" w:cs="微软雅黑"/>
                <w:b/>
                <w:bCs/>
                <w:kern w:val="0"/>
                <w:sz w:val="21"/>
                <w:szCs w:val="21"/>
                <w:highlight w:val="none"/>
                <w:lang w:eastAsia="zh-CN"/>
              </w:rPr>
              <w:t>、</w:t>
            </w:r>
            <w:r>
              <w:rPr>
                <w:rFonts w:hint="eastAsia" w:ascii="微软雅黑" w:hAnsi="微软雅黑" w:eastAsia="微软雅黑" w:cs="微软雅黑"/>
                <w:b/>
                <w:bCs/>
                <w:kern w:val="0"/>
                <w:sz w:val="21"/>
                <w:szCs w:val="21"/>
                <w:highlight w:val="none"/>
              </w:rPr>
              <w:t>价格扣除的范围</w:t>
            </w:r>
          </w:p>
          <w:p w14:paraId="19FC8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2.1供应商</w:t>
            </w:r>
            <w:r>
              <w:rPr>
                <w:rFonts w:hint="eastAsia" w:ascii="微软雅黑" w:hAnsi="微软雅黑" w:eastAsia="微软雅黑" w:cs="微软雅黑"/>
                <w:sz w:val="21"/>
                <w:szCs w:val="21"/>
                <w:highlight w:val="none"/>
                <w:lang w:val="en-US" w:eastAsia="zh-CN"/>
              </w:rPr>
              <w:t>按要求</w:t>
            </w:r>
            <w:r>
              <w:rPr>
                <w:rFonts w:hint="eastAsia" w:ascii="微软雅黑" w:hAnsi="微软雅黑" w:eastAsia="微软雅黑" w:cs="微软雅黑"/>
                <w:sz w:val="21"/>
                <w:szCs w:val="21"/>
                <w:highlight w:val="none"/>
              </w:rPr>
              <w:t>提供《中小企业声明函》)，按规定给予价格扣除，用扣除后的价格参与评审。</w:t>
            </w:r>
          </w:p>
          <w:p w14:paraId="228FA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2.2供应商属于监狱企业并以该身份投标，按要求提供《监狱企业证明》，视同小型、微型企业，对该企业生产的货物、提供的工程或服务在评审时给予价格扣除。</w:t>
            </w:r>
          </w:p>
          <w:p w14:paraId="69E03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2.3、供应商属于残疾人福利性单位并以该身份投标，按要求提供《残疾人福利性单位声明函》，提供本单位制造的货物、承担的工程或者服务，或者提供其他残疾人福利性单位制造的货物（不包括使用非残疾人福利性单位注册商标的货物），视同小型、微型企业，在评审时给予价格扣除。</w:t>
            </w:r>
          </w:p>
          <w:p w14:paraId="1905F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上述小型微型企业、监狱企业、残疾人福利性单位提供中型企业制造的货物的，视同为中型企业，评标时不予价格扣除(《政府采购促进中小企业发展暂行办法》。投标产品中含有中型企业制造的货物，该投标单位视同为中型企业）。</w:t>
            </w:r>
          </w:p>
          <w:p w14:paraId="3100E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供应商对其提供的资料真实性自行负责，如有虚假，列入财政部“政府采购严重违法失信行为信息记录”，若为中标人者其中标资格将被取消。</w:t>
            </w:r>
          </w:p>
          <w:p w14:paraId="046F8F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2.4</w:t>
            </w:r>
            <w:r>
              <w:rPr>
                <w:rFonts w:hint="eastAsia" w:ascii="微软雅黑" w:hAnsi="微软雅黑" w:eastAsia="微软雅黑" w:cs="微软雅黑"/>
                <w:sz w:val="21"/>
                <w:szCs w:val="21"/>
                <w:highlight w:val="none"/>
              </w:rPr>
              <w:t>关于小型、微型企业价格扣除政策的规定</w:t>
            </w:r>
          </w:p>
          <w:p w14:paraId="56E048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供应商属于中小微企业，提供本企业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 订立劳动合同的从业人员。 </w:t>
            </w:r>
          </w:p>
          <w:p w14:paraId="5AAD6E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在货物采购项目中，供应商提供的货物既有中小企业制造货物，也有大型企业制造货物的，不享受本办法规定的中小企业扶持政策。</w:t>
            </w:r>
          </w:p>
          <w:p w14:paraId="7FBC43FD">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以联合体形式参加政府采购活动，联合体各方均为中小企业的，联合体视同中小企业。其中，联合体各方均为小微企业的，联合体视同小微企业。</w:t>
            </w:r>
          </w:p>
          <w:p w14:paraId="001B85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供应商属于监狱企业并以该身份投标，按要求提供《监狱企业证明》，视同小型、微型企业，对该企业生产的货物、提供的工程或服务在评审时给予价格扣除。</w:t>
            </w:r>
          </w:p>
          <w:p w14:paraId="5249BA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属于残疾人福利性单位并以该身份投标，按要求提供《残疾人福利性单位声明函》，提供本单位制造的货物、承担的工程或者服务，或者提供其他残疾人福利性单位制造的货物（不包括使用非残疾人福利性单位注册商标的货物），视同小型、微型企业，在评审时给予价格扣除。</w:t>
            </w:r>
          </w:p>
          <w:p w14:paraId="73313926">
            <w:pPr>
              <w:rPr>
                <w:rFonts w:hint="eastAsia" w:ascii="微软雅黑" w:hAnsi="微软雅黑" w:eastAsia="微软雅黑" w:cs="微软雅黑"/>
                <w:szCs w:val="21"/>
                <w:highlight w:val="none"/>
                <w:lang w:eastAsia="zh-CN"/>
              </w:rPr>
            </w:pPr>
            <w:r>
              <w:rPr>
                <w:rFonts w:hint="eastAsia" w:ascii="微软雅黑" w:hAnsi="微软雅黑" w:eastAsia="微软雅黑" w:cs="微软雅黑"/>
                <w:sz w:val="21"/>
                <w:szCs w:val="21"/>
                <w:highlight w:val="none"/>
              </w:rPr>
              <w:t>供应商对其提供的资料真实性、合规性、有效性自行负责，如有虚假，列入财政部“政府采购严重违法失信行为信息记录”，若为中标人者其中标资格将被取消。</w:t>
            </w:r>
          </w:p>
        </w:tc>
      </w:tr>
      <w:tr w14:paraId="4C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1EADA9BF">
            <w:pPr>
              <w:spacing w:line="360" w:lineRule="exact"/>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35</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6087E64B">
            <w:pPr>
              <w:rPr>
                <w:rFonts w:hint="eastAsia" w:ascii="微软雅黑" w:hAnsi="微软雅黑" w:eastAsia="微软雅黑" w:cs="微软雅黑"/>
                <w:color w:val="auto"/>
                <w:sz w:val="21"/>
                <w:szCs w:val="24"/>
                <w:highlight w:val="none"/>
                <w:lang w:val="en-US" w:eastAsia="zh-CN"/>
              </w:rPr>
            </w:pPr>
            <w:r>
              <w:rPr>
                <w:rFonts w:hint="eastAsia" w:ascii="微软雅黑" w:hAnsi="微软雅黑" w:eastAsia="微软雅黑" w:cs="微软雅黑"/>
                <w:color w:val="auto"/>
                <w:kern w:val="0"/>
                <w:sz w:val="22"/>
                <w:highlight w:val="none"/>
              </w:rPr>
              <w:t>标</w:t>
            </w:r>
            <w:r>
              <w:rPr>
                <w:rFonts w:hint="eastAsia" w:ascii="微软雅黑" w:hAnsi="微软雅黑" w:eastAsia="微软雅黑" w:cs="微软雅黑"/>
                <w:color w:val="auto"/>
                <w:sz w:val="21"/>
                <w:szCs w:val="24"/>
                <w:highlight w:val="none"/>
              </w:rPr>
              <w:t>的物所属行业</w:t>
            </w:r>
            <w:r>
              <w:rPr>
                <w:rFonts w:hint="eastAsia" w:ascii="微软雅黑" w:hAnsi="微软雅黑" w:eastAsia="微软雅黑" w:cs="微软雅黑"/>
                <w:color w:val="auto"/>
                <w:sz w:val="21"/>
                <w:szCs w:val="24"/>
                <w:highlight w:val="none"/>
                <w:lang w:eastAsia="zh-CN"/>
              </w:rPr>
              <w:t>：软件和信息技术服务业</w:t>
            </w:r>
          </w:p>
          <w:p w14:paraId="03C102A5">
            <w:pPr>
              <w:rPr>
                <w:rFonts w:hint="default" w:ascii="微软雅黑" w:hAnsi="微软雅黑" w:eastAsia="微软雅黑" w:cs="微软雅黑"/>
                <w:color w:val="auto"/>
                <w:sz w:val="21"/>
                <w:szCs w:val="24"/>
                <w:highlight w:val="none"/>
                <w:lang w:val="en-US" w:eastAsia="zh-CN"/>
              </w:rPr>
            </w:pPr>
            <w:r>
              <w:rPr>
                <w:rFonts w:hint="eastAsia" w:ascii="微软雅黑" w:hAnsi="微软雅黑" w:eastAsia="微软雅黑" w:cs="微软雅黑"/>
                <w:color w:val="auto"/>
                <w:sz w:val="21"/>
                <w:szCs w:val="24"/>
                <w:highlight w:val="none"/>
                <w:lang w:val="en-US" w:eastAsia="zh-CN"/>
              </w:rPr>
              <w:t xml:space="preserve">本次采购核心产品为：录播工作站 </w:t>
            </w:r>
          </w:p>
          <w:p w14:paraId="22934BA4">
            <w:pPr>
              <w:rPr>
                <w:rFonts w:hint="eastAsia" w:ascii="微软雅黑" w:hAnsi="微软雅黑" w:eastAsia="微软雅黑" w:cs="微软雅黑"/>
                <w:color w:val="auto"/>
                <w:sz w:val="21"/>
                <w:szCs w:val="24"/>
                <w:highlight w:val="none"/>
                <w:lang w:val="en-US" w:eastAsia="zh-CN"/>
              </w:rPr>
            </w:pPr>
            <w:r>
              <w:rPr>
                <w:rFonts w:hint="eastAsia" w:ascii="微软雅黑" w:hAnsi="微软雅黑" w:eastAsia="微软雅黑" w:cs="微软雅黑"/>
                <w:color w:val="auto"/>
                <w:sz w:val="21"/>
                <w:szCs w:val="24"/>
                <w:highlight w:val="none"/>
                <w:lang w:val="en-US" w:eastAsia="zh-CN"/>
              </w:rPr>
              <w:t>多家投标人提供的核心产品品牌相同的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tc>
      </w:tr>
      <w:tr w14:paraId="4DD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6AD0CEC1">
            <w:pPr>
              <w:spacing w:line="360" w:lineRule="exact"/>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36</w:t>
            </w:r>
          </w:p>
        </w:tc>
        <w:tc>
          <w:tcPr>
            <w:tcW w:w="9508" w:type="dxa"/>
            <w:gridSpan w:val="2"/>
            <w:tcBorders>
              <w:top w:val="single" w:color="auto" w:sz="4" w:space="0"/>
              <w:left w:val="single" w:color="auto" w:sz="4" w:space="0"/>
              <w:bottom w:val="single" w:color="auto" w:sz="4" w:space="0"/>
              <w:right w:val="single" w:color="auto" w:sz="4" w:space="0"/>
            </w:tcBorders>
            <w:noWrap w:val="0"/>
            <w:vAlign w:val="center"/>
          </w:tcPr>
          <w:p w14:paraId="08A11432">
            <w:pP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如招标文件正文前后不一致的以投标须知为准</w:t>
            </w:r>
          </w:p>
        </w:tc>
      </w:tr>
    </w:tbl>
    <w:p w14:paraId="4B745121">
      <w:pPr>
        <w:bidi w:val="0"/>
        <w:rPr>
          <w:rFonts w:hint="eastAsia" w:ascii="微软雅黑" w:hAnsi="微软雅黑" w:eastAsia="微软雅黑" w:cs="微软雅黑"/>
          <w:highlight w:val="none"/>
        </w:rPr>
      </w:pPr>
      <w:bookmarkStart w:id="18" w:name="_Toc12338"/>
      <w:bookmarkStart w:id="19" w:name="_Toc12919"/>
      <w:bookmarkStart w:id="20" w:name="_Toc4942"/>
      <w:bookmarkStart w:id="21" w:name="_Toc238352239"/>
      <w:bookmarkStart w:id="22" w:name="_Toc402979489"/>
      <w:bookmarkStart w:id="23" w:name="_Toc26118"/>
    </w:p>
    <w:p w14:paraId="183BA5F9">
      <w:pPr>
        <w:pStyle w:val="3"/>
        <w:bidi w:val="0"/>
        <w:jc w:val="both"/>
        <w:rPr>
          <w:rFonts w:hint="eastAsia" w:ascii="微软雅黑" w:hAnsi="微软雅黑" w:eastAsia="微软雅黑" w:cs="微软雅黑"/>
          <w:b/>
          <w:bCs/>
          <w:kern w:val="2"/>
          <w:sz w:val="28"/>
          <w:szCs w:val="28"/>
          <w:highlight w:val="none"/>
          <w:lang w:val="en-US" w:eastAsia="zh-CN" w:bidi="ar"/>
        </w:rPr>
      </w:pPr>
      <w:bookmarkStart w:id="24" w:name="_Toc40365288"/>
      <w:r>
        <w:rPr>
          <w:rFonts w:hint="eastAsia" w:ascii="微软雅黑" w:hAnsi="微软雅黑" w:eastAsia="微软雅黑" w:cs="微软雅黑"/>
          <w:highlight w:val="none"/>
        </w:rPr>
        <w:br w:type="page"/>
      </w:r>
      <w:bookmarkStart w:id="25" w:name="_Toc22553"/>
      <w:bookmarkStart w:id="26" w:name="_Toc18983"/>
      <w:bookmarkStart w:id="27" w:name="_Toc28431"/>
      <w:r>
        <w:rPr>
          <w:rFonts w:hint="eastAsia" w:ascii="微软雅黑" w:hAnsi="微软雅黑" w:eastAsia="微软雅黑" w:cs="微软雅黑"/>
          <w:b/>
          <w:bCs/>
          <w:kern w:val="2"/>
          <w:sz w:val="28"/>
          <w:szCs w:val="28"/>
          <w:highlight w:val="none"/>
          <w:lang w:val="en-US" w:eastAsia="zh-CN" w:bidi="ar-SA"/>
        </w:rPr>
        <w:t>附件1：大中小微型企业划型标准</w:t>
      </w:r>
      <w:bookmarkEnd w:id="25"/>
      <w:bookmarkEnd w:id="26"/>
      <w:bookmarkEnd w:id="27"/>
    </w:p>
    <w:p w14:paraId="6107261F">
      <w:pPr>
        <w:pStyle w:val="17"/>
        <w:tabs>
          <w:tab w:val="left" w:pos="945"/>
          <w:tab w:val="left" w:pos="1155"/>
        </w:tabs>
        <w:ind w:left="0" w:leftChars="0" w:firstLine="0" w:firstLineChars="0"/>
        <w:jc w:val="center"/>
        <w:rPr>
          <w:rFonts w:hint="eastAsia" w:ascii="微软雅黑" w:hAnsi="微软雅黑" w:eastAsia="微软雅黑" w:cs="微软雅黑"/>
          <w:b/>
          <w:color w:val="auto"/>
          <w:szCs w:val="22"/>
          <w:highlight w:val="none"/>
        </w:rPr>
      </w:pPr>
      <w:r>
        <w:rPr>
          <w:rFonts w:hint="eastAsia" w:ascii="微软雅黑" w:hAnsi="微软雅黑" w:eastAsia="微软雅黑" w:cs="微软雅黑"/>
          <w:b/>
          <w:color w:val="auto"/>
          <w:szCs w:val="22"/>
          <w:highlight w:val="none"/>
        </w:rPr>
        <w:drawing>
          <wp:inline distT="0" distB="0" distL="114300" distR="114300">
            <wp:extent cx="5483225" cy="7197725"/>
            <wp:effectExtent l="0" t="0" r="3175" b="3175"/>
            <wp:docPr id="4" name="图片 2" descr="16613911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661391160602"/>
                    <pic:cNvPicPr>
                      <a:picLocks noChangeAspect="1"/>
                    </pic:cNvPicPr>
                  </pic:nvPicPr>
                  <pic:blipFill>
                    <a:blip r:embed="rId16"/>
                    <a:stretch>
                      <a:fillRect/>
                    </a:stretch>
                  </pic:blipFill>
                  <pic:spPr>
                    <a:xfrm>
                      <a:off x="0" y="0"/>
                      <a:ext cx="5483225" cy="7197725"/>
                    </a:xfrm>
                    <a:prstGeom prst="rect">
                      <a:avLst/>
                    </a:prstGeom>
                    <a:noFill/>
                    <a:ln>
                      <a:noFill/>
                    </a:ln>
                  </pic:spPr>
                </pic:pic>
              </a:graphicData>
            </a:graphic>
          </wp:inline>
        </w:drawing>
      </w:r>
    </w:p>
    <w:p w14:paraId="2B630DFE">
      <w:pPr>
        <w:rPr>
          <w:rFonts w:hint="eastAsia" w:ascii="微软雅黑" w:hAnsi="微软雅黑" w:eastAsia="微软雅黑" w:cs="微软雅黑"/>
          <w:highlight w:val="none"/>
          <w:lang w:val="en-US" w:eastAsia="zh-CN"/>
        </w:rPr>
      </w:pPr>
    </w:p>
    <w:p w14:paraId="6D3DF571">
      <w:pPr>
        <w:rPr>
          <w:rFonts w:hint="eastAsia" w:ascii="微软雅黑" w:hAnsi="微软雅黑" w:eastAsia="微软雅黑" w:cs="微软雅黑"/>
          <w:kern w:val="0"/>
          <w:szCs w:val="21"/>
          <w:highlight w:val="none"/>
          <w:lang w:val="en-US" w:eastAsia="zh-CN"/>
        </w:rPr>
      </w:pPr>
    </w:p>
    <w:p w14:paraId="4406FBC5">
      <w:pPr>
        <w:pStyle w:val="17"/>
        <w:tabs>
          <w:tab w:val="left" w:pos="945"/>
          <w:tab w:val="left" w:pos="1155"/>
        </w:tabs>
        <w:rPr>
          <w:rFonts w:hint="eastAsia" w:ascii="微软雅黑" w:hAnsi="微软雅黑" w:eastAsia="微软雅黑" w:cs="微软雅黑"/>
          <w:kern w:val="0"/>
          <w:szCs w:val="21"/>
          <w:highlight w:val="none"/>
          <w:lang w:val="en-US" w:eastAsia="zh-CN"/>
        </w:rPr>
      </w:pPr>
    </w:p>
    <w:p w14:paraId="2AD8FF6F">
      <w:pPr>
        <w:rPr>
          <w:rFonts w:hint="eastAsia" w:ascii="微软雅黑" w:hAnsi="微软雅黑" w:eastAsia="微软雅黑" w:cs="微软雅黑"/>
          <w:kern w:val="0"/>
          <w:szCs w:val="21"/>
          <w:highlight w:val="none"/>
          <w:lang w:val="en-US" w:eastAsia="zh-CN"/>
        </w:rPr>
      </w:pPr>
    </w:p>
    <w:p w14:paraId="4B759E64">
      <w:pPr>
        <w:pStyle w:val="17"/>
        <w:tabs>
          <w:tab w:val="left" w:pos="945"/>
          <w:tab w:val="left" w:pos="1155"/>
        </w:tabs>
        <w:ind w:left="0" w:leftChars="0" w:firstLine="0" w:firstLineChars="0"/>
        <w:rPr>
          <w:rFonts w:hint="eastAsia" w:ascii="微软雅黑" w:hAnsi="微软雅黑" w:eastAsia="微软雅黑" w:cs="微软雅黑"/>
          <w:highlight w:val="none"/>
        </w:rPr>
      </w:pPr>
      <w:r>
        <w:rPr>
          <w:rFonts w:hint="eastAsia" w:ascii="微软雅黑" w:hAnsi="微软雅黑" w:eastAsia="微软雅黑" w:cs="微软雅黑"/>
          <w:highlight w:val="none"/>
        </w:rPr>
        <w:drawing>
          <wp:inline distT="0" distB="0" distL="114300" distR="114300">
            <wp:extent cx="5447665" cy="4568825"/>
            <wp:effectExtent l="0" t="0" r="63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447665" cy="4568825"/>
                    </a:xfrm>
                    <a:prstGeom prst="rect">
                      <a:avLst/>
                    </a:prstGeom>
                    <a:noFill/>
                    <a:ln>
                      <a:noFill/>
                    </a:ln>
                  </pic:spPr>
                </pic:pic>
              </a:graphicData>
            </a:graphic>
          </wp:inline>
        </w:drawing>
      </w:r>
    </w:p>
    <w:p w14:paraId="0D6685E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b/>
          <w:bCs/>
          <w:color w:val="000000"/>
          <w:kern w:val="0"/>
          <w:sz w:val="21"/>
          <w:szCs w:val="21"/>
          <w:highlight w:val="none"/>
          <w:lang w:val="en-US" w:eastAsia="zh-CN" w:bidi="ar"/>
        </w:rPr>
      </w:pPr>
      <w:r>
        <w:rPr>
          <w:rFonts w:hint="eastAsia" w:ascii="微软雅黑" w:hAnsi="微软雅黑" w:eastAsia="微软雅黑" w:cs="微软雅黑"/>
          <w:b/>
          <w:bCs/>
          <w:color w:val="000000"/>
          <w:kern w:val="0"/>
          <w:sz w:val="21"/>
          <w:szCs w:val="21"/>
          <w:highlight w:val="none"/>
          <w:lang w:val="en-US" w:eastAsia="zh-CN" w:bidi="ar"/>
        </w:rPr>
        <w:t>说明：</w:t>
      </w:r>
    </w:p>
    <w:p w14:paraId="3E2C4814">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color w:val="000000"/>
          <w:kern w:val="0"/>
          <w:sz w:val="21"/>
          <w:szCs w:val="21"/>
          <w:highlight w:val="none"/>
          <w:lang w:val="en-US" w:eastAsia="zh-CN" w:bidi="ar"/>
        </w:rPr>
        <w:t xml:space="preserve">1.大型、中型和小型企业须同时满足所列指标的下限，否则下划一档；微型企业只须满足所列指标中的一项即可。 </w:t>
      </w:r>
    </w:p>
    <w:p w14:paraId="6CC31C11">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color w:val="000000"/>
          <w:kern w:val="0"/>
          <w:sz w:val="21"/>
          <w:szCs w:val="21"/>
          <w:highlight w:val="none"/>
          <w:lang w:val="en-US" w:eastAsia="zh-CN" w:bidi="ar"/>
        </w:rPr>
        <w:t xml:space="preserve">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47C29337">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000000"/>
          <w:kern w:val="0"/>
          <w:sz w:val="21"/>
          <w:szCs w:val="21"/>
          <w:highlight w:val="none"/>
          <w:lang w:val="en-US" w:eastAsia="zh-CN" w:bidi="ar"/>
        </w:rPr>
        <w:t xml:space="preserve">3.企业划分指标以现行统计制度为准。 </w:t>
      </w:r>
    </w:p>
    <w:p w14:paraId="7E506CC2">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color w:val="000000"/>
          <w:kern w:val="0"/>
          <w:sz w:val="21"/>
          <w:szCs w:val="21"/>
          <w:highlight w:val="none"/>
          <w:lang w:val="en-US" w:eastAsia="zh-CN" w:bidi="ar"/>
        </w:rPr>
      </w:pPr>
      <w:r>
        <w:rPr>
          <w:rFonts w:hint="eastAsia" w:ascii="微软雅黑" w:hAnsi="微软雅黑" w:eastAsia="微软雅黑" w:cs="微软雅黑"/>
          <w:color w:val="000000"/>
          <w:kern w:val="0"/>
          <w:sz w:val="21"/>
          <w:szCs w:val="21"/>
          <w:highlight w:val="none"/>
          <w:lang w:val="en-US" w:eastAsia="zh-CN" w:bidi="ar"/>
        </w:rPr>
        <w:t xml:space="preserve">（1）从业人员，是指期末从业人员数，没有期末从业人员数的，采用全年平均人员数代替。 </w:t>
      </w:r>
    </w:p>
    <w:p w14:paraId="32B5B991">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color w:val="000000"/>
          <w:kern w:val="0"/>
          <w:sz w:val="21"/>
          <w:szCs w:val="21"/>
          <w:highlight w:val="none"/>
          <w:lang w:val="en-US" w:eastAsia="zh-CN" w:bidi="ar"/>
        </w:rPr>
      </w:pPr>
      <w:r>
        <w:rPr>
          <w:rFonts w:hint="eastAsia" w:ascii="微软雅黑" w:hAnsi="微软雅黑" w:eastAsia="微软雅黑" w:cs="微软雅黑"/>
          <w:color w:val="000000"/>
          <w:kern w:val="0"/>
          <w:sz w:val="21"/>
          <w:szCs w:val="21"/>
          <w:highlight w:val="none"/>
          <w:lang w:val="en-US" w:eastAsia="zh-CN" w:bidi="ar"/>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p>
    <w:p w14:paraId="5B114BAF">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kern w:val="0"/>
          <w:sz w:val="21"/>
          <w:szCs w:val="21"/>
          <w:highlight w:val="none"/>
          <w:lang w:val="en-US" w:eastAsia="zh-CN" w:bidi="ar"/>
        </w:rPr>
        <w:t>（3）资产总额，采用资产总计代替。</w:t>
      </w:r>
    </w:p>
    <w:p w14:paraId="2817B28E">
      <w:pPr>
        <w:bidi w:val="0"/>
        <w:rPr>
          <w:rFonts w:hint="eastAsia" w:ascii="微软雅黑" w:hAnsi="微软雅黑" w:eastAsia="微软雅黑" w:cs="微软雅黑"/>
          <w:highlight w:val="none"/>
        </w:rPr>
      </w:pPr>
    </w:p>
    <w:p w14:paraId="222E25CA">
      <w:pPr>
        <w:pStyle w:val="3"/>
        <w:bidi w:val="0"/>
        <w:rPr>
          <w:rStyle w:val="28"/>
          <w:rFonts w:hint="eastAsia" w:ascii="微软雅黑" w:hAnsi="微软雅黑" w:eastAsia="微软雅黑" w:cs="微软雅黑"/>
          <w:b/>
          <w:bCs/>
          <w:highlight w:val="none"/>
        </w:rPr>
      </w:pPr>
      <w:r>
        <w:rPr>
          <w:rFonts w:hint="eastAsia" w:ascii="微软雅黑" w:hAnsi="微软雅黑" w:eastAsia="微软雅黑" w:cs="微软雅黑"/>
          <w:b/>
          <w:color w:val="000000"/>
          <w:sz w:val="21"/>
          <w:szCs w:val="21"/>
          <w:highlight w:val="none"/>
        </w:rPr>
        <w:br w:type="page"/>
      </w:r>
      <w:bookmarkStart w:id="28" w:name="_Toc4475"/>
      <w:r>
        <w:rPr>
          <w:rStyle w:val="28"/>
          <w:rFonts w:hint="eastAsia" w:ascii="微软雅黑" w:hAnsi="微软雅黑" w:eastAsia="微软雅黑" w:cs="微软雅黑"/>
          <w:b/>
          <w:bCs/>
          <w:highlight w:val="none"/>
        </w:rPr>
        <w:t>附件</w:t>
      </w:r>
      <w:r>
        <w:rPr>
          <w:rStyle w:val="28"/>
          <w:rFonts w:hint="eastAsia" w:ascii="微软雅黑" w:hAnsi="微软雅黑" w:eastAsia="微软雅黑" w:cs="微软雅黑"/>
          <w:b/>
          <w:bCs/>
          <w:highlight w:val="none"/>
          <w:lang w:val="en-US" w:eastAsia="zh-CN"/>
        </w:rPr>
        <w:t>2</w:t>
      </w:r>
      <w:r>
        <w:rPr>
          <w:rStyle w:val="28"/>
          <w:rFonts w:hint="eastAsia" w:ascii="微软雅黑" w:hAnsi="微软雅黑" w:eastAsia="微软雅黑" w:cs="微软雅黑"/>
          <w:b/>
          <w:bCs/>
          <w:highlight w:val="none"/>
        </w:rPr>
        <w:t>（符合政策要求，并申请按小型微型企业投标者提供，不适用者可不提供）：</w:t>
      </w:r>
      <w:bookmarkEnd w:id="28"/>
    </w:p>
    <w:p w14:paraId="19B6D0B3">
      <w:pPr>
        <w:ind w:firstLine="435"/>
        <w:jc w:val="center"/>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bidi="ar"/>
        </w:rPr>
        <w:t>中小企业声明函（货物）</w:t>
      </w:r>
    </w:p>
    <w:p w14:paraId="05DB2CD0">
      <w:pPr>
        <w:rPr>
          <w:rFonts w:hint="eastAsia" w:ascii="微软雅黑" w:hAnsi="微软雅黑" w:eastAsia="微软雅黑" w:cs="微软雅黑"/>
          <w:szCs w:val="21"/>
          <w:highlight w:val="none"/>
        </w:rPr>
      </w:pPr>
    </w:p>
    <w:p w14:paraId="20219D74">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 号）的规定，本公司参加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采购活动，服务全部由符合政策要求的中小企业承接。相关企业的具体情况如下：</w:t>
      </w:r>
    </w:p>
    <w:p w14:paraId="079D17E3">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4ECAEEF9">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w:t>
      </w:r>
    </w:p>
    <w:p w14:paraId="25C5BCBC">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07F5EFE">
      <w:pPr>
        <w:shd w:val="clear" w:color="auto" w:fill="auto"/>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以上企业，不属于大企业的分支机构，不存在控股股东为大企业的情形，也不存在与大企业的负责人为同一人的情形。</w:t>
      </w:r>
    </w:p>
    <w:p w14:paraId="4E5BD317">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本企业对上述声明内容的真实性负责。如有虚假，将依法承担相应责任。 </w:t>
      </w:r>
    </w:p>
    <w:p w14:paraId="6C8BF872">
      <w:pPr>
        <w:shd w:val="clear" w:color="auto" w:fill="auto"/>
        <w:spacing w:line="440" w:lineRule="exact"/>
        <w:ind w:firstLine="4410" w:firstLineChars="2100"/>
        <w:jc w:val="left"/>
        <w:rPr>
          <w:rFonts w:hint="eastAsia" w:ascii="宋体" w:hAnsi="宋体" w:eastAsia="宋体" w:cs="宋体"/>
          <w:sz w:val="21"/>
          <w:szCs w:val="21"/>
          <w:highlight w:val="none"/>
        </w:rPr>
      </w:pPr>
    </w:p>
    <w:p w14:paraId="7BA5E42C">
      <w:pPr>
        <w:shd w:val="clear" w:color="auto" w:fill="auto"/>
        <w:spacing w:line="440" w:lineRule="exact"/>
        <w:ind w:firstLine="4410" w:firstLineChars="2100"/>
        <w:jc w:val="left"/>
        <w:rPr>
          <w:rFonts w:hint="eastAsia" w:ascii="宋体" w:hAnsi="宋体" w:eastAsia="宋体" w:cs="宋体"/>
          <w:szCs w:val="21"/>
          <w:highlight w:val="none"/>
        </w:rPr>
      </w:pPr>
    </w:p>
    <w:p w14:paraId="53F027AF">
      <w:pPr>
        <w:shd w:val="clear" w:color="auto" w:fill="auto"/>
        <w:autoSpaceDE w:val="0"/>
        <w:autoSpaceDN w:val="0"/>
        <w:adjustRightInd w:val="0"/>
        <w:spacing w:line="480" w:lineRule="exact"/>
        <w:ind w:left="3826" w:leftChars="1822" w:right="48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（企业</w:t>
      </w:r>
      <w:r>
        <w:rPr>
          <w:rFonts w:hint="eastAsia" w:ascii="宋体" w:hAnsi="宋体" w:eastAsia="宋体" w:cs="宋体"/>
          <w:kern w:val="0"/>
          <w:szCs w:val="21"/>
          <w:highlight w:val="none"/>
          <w:lang w:val="en-US" w:eastAsia="zh-CN"/>
        </w:rPr>
        <w:t>公章</w:t>
      </w:r>
      <w:r>
        <w:rPr>
          <w:rFonts w:hint="eastAsia" w:ascii="宋体" w:hAnsi="宋体" w:eastAsia="宋体" w:cs="宋体"/>
          <w:kern w:val="0"/>
          <w:szCs w:val="21"/>
          <w:highlight w:val="none"/>
        </w:rPr>
        <w:t>）</w:t>
      </w:r>
    </w:p>
    <w:p w14:paraId="5778835E">
      <w:pPr>
        <w:shd w:val="clear" w:color="auto" w:fill="auto"/>
        <w:autoSpaceDE w:val="0"/>
        <w:autoSpaceDN w:val="0"/>
        <w:adjustRightInd w:val="0"/>
        <w:spacing w:line="480" w:lineRule="exact"/>
        <w:ind w:left="3826" w:leftChars="1822" w:right="120" w:firstLine="2"/>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日期：</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日</w:t>
      </w:r>
    </w:p>
    <w:p w14:paraId="3BC1D39B">
      <w:pPr>
        <w:spacing w:line="360" w:lineRule="auto"/>
        <w:ind w:firstLine="480" w:firstLineChars="200"/>
        <w:rPr>
          <w:rFonts w:hint="eastAsia" w:ascii="微软雅黑" w:hAnsi="微软雅黑" w:eastAsia="微软雅黑" w:cs="微软雅黑"/>
          <w:sz w:val="24"/>
          <w:highlight w:val="none"/>
        </w:rPr>
      </w:pPr>
    </w:p>
    <w:p w14:paraId="02F4FB3F">
      <w:pPr>
        <w:spacing w:line="360" w:lineRule="auto"/>
        <w:ind w:firstLine="480" w:firstLineChars="200"/>
        <w:rPr>
          <w:rFonts w:hint="eastAsia" w:ascii="微软雅黑" w:hAnsi="微软雅黑" w:eastAsia="微软雅黑" w:cs="微软雅黑"/>
          <w:sz w:val="24"/>
          <w:highlight w:val="none"/>
        </w:rPr>
      </w:pPr>
    </w:p>
    <w:p w14:paraId="233D47C7">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注：1、从业人员、营业收入、资产总额填报上一年度数据，无上一年度数据的新成立企业可不填报</w:t>
      </w:r>
    </w:p>
    <w:p w14:paraId="5B5E15D4">
      <w:pPr>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2、成交人的本声明函随成交公告同时公布，接受其他供应商和社会监督。</w:t>
      </w:r>
    </w:p>
    <w:p w14:paraId="37A4D1C4">
      <w:pPr>
        <w:rPr>
          <w:rFonts w:hint="eastAsia" w:ascii="微软雅黑" w:hAnsi="微软雅黑" w:eastAsia="微软雅黑" w:cs="微软雅黑"/>
          <w:highlight w:val="none"/>
        </w:rPr>
        <w:sectPr>
          <w:footerReference r:id="rId6" w:type="default"/>
          <w:pgSz w:w="11900" w:h="16821"/>
          <w:pgMar w:top="1417" w:right="1134" w:bottom="1417" w:left="1134" w:header="720" w:footer="720" w:gutter="0"/>
          <w:cols w:space="720" w:num="1"/>
          <w:rtlGutter w:val="0"/>
          <w:docGrid w:linePitch="286" w:charSpace="0"/>
        </w:sectPr>
      </w:pPr>
    </w:p>
    <w:p w14:paraId="532D0ECD">
      <w:pPr>
        <w:bidi w:val="0"/>
        <w:jc w:val="center"/>
        <w:rPr>
          <w:rFonts w:hint="eastAsia" w:ascii="微软雅黑" w:hAnsi="微软雅黑" w:eastAsia="微软雅黑" w:cs="微软雅黑"/>
          <w:b/>
          <w:bCs/>
          <w:kern w:val="0"/>
          <w:sz w:val="28"/>
          <w:szCs w:val="28"/>
          <w:highlight w:val="none"/>
          <w:lang w:val="en-US" w:eastAsia="zh-CN" w:bidi="ar"/>
        </w:rPr>
      </w:pPr>
      <w:bookmarkStart w:id="29" w:name="_Toc3560"/>
      <w:r>
        <w:rPr>
          <w:rFonts w:hint="eastAsia" w:ascii="微软雅黑" w:hAnsi="微软雅黑" w:eastAsia="微软雅黑" w:cs="微软雅黑"/>
          <w:b/>
          <w:bCs/>
          <w:kern w:val="0"/>
          <w:sz w:val="28"/>
          <w:szCs w:val="28"/>
          <w:highlight w:val="none"/>
          <w:lang w:val="en-US" w:eastAsia="zh-CN" w:bidi="ar"/>
        </w:rPr>
        <w:t>附件3（符合政策要求，并申请按残疾人福利性单位投标者提供，不适用者可不提供）：</w:t>
      </w:r>
      <w:bookmarkEnd w:id="29"/>
    </w:p>
    <w:p w14:paraId="76373D8C">
      <w:pPr>
        <w:spacing w:line="588" w:lineRule="exact"/>
        <w:rPr>
          <w:rFonts w:hint="eastAsia" w:ascii="微软雅黑" w:hAnsi="微软雅黑" w:eastAsia="微软雅黑" w:cs="微软雅黑"/>
          <w:spacing w:val="6"/>
          <w:sz w:val="30"/>
          <w:szCs w:val="30"/>
          <w:highlight w:val="none"/>
        </w:rPr>
      </w:pPr>
    </w:p>
    <w:p w14:paraId="3D3CC8F9">
      <w:pPr>
        <w:spacing w:line="588" w:lineRule="exact"/>
        <w:jc w:val="center"/>
        <w:rPr>
          <w:rFonts w:hint="eastAsia" w:ascii="微软雅黑" w:hAnsi="微软雅黑" w:eastAsia="微软雅黑" w:cs="微软雅黑"/>
          <w:b/>
          <w:spacing w:val="6"/>
          <w:sz w:val="32"/>
          <w:szCs w:val="32"/>
          <w:highlight w:val="none"/>
        </w:rPr>
      </w:pPr>
      <w:bookmarkStart w:id="30" w:name="OLE_LINK13"/>
      <w:bookmarkStart w:id="31" w:name="OLE_LINK14"/>
      <w:r>
        <w:rPr>
          <w:rFonts w:hint="eastAsia" w:ascii="微软雅黑" w:hAnsi="微软雅黑" w:eastAsia="微软雅黑" w:cs="微软雅黑"/>
          <w:b/>
          <w:spacing w:val="6"/>
          <w:sz w:val="32"/>
          <w:szCs w:val="32"/>
          <w:highlight w:val="none"/>
          <w:lang w:bidi="ar"/>
        </w:rPr>
        <w:t>残疾人福利性单位声明函</w:t>
      </w:r>
    </w:p>
    <w:bookmarkEnd w:id="30"/>
    <w:bookmarkEnd w:id="31"/>
    <w:p w14:paraId="7353CC81">
      <w:pPr>
        <w:spacing w:line="588" w:lineRule="exact"/>
        <w:rPr>
          <w:rFonts w:hint="eastAsia" w:ascii="微软雅黑" w:hAnsi="微软雅黑" w:eastAsia="微软雅黑" w:cs="微软雅黑"/>
          <w:b/>
          <w:spacing w:val="6"/>
          <w:sz w:val="30"/>
          <w:szCs w:val="30"/>
          <w:highlight w:val="none"/>
        </w:rPr>
      </w:pPr>
    </w:p>
    <w:p w14:paraId="4B25B2EA">
      <w:pPr>
        <w:spacing w:line="588" w:lineRule="exact"/>
        <w:ind w:firstLine="480" w:firstLineChars="200"/>
        <w:rPr>
          <w:rFonts w:hint="eastAsia" w:ascii="微软雅黑" w:hAnsi="微软雅黑" w:eastAsia="微软雅黑" w:cs="微软雅黑"/>
          <w:sz w:val="24"/>
          <w:szCs w:val="32"/>
          <w:highlight w:val="none"/>
        </w:rPr>
      </w:pPr>
      <w:r>
        <w:rPr>
          <w:rFonts w:hint="eastAsia" w:ascii="微软雅黑" w:hAnsi="微软雅黑" w:eastAsia="微软雅黑" w:cs="微软雅黑"/>
          <w:sz w:val="24"/>
          <w:szCs w:val="32"/>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27BB8">
      <w:pPr>
        <w:spacing w:line="588" w:lineRule="exact"/>
        <w:ind w:firstLine="480" w:firstLineChars="200"/>
        <w:rPr>
          <w:rFonts w:hint="eastAsia" w:ascii="微软雅黑" w:hAnsi="微软雅黑" w:eastAsia="微软雅黑" w:cs="微软雅黑"/>
          <w:sz w:val="24"/>
          <w:szCs w:val="32"/>
          <w:highlight w:val="none"/>
        </w:rPr>
      </w:pPr>
      <w:r>
        <w:rPr>
          <w:rFonts w:hint="eastAsia" w:ascii="微软雅黑" w:hAnsi="微软雅黑" w:eastAsia="微软雅黑" w:cs="微软雅黑"/>
          <w:sz w:val="24"/>
          <w:szCs w:val="32"/>
          <w:highlight w:val="none"/>
          <w:lang w:bidi="ar"/>
        </w:rPr>
        <w:t>本单位对上述声明的真实性负责。如有虚假，将依法承担相应责任。</w:t>
      </w:r>
    </w:p>
    <w:p w14:paraId="77EF1529">
      <w:pPr>
        <w:tabs>
          <w:tab w:val="left" w:pos="4860"/>
        </w:tabs>
        <w:spacing w:line="588" w:lineRule="exact"/>
        <w:ind w:right="1560" w:firstLine="2640" w:firstLineChars="1100"/>
        <w:rPr>
          <w:rFonts w:hint="eastAsia" w:ascii="微软雅黑" w:hAnsi="微软雅黑" w:eastAsia="微软雅黑" w:cs="微软雅黑"/>
          <w:sz w:val="24"/>
          <w:szCs w:val="32"/>
          <w:highlight w:val="none"/>
        </w:rPr>
      </w:pPr>
    </w:p>
    <w:p w14:paraId="0362BCE5">
      <w:pPr>
        <w:tabs>
          <w:tab w:val="left" w:pos="4860"/>
        </w:tabs>
        <w:spacing w:line="588" w:lineRule="exact"/>
        <w:ind w:right="1560"/>
        <w:rPr>
          <w:rFonts w:hint="eastAsia" w:ascii="微软雅黑" w:hAnsi="微软雅黑" w:eastAsia="微软雅黑" w:cs="微软雅黑"/>
          <w:sz w:val="24"/>
          <w:szCs w:val="32"/>
          <w:highlight w:val="none"/>
        </w:rPr>
      </w:pPr>
    </w:p>
    <w:p w14:paraId="1A666351">
      <w:pPr>
        <w:tabs>
          <w:tab w:val="left" w:pos="4860"/>
        </w:tabs>
        <w:spacing w:line="588" w:lineRule="exact"/>
        <w:ind w:right="1560" w:firstLine="3600" w:firstLineChars="1500"/>
        <w:rPr>
          <w:rFonts w:hint="eastAsia" w:ascii="微软雅黑" w:hAnsi="微软雅黑" w:eastAsia="微软雅黑" w:cs="微软雅黑"/>
          <w:sz w:val="24"/>
          <w:szCs w:val="32"/>
          <w:highlight w:val="none"/>
        </w:rPr>
      </w:pPr>
      <w:r>
        <w:rPr>
          <w:rFonts w:hint="eastAsia" w:ascii="微软雅黑" w:hAnsi="微软雅黑" w:eastAsia="微软雅黑" w:cs="微软雅黑"/>
          <w:sz w:val="24"/>
          <w:szCs w:val="32"/>
          <w:highlight w:val="none"/>
          <w:lang w:bidi="ar"/>
        </w:rPr>
        <w:t>供应商名称（企业电子签章）：</w:t>
      </w:r>
    </w:p>
    <w:p w14:paraId="29B15A82">
      <w:pPr>
        <w:ind w:firstLine="6000" w:firstLineChars="2500"/>
        <w:rPr>
          <w:rFonts w:hint="eastAsia" w:ascii="微软雅黑" w:hAnsi="微软雅黑" w:eastAsia="微软雅黑" w:cs="微软雅黑"/>
          <w:sz w:val="24"/>
          <w:szCs w:val="32"/>
          <w:highlight w:val="none"/>
          <w:lang w:bidi="ar"/>
        </w:rPr>
      </w:pPr>
      <w:r>
        <w:rPr>
          <w:rFonts w:hint="eastAsia" w:ascii="微软雅黑" w:hAnsi="微软雅黑" w:eastAsia="微软雅黑" w:cs="微软雅黑"/>
          <w:sz w:val="24"/>
          <w:szCs w:val="32"/>
          <w:highlight w:val="none"/>
          <w:lang w:bidi="ar"/>
        </w:rPr>
        <w:t>日  期：</w:t>
      </w:r>
    </w:p>
    <w:p w14:paraId="244979BE">
      <w:pPr>
        <w:pStyle w:val="6"/>
        <w:rPr>
          <w:rFonts w:hint="eastAsia" w:ascii="微软雅黑" w:hAnsi="微软雅黑" w:eastAsia="微软雅黑" w:cs="微软雅黑"/>
          <w:sz w:val="24"/>
          <w:szCs w:val="32"/>
          <w:highlight w:val="none"/>
          <w:lang w:bidi="ar"/>
        </w:rPr>
      </w:pPr>
    </w:p>
    <w:p w14:paraId="130ACCBE">
      <w:pPr>
        <w:pStyle w:val="14"/>
        <w:rPr>
          <w:rFonts w:hint="eastAsia" w:ascii="微软雅黑" w:hAnsi="微软雅黑" w:eastAsia="微软雅黑" w:cs="微软雅黑"/>
          <w:sz w:val="24"/>
          <w:szCs w:val="32"/>
          <w:highlight w:val="none"/>
          <w:lang w:bidi="ar"/>
        </w:rPr>
      </w:pPr>
    </w:p>
    <w:p w14:paraId="4ABC813C">
      <w:pPr>
        <w:spacing w:line="360" w:lineRule="auto"/>
        <w:rPr>
          <w:rFonts w:hint="eastAsia" w:ascii="微软雅黑" w:hAnsi="微软雅黑" w:eastAsia="微软雅黑" w:cs="微软雅黑"/>
          <w:highlight w:val="none"/>
        </w:rPr>
      </w:pPr>
      <w:r>
        <w:rPr>
          <w:rFonts w:hint="eastAsia" w:ascii="微软雅黑" w:hAnsi="微软雅黑" w:eastAsia="微软雅黑" w:cs="微软雅黑"/>
          <w:spacing w:val="6"/>
          <w:kern w:val="0"/>
          <w:highlight w:val="none"/>
        </w:rPr>
        <w:t>注：</w:t>
      </w:r>
      <w:r>
        <w:rPr>
          <w:rFonts w:hint="eastAsia" w:ascii="微软雅黑" w:hAnsi="微软雅黑" w:eastAsia="微软雅黑" w:cs="微软雅黑"/>
          <w:bCs/>
          <w:kern w:val="0"/>
          <w:highlight w:val="none"/>
        </w:rPr>
        <w:t>1、</w:t>
      </w:r>
      <w:r>
        <w:rPr>
          <w:rFonts w:hint="eastAsia" w:ascii="微软雅黑" w:hAnsi="微软雅黑" w:eastAsia="微软雅黑" w:cs="微软雅黑"/>
          <w:highlight w:val="none"/>
        </w:rPr>
        <w:t>符合要求的单位，按照上述格式进行填写；不属于残疾人福利性单位的无需填写此表。</w:t>
      </w:r>
    </w:p>
    <w:p w14:paraId="42EB1671">
      <w:pPr>
        <w:pStyle w:val="6"/>
        <w:ind w:firstLine="400" w:firstLineChars="200"/>
        <w:rPr>
          <w:rFonts w:hint="eastAsia" w:ascii="微软雅黑" w:hAnsi="微软雅黑" w:eastAsia="微软雅黑" w:cs="微软雅黑"/>
          <w:bCs/>
          <w:kern w:val="0"/>
          <w:highlight w:val="none"/>
        </w:rPr>
      </w:pPr>
      <w:r>
        <w:rPr>
          <w:rFonts w:hint="eastAsia" w:ascii="微软雅黑" w:hAnsi="微软雅黑" w:eastAsia="微软雅黑" w:cs="微软雅黑"/>
          <w:bCs/>
          <w:kern w:val="0"/>
          <w:highlight w:val="none"/>
        </w:rPr>
        <w:t>2、成交人的本声明函随成交公告同时公布，接受其他供应商和社会监督。</w:t>
      </w:r>
    </w:p>
    <w:p w14:paraId="4011641F">
      <w:pPr>
        <w:bidi w:val="0"/>
        <w:rPr>
          <w:rFonts w:hint="eastAsia" w:ascii="微软雅黑" w:hAnsi="微软雅黑" w:eastAsia="微软雅黑" w:cs="微软雅黑"/>
          <w:b/>
          <w:bCs/>
          <w:kern w:val="44"/>
          <w:sz w:val="32"/>
          <w:szCs w:val="32"/>
          <w:highlight w:val="none"/>
        </w:rPr>
      </w:pPr>
      <w:r>
        <w:rPr>
          <w:rFonts w:hint="eastAsia" w:ascii="微软雅黑" w:hAnsi="微软雅黑" w:eastAsia="微软雅黑" w:cs="微软雅黑"/>
          <w:bCs/>
          <w:kern w:val="0"/>
          <w:highlight w:val="none"/>
        </w:rPr>
        <w:br w:type="page"/>
      </w:r>
      <w:r>
        <w:rPr>
          <w:rFonts w:hint="eastAsia" w:ascii="微软雅黑" w:hAnsi="微软雅黑" w:eastAsia="微软雅黑" w:cs="微软雅黑"/>
          <w:b/>
          <w:bCs/>
          <w:kern w:val="0"/>
          <w:sz w:val="28"/>
          <w:szCs w:val="28"/>
          <w:highlight w:val="none"/>
          <w:lang w:val="en-US" w:eastAsia="zh-CN" w:bidi="ar"/>
        </w:rPr>
        <w:t>附件4（符合政策要求，并申请按监狱企业投标者提供）：</w:t>
      </w:r>
    </w:p>
    <w:p w14:paraId="2F2C0517">
      <w:pPr>
        <w:spacing w:line="588" w:lineRule="exact"/>
        <w:jc w:val="left"/>
        <w:rPr>
          <w:rFonts w:hint="eastAsia" w:ascii="微软雅黑" w:hAnsi="微软雅黑" w:eastAsia="微软雅黑" w:cs="微软雅黑"/>
          <w:spacing w:val="6"/>
          <w:kern w:val="0"/>
          <w:sz w:val="30"/>
          <w:szCs w:val="30"/>
          <w:highlight w:val="none"/>
        </w:rPr>
      </w:pPr>
    </w:p>
    <w:p w14:paraId="7D0673AE">
      <w:pPr>
        <w:spacing w:line="588" w:lineRule="exact"/>
        <w:jc w:val="center"/>
        <w:rPr>
          <w:rFonts w:hint="eastAsia" w:ascii="微软雅黑" w:hAnsi="微软雅黑" w:eastAsia="微软雅黑" w:cs="微软雅黑"/>
          <w:b/>
          <w:bCs/>
          <w:spacing w:val="6"/>
          <w:kern w:val="0"/>
          <w:sz w:val="32"/>
          <w:szCs w:val="32"/>
          <w:highlight w:val="none"/>
        </w:rPr>
      </w:pPr>
      <w:r>
        <w:rPr>
          <w:rFonts w:hint="eastAsia" w:ascii="微软雅黑" w:hAnsi="微软雅黑" w:eastAsia="微软雅黑" w:cs="微软雅黑"/>
          <w:b/>
          <w:bCs/>
          <w:spacing w:val="6"/>
          <w:kern w:val="0"/>
          <w:sz w:val="32"/>
          <w:szCs w:val="32"/>
          <w:highlight w:val="none"/>
        </w:rPr>
        <w:t>监狱企业证明</w:t>
      </w:r>
    </w:p>
    <w:p w14:paraId="0990356D">
      <w:pPr>
        <w:spacing w:line="340" w:lineRule="exact"/>
        <w:ind w:firstLine="560" w:firstLineChars="200"/>
        <w:jc w:val="left"/>
        <w:rPr>
          <w:rFonts w:hint="eastAsia" w:ascii="微软雅黑" w:hAnsi="微软雅黑" w:eastAsia="微软雅黑" w:cs="微软雅黑"/>
          <w:kern w:val="0"/>
          <w:sz w:val="28"/>
          <w:szCs w:val="28"/>
          <w:highlight w:val="none"/>
        </w:rPr>
      </w:pPr>
    </w:p>
    <w:p w14:paraId="531623DB">
      <w:pPr>
        <w:spacing w:line="340" w:lineRule="exact"/>
        <w:ind w:firstLine="560" w:firstLineChars="200"/>
        <w:jc w:val="left"/>
        <w:rPr>
          <w:rFonts w:hint="eastAsia" w:ascii="微软雅黑" w:hAnsi="微软雅黑" w:eastAsia="微软雅黑" w:cs="微软雅黑"/>
          <w:kern w:val="0"/>
          <w:sz w:val="28"/>
          <w:szCs w:val="28"/>
          <w:highlight w:val="none"/>
        </w:rPr>
      </w:pPr>
    </w:p>
    <w:p w14:paraId="1CA2F514">
      <w:pPr>
        <w:spacing w:line="340" w:lineRule="exact"/>
        <w:ind w:firstLine="560" w:firstLineChars="200"/>
        <w:jc w:val="left"/>
        <w:rPr>
          <w:rFonts w:hint="eastAsia" w:ascii="微软雅黑" w:hAnsi="微软雅黑" w:eastAsia="微软雅黑" w:cs="微软雅黑"/>
          <w:kern w:val="0"/>
          <w:sz w:val="28"/>
          <w:szCs w:val="28"/>
          <w:highlight w:val="none"/>
        </w:rPr>
      </w:pPr>
    </w:p>
    <w:p w14:paraId="4ABE7027">
      <w:pPr>
        <w:spacing w:line="340" w:lineRule="exact"/>
        <w:ind w:firstLine="560" w:firstLineChars="200"/>
        <w:jc w:val="left"/>
        <w:rPr>
          <w:rFonts w:hint="eastAsia" w:ascii="微软雅黑" w:hAnsi="微软雅黑" w:eastAsia="微软雅黑" w:cs="微软雅黑"/>
          <w:kern w:val="0"/>
          <w:sz w:val="28"/>
          <w:szCs w:val="28"/>
          <w:highlight w:val="none"/>
        </w:rPr>
      </w:pPr>
    </w:p>
    <w:p w14:paraId="27485B00">
      <w:pPr>
        <w:spacing w:line="588" w:lineRule="exact"/>
        <w:ind w:firstLine="420" w:firstLineChars="200"/>
        <w:jc w:val="left"/>
        <w:rPr>
          <w:rFonts w:hint="eastAsia" w:ascii="微软雅黑" w:hAnsi="微软雅黑" w:eastAsia="微软雅黑" w:cs="微软雅黑"/>
          <w:kern w:val="0"/>
          <w:highlight w:val="none"/>
        </w:rPr>
      </w:pPr>
      <w:r>
        <w:rPr>
          <w:rFonts w:hint="eastAsia" w:ascii="微软雅黑" w:hAnsi="微软雅黑" w:eastAsia="微软雅黑" w:cs="微软雅黑"/>
          <w:kern w:val="0"/>
          <w:highlight w:val="none"/>
        </w:rPr>
        <w:t>提供由省级以上监狱管理局、戒毒管理局（含新疆生产建设兵团）出具的属于监狱企业的证明文件。</w:t>
      </w:r>
    </w:p>
    <w:p w14:paraId="5625CB25">
      <w:pPr>
        <w:spacing w:line="588" w:lineRule="exact"/>
        <w:ind w:firstLine="420" w:firstLineChars="200"/>
        <w:jc w:val="left"/>
        <w:rPr>
          <w:rFonts w:hint="eastAsia" w:ascii="微软雅黑" w:hAnsi="微软雅黑" w:eastAsia="微软雅黑" w:cs="微软雅黑"/>
          <w:kern w:val="0"/>
          <w:highlight w:val="none"/>
        </w:rPr>
      </w:pPr>
    </w:p>
    <w:p w14:paraId="4AE931BB">
      <w:pPr>
        <w:spacing w:line="480" w:lineRule="exact"/>
        <w:jc w:val="center"/>
        <w:rPr>
          <w:rFonts w:hint="eastAsia" w:ascii="微软雅黑" w:hAnsi="微软雅黑" w:eastAsia="微软雅黑" w:cs="微软雅黑"/>
          <w:b/>
          <w:bCs/>
          <w:kern w:val="0"/>
          <w:highlight w:val="none"/>
        </w:rPr>
      </w:pPr>
    </w:p>
    <w:p w14:paraId="4D8BA941">
      <w:pPr>
        <w:spacing w:line="480" w:lineRule="exact"/>
        <w:jc w:val="center"/>
        <w:rPr>
          <w:rFonts w:hint="eastAsia" w:ascii="微软雅黑" w:hAnsi="微软雅黑" w:eastAsia="微软雅黑" w:cs="微软雅黑"/>
          <w:b/>
          <w:bCs/>
          <w:kern w:val="0"/>
          <w:highlight w:val="none"/>
        </w:rPr>
      </w:pPr>
    </w:p>
    <w:p w14:paraId="58032B65">
      <w:pPr>
        <w:spacing w:line="480" w:lineRule="exact"/>
        <w:jc w:val="center"/>
        <w:rPr>
          <w:rFonts w:hint="eastAsia" w:ascii="微软雅黑" w:hAnsi="微软雅黑" w:eastAsia="微软雅黑" w:cs="微软雅黑"/>
          <w:b/>
          <w:bCs/>
          <w:kern w:val="0"/>
          <w:highlight w:val="none"/>
        </w:rPr>
      </w:pPr>
    </w:p>
    <w:p w14:paraId="404D076D">
      <w:pPr>
        <w:spacing w:line="480" w:lineRule="exact"/>
        <w:jc w:val="center"/>
        <w:rPr>
          <w:rFonts w:hint="eastAsia" w:ascii="微软雅黑" w:hAnsi="微软雅黑" w:eastAsia="微软雅黑" w:cs="微软雅黑"/>
          <w:sz w:val="24"/>
          <w:highlight w:val="none"/>
        </w:rPr>
      </w:pPr>
    </w:p>
    <w:p w14:paraId="0ABA79CC">
      <w:pPr>
        <w:spacing w:line="480" w:lineRule="exact"/>
        <w:jc w:val="center"/>
        <w:rPr>
          <w:rFonts w:hint="eastAsia" w:ascii="微软雅黑" w:hAnsi="微软雅黑" w:eastAsia="微软雅黑" w:cs="微软雅黑"/>
          <w:sz w:val="24"/>
          <w:highlight w:val="none"/>
        </w:rPr>
      </w:pPr>
    </w:p>
    <w:p w14:paraId="5BAE1E84">
      <w:pPr>
        <w:spacing w:line="480" w:lineRule="exact"/>
        <w:jc w:val="center"/>
        <w:rPr>
          <w:rFonts w:hint="eastAsia" w:ascii="微软雅黑" w:hAnsi="微软雅黑" w:eastAsia="微软雅黑" w:cs="微软雅黑"/>
          <w:sz w:val="24"/>
          <w:highlight w:val="none"/>
        </w:rPr>
      </w:pPr>
    </w:p>
    <w:p w14:paraId="1480F1CC">
      <w:pPr>
        <w:spacing w:line="480" w:lineRule="exact"/>
        <w:jc w:val="center"/>
        <w:rPr>
          <w:rFonts w:hint="eastAsia" w:ascii="微软雅黑" w:hAnsi="微软雅黑" w:eastAsia="微软雅黑" w:cs="微软雅黑"/>
          <w:sz w:val="24"/>
          <w:highlight w:val="none"/>
        </w:rPr>
      </w:pPr>
    </w:p>
    <w:p w14:paraId="376386B1">
      <w:pPr>
        <w:spacing w:line="480" w:lineRule="exact"/>
        <w:jc w:val="center"/>
        <w:rPr>
          <w:rFonts w:hint="eastAsia" w:ascii="微软雅黑" w:hAnsi="微软雅黑" w:eastAsia="微软雅黑" w:cs="微软雅黑"/>
          <w:sz w:val="24"/>
          <w:highlight w:val="none"/>
        </w:rPr>
      </w:pPr>
    </w:p>
    <w:p w14:paraId="0077D019">
      <w:pPr>
        <w:spacing w:line="480" w:lineRule="exact"/>
        <w:jc w:val="center"/>
        <w:rPr>
          <w:rFonts w:hint="eastAsia" w:ascii="微软雅黑" w:hAnsi="微软雅黑" w:eastAsia="微软雅黑" w:cs="微软雅黑"/>
          <w:sz w:val="24"/>
          <w:highlight w:val="none"/>
        </w:rPr>
      </w:pPr>
    </w:p>
    <w:p w14:paraId="1326AB7D">
      <w:pPr>
        <w:spacing w:line="480" w:lineRule="exact"/>
        <w:jc w:val="center"/>
        <w:rPr>
          <w:rFonts w:hint="eastAsia" w:ascii="微软雅黑" w:hAnsi="微软雅黑" w:eastAsia="微软雅黑" w:cs="微软雅黑"/>
          <w:sz w:val="24"/>
          <w:highlight w:val="none"/>
        </w:rPr>
      </w:pPr>
    </w:p>
    <w:p w14:paraId="2EF3D635">
      <w:pPr>
        <w:spacing w:line="480" w:lineRule="exact"/>
        <w:jc w:val="center"/>
        <w:rPr>
          <w:rFonts w:hint="eastAsia" w:ascii="微软雅黑" w:hAnsi="微软雅黑" w:eastAsia="微软雅黑" w:cs="微软雅黑"/>
          <w:sz w:val="24"/>
          <w:highlight w:val="none"/>
        </w:rPr>
      </w:pPr>
    </w:p>
    <w:p w14:paraId="1C7E7B57">
      <w:pPr>
        <w:pStyle w:val="29"/>
        <w:rPr>
          <w:rFonts w:hint="eastAsia" w:ascii="微软雅黑" w:hAnsi="微软雅黑" w:eastAsia="微软雅黑" w:cs="微软雅黑"/>
          <w:highlight w:val="none"/>
        </w:rPr>
      </w:pPr>
    </w:p>
    <w:p w14:paraId="4A886309">
      <w:pPr>
        <w:spacing w:line="480" w:lineRule="exact"/>
        <w:jc w:val="center"/>
        <w:rPr>
          <w:rFonts w:hint="eastAsia" w:ascii="微软雅黑" w:hAnsi="微软雅黑" w:eastAsia="微软雅黑" w:cs="微软雅黑"/>
          <w:b/>
          <w:bCs/>
          <w:kern w:val="0"/>
          <w:highlight w:val="none"/>
        </w:rPr>
      </w:pPr>
    </w:p>
    <w:p w14:paraId="47ED0D63">
      <w:pPr>
        <w:spacing w:line="360" w:lineRule="auto"/>
        <w:rPr>
          <w:rFonts w:hint="eastAsia" w:ascii="微软雅黑" w:hAnsi="微软雅黑" w:eastAsia="微软雅黑" w:cs="微软雅黑"/>
          <w:highlight w:val="none"/>
        </w:rPr>
      </w:pPr>
      <w:r>
        <w:rPr>
          <w:rFonts w:hint="eastAsia" w:ascii="微软雅黑" w:hAnsi="微软雅黑" w:eastAsia="微软雅黑" w:cs="微软雅黑"/>
          <w:spacing w:val="6"/>
          <w:kern w:val="0"/>
          <w:highlight w:val="none"/>
        </w:rPr>
        <w:t>注：1、</w:t>
      </w:r>
      <w:r>
        <w:rPr>
          <w:rFonts w:hint="eastAsia" w:ascii="微软雅黑" w:hAnsi="微软雅黑" w:eastAsia="微软雅黑" w:cs="微软雅黑"/>
          <w:highlight w:val="none"/>
        </w:rPr>
        <w:t>符合要求的单位，按照上述提供相关证明文件；不属于监狱企业的无需提供。</w:t>
      </w:r>
    </w:p>
    <w:p w14:paraId="774CAB14">
      <w:pPr>
        <w:numPr>
          <w:ilvl w:val="0"/>
          <w:numId w:val="3"/>
        </w:numPr>
        <w:spacing w:line="360" w:lineRule="auto"/>
        <w:ind w:firstLine="420" w:firstLineChars="200"/>
        <w:jc w:val="left"/>
        <w:rPr>
          <w:rFonts w:hint="eastAsia" w:ascii="微软雅黑" w:hAnsi="微软雅黑" w:eastAsia="微软雅黑" w:cs="微软雅黑"/>
          <w:bCs/>
          <w:kern w:val="0"/>
          <w:highlight w:val="none"/>
        </w:rPr>
      </w:pPr>
      <w:r>
        <w:rPr>
          <w:rFonts w:hint="eastAsia" w:ascii="微软雅黑" w:hAnsi="微软雅黑" w:eastAsia="微软雅黑" w:cs="微软雅黑"/>
          <w:bCs/>
          <w:kern w:val="0"/>
          <w:highlight w:val="none"/>
        </w:rPr>
        <w:t>成交人的本监狱企业证明文件随成交公告同时公布，接受其他供应商和社会监督。</w:t>
      </w:r>
    </w:p>
    <w:p w14:paraId="2F5374F0">
      <w:pPr>
        <w:widowControl/>
        <w:rPr>
          <w:rFonts w:hint="eastAsia" w:ascii="微软雅黑" w:hAnsi="微软雅黑" w:eastAsia="微软雅黑" w:cs="微软雅黑"/>
          <w:sz w:val="28"/>
          <w:szCs w:val="28"/>
          <w:highlight w:val="none"/>
        </w:rPr>
      </w:pPr>
      <w:r>
        <w:rPr>
          <w:rFonts w:hint="eastAsia" w:ascii="微软雅黑" w:hAnsi="微软雅黑" w:eastAsia="微软雅黑" w:cs="微软雅黑"/>
          <w:highlight w:val="none"/>
        </w:rPr>
        <w:br w:type="page"/>
      </w:r>
      <w:r>
        <w:rPr>
          <w:rFonts w:hint="eastAsia" w:ascii="微软雅黑" w:hAnsi="微软雅黑" w:eastAsia="微软雅黑" w:cs="微软雅黑"/>
          <w:b/>
          <w:bCs/>
          <w:kern w:val="0"/>
          <w:sz w:val="28"/>
          <w:szCs w:val="28"/>
          <w:highlight w:val="none"/>
          <w:lang w:bidi="ar"/>
        </w:rPr>
        <w:t>附件</w:t>
      </w:r>
      <w:r>
        <w:rPr>
          <w:rFonts w:hint="eastAsia" w:ascii="微软雅黑" w:hAnsi="微软雅黑" w:eastAsia="微软雅黑" w:cs="微软雅黑"/>
          <w:b/>
          <w:bCs/>
          <w:kern w:val="0"/>
          <w:sz w:val="28"/>
          <w:szCs w:val="28"/>
          <w:highlight w:val="none"/>
          <w:lang w:val="en-US" w:eastAsia="zh-CN" w:bidi="ar"/>
        </w:rPr>
        <w:t>5</w:t>
      </w:r>
      <w:r>
        <w:rPr>
          <w:rFonts w:hint="eastAsia" w:ascii="微软雅黑" w:hAnsi="微软雅黑" w:eastAsia="微软雅黑" w:cs="微软雅黑"/>
          <w:b/>
          <w:bCs/>
          <w:kern w:val="0"/>
          <w:sz w:val="28"/>
          <w:szCs w:val="28"/>
          <w:highlight w:val="none"/>
          <w:lang w:bidi="ar"/>
        </w:rPr>
        <w:t>：</w:t>
      </w:r>
    </w:p>
    <w:p w14:paraId="481D8AC8">
      <w:pPr>
        <w:widowControl/>
        <w:spacing w:before="312" w:beforeLines="100" w:after="312" w:afterLines="100"/>
        <w:jc w:val="center"/>
        <w:rPr>
          <w:rFonts w:hint="eastAsia" w:ascii="微软雅黑" w:hAnsi="微软雅黑" w:eastAsia="微软雅黑" w:cs="微软雅黑"/>
          <w:color w:val="auto"/>
          <w:sz w:val="30"/>
          <w:szCs w:val="30"/>
          <w:highlight w:val="none"/>
        </w:rPr>
      </w:pPr>
      <w:bookmarkStart w:id="32" w:name="_Toc10358"/>
      <w:bookmarkStart w:id="33" w:name="_Toc23296"/>
      <w:r>
        <w:rPr>
          <w:rFonts w:hint="eastAsia" w:ascii="微软雅黑" w:hAnsi="微软雅黑" w:eastAsia="微软雅黑" w:cs="微软雅黑"/>
          <w:b/>
          <w:bCs/>
          <w:color w:val="auto"/>
          <w:kern w:val="0"/>
          <w:sz w:val="30"/>
          <w:szCs w:val="30"/>
          <w:highlight w:val="none"/>
          <w:lang w:val="en-US" w:eastAsia="zh-CN" w:bidi="ar"/>
        </w:rPr>
        <w:t>开封政府采购合同融资政策告知函</w:t>
      </w:r>
      <w:bookmarkEnd w:id="32"/>
      <w:bookmarkEnd w:id="33"/>
    </w:p>
    <w:p w14:paraId="4AF1B042">
      <w:pPr>
        <w:widowControl/>
        <w:spacing w:line="48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各供应商：</w:t>
      </w:r>
    </w:p>
    <w:p w14:paraId="7294CBD6">
      <w:pPr>
        <w:widowControl/>
        <w:spacing w:line="480" w:lineRule="auto"/>
        <w:ind w:firstLine="480" w:firstLineChars="200"/>
        <w:rPr>
          <w:rFonts w:hint="eastAsia" w:ascii="微软雅黑" w:hAnsi="微软雅黑" w:eastAsia="微软雅黑" w:cs="微软雅黑"/>
          <w:color w:val="auto"/>
          <w:kern w:val="0"/>
          <w:sz w:val="24"/>
          <w:szCs w:val="24"/>
          <w:highlight w:val="none"/>
          <w:lang w:bidi="ar"/>
        </w:rPr>
      </w:pPr>
      <w:r>
        <w:rPr>
          <w:rFonts w:hint="eastAsia" w:ascii="微软雅黑" w:hAnsi="微软雅黑" w:eastAsia="微软雅黑" w:cs="微软雅黑"/>
          <w:color w:val="auto"/>
          <w:kern w:val="0"/>
          <w:sz w:val="24"/>
          <w:szCs w:val="24"/>
          <w:highlight w:val="none"/>
          <w:lang w:bidi="ar"/>
        </w:rPr>
        <w:t>欢迎贵公司参与开封政府采购活动！</w:t>
      </w:r>
    </w:p>
    <w:p w14:paraId="1CEF10EB">
      <w:pPr>
        <w:widowControl/>
        <w:spacing w:line="480" w:lineRule="auto"/>
        <w:ind w:firstLine="480" w:firstLineChars="200"/>
        <w:rPr>
          <w:rFonts w:hint="eastAsia" w:ascii="微软雅黑" w:hAnsi="微软雅黑" w:eastAsia="微软雅黑" w:cs="微软雅黑"/>
          <w:color w:val="auto"/>
          <w:kern w:val="0"/>
          <w:sz w:val="24"/>
          <w:szCs w:val="24"/>
          <w:highlight w:val="none"/>
          <w:lang w:bidi="ar"/>
        </w:rPr>
      </w:pPr>
      <w:r>
        <w:rPr>
          <w:rFonts w:hint="eastAsia" w:ascii="微软雅黑" w:hAnsi="微软雅黑" w:eastAsia="微软雅黑" w:cs="微软雅黑"/>
          <w:color w:val="auto"/>
          <w:kern w:val="0"/>
          <w:sz w:val="24"/>
          <w:szCs w:val="24"/>
          <w:highlight w:val="none"/>
          <w:lang w:bidi="ar"/>
        </w:rPr>
        <w:t>政府采购合同融资是支持中小微企业发展，针对参与政府采购活动的供应商融资难、融资贵问题推出的一项融资政策。贵公司若成为本次政府采购项目的中标成交供应商，可持政府采购合同向金融机构申请贷款，无需抵押、担保，融资机构将根据相关文件要求，按照双方自愿的原则提供便捷、优惠的贷款服务。</w:t>
      </w:r>
    </w:p>
    <w:p w14:paraId="1A6B8706">
      <w:pPr>
        <w:widowControl/>
        <w:spacing w:line="48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bidi="ar"/>
        </w:rPr>
        <w:t>贷款渠道和提供贷款的金融机构，可在开封市政府采购网“政府采购合同融资平台”查询联系。</w:t>
      </w:r>
    </w:p>
    <w:p w14:paraId="1CE73C4B">
      <w:pPr>
        <w:bidi w:val="0"/>
        <w:rPr>
          <w:rFonts w:hint="eastAsia" w:ascii="微软雅黑" w:hAnsi="微软雅黑" w:eastAsia="微软雅黑" w:cs="微软雅黑"/>
          <w:highlight w:val="none"/>
        </w:rPr>
      </w:pPr>
    </w:p>
    <w:p w14:paraId="4487C287">
      <w:pPr>
        <w:pStyle w:val="15"/>
        <w:rPr>
          <w:rFonts w:hint="eastAsia" w:ascii="微软雅黑" w:hAnsi="微软雅黑" w:eastAsia="微软雅黑" w:cs="微软雅黑"/>
          <w:b/>
          <w:color w:val="000000"/>
          <w:sz w:val="21"/>
          <w:szCs w:val="21"/>
          <w:highlight w:val="none"/>
        </w:rPr>
        <w:sectPr>
          <w:footerReference r:id="rId7" w:type="default"/>
          <w:pgSz w:w="11900" w:h="16821"/>
          <w:pgMar w:top="1417" w:right="1134" w:bottom="1417" w:left="1134" w:header="720" w:footer="720" w:gutter="0"/>
          <w:cols w:space="720" w:num="1"/>
          <w:rtlGutter w:val="0"/>
          <w:docGrid w:linePitch="286" w:charSpace="0"/>
        </w:sectPr>
      </w:pPr>
    </w:p>
    <w:p w14:paraId="6C6681B6">
      <w:pPr>
        <w:pStyle w:val="15"/>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color w:val="000000"/>
          <w:sz w:val="21"/>
          <w:szCs w:val="21"/>
          <w:highlight w:val="none"/>
        </w:rPr>
      </w:pPr>
      <w:bookmarkStart w:id="34" w:name="_Toc10946"/>
      <w:r>
        <w:rPr>
          <w:rFonts w:hint="eastAsia" w:ascii="微软雅黑" w:hAnsi="微软雅黑" w:eastAsia="微软雅黑" w:cs="微软雅黑"/>
          <w:b/>
          <w:color w:val="000000"/>
          <w:sz w:val="21"/>
          <w:szCs w:val="21"/>
          <w:highlight w:val="none"/>
        </w:rPr>
        <w:t>1  总则</w:t>
      </w:r>
      <w:bookmarkEnd w:id="18"/>
      <w:bookmarkEnd w:id="19"/>
      <w:bookmarkEnd w:id="20"/>
      <w:bookmarkEnd w:id="21"/>
      <w:bookmarkEnd w:id="22"/>
      <w:bookmarkEnd w:id="23"/>
      <w:bookmarkEnd w:id="24"/>
      <w:bookmarkEnd w:id="34"/>
    </w:p>
    <w:p w14:paraId="3EF0B2B9">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bookmarkStart w:id="35" w:name="_Toc286647840"/>
      <w:bookmarkStart w:id="36" w:name="_Toc275963890"/>
      <w:bookmarkStart w:id="37" w:name="_Toc275959279"/>
      <w:bookmarkStart w:id="38" w:name="_Toc275959535"/>
      <w:bookmarkStart w:id="39" w:name="_Toc20132"/>
      <w:bookmarkStart w:id="40" w:name="_Toc276720095"/>
      <w:r>
        <w:rPr>
          <w:rFonts w:hint="eastAsia" w:ascii="微软雅黑" w:hAnsi="微软雅黑" w:eastAsia="微软雅黑" w:cs="微软雅黑"/>
          <w:color w:val="000000"/>
          <w:kern w:val="0"/>
          <w:szCs w:val="21"/>
          <w:highlight w:val="none"/>
        </w:rPr>
        <w:t>1.1 项目概况</w:t>
      </w:r>
      <w:bookmarkEnd w:id="35"/>
      <w:bookmarkEnd w:id="36"/>
      <w:bookmarkEnd w:id="37"/>
      <w:bookmarkEnd w:id="38"/>
      <w:bookmarkEnd w:id="39"/>
      <w:bookmarkEnd w:id="40"/>
    </w:p>
    <w:p w14:paraId="4F9F2C26">
      <w:pPr>
        <w:keepNext w:val="0"/>
        <w:keepLines w:val="0"/>
        <w:pageBreakBefore w:val="0"/>
        <w:widowControl w:val="0"/>
        <w:kinsoku/>
        <w:wordWrap/>
        <w:overflowPunct/>
        <w:topLinePunct w:val="0"/>
        <w:autoSpaceDE w:val="0"/>
        <w:autoSpaceDN w:val="0"/>
        <w:bidi w:val="0"/>
        <w:adjustRightInd w:val="0"/>
        <w:snapToGrid/>
        <w:spacing w:line="380" w:lineRule="exact"/>
        <w:ind w:left="1109" w:leftChars="228" w:hanging="630" w:hangingChars="3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1.1.1 根据《中华人民共和国招标投标法》、《中华人民共和国政府采购法》等有关法律、法规和规章的规定，本招标项目已具备招标条件，现对本项目进行公开招标。</w:t>
      </w:r>
    </w:p>
    <w:p w14:paraId="29B7AD7C">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1.1.2 本招标项目采购人：见供应商须知前附表。</w:t>
      </w:r>
    </w:p>
    <w:p w14:paraId="2661ED3F">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1.1.3 本项目招标代理机构：见供应商须知前附表。</w:t>
      </w:r>
    </w:p>
    <w:p w14:paraId="67A17731">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1.1.4 本招标项目名称：见供应商须知前附表。</w:t>
      </w:r>
    </w:p>
    <w:p w14:paraId="3BC2F946">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1.1.5 本招标项目的资金来源：见供应商须知前附表。</w:t>
      </w:r>
    </w:p>
    <w:p w14:paraId="06F63576">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1.1.6 本招标项目的资金落实情况：见供应商须知前附表。</w:t>
      </w:r>
    </w:p>
    <w:p w14:paraId="20F7C489">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1.1.7 本项目</w:t>
      </w:r>
      <w:r>
        <w:rPr>
          <w:rFonts w:hint="eastAsia" w:ascii="微软雅黑" w:hAnsi="微软雅黑" w:eastAsia="微软雅黑" w:cs="微软雅黑"/>
          <w:color w:val="000000"/>
          <w:szCs w:val="21"/>
          <w:highlight w:val="none"/>
        </w:rPr>
        <w:t>供货及安装期限</w:t>
      </w:r>
      <w:r>
        <w:rPr>
          <w:rFonts w:hint="eastAsia" w:ascii="微软雅黑" w:hAnsi="微软雅黑" w:eastAsia="微软雅黑" w:cs="微软雅黑"/>
          <w:color w:val="000000"/>
          <w:kern w:val="0"/>
          <w:szCs w:val="21"/>
          <w:highlight w:val="none"/>
        </w:rPr>
        <w:t>：见供应商须知前附表。</w:t>
      </w:r>
    </w:p>
    <w:p w14:paraId="527BDCCE">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1.1.8 本项目交货地点：见供应商须知前附表。</w:t>
      </w:r>
    </w:p>
    <w:p w14:paraId="6D5A35C9">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1.1.9 本项目质量要求：见供应商须知前附表。</w:t>
      </w:r>
    </w:p>
    <w:p w14:paraId="013B3A09">
      <w:pPr>
        <w:keepNext w:val="0"/>
        <w:keepLines w:val="0"/>
        <w:pageBreakBefore w:val="0"/>
        <w:widowControl w:val="0"/>
        <w:kinsoku/>
        <w:wordWrap/>
        <w:overflowPunct/>
        <w:topLinePunct w:val="0"/>
        <w:autoSpaceDE w:val="0"/>
        <w:autoSpaceDN w:val="0"/>
        <w:bidi w:val="0"/>
        <w:adjustRightInd w:val="0"/>
        <w:snapToGrid/>
        <w:spacing w:line="380" w:lineRule="exact"/>
        <w:ind w:firstLine="539" w:firstLineChars="257"/>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1.1.10本项目采购内容：具体服务内容详见第四章“</w:t>
      </w:r>
      <w:r>
        <w:rPr>
          <w:rFonts w:hint="eastAsia" w:ascii="微软雅黑" w:hAnsi="微软雅黑" w:eastAsia="微软雅黑" w:cs="微软雅黑"/>
          <w:color w:val="000000"/>
          <w:kern w:val="0"/>
          <w:szCs w:val="21"/>
          <w:highlight w:val="none"/>
          <w:lang w:val="zh-CN"/>
        </w:rPr>
        <w:t>采购内容及技术参数</w:t>
      </w:r>
      <w:r>
        <w:rPr>
          <w:rFonts w:hint="eastAsia" w:ascii="微软雅黑" w:hAnsi="微软雅黑" w:eastAsia="微软雅黑" w:cs="微软雅黑"/>
          <w:color w:val="000000"/>
          <w:kern w:val="0"/>
          <w:szCs w:val="21"/>
          <w:highlight w:val="none"/>
        </w:rPr>
        <w:t>”。</w:t>
      </w:r>
    </w:p>
    <w:p w14:paraId="79D6E476">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bookmarkStart w:id="41" w:name="_Toc286647841"/>
      <w:bookmarkStart w:id="42" w:name="_Toc275963891"/>
      <w:bookmarkStart w:id="43" w:name="_Toc17085"/>
      <w:bookmarkStart w:id="44" w:name="_Toc275959536"/>
      <w:bookmarkStart w:id="45" w:name="_Toc275959280"/>
      <w:bookmarkStart w:id="46" w:name="_Toc276720096"/>
      <w:r>
        <w:rPr>
          <w:rFonts w:hint="eastAsia" w:ascii="微软雅黑" w:hAnsi="微软雅黑" w:eastAsia="微软雅黑" w:cs="微软雅黑"/>
          <w:color w:val="000000"/>
          <w:kern w:val="0"/>
          <w:szCs w:val="21"/>
          <w:highlight w:val="none"/>
        </w:rPr>
        <w:t>1.2 供应商资格要求</w:t>
      </w:r>
      <w:bookmarkEnd w:id="41"/>
      <w:bookmarkEnd w:id="42"/>
      <w:bookmarkEnd w:id="43"/>
      <w:bookmarkEnd w:id="44"/>
      <w:bookmarkEnd w:id="45"/>
      <w:bookmarkEnd w:id="46"/>
    </w:p>
    <w:p w14:paraId="150D6121">
      <w:pPr>
        <w:keepNext w:val="0"/>
        <w:keepLines w:val="0"/>
        <w:pageBreakBefore w:val="0"/>
        <w:widowControl w:val="0"/>
        <w:kinsoku/>
        <w:wordWrap/>
        <w:overflowPunct/>
        <w:topLinePunct w:val="0"/>
        <w:autoSpaceDE w:val="0"/>
        <w:autoSpaceDN w:val="0"/>
        <w:bidi w:val="0"/>
        <w:adjustRightInd w:val="0"/>
        <w:snapToGrid/>
        <w:spacing w:line="380" w:lineRule="exact"/>
        <w:ind w:firstLine="525" w:firstLineChars="2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1.2.1 供应商应具备承担本招标项目相关的资格条件、能力和信誉。</w:t>
      </w:r>
    </w:p>
    <w:p w14:paraId="5435C8C9">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（1）资格条件：见供应商须知前附表。</w:t>
      </w:r>
    </w:p>
    <w:p w14:paraId="5408F14E">
      <w:pPr>
        <w:keepNext w:val="0"/>
        <w:keepLines w:val="0"/>
        <w:pageBreakBefore w:val="0"/>
        <w:widowControl w:val="0"/>
        <w:kinsoku/>
        <w:wordWrap/>
        <w:overflowPunct/>
        <w:topLinePunct w:val="0"/>
        <w:autoSpaceDE w:val="0"/>
        <w:autoSpaceDN w:val="0"/>
        <w:bidi w:val="0"/>
        <w:adjustRightInd w:val="0"/>
        <w:snapToGrid/>
        <w:spacing w:line="380" w:lineRule="exact"/>
        <w:ind w:firstLine="525" w:firstLineChars="2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1.2.2 供应商不得存在下列独情形之一：</w:t>
      </w:r>
    </w:p>
    <w:p w14:paraId="54CA707C">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（1）为投标人不具有立法人资格的附属机构（单位）；</w:t>
      </w:r>
    </w:p>
    <w:p w14:paraId="7E035BCC">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（2）为本招标项目提供招标代理服务的；</w:t>
      </w:r>
    </w:p>
    <w:p w14:paraId="6A55872F">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（3）与本招标项目的代建人或招标代理机构同为一个法定代表人的；</w:t>
      </w:r>
    </w:p>
    <w:p w14:paraId="759E8C53">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（4）与本招标项目的代建人或招标代理机构相互控股或参股的；</w:t>
      </w:r>
    </w:p>
    <w:p w14:paraId="2433FDC3">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（5）与本招标项目的代建人或招标代理机构相互任职或工作的；</w:t>
      </w:r>
    </w:p>
    <w:p w14:paraId="02CB08FD">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（6）被责令停业的；</w:t>
      </w:r>
    </w:p>
    <w:p w14:paraId="724CE6FE">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（7）被暂停或取消投标资格的；</w:t>
      </w:r>
    </w:p>
    <w:p w14:paraId="2C5DEF74">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（8）财产被接管或冻结的；</w:t>
      </w:r>
    </w:p>
    <w:p w14:paraId="74941B9B">
      <w:pPr>
        <w:keepNext w:val="0"/>
        <w:keepLines w:val="0"/>
        <w:pageBreakBefore w:val="0"/>
        <w:widowControl w:val="0"/>
        <w:kinsoku/>
        <w:wordWrap/>
        <w:overflowPunct/>
        <w:topLinePunct w:val="0"/>
        <w:autoSpaceDE w:val="0"/>
        <w:autoSpaceDN w:val="0"/>
        <w:bidi w:val="0"/>
        <w:adjustRightInd w:val="0"/>
        <w:snapToGrid/>
        <w:spacing w:line="380" w:lineRule="exact"/>
        <w:ind w:firstLine="945" w:firstLineChars="45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（9）在最近三年内有骗取中标或严重违约或出现重大质量问题的。</w:t>
      </w:r>
    </w:p>
    <w:p w14:paraId="1305DFD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1.3 费用承担</w:t>
      </w:r>
    </w:p>
    <w:p w14:paraId="28EA79E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投标人准备和参加本次投标活动所发生的一切费用自理。</w:t>
      </w:r>
    </w:p>
    <w:p w14:paraId="32D3704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1.4 保密</w:t>
      </w:r>
    </w:p>
    <w:p w14:paraId="19D51D6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参与招标投标活动的各方应对招标文件和投标文件中的商业和技术等秘密保密，违者应对由此造成的后果承担法律责任。</w:t>
      </w:r>
    </w:p>
    <w:p w14:paraId="7EEDD95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1.5语言文字</w:t>
      </w:r>
    </w:p>
    <w:p w14:paraId="296EFBDC">
      <w:pPr>
        <w:keepNext w:val="0"/>
        <w:keepLines w:val="0"/>
        <w:pageBreakBefore w:val="0"/>
        <w:widowControl w:val="0"/>
        <w:kinsoku/>
        <w:wordWrap/>
        <w:overflowPunct/>
        <w:topLinePunct w:val="0"/>
        <w:bidi w:val="0"/>
        <w:snapToGrid/>
        <w:spacing w:line="380" w:lineRule="exact"/>
        <w:ind w:firstLine="48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除专用术语外，与招标投标有关的语言均使用中文。必要时专用术语应附有中文注释。</w:t>
      </w:r>
    </w:p>
    <w:p w14:paraId="6D5F514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1.6计量单位</w:t>
      </w:r>
    </w:p>
    <w:p w14:paraId="01A4746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所有计量均采用中华人民共和国法定计量单位。</w:t>
      </w:r>
    </w:p>
    <w:p w14:paraId="7FF96FA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bookmarkStart w:id="47" w:name="_Toc238352241"/>
      <w:r>
        <w:rPr>
          <w:rFonts w:hint="eastAsia" w:ascii="微软雅黑" w:hAnsi="微软雅黑" w:eastAsia="微软雅黑" w:cs="微软雅黑"/>
          <w:color w:val="000000"/>
          <w:kern w:val="0"/>
          <w:szCs w:val="21"/>
          <w:highlight w:val="none"/>
        </w:rPr>
        <w:t>1.7 投标预备会</w:t>
      </w:r>
    </w:p>
    <w:p w14:paraId="24A4360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不召开。</w:t>
      </w:r>
    </w:p>
    <w:p w14:paraId="2EFB211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1.8 偏离</w:t>
      </w:r>
    </w:p>
    <w:p w14:paraId="6E9FE752">
      <w:pPr>
        <w:keepNext w:val="0"/>
        <w:keepLines w:val="0"/>
        <w:pageBreakBefore w:val="0"/>
        <w:widowControl w:val="0"/>
        <w:kinsoku/>
        <w:wordWrap/>
        <w:overflowPunct/>
        <w:topLinePunct w:val="0"/>
        <w:bidi w:val="0"/>
        <w:snapToGrid/>
        <w:spacing w:line="380" w:lineRule="exact"/>
        <w:ind w:firstLine="315" w:firstLineChars="1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不允许有重大偏离。 </w:t>
      </w:r>
    </w:p>
    <w:p w14:paraId="16F2D27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1.9 履约保证金 </w:t>
      </w:r>
    </w:p>
    <w:p w14:paraId="116BB78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本项目不适用</w:t>
      </w:r>
    </w:p>
    <w:p w14:paraId="55E112E0">
      <w:pPr>
        <w:pStyle w:val="15"/>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color w:val="000000"/>
          <w:sz w:val="21"/>
          <w:szCs w:val="21"/>
          <w:highlight w:val="none"/>
        </w:rPr>
      </w:pPr>
      <w:bookmarkStart w:id="48" w:name="_Toc18117"/>
      <w:bookmarkStart w:id="49" w:name="_Toc40365289"/>
      <w:bookmarkStart w:id="50" w:name="_Toc402979490"/>
      <w:bookmarkStart w:id="51" w:name="_Toc5634"/>
      <w:bookmarkStart w:id="52" w:name="_Toc3336"/>
      <w:bookmarkStart w:id="53" w:name="_Toc13619"/>
      <w:bookmarkStart w:id="54" w:name="_Toc28613"/>
      <w:r>
        <w:rPr>
          <w:rFonts w:hint="eastAsia" w:ascii="微软雅黑" w:hAnsi="微软雅黑" w:eastAsia="微软雅黑" w:cs="微软雅黑"/>
          <w:b/>
          <w:color w:val="000000"/>
          <w:sz w:val="21"/>
          <w:szCs w:val="21"/>
          <w:highlight w:val="none"/>
        </w:rPr>
        <w:t>2  招标文件</w:t>
      </w:r>
      <w:bookmarkEnd w:id="47"/>
      <w:bookmarkEnd w:id="48"/>
      <w:bookmarkEnd w:id="49"/>
      <w:bookmarkEnd w:id="50"/>
      <w:bookmarkEnd w:id="51"/>
      <w:bookmarkEnd w:id="52"/>
      <w:bookmarkEnd w:id="53"/>
      <w:bookmarkEnd w:id="54"/>
    </w:p>
    <w:p w14:paraId="7ED3634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2.1 招标文件的组成</w:t>
      </w:r>
    </w:p>
    <w:p w14:paraId="4A3E377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招标文件包括下列内容：</w:t>
      </w:r>
    </w:p>
    <w:p w14:paraId="6A9E071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第一章 招标公告</w:t>
      </w:r>
    </w:p>
    <w:p w14:paraId="65C98843">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第二章 投标人须知</w:t>
      </w:r>
    </w:p>
    <w:p w14:paraId="1BC05B6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第三章 评标办法</w:t>
      </w:r>
    </w:p>
    <w:p w14:paraId="69DFF46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第四章 采购内容及技术要求</w:t>
      </w:r>
    </w:p>
    <w:p w14:paraId="67E0DA0E">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第五章 合同</w:t>
      </w:r>
    </w:p>
    <w:p w14:paraId="355A33F9">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第六章 投标文件格式</w:t>
      </w:r>
    </w:p>
    <w:p w14:paraId="4EC8A58A">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根据本章第2.2款和第2.3款对招标文件所作的澄清、修改，构成招标文件的组成部分。</w:t>
      </w:r>
    </w:p>
    <w:p w14:paraId="4E07D35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2.2招标文件的澄清和修改</w:t>
      </w:r>
      <w:bookmarkStart w:id="55" w:name="_Toc528119497"/>
      <w:bookmarkStart w:id="56" w:name="_Toc23306"/>
      <w:bookmarkStart w:id="57" w:name="_Toc7981"/>
      <w:bookmarkStart w:id="58" w:name="_Toc402979491"/>
      <w:bookmarkStart w:id="59" w:name="_Toc25382"/>
      <w:bookmarkStart w:id="60" w:name="_Toc8816"/>
      <w:bookmarkStart w:id="61" w:name="_Toc238352242"/>
    </w:p>
    <w:p w14:paraId="10B1BED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2.2.1 为保护政府采购当事人的合法权益，维护政府采购公平竞争环境，建立；规范高效的政府采购质疑处理机制，依据《中国人民共和国政府采购法》、《中国人民共和国政府采购法实施条例》、《政府采购供应商投诉处理办法》（财政部20号令）、《财政部关于加强政府采购供应商投诉受理审查工作的通知》（财库[2007]1号）、《政府采购货物和服务招标投标管理办法》（中华人民共和国财政部令第87号）等文件的规定，制定本须知。</w:t>
      </w:r>
    </w:p>
    <w:p w14:paraId="6E476EE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本须知所称被质疑人是指采购人和政府采购代理机构。</w:t>
      </w:r>
    </w:p>
    <w:p w14:paraId="4F20FC3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本须知所称供应商是指符合《政府采购法》的规定条件，参与政府采购竞争活动的当事人。</w:t>
      </w:r>
    </w:p>
    <w:p w14:paraId="6DC70654">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2.2.2 供应商如果对招标文件相关条款有何疑义或疑问，可以在知道或者应当知道其权益受到损害之日起7个工作日内（或开标前7个工作日）向采购人和招标代理机构分别提出，否则均视为可接受条款，开标后不再受理对招标文件相关条款的质疑。</w:t>
      </w:r>
    </w:p>
    <w:p w14:paraId="76D6F2F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2.2.3 各有关供应商认为采购过程、预中标(成交)结果或中标(成交)结果使自己的权益受到损害的，可以在知道或者应当知道其权益受到损害之日起7 个工作日内，以书面形式向采购人提出质疑，按照内容提供质疑资料、报名情况截图一并提交（邮寄、传真件不予受理）。</w:t>
      </w:r>
    </w:p>
    <w:p w14:paraId="39BF3B7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2.2.4 供应商的书面质疑如出现质疑事项不清晰、质疑相关依据或证明材料不全、不符合相关规定等情形，均视为无效质疑，供应商应当依据上述规定重新修改质疑文件，并在规定的期限内提交，逾期不予受理。</w:t>
      </w:r>
    </w:p>
    <w:p w14:paraId="57F8CAAA">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2.2.5 疑事项属于有关法律、法规和规章规定处于保密阶段的事项，质疑人应提供有效证据，否则，将认定为无效质疑事项。</w:t>
      </w:r>
    </w:p>
    <w:p w14:paraId="017FF56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2.2.6 供应商的书面质疑属于下列情形之一的，被质疑人可不予受理：</w:t>
      </w:r>
    </w:p>
    <w:p w14:paraId="6D324CB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（一）不是参与该政府采购项目活动的供应商；</w:t>
      </w:r>
    </w:p>
    <w:p w14:paraId="666AD23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（二）已超过法律规定的质疑期限的；</w:t>
      </w:r>
    </w:p>
    <w:p w14:paraId="279FF83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（三）匿名的、无法开展调查取证的。</w:t>
      </w:r>
    </w:p>
    <w:p w14:paraId="45EB4D54">
      <w:pPr>
        <w:pStyle w:val="15"/>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color w:val="000000"/>
          <w:sz w:val="21"/>
          <w:szCs w:val="21"/>
          <w:highlight w:val="none"/>
        </w:rPr>
      </w:pPr>
      <w:bookmarkStart w:id="62" w:name="_Toc26182"/>
      <w:bookmarkStart w:id="63" w:name="_Toc40365290"/>
      <w:r>
        <w:rPr>
          <w:rFonts w:hint="eastAsia" w:ascii="微软雅黑" w:hAnsi="微软雅黑" w:eastAsia="微软雅黑" w:cs="微软雅黑"/>
          <w:b/>
          <w:color w:val="000000"/>
          <w:sz w:val="21"/>
          <w:szCs w:val="21"/>
          <w:highlight w:val="none"/>
        </w:rPr>
        <w:t>3  投标文件</w:t>
      </w:r>
      <w:bookmarkEnd w:id="55"/>
      <w:bookmarkEnd w:id="56"/>
      <w:bookmarkEnd w:id="57"/>
      <w:bookmarkEnd w:id="58"/>
      <w:bookmarkEnd w:id="59"/>
      <w:bookmarkEnd w:id="60"/>
      <w:bookmarkEnd w:id="61"/>
      <w:bookmarkEnd w:id="62"/>
      <w:bookmarkEnd w:id="63"/>
    </w:p>
    <w:p w14:paraId="47E3566F">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投标文件的组成</w:t>
      </w:r>
    </w:p>
    <w:p w14:paraId="00950CF3">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一、投标函</w:t>
      </w:r>
    </w:p>
    <w:p w14:paraId="1C575C08">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二、投标函附录</w:t>
      </w:r>
    </w:p>
    <w:p w14:paraId="666A4439">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三、法定代表人资格证明书 </w:t>
      </w:r>
    </w:p>
    <w:p w14:paraId="70D51CAD">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四、法定代表人授权委托书</w:t>
      </w:r>
    </w:p>
    <w:p w14:paraId="0CFFADEC">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五、投标人资格审查资料</w:t>
      </w:r>
    </w:p>
    <w:p w14:paraId="504928CB">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六、所投产品报价明细表</w:t>
      </w:r>
    </w:p>
    <w:p w14:paraId="2051EA7D">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Cs w:val="21"/>
          <w:highlight w:val="none"/>
        </w:rPr>
        <w:t>七、技术条款偏离表</w:t>
      </w:r>
    </w:p>
    <w:p w14:paraId="3C7AA778">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八、项目采购承诺书 </w:t>
      </w:r>
    </w:p>
    <w:p w14:paraId="60505059">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九、反商业贿赂承诺书</w:t>
      </w:r>
    </w:p>
    <w:p w14:paraId="5E5E418B">
      <w:pPr>
        <w:keepNext w:val="0"/>
        <w:keepLines w:val="0"/>
        <w:pageBreakBefore w:val="0"/>
        <w:widowControl w:val="0"/>
        <w:kinsoku/>
        <w:wordWrap/>
        <w:overflowPunct/>
        <w:topLinePunct w:val="0"/>
        <w:bidi w:val="0"/>
        <w:snapToGrid/>
        <w:spacing w:line="380" w:lineRule="exact"/>
        <w:ind w:left="1690" w:leftChars="255" w:hanging="1155" w:hangingChars="5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十、服务承诺</w:t>
      </w:r>
    </w:p>
    <w:p w14:paraId="19388E76">
      <w:pPr>
        <w:keepNext w:val="0"/>
        <w:keepLines w:val="0"/>
        <w:pageBreakBefore w:val="0"/>
        <w:widowControl w:val="0"/>
        <w:kinsoku/>
        <w:wordWrap/>
        <w:overflowPunct/>
        <w:topLinePunct w:val="0"/>
        <w:bidi w:val="0"/>
        <w:snapToGrid/>
        <w:spacing w:line="380" w:lineRule="exact"/>
        <w:ind w:firstLine="525" w:firstLineChars="25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十一、招标文件要求的其它材料及投标人认为有必要提供的材料</w:t>
      </w:r>
    </w:p>
    <w:p w14:paraId="1454EBD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3.1资格审查材料</w:t>
      </w:r>
    </w:p>
    <w:p w14:paraId="0CA19A0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详见投标须知</w:t>
      </w:r>
    </w:p>
    <w:p w14:paraId="7A64FAF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3.2.投标报价</w:t>
      </w:r>
    </w:p>
    <w:p w14:paraId="75FD7F14">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3.2.1 投标人根据采购人提供的有关资料、招标文件及招标文件补充答疑，结合本项目实际情况和市场行情自主合理报价,投标报价不得低于企业实际成本。评标过程中，评标委员会发现投标人的投标总价明显低于其他报价，使其投标报价可能低于其个别成本的，评标委员会应对其质询，并要求该投标人做出书面说明和提供相关的证明材料；该投标人不能合理说明或提供证明材料的，其投标将被否决。</w:t>
      </w:r>
    </w:p>
    <w:p w14:paraId="24DBF19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3.2.2投标报价应是采购人指定地点的交货价格，包括交货发生的各种税费、运费、安装费、装卸费、质量检测费、以及伴随的其他服务费总报价（货物交付采购人正常使用前所发生的一切费用。）</w:t>
      </w:r>
    </w:p>
    <w:p w14:paraId="058B3552">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3.2.3 投标报价为投标人完成采购范围内各项费用的总和。投标人不得以任何理由重复计算相关费用。</w:t>
      </w:r>
    </w:p>
    <w:p w14:paraId="67C944D9">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3.2.4 各投标人单位的投标报价中若出现招标范围内的漏项、错项、未列项时，均视为投标人已综合在报价内，一律不作调整；各投标人的预算书中若出现多计项目时，采购人将有权在货物接收时扣除。</w:t>
      </w:r>
    </w:p>
    <w:p w14:paraId="4CCFC01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3.2.5 成交价结算时除合同约定可调整内容以外，均不作调整。</w:t>
      </w:r>
    </w:p>
    <w:p w14:paraId="12059B6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3.2.6投标人所提供的产品必须是符合国家相关质量标准的正规厂家的合格产品。</w:t>
      </w:r>
    </w:p>
    <w:p w14:paraId="33AB046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3.2.7 投标人应仔细审阅招标文件中的全部内容，如有不明确的，须在招标答疑时以书面形式提出，由采购人明确做法并计入投标报价；否则视为投标人在投标报价中已全部计入。</w:t>
      </w:r>
    </w:p>
    <w:p w14:paraId="2EE3B526">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3.2.8报价是评标的重要依据之一，但不是评定中标的唯一标准。采购人不以最低报价作为中标依据。</w:t>
      </w:r>
    </w:p>
    <w:p w14:paraId="5A8B8B8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3.2.9全部报价均应以人民币为计量币种，并以人民币进行结算。</w:t>
      </w:r>
    </w:p>
    <w:p w14:paraId="6F43AF9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3.2.10、采购人对投标人提供的货物有权到生产厂家进行考察和交货前验货的权利，投标人应提供便利条件。</w:t>
      </w:r>
    </w:p>
    <w:p w14:paraId="0E2A71ED">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3.3投标有效期</w:t>
      </w:r>
    </w:p>
    <w:p w14:paraId="2921C60E">
      <w:pPr>
        <w:keepNext w:val="0"/>
        <w:keepLines w:val="0"/>
        <w:pageBreakBefore w:val="0"/>
        <w:widowControl w:val="0"/>
        <w:kinsoku/>
        <w:wordWrap/>
        <w:overflowPunct/>
        <w:topLinePunct w:val="0"/>
        <w:bidi w:val="0"/>
        <w:snapToGrid/>
        <w:spacing w:line="380" w:lineRule="exact"/>
        <w:jc w:val="lef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3.3.1投标文件应在投标人须知前附表所规定的投标有效期内有效，投标人不得要求撤销或修改其投标文件；</w:t>
      </w:r>
    </w:p>
    <w:p w14:paraId="75F7EB0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3.3.2如果出现特殊情况，采购人可要求投标人将投标有效期延长一段时间，投标人同意延长的，这种要求和投标人的答复均应以书面形式进行，投标人拒绝延长的，其投标失效。</w:t>
      </w:r>
    </w:p>
    <w:p w14:paraId="2BDD0A8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kern w:val="0"/>
          <w:szCs w:val="21"/>
          <w:highlight w:val="none"/>
        </w:rPr>
      </w:pPr>
      <w:bookmarkStart w:id="64" w:name="_Toc238352243"/>
      <w:bookmarkStart w:id="65" w:name="_Toc520717617"/>
      <w:bookmarkStart w:id="66" w:name="_Toc4444"/>
      <w:bookmarkStart w:id="67" w:name="_Toc16828"/>
      <w:bookmarkStart w:id="68" w:name="_Toc402979492"/>
      <w:bookmarkStart w:id="69" w:name="_Toc22824"/>
      <w:bookmarkStart w:id="70" w:name="_Toc14572"/>
      <w:r>
        <w:rPr>
          <w:rFonts w:hint="eastAsia" w:ascii="微软雅黑" w:hAnsi="微软雅黑" w:eastAsia="微软雅黑" w:cs="微软雅黑"/>
          <w:color w:val="000000"/>
          <w:kern w:val="0"/>
          <w:szCs w:val="21"/>
          <w:highlight w:val="none"/>
        </w:rPr>
        <w:t>3.4投标文件的编制</w:t>
      </w:r>
    </w:p>
    <w:p w14:paraId="438589F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3.4.1投标人未按招标文件要求提交投标文件或者未对招标文件提出的实质性要求和条件做出响应，则投标文件不被接受，其后果由投标人负责。</w:t>
      </w:r>
    </w:p>
    <w:p w14:paraId="19FD1CAA">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3.4.2投标文件应按第六章“投标文件格式”进行编写，以提出比招标文件要求更有利于采购人的承诺。</w:t>
      </w:r>
    </w:p>
    <w:p w14:paraId="4AAFC6E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3.5 备选投标方案</w:t>
      </w:r>
    </w:p>
    <w:p w14:paraId="35E9D2B5">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不允许递交备选投标方案。</w:t>
      </w:r>
    </w:p>
    <w:p w14:paraId="4CBC3E5D">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3.6投标文件的递交</w:t>
      </w:r>
    </w:p>
    <w:p w14:paraId="7C8EEC34">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3.6.1投标人应在前附表所规定的投标文件递交截止时间之前将投标文件送达指定地点。</w:t>
      </w:r>
    </w:p>
    <w:p w14:paraId="3B8E25D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3.7投标文件的修改、补充与撤回</w:t>
      </w:r>
    </w:p>
    <w:p w14:paraId="380C09C9">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3.7.1投标人可以在投标文件递交截止时间之前以书面形式修改、补充或撤回投标文件。在投标文件递交截止时间后不能修改、补充或撤回投标文件。</w:t>
      </w:r>
    </w:p>
    <w:p w14:paraId="5A123F8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3.7.2投标文件的修改、补充与撤回通知，投标人均须按本款的规定递交（标明“修改”、“补充”或“撤回”字样）。</w:t>
      </w:r>
    </w:p>
    <w:p w14:paraId="506F4BF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3.7.3在投标有效期内，投标人不能修改或撤回其投标文件。</w:t>
      </w:r>
    </w:p>
    <w:p w14:paraId="3A256695">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3.8 投标文件的拒绝和无效</w:t>
      </w:r>
    </w:p>
    <w:p w14:paraId="5BCDF717">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属于下列情况之一的投标文件，其投标将被否决：</w:t>
      </w:r>
    </w:p>
    <w:p w14:paraId="3506892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71" w:name="_Toc3705"/>
      <w:bookmarkStart w:id="72" w:name="_Toc379917674"/>
      <w:bookmarkStart w:id="73" w:name="_Toc379917825"/>
      <w:bookmarkStart w:id="74" w:name="_Toc40365291"/>
      <w:bookmarkStart w:id="75" w:name="_Toc2532"/>
      <w:bookmarkStart w:id="76" w:name="_Toc5708"/>
      <w:bookmarkStart w:id="77" w:name="_Toc26529"/>
      <w:bookmarkStart w:id="78" w:name="_Toc374983545"/>
      <w:r>
        <w:rPr>
          <w:rFonts w:hint="eastAsia" w:ascii="微软雅黑" w:hAnsi="微软雅黑" w:eastAsia="微软雅黑" w:cs="微软雅黑"/>
          <w:color w:val="000000"/>
          <w:kern w:val="0"/>
          <w:szCs w:val="21"/>
          <w:highlight w:val="none"/>
        </w:rPr>
        <w:t>（1）投标文件未按照招标文件要求逾期上传；</w:t>
      </w:r>
      <w:bookmarkEnd w:id="71"/>
      <w:bookmarkEnd w:id="72"/>
      <w:bookmarkEnd w:id="73"/>
      <w:bookmarkEnd w:id="74"/>
      <w:bookmarkEnd w:id="75"/>
      <w:bookmarkEnd w:id="76"/>
      <w:bookmarkEnd w:id="77"/>
      <w:bookmarkEnd w:id="78"/>
    </w:p>
    <w:p w14:paraId="09549F2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79" w:name="_Toc27055"/>
      <w:bookmarkStart w:id="80" w:name="_Toc26290"/>
      <w:bookmarkStart w:id="81" w:name="_Toc379917676"/>
      <w:bookmarkStart w:id="82" w:name="_Toc379917827"/>
      <w:bookmarkStart w:id="83" w:name="_Toc374983547"/>
      <w:bookmarkStart w:id="84" w:name="_Toc264"/>
      <w:bookmarkStart w:id="85" w:name="_Toc21161"/>
      <w:bookmarkStart w:id="86" w:name="_Toc40365292"/>
      <w:r>
        <w:rPr>
          <w:rFonts w:hint="eastAsia" w:ascii="微软雅黑" w:hAnsi="微软雅黑" w:eastAsia="微软雅黑" w:cs="微软雅黑"/>
          <w:color w:val="000000"/>
          <w:kern w:val="0"/>
          <w:szCs w:val="21"/>
          <w:highlight w:val="none"/>
        </w:rPr>
        <w:t>（2）投标文件字迹模糊导致无法确认投标价格等内容；</w:t>
      </w:r>
      <w:bookmarkEnd w:id="79"/>
      <w:bookmarkEnd w:id="80"/>
      <w:bookmarkEnd w:id="81"/>
      <w:bookmarkEnd w:id="82"/>
      <w:bookmarkEnd w:id="83"/>
      <w:bookmarkEnd w:id="84"/>
      <w:bookmarkEnd w:id="85"/>
      <w:bookmarkEnd w:id="86"/>
    </w:p>
    <w:p w14:paraId="0A3C392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87" w:name="_Toc56"/>
      <w:bookmarkStart w:id="88" w:name="_Toc16846"/>
      <w:bookmarkStart w:id="89" w:name="_Toc26559"/>
      <w:bookmarkStart w:id="90" w:name="_Toc374983548"/>
      <w:bookmarkStart w:id="91" w:name="_Toc7605"/>
      <w:bookmarkStart w:id="92" w:name="_Toc379917828"/>
      <w:bookmarkStart w:id="93" w:name="_Toc40365293"/>
      <w:bookmarkStart w:id="94" w:name="_Toc379917677"/>
      <w:r>
        <w:rPr>
          <w:rFonts w:hint="eastAsia" w:ascii="微软雅黑" w:hAnsi="微软雅黑" w:eastAsia="微软雅黑" w:cs="微软雅黑"/>
          <w:color w:val="000000"/>
          <w:kern w:val="0"/>
          <w:szCs w:val="21"/>
          <w:highlight w:val="none"/>
        </w:rPr>
        <w:t>（3）投标人在一份投标文件中，对同一项目内容有两个或两个以上报价；</w:t>
      </w:r>
      <w:bookmarkEnd w:id="87"/>
      <w:bookmarkEnd w:id="88"/>
      <w:bookmarkEnd w:id="89"/>
      <w:bookmarkEnd w:id="90"/>
      <w:bookmarkEnd w:id="91"/>
      <w:bookmarkEnd w:id="92"/>
      <w:bookmarkEnd w:id="93"/>
      <w:bookmarkEnd w:id="94"/>
    </w:p>
    <w:p w14:paraId="65F9EF9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95" w:name="_Toc15679"/>
      <w:bookmarkStart w:id="96" w:name="_Toc1996"/>
      <w:bookmarkStart w:id="97" w:name="_Toc18953"/>
      <w:bookmarkStart w:id="98" w:name="_Toc379917678"/>
      <w:bookmarkStart w:id="99" w:name="_Toc374983549"/>
      <w:bookmarkStart w:id="100" w:name="_Toc379917829"/>
      <w:bookmarkStart w:id="101" w:name="_Toc1468"/>
      <w:bookmarkStart w:id="102" w:name="_Toc40365294"/>
      <w:r>
        <w:rPr>
          <w:rFonts w:hint="eastAsia" w:ascii="微软雅黑" w:hAnsi="微软雅黑" w:eastAsia="微软雅黑" w:cs="微软雅黑"/>
          <w:color w:val="000000"/>
          <w:kern w:val="0"/>
          <w:szCs w:val="21"/>
          <w:highlight w:val="none"/>
        </w:rPr>
        <w:t>（4）投标人对同一招标项目递交两份或两份以上不同的投标文件；</w:t>
      </w:r>
      <w:bookmarkEnd w:id="95"/>
      <w:bookmarkEnd w:id="96"/>
      <w:bookmarkEnd w:id="97"/>
      <w:bookmarkEnd w:id="98"/>
      <w:bookmarkEnd w:id="99"/>
      <w:bookmarkEnd w:id="100"/>
      <w:bookmarkEnd w:id="101"/>
      <w:bookmarkEnd w:id="102"/>
    </w:p>
    <w:p w14:paraId="4998473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103" w:name="_Toc40365295"/>
      <w:bookmarkStart w:id="104" w:name="_Toc379917679"/>
      <w:bookmarkStart w:id="105" w:name="_Toc374983550"/>
      <w:bookmarkStart w:id="106" w:name="_Toc379917830"/>
      <w:bookmarkStart w:id="107" w:name="_Toc5672"/>
      <w:bookmarkStart w:id="108" w:name="_Toc10577"/>
      <w:bookmarkStart w:id="109" w:name="_Toc13760"/>
      <w:bookmarkStart w:id="110" w:name="_Toc20708"/>
      <w:r>
        <w:rPr>
          <w:rFonts w:hint="eastAsia" w:ascii="微软雅黑" w:hAnsi="微软雅黑" w:eastAsia="微软雅黑" w:cs="微软雅黑"/>
          <w:color w:val="000000"/>
          <w:kern w:val="0"/>
          <w:szCs w:val="21"/>
          <w:highlight w:val="none"/>
        </w:rPr>
        <w:t>（5）投标文件中含有虚假资料；</w:t>
      </w:r>
      <w:bookmarkEnd w:id="103"/>
      <w:bookmarkEnd w:id="104"/>
      <w:bookmarkEnd w:id="105"/>
      <w:bookmarkEnd w:id="106"/>
      <w:bookmarkEnd w:id="107"/>
      <w:bookmarkEnd w:id="108"/>
      <w:bookmarkEnd w:id="109"/>
      <w:bookmarkEnd w:id="110"/>
    </w:p>
    <w:p w14:paraId="2B86CF25">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111" w:name="_Toc374983551"/>
      <w:bookmarkStart w:id="112" w:name="_Toc379917680"/>
      <w:bookmarkStart w:id="113" w:name="_Toc379917831"/>
      <w:bookmarkStart w:id="114" w:name="_Toc28035"/>
      <w:bookmarkStart w:id="115" w:name="_Toc723"/>
      <w:bookmarkStart w:id="116" w:name="_Toc15824"/>
      <w:bookmarkStart w:id="117" w:name="_Toc30751"/>
      <w:bookmarkStart w:id="118" w:name="_Toc40365296"/>
      <w:r>
        <w:rPr>
          <w:rFonts w:hint="eastAsia" w:ascii="微软雅黑" w:hAnsi="微软雅黑" w:eastAsia="微软雅黑" w:cs="微软雅黑"/>
          <w:color w:val="000000"/>
          <w:kern w:val="0"/>
          <w:szCs w:val="21"/>
          <w:highlight w:val="none"/>
        </w:rPr>
        <w:t>（6）投标文件未对技术参数响应性承诺的</w:t>
      </w:r>
      <w:bookmarkEnd w:id="111"/>
      <w:bookmarkEnd w:id="112"/>
      <w:bookmarkEnd w:id="113"/>
      <w:bookmarkEnd w:id="114"/>
      <w:bookmarkEnd w:id="115"/>
      <w:bookmarkEnd w:id="116"/>
      <w:bookmarkEnd w:id="117"/>
      <w:r>
        <w:rPr>
          <w:rFonts w:hint="eastAsia" w:ascii="微软雅黑" w:hAnsi="微软雅黑" w:eastAsia="微软雅黑" w:cs="微软雅黑"/>
          <w:color w:val="000000"/>
          <w:kern w:val="0"/>
          <w:szCs w:val="21"/>
          <w:highlight w:val="none"/>
        </w:rPr>
        <w:t>；</w:t>
      </w:r>
      <w:bookmarkEnd w:id="118"/>
    </w:p>
    <w:p w14:paraId="0A39F63B">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（7）投标文件中有采购人不能接受的条件；</w:t>
      </w:r>
    </w:p>
    <w:p w14:paraId="6090B5D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微软雅黑" w:hAnsi="微软雅黑" w:eastAsia="微软雅黑" w:cs="微软雅黑"/>
          <w:color w:val="000000"/>
          <w:kern w:val="0"/>
          <w:szCs w:val="21"/>
          <w:highlight w:val="none"/>
        </w:rPr>
      </w:pPr>
      <w:bookmarkStart w:id="119" w:name="_Toc24912"/>
      <w:bookmarkStart w:id="120" w:name="_Toc374983552"/>
      <w:bookmarkStart w:id="121" w:name="_Toc10702"/>
      <w:bookmarkStart w:id="122" w:name="_Toc3035"/>
      <w:bookmarkStart w:id="123" w:name="_Toc40365297"/>
      <w:bookmarkStart w:id="124" w:name="_Toc379917681"/>
      <w:bookmarkStart w:id="125" w:name="_Toc379917832"/>
      <w:bookmarkStart w:id="126" w:name="_Toc21159"/>
      <w:r>
        <w:rPr>
          <w:rFonts w:hint="eastAsia" w:ascii="微软雅黑" w:hAnsi="微软雅黑" w:eastAsia="微软雅黑" w:cs="微软雅黑"/>
          <w:color w:val="000000"/>
          <w:kern w:val="0"/>
          <w:szCs w:val="21"/>
          <w:highlight w:val="none"/>
        </w:rPr>
        <w:t>（8）投标报价高于采购人最高投标限价的。</w:t>
      </w:r>
      <w:bookmarkEnd w:id="119"/>
      <w:bookmarkEnd w:id="120"/>
      <w:bookmarkEnd w:id="121"/>
      <w:bookmarkEnd w:id="122"/>
      <w:bookmarkEnd w:id="123"/>
      <w:bookmarkEnd w:id="124"/>
      <w:bookmarkEnd w:id="125"/>
      <w:bookmarkEnd w:id="126"/>
    </w:p>
    <w:p w14:paraId="451EFA08">
      <w:pPr>
        <w:pStyle w:val="15"/>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bCs w:val="0"/>
          <w:color w:val="000000"/>
          <w:sz w:val="21"/>
          <w:szCs w:val="21"/>
          <w:highlight w:val="none"/>
        </w:rPr>
      </w:pPr>
      <w:bookmarkStart w:id="127" w:name="_Toc40365298"/>
      <w:bookmarkStart w:id="128" w:name="_Toc31009"/>
      <w:r>
        <w:rPr>
          <w:rFonts w:hint="eastAsia" w:ascii="微软雅黑" w:hAnsi="微软雅黑" w:eastAsia="微软雅黑" w:cs="微软雅黑"/>
          <w:b/>
          <w:bCs w:val="0"/>
          <w:color w:val="000000"/>
          <w:sz w:val="21"/>
          <w:szCs w:val="21"/>
          <w:highlight w:val="none"/>
        </w:rPr>
        <w:t>4</w:t>
      </w:r>
      <w:bookmarkEnd w:id="64"/>
      <w:bookmarkEnd w:id="65"/>
      <w:r>
        <w:rPr>
          <w:rFonts w:hint="eastAsia" w:ascii="微软雅黑" w:hAnsi="微软雅黑" w:eastAsia="微软雅黑" w:cs="微软雅黑"/>
          <w:b/>
          <w:bCs w:val="0"/>
          <w:color w:val="000000"/>
          <w:sz w:val="21"/>
          <w:szCs w:val="21"/>
          <w:highlight w:val="none"/>
        </w:rPr>
        <w:t xml:space="preserve">  开标</w:t>
      </w:r>
      <w:bookmarkEnd w:id="66"/>
      <w:bookmarkEnd w:id="67"/>
      <w:bookmarkEnd w:id="68"/>
      <w:bookmarkEnd w:id="69"/>
      <w:bookmarkEnd w:id="70"/>
      <w:bookmarkEnd w:id="127"/>
      <w:bookmarkEnd w:id="128"/>
    </w:p>
    <w:p w14:paraId="4EA523BF">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4.1 开标时间和地点</w:t>
      </w:r>
    </w:p>
    <w:p w14:paraId="60E2FE80">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采购人在投标人须知前附表中规定的开标时间、地点公开开标，否则不予接受其投标文件。</w:t>
      </w:r>
    </w:p>
    <w:p w14:paraId="7CA44AC1">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4.2 开标程序</w:t>
      </w:r>
    </w:p>
    <w:p w14:paraId="1214C927">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远程开标</w:t>
      </w:r>
    </w:p>
    <w:p w14:paraId="15C5D9DF">
      <w:pPr>
        <w:pStyle w:val="25"/>
        <w:keepNext w:val="0"/>
        <w:keepLines w:val="0"/>
        <w:pageBreakBefore w:val="0"/>
        <w:widowControl w:val="0"/>
        <w:kinsoku/>
        <w:wordWrap/>
        <w:overflowPunct/>
        <w:topLinePunct w:val="0"/>
        <w:bidi w:val="0"/>
        <w:snapToGrid/>
        <w:spacing w:line="380" w:lineRule="exact"/>
        <w:jc w:val="both"/>
        <w:textAlignment w:val="auto"/>
        <w:outlineLvl w:val="1"/>
        <w:rPr>
          <w:rFonts w:hint="eastAsia" w:ascii="微软雅黑" w:hAnsi="微软雅黑" w:eastAsia="微软雅黑" w:cs="微软雅黑"/>
          <w:b/>
          <w:sz w:val="21"/>
          <w:szCs w:val="21"/>
          <w:highlight w:val="none"/>
        </w:rPr>
      </w:pPr>
      <w:bookmarkStart w:id="129" w:name="_Toc30521"/>
      <w:bookmarkStart w:id="130" w:name="_Toc257210912"/>
      <w:bookmarkStart w:id="131" w:name="_Toc402979493"/>
      <w:bookmarkStart w:id="132" w:name="_Toc40365299"/>
      <w:bookmarkStart w:id="133" w:name="_Toc3672"/>
      <w:bookmarkStart w:id="134" w:name="_Toc238613292"/>
      <w:bookmarkStart w:id="135" w:name="_Toc239235319"/>
      <w:bookmarkStart w:id="136" w:name="_Toc5669"/>
      <w:bookmarkStart w:id="137" w:name="_Toc18569"/>
      <w:bookmarkStart w:id="138" w:name="_Toc3044"/>
      <w:r>
        <w:rPr>
          <w:rFonts w:hint="eastAsia" w:ascii="微软雅黑" w:hAnsi="微软雅黑" w:eastAsia="微软雅黑" w:cs="微软雅黑"/>
          <w:b/>
          <w:sz w:val="21"/>
          <w:szCs w:val="21"/>
          <w:highlight w:val="none"/>
        </w:rPr>
        <w:t>5  评标</w:t>
      </w:r>
      <w:bookmarkEnd w:id="129"/>
      <w:bookmarkEnd w:id="130"/>
      <w:bookmarkEnd w:id="131"/>
      <w:bookmarkEnd w:id="132"/>
      <w:bookmarkEnd w:id="133"/>
      <w:bookmarkEnd w:id="134"/>
      <w:bookmarkEnd w:id="135"/>
      <w:bookmarkEnd w:id="136"/>
      <w:bookmarkEnd w:id="137"/>
      <w:bookmarkEnd w:id="138"/>
    </w:p>
    <w:p w14:paraId="6302A5EA">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5.1 评标委员会</w:t>
      </w:r>
    </w:p>
    <w:p w14:paraId="44885A9C">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5.1.1 评标由采购人依法组建的评标委员会负责。评标委员会由采购人代表以及有关技术、经济等方面的专家组成。评标委员会成员人数以及技术、经济等方面专家的确定方式见投标人须知前附表。</w:t>
      </w:r>
    </w:p>
    <w:p w14:paraId="2FFCD6ED">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5.1.2 评标委员会成员有下列情形之一的，应当回避：</w:t>
      </w:r>
    </w:p>
    <w:p w14:paraId="3F5F7679">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（1）采购人或投标人的主要负责人的近亲属；</w:t>
      </w:r>
    </w:p>
    <w:p w14:paraId="02525EDA">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（2）项目主管部门或者行政监督部门的人员；</w:t>
      </w:r>
    </w:p>
    <w:p w14:paraId="29AC10C8">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（3）与投标人有经济利益关系，可能影响对投标公正评审的；</w:t>
      </w:r>
    </w:p>
    <w:p w14:paraId="6E7BC34A">
      <w:pPr>
        <w:keepNext w:val="0"/>
        <w:keepLines w:val="0"/>
        <w:pageBreakBefore w:val="0"/>
        <w:widowControl w:val="0"/>
        <w:kinsoku/>
        <w:wordWrap/>
        <w:overflowPunct/>
        <w:topLinePunct w:val="0"/>
        <w:bidi w:val="0"/>
        <w:snapToGrid/>
        <w:spacing w:line="380" w:lineRule="exact"/>
        <w:ind w:left="105" w:leftChars="50"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（4）曾因在招标、评标以及其他与招标投标有关活动中从事违法行为而受过行政处罚或刑事处罚的。</w:t>
      </w:r>
    </w:p>
    <w:p w14:paraId="4F467952">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5.2 评标原则</w:t>
      </w:r>
    </w:p>
    <w:p w14:paraId="0659094F">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评标活动遵循公平、公正、科学和择优的原则。</w:t>
      </w:r>
    </w:p>
    <w:p w14:paraId="4DC04903">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5.3 评标</w:t>
      </w:r>
    </w:p>
    <w:p w14:paraId="0AD825CC">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评标委员会按照第三章“评标办法”规定的方法、评审因素、标准和程序对投标文件进行评审。第三章“评标办法”没有规定的方法、评审因素和标准，不作为评标依据。</w:t>
      </w:r>
    </w:p>
    <w:p w14:paraId="5709E764">
      <w:pPr>
        <w:pStyle w:val="25"/>
        <w:keepNext w:val="0"/>
        <w:keepLines w:val="0"/>
        <w:pageBreakBefore w:val="0"/>
        <w:widowControl w:val="0"/>
        <w:kinsoku/>
        <w:wordWrap/>
        <w:overflowPunct/>
        <w:topLinePunct w:val="0"/>
        <w:bidi w:val="0"/>
        <w:snapToGrid/>
        <w:spacing w:line="380" w:lineRule="exact"/>
        <w:jc w:val="both"/>
        <w:textAlignment w:val="auto"/>
        <w:outlineLvl w:val="1"/>
        <w:rPr>
          <w:rFonts w:hint="eastAsia" w:ascii="微软雅黑" w:hAnsi="微软雅黑" w:eastAsia="微软雅黑" w:cs="微软雅黑"/>
          <w:b/>
          <w:sz w:val="21"/>
          <w:szCs w:val="21"/>
          <w:highlight w:val="none"/>
        </w:rPr>
      </w:pPr>
      <w:bookmarkStart w:id="139" w:name="_Toc40365300"/>
      <w:bookmarkStart w:id="140" w:name="_Toc238613293"/>
      <w:bookmarkStart w:id="141" w:name="_Toc26206"/>
      <w:bookmarkStart w:id="142" w:name="_Toc257210913"/>
      <w:bookmarkStart w:id="143" w:name="_Toc18841"/>
      <w:bookmarkStart w:id="144" w:name="_Toc402979494"/>
      <w:bookmarkStart w:id="145" w:name="_Toc239235320"/>
      <w:bookmarkStart w:id="146" w:name="_Toc12515"/>
      <w:bookmarkStart w:id="147" w:name="_Toc5438"/>
      <w:bookmarkStart w:id="148" w:name="_Toc17622"/>
      <w:r>
        <w:rPr>
          <w:rFonts w:hint="eastAsia" w:ascii="微软雅黑" w:hAnsi="微软雅黑" w:eastAsia="微软雅黑" w:cs="微软雅黑"/>
          <w:b/>
          <w:sz w:val="21"/>
          <w:szCs w:val="21"/>
          <w:highlight w:val="none"/>
        </w:rPr>
        <w:t>6  合同授予</w:t>
      </w:r>
      <w:bookmarkEnd w:id="139"/>
      <w:bookmarkEnd w:id="140"/>
      <w:bookmarkEnd w:id="141"/>
      <w:bookmarkEnd w:id="142"/>
      <w:bookmarkEnd w:id="143"/>
      <w:bookmarkEnd w:id="144"/>
      <w:bookmarkEnd w:id="145"/>
      <w:bookmarkEnd w:id="146"/>
      <w:bookmarkEnd w:id="147"/>
      <w:bookmarkEnd w:id="148"/>
    </w:p>
    <w:p w14:paraId="12A65CD8">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6.1 定标方式</w:t>
      </w:r>
    </w:p>
    <w:p w14:paraId="11F3E0F8">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6.1.1 采购人依据评标委员会推荐的中标候选人的顺序确定第1、2、3名中标候选人。</w:t>
      </w:r>
    </w:p>
    <w:p w14:paraId="1FBFA4E2">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6.2 中标通知</w:t>
      </w:r>
    </w:p>
    <w:p w14:paraId="2AEDE6E2">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在投标人须知前附表中规定的投标有效期内，采购人以书面形式向中标投标人发出中标通知书。</w:t>
      </w:r>
    </w:p>
    <w:p w14:paraId="3048FE45">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6.3 签订合同</w:t>
      </w:r>
    </w:p>
    <w:p w14:paraId="0FB0C852">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6.3.1 采购人和中标投标人应当在中标通知书指定的时间内，根据招标文件和中标投标人的投标文件订立书面合同。中标投标人无正当理由拒签合同的，采购人取消其中标资格。</w:t>
      </w:r>
    </w:p>
    <w:p w14:paraId="15A1655E">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6.3.2 发出中标通知书后，采购人无正当理由拒签合同的；给中标投标人造成损失的，还应当赔偿损失。</w:t>
      </w:r>
    </w:p>
    <w:p w14:paraId="7BEA714D">
      <w:pPr>
        <w:pStyle w:val="25"/>
        <w:keepNext w:val="0"/>
        <w:keepLines w:val="0"/>
        <w:pageBreakBefore w:val="0"/>
        <w:widowControl w:val="0"/>
        <w:kinsoku/>
        <w:wordWrap/>
        <w:overflowPunct/>
        <w:topLinePunct w:val="0"/>
        <w:bidi w:val="0"/>
        <w:snapToGrid/>
        <w:spacing w:line="380" w:lineRule="exact"/>
        <w:jc w:val="both"/>
        <w:textAlignment w:val="auto"/>
        <w:outlineLvl w:val="1"/>
        <w:rPr>
          <w:rFonts w:hint="eastAsia" w:ascii="微软雅黑" w:hAnsi="微软雅黑" w:eastAsia="微软雅黑" w:cs="微软雅黑"/>
          <w:b/>
          <w:sz w:val="21"/>
          <w:szCs w:val="21"/>
          <w:highlight w:val="none"/>
        </w:rPr>
      </w:pPr>
      <w:bookmarkStart w:id="149" w:name="_Toc238613294"/>
      <w:bookmarkStart w:id="150" w:name="_Toc40365301"/>
      <w:bookmarkStart w:id="151" w:name="_Toc18509"/>
      <w:bookmarkStart w:id="152" w:name="_Toc25876"/>
      <w:bookmarkStart w:id="153" w:name="_Toc402979495"/>
      <w:bookmarkStart w:id="154" w:name="_Toc8962"/>
      <w:bookmarkStart w:id="155" w:name="_Toc257210914"/>
      <w:bookmarkStart w:id="156" w:name="_Toc31899"/>
      <w:bookmarkStart w:id="157" w:name="_Toc6759"/>
      <w:bookmarkStart w:id="158" w:name="_Toc239235321"/>
      <w:r>
        <w:rPr>
          <w:rFonts w:hint="eastAsia" w:ascii="微软雅黑" w:hAnsi="微软雅黑" w:eastAsia="微软雅黑" w:cs="微软雅黑"/>
          <w:b/>
          <w:sz w:val="21"/>
          <w:szCs w:val="21"/>
          <w:highlight w:val="none"/>
        </w:rPr>
        <w:t>7  重新招标</w:t>
      </w:r>
      <w:bookmarkEnd w:id="149"/>
      <w:bookmarkEnd w:id="150"/>
      <w:bookmarkEnd w:id="151"/>
      <w:bookmarkEnd w:id="152"/>
      <w:bookmarkEnd w:id="153"/>
      <w:bookmarkEnd w:id="154"/>
      <w:bookmarkEnd w:id="155"/>
      <w:bookmarkEnd w:id="156"/>
      <w:bookmarkEnd w:id="157"/>
      <w:bookmarkEnd w:id="158"/>
    </w:p>
    <w:p w14:paraId="263E4BC5">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7.1 重新招标</w:t>
      </w:r>
    </w:p>
    <w:p w14:paraId="7487FF67">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有下列情形之一的，采购人将重新招标：</w:t>
      </w:r>
    </w:p>
    <w:p w14:paraId="35CD5DB6">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（1）投标截止时间止，投标人少于3家的；</w:t>
      </w:r>
    </w:p>
    <w:p w14:paraId="7621D5E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（2）经评标委员会评审后否决所有投标的。</w:t>
      </w:r>
    </w:p>
    <w:p w14:paraId="7198C88D">
      <w:pPr>
        <w:pStyle w:val="25"/>
        <w:keepNext w:val="0"/>
        <w:keepLines w:val="0"/>
        <w:pageBreakBefore w:val="0"/>
        <w:widowControl w:val="0"/>
        <w:kinsoku/>
        <w:wordWrap/>
        <w:overflowPunct/>
        <w:topLinePunct w:val="0"/>
        <w:bidi w:val="0"/>
        <w:snapToGrid/>
        <w:spacing w:line="380" w:lineRule="exact"/>
        <w:jc w:val="both"/>
        <w:textAlignment w:val="auto"/>
        <w:outlineLvl w:val="1"/>
        <w:rPr>
          <w:rFonts w:hint="eastAsia" w:ascii="微软雅黑" w:hAnsi="微软雅黑" w:eastAsia="微软雅黑" w:cs="微软雅黑"/>
          <w:b/>
          <w:sz w:val="21"/>
          <w:szCs w:val="21"/>
          <w:highlight w:val="none"/>
        </w:rPr>
      </w:pPr>
      <w:bookmarkStart w:id="159" w:name="_Toc40365302"/>
      <w:bookmarkStart w:id="160" w:name="_Toc16812"/>
      <w:bookmarkStart w:id="161" w:name="_Toc238613295"/>
      <w:bookmarkStart w:id="162" w:name="_Toc32197"/>
      <w:bookmarkStart w:id="163" w:name="_Toc5390"/>
      <w:bookmarkStart w:id="164" w:name="_Toc17410"/>
      <w:bookmarkStart w:id="165" w:name="_Toc402979496"/>
      <w:bookmarkStart w:id="166" w:name="_Toc14817"/>
      <w:bookmarkStart w:id="167" w:name="_Toc257210915"/>
      <w:bookmarkStart w:id="168" w:name="_Toc239235322"/>
      <w:r>
        <w:rPr>
          <w:rFonts w:hint="eastAsia" w:ascii="微软雅黑" w:hAnsi="微软雅黑" w:eastAsia="微软雅黑" w:cs="微软雅黑"/>
          <w:b/>
          <w:sz w:val="21"/>
          <w:szCs w:val="21"/>
          <w:highlight w:val="none"/>
        </w:rPr>
        <w:t>8  纪律和监督</w:t>
      </w:r>
      <w:bookmarkEnd w:id="159"/>
      <w:bookmarkEnd w:id="160"/>
      <w:bookmarkEnd w:id="161"/>
      <w:bookmarkEnd w:id="162"/>
      <w:bookmarkEnd w:id="163"/>
      <w:bookmarkEnd w:id="164"/>
      <w:bookmarkEnd w:id="165"/>
      <w:bookmarkEnd w:id="166"/>
      <w:bookmarkEnd w:id="167"/>
      <w:bookmarkEnd w:id="168"/>
    </w:p>
    <w:p w14:paraId="02989B70">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8.1 对采购人的纪律要求</w:t>
      </w:r>
    </w:p>
    <w:p w14:paraId="449AC207">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采购人不得泄漏招标投标活动中应当保密的情况和资料，不得与投标人串通损害国家利益、社会公共利益或者他人合法权益。</w:t>
      </w:r>
    </w:p>
    <w:p w14:paraId="27CFA15A">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8.2 对投标人的纪律要求</w:t>
      </w:r>
    </w:p>
    <w:p w14:paraId="318B28C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43646FE7">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8.3 对评标委员会成员的纪律要求</w:t>
      </w:r>
    </w:p>
    <w:p w14:paraId="7C0FBD25">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4881E29">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8.4 对与评标活动有关的工作人员的纪律要求</w:t>
      </w:r>
    </w:p>
    <w:p w14:paraId="79FC576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AB2491F">
      <w:pPr>
        <w:pStyle w:val="25"/>
        <w:keepNext w:val="0"/>
        <w:keepLines w:val="0"/>
        <w:pageBreakBefore w:val="0"/>
        <w:widowControl w:val="0"/>
        <w:kinsoku/>
        <w:wordWrap/>
        <w:overflowPunct/>
        <w:topLinePunct w:val="0"/>
        <w:bidi w:val="0"/>
        <w:snapToGrid/>
        <w:spacing w:line="380" w:lineRule="exact"/>
        <w:jc w:val="both"/>
        <w:textAlignment w:val="auto"/>
        <w:outlineLvl w:val="1"/>
        <w:rPr>
          <w:rFonts w:hint="eastAsia" w:ascii="微软雅黑" w:hAnsi="微软雅黑" w:eastAsia="微软雅黑" w:cs="微软雅黑"/>
          <w:b/>
          <w:sz w:val="21"/>
          <w:szCs w:val="21"/>
          <w:highlight w:val="none"/>
        </w:rPr>
      </w:pPr>
      <w:bookmarkStart w:id="169" w:name="_Toc239235323"/>
      <w:bookmarkStart w:id="170" w:name="_Toc238613296"/>
      <w:bookmarkStart w:id="171" w:name="_Toc25323"/>
      <w:bookmarkStart w:id="172" w:name="_Toc257210916"/>
      <w:bookmarkStart w:id="173" w:name="_Toc402979497"/>
      <w:bookmarkStart w:id="174" w:name="_Toc12656"/>
      <w:bookmarkStart w:id="175" w:name="_Toc15665"/>
      <w:bookmarkStart w:id="176" w:name="_Toc2461"/>
      <w:bookmarkStart w:id="177" w:name="_Toc24643"/>
      <w:bookmarkStart w:id="178" w:name="_Toc40365303"/>
      <w:r>
        <w:rPr>
          <w:rFonts w:hint="eastAsia" w:ascii="微软雅黑" w:hAnsi="微软雅黑" w:eastAsia="微软雅黑" w:cs="微软雅黑"/>
          <w:b/>
          <w:sz w:val="21"/>
          <w:szCs w:val="21"/>
          <w:highlight w:val="none"/>
        </w:rPr>
        <w:t>9  服务及货款的支付</w:t>
      </w:r>
      <w:bookmarkEnd w:id="169"/>
      <w:bookmarkEnd w:id="170"/>
      <w:bookmarkEnd w:id="171"/>
      <w:bookmarkEnd w:id="172"/>
      <w:bookmarkEnd w:id="173"/>
      <w:bookmarkEnd w:id="174"/>
      <w:bookmarkEnd w:id="175"/>
      <w:bookmarkEnd w:id="176"/>
      <w:bookmarkEnd w:id="177"/>
      <w:bookmarkEnd w:id="178"/>
      <w:bookmarkStart w:id="179" w:name="_Toc238613297"/>
      <w:bookmarkEnd w:id="179"/>
    </w:p>
    <w:p w14:paraId="2661CF71">
      <w:pPr>
        <w:pStyle w:val="25"/>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微软雅黑" w:hAnsi="微软雅黑" w:eastAsia="微软雅黑" w:cs="微软雅黑"/>
          <w:sz w:val="21"/>
          <w:szCs w:val="21"/>
          <w:highlight w:val="none"/>
        </w:rPr>
      </w:pPr>
      <w:bookmarkStart w:id="180" w:name="_Toc13135"/>
      <w:bookmarkStart w:id="181" w:name="_Toc7683"/>
      <w:bookmarkStart w:id="182" w:name="_Toc257210918"/>
      <w:bookmarkStart w:id="183" w:name="_Toc17197"/>
      <w:bookmarkStart w:id="184" w:name="_Toc28308"/>
      <w:bookmarkStart w:id="185" w:name="_Toc402979498"/>
      <w:r>
        <w:rPr>
          <w:rFonts w:hint="eastAsia" w:ascii="微软雅黑" w:hAnsi="微软雅黑" w:eastAsia="微软雅黑" w:cs="微软雅黑"/>
          <w:sz w:val="21"/>
          <w:szCs w:val="21"/>
          <w:highlight w:val="none"/>
        </w:rPr>
        <w:t>详见投标人须知前附表。</w:t>
      </w:r>
    </w:p>
    <w:p w14:paraId="4EC3E551">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outlineLvl w:val="1"/>
        <w:rPr>
          <w:rFonts w:hint="eastAsia" w:ascii="微软雅黑" w:hAnsi="微软雅黑" w:eastAsia="微软雅黑" w:cs="微软雅黑"/>
          <w:b/>
          <w:color w:val="000000"/>
          <w:kern w:val="0"/>
          <w:szCs w:val="21"/>
          <w:highlight w:val="none"/>
        </w:rPr>
      </w:pPr>
      <w:bookmarkStart w:id="186" w:name="_Toc40365304"/>
      <w:bookmarkStart w:id="187" w:name="_Toc19883"/>
      <w:r>
        <w:rPr>
          <w:rFonts w:hint="eastAsia" w:ascii="微软雅黑" w:hAnsi="微软雅黑" w:eastAsia="微软雅黑" w:cs="微软雅黑"/>
          <w:b/>
          <w:color w:val="000000"/>
          <w:kern w:val="0"/>
          <w:szCs w:val="21"/>
          <w:highlight w:val="none"/>
        </w:rPr>
        <w:t>10  需要补充的其他内容：</w:t>
      </w:r>
      <w:bookmarkEnd w:id="180"/>
      <w:bookmarkEnd w:id="181"/>
      <w:bookmarkEnd w:id="182"/>
      <w:bookmarkEnd w:id="183"/>
      <w:bookmarkEnd w:id="184"/>
      <w:bookmarkEnd w:id="185"/>
      <w:bookmarkEnd w:id="186"/>
      <w:bookmarkEnd w:id="187"/>
    </w:p>
    <w:p w14:paraId="085F7AAC">
      <w:pPr>
        <w:pStyle w:val="25"/>
        <w:keepNext w:val="0"/>
        <w:keepLines w:val="0"/>
        <w:pageBreakBefore w:val="0"/>
        <w:widowControl w:val="0"/>
        <w:tabs>
          <w:tab w:val="center" w:pos="4819"/>
        </w:tabs>
        <w:kinsoku/>
        <w:wordWrap/>
        <w:overflowPunct/>
        <w:topLinePunct w:val="0"/>
        <w:bidi w:val="0"/>
        <w:snapToGrid/>
        <w:spacing w:line="3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10.1 未尽事宜，按国家有关规定执行</w:t>
      </w:r>
      <w:bookmarkEnd w:id="7"/>
      <w:bookmarkStart w:id="188" w:name="_Toc528119499"/>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rPr>
        <w:tab/>
      </w:r>
    </w:p>
    <w:p w14:paraId="2F364F2C">
      <w:pPr>
        <w:pStyle w:val="25"/>
        <w:keepNext w:val="0"/>
        <w:keepLines w:val="0"/>
        <w:pageBreakBefore w:val="0"/>
        <w:widowControl w:val="0"/>
        <w:tabs>
          <w:tab w:val="center" w:pos="4819"/>
        </w:tabs>
        <w:kinsoku/>
        <w:wordWrap/>
        <w:overflowPunct/>
        <w:topLinePunct w:val="0"/>
        <w:bidi w:val="0"/>
        <w:snapToGrid/>
        <w:spacing w:line="3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10.2 投标文件提供内容均真实有效。</w:t>
      </w:r>
    </w:p>
    <w:p w14:paraId="25490F34">
      <w:pPr>
        <w:pStyle w:val="25"/>
        <w:tabs>
          <w:tab w:val="center" w:pos="4819"/>
        </w:tabs>
        <w:spacing w:line="360" w:lineRule="auto"/>
        <w:rPr>
          <w:rFonts w:hint="eastAsia" w:ascii="微软雅黑" w:hAnsi="微软雅黑" w:eastAsia="微软雅黑" w:cs="微软雅黑"/>
          <w:sz w:val="21"/>
          <w:szCs w:val="21"/>
          <w:highlight w:val="none"/>
        </w:rPr>
      </w:pPr>
    </w:p>
    <w:p w14:paraId="1E36E8D7">
      <w:pPr>
        <w:pStyle w:val="25"/>
        <w:tabs>
          <w:tab w:val="center" w:pos="4819"/>
        </w:tabs>
        <w:spacing w:line="360" w:lineRule="auto"/>
        <w:ind w:left="479" w:leftChars="228"/>
        <w:rPr>
          <w:rFonts w:hint="eastAsia" w:ascii="微软雅黑" w:hAnsi="微软雅黑" w:eastAsia="微软雅黑" w:cs="微软雅黑"/>
          <w:sz w:val="21"/>
          <w:szCs w:val="21"/>
          <w:highlight w:val="none"/>
        </w:rPr>
      </w:pPr>
    </w:p>
    <w:p w14:paraId="0131C1F4">
      <w:pPr>
        <w:pStyle w:val="25"/>
        <w:tabs>
          <w:tab w:val="center" w:pos="4819"/>
        </w:tabs>
        <w:spacing w:line="360" w:lineRule="auto"/>
        <w:ind w:left="479" w:leftChars="228"/>
        <w:rPr>
          <w:rFonts w:hint="eastAsia" w:ascii="微软雅黑" w:hAnsi="微软雅黑" w:eastAsia="微软雅黑" w:cs="微软雅黑"/>
          <w:sz w:val="21"/>
          <w:szCs w:val="21"/>
          <w:highlight w:val="none"/>
        </w:rPr>
      </w:pPr>
    </w:p>
    <w:p w14:paraId="5027EC6D">
      <w:pPr>
        <w:pStyle w:val="25"/>
        <w:tabs>
          <w:tab w:val="center" w:pos="4819"/>
        </w:tabs>
        <w:spacing w:line="360" w:lineRule="auto"/>
        <w:rPr>
          <w:rFonts w:hint="eastAsia" w:ascii="微软雅黑" w:hAnsi="微软雅黑" w:eastAsia="微软雅黑" w:cs="微软雅黑"/>
          <w:sz w:val="21"/>
          <w:szCs w:val="21"/>
          <w:highlight w:val="none"/>
        </w:rPr>
      </w:pPr>
    </w:p>
    <w:p w14:paraId="3BA09368">
      <w:pPr>
        <w:pStyle w:val="2"/>
        <w:ind w:firstLine="3122" w:firstLineChars="1300"/>
        <w:jc w:val="both"/>
        <w:rPr>
          <w:rFonts w:hint="eastAsia" w:ascii="微软雅黑" w:hAnsi="微软雅黑" w:eastAsia="微软雅黑" w:cs="微软雅黑"/>
          <w:color w:val="000000"/>
          <w:sz w:val="24"/>
          <w:szCs w:val="24"/>
          <w:highlight w:val="none"/>
        </w:rPr>
        <w:sectPr>
          <w:pgSz w:w="11900" w:h="16821"/>
          <w:pgMar w:top="1417" w:right="1134" w:bottom="1417" w:left="1134" w:header="720" w:footer="720" w:gutter="0"/>
          <w:cols w:space="720" w:num="1"/>
          <w:rtlGutter w:val="0"/>
          <w:docGrid w:linePitch="286" w:charSpace="0"/>
        </w:sectPr>
      </w:pPr>
      <w:bookmarkStart w:id="189" w:name="_Toc1329"/>
    </w:p>
    <w:p w14:paraId="39542D0E">
      <w:pPr>
        <w:pStyle w:val="4"/>
        <w:jc w:val="center"/>
        <w:rPr>
          <w:rFonts w:hint="eastAsia" w:ascii="微软雅黑" w:hAnsi="微软雅黑" w:eastAsia="微软雅黑" w:cs="微软雅黑"/>
          <w:highlight w:val="none"/>
        </w:rPr>
      </w:pPr>
      <w:bookmarkStart w:id="190" w:name="_Toc3941"/>
      <w:r>
        <w:rPr>
          <w:rFonts w:hint="eastAsia" w:ascii="微软雅黑" w:hAnsi="微软雅黑" w:eastAsia="微软雅黑" w:cs="微软雅黑"/>
          <w:highlight w:val="none"/>
        </w:rPr>
        <w:t>第三章 评标办法</w:t>
      </w:r>
      <w:bookmarkEnd w:id="189"/>
      <w:bookmarkEnd w:id="190"/>
    </w:p>
    <w:p w14:paraId="0DF3E16C">
      <w:pPr>
        <w:jc w:val="center"/>
        <w:rPr>
          <w:rFonts w:hint="eastAsia" w:ascii="微软雅黑" w:hAnsi="微软雅黑" w:eastAsia="微软雅黑" w:cs="微软雅黑"/>
          <w:b/>
          <w:color w:val="000000"/>
          <w:sz w:val="28"/>
          <w:highlight w:val="none"/>
          <w:lang w:eastAsia="zh-CN"/>
        </w:rPr>
      </w:pPr>
      <w:r>
        <w:rPr>
          <w:rFonts w:hint="eastAsia" w:ascii="微软雅黑" w:hAnsi="微软雅黑" w:eastAsia="微软雅黑" w:cs="微软雅黑"/>
          <w:b/>
          <w:color w:val="000000"/>
          <w:sz w:val="28"/>
          <w:highlight w:val="none"/>
          <w:lang w:eastAsia="zh-CN"/>
        </w:rPr>
        <w:t>评标办法前附表（本项目采用综合评分法）</w:t>
      </w:r>
    </w:p>
    <w:p w14:paraId="43ABDEEC">
      <w:pPr>
        <w:pStyle w:val="6"/>
        <w:jc w:val="both"/>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eastAsia="zh-CN"/>
        </w:rPr>
        <w:t>一、初步评审</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031"/>
        <w:gridCol w:w="3622"/>
        <w:gridCol w:w="4504"/>
      </w:tblGrid>
      <w:tr w14:paraId="490A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1" w:type="pct"/>
            <w:vMerge w:val="restart"/>
            <w:noWrap w:val="0"/>
            <w:vAlign w:val="center"/>
          </w:tcPr>
          <w:p w14:paraId="47B5AEF1">
            <w:pPr>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初步</w:t>
            </w:r>
          </w:p>
          <w:p w14:paraId="57A8A014">
            <w:pPr>
              <w:jc w:val="cente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评审</w:t>
            </w:r>
          </w:p>
        </w:tc>
        <w:tc>
          <w:tcPr>
            <w:tcW w:w="2361" w:type="pct"/>
            <w:gridSpan w:val="2"/>
            <w:noWrap w:val="0"/>
            <w:vAlign w:val="top"/>
          </w:tcPr>
          <w:p w14:paraId="26C5D7FB">
            <w:pPr>
              <w:jc w:val="center"/>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rPr>
              <w:t>评审因素</w:t>
            </w:r>
          </w:p>
        </w:tc>
        <w:tc>
          <w:tcPr>
            <w:tcW w:w="2286" w:type="pct"/>
            <w:noWrap w:val="0"/>
            <w:vAlign w:val="center"/>
          </w:tcPr>
          <w:p w14:paraId="3091108B">
            <w:pPr>
              <w:jc w:val="center"/>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rPr>
              <w:t>评审标准</w:t>
            </w:r>
          </w:p>
        </w:tc>
      </w:tr>
      <w:tr w14:paraId="7F67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51" w:type="pct"/>
            <w:vMerge w:val="continue"/>
            <w:noWrap w:val="0"/>
            <w:vAlign w:val="center"/>
          </w:tcPr>
          <w:p w14:paraId="4D879712">
            <w:pPr>
              <w:jc w:val="center"/>
              <w:rPr>
                <w:rFonts w:hint="eastAsia" w:ascii="微软雅黑" w:hAnsi="微软雅黑" w:eastAsia="微软雅黑" w:cs="微软雅黑"/>
                <w:color w:val="000000"/>
                <w:sz w:val="21"/>
                <w:szCs w:val="21"/>
                <w:highlight w:val="none"/>
              </w:rPr>
            </w:pPr>
          </w:p>
        </w:tc>
        <w:tc>
          <w:tcPr>
            <w:tcW w:w="523" w:type="pct"/>
            <w:vMerge w:val="restart"/>
            <w:noWrap w:val="0"/>
            <w:vAlign w:val="top"/>
          </w:tcPr>
          <w:p w14:paraId="4231515B">
            <w:pPr>
              <w:pStyle w:val="16"/>
              <w:ind w:firstLine="0" w:firstLineChars="0"/>
              <w:jc w:val="center"/>
              <w:rPr>
                <w:rFonts w:hint="eastAsia" w:ascii="微软雅黑" w:hAnsi="微软雅黑" w:eastAsia="微软雅黑" w:cs="微软雅黑"/>
                <w:sz w:val="21"/>
                <w:szCs w:val="21"/>
                <w:highlight w:val="none"/>
                <w:lang w:eastAsia="zh-CN"/>
              </w:rPr>
            </w:pPr>
          </w:p>
          <w:p w14:paraId="4005EC76">
            <w:pPr>
              <w:pStyle w:val="16"/>
              <w:ind w:firstLine="0" w:firstLineChars="0"/>
              <w:jc w:val="center"/>
              <w:rPr>
                <w:rFonts w:hint="eastAsia" w:ascii="微软雅黑" w:hAnsi="微软雅黑" w:eastAsia="微软雅黑" w:cs="微软雅黑"/>
                <w:sz w:val="21"/>
                <w:szCs w:val="21"/>
                <w:highlight w:val="none"/>
                <w:lang w:eastAsia="zh-CN"/>
              </w:rPr>
            </w:pPr>
          </w:p>
          <w:p w14:paraId="03E4403D">
            <w:pPr>
              <w:pStyle w:val="16"/>
              <w:ind w:firstLine="0" w:firstLineChars="0"/>
              <w:jc w:val="center"/>
              <w:rPr>
                <w:rFonts w:hint="eastAsia" w:ascii="微软雅黑" w:hAnsi="微软雅黑" w:eastAsia="微软雅黑" w:cs="微软雅黑"/>
                <w:sz w:val="21"/>
                <w:szCs w:val="21"/>
                <w:highlight w:val="none"/>
                <w:lang w:eastAsia="zh-CN"/>
              </w:rPr>
            </w:pPr>
          </w:p>
          <w:p w14:paraId="3B8D095C">
            <w:pPr>
              <w:pStyle w:val="16"/>
              <w:ind w:firstLine="0" w:firstLineChars="0"/>
              <w:jc w:val="center"/>
              <w:rPr>
                <w:rFonts w:hint="eastAsia" w:ascii="微软雅黑" w:hAnsi="微软雅黑" w:eastAsia="微软雅黑" w:cs="微软雅黑"/>
                <w:sz w:val="21"/>
                <w:szCs w:val="21"/>
                <w:highlight w:val="none"/>
                <w:lang w:eastAsia="zh-CN"/>
              </w:rPr>
            </w:pPr>
          </w:p>
          <w:p w14:paraId="75397FAF">
            <w:pPr>
              <w:pStyle w:val="16"/>
              <w:ind w:firstLine="0" w:firstLineChars="0"/>
              <w:jc w:val="center"/>
              <w:rPr>
                <w:rFonts w:hint="eastAsia" w:ascii="微软雅黑" w:hAnsi="微软雅黑" w:eastAsia="微软雅黑" w:cs="微软雅黑"/>
                <w:sz w:val="21"/>
                <w:szCs w:val="21"/>
                <w:highlight w:val="none"/>
                <w:lang w:eastAsia="zh-CN"/>
              </w:rPr>
            </w:pPr>
          </w:p>
          <w:p w14:paraId="0D5074BD">
            <w:pPr>
              <w:pStyle w:val="16"/>
              <w:ind w:firstLine="0" w:firstLineChars="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000000"/>
                <w:sz w:val="21"/>
                <w:szCs w:val="21"/>
                <w:highlight w:val="none"/>
              </w:rPr>
              <w:t>资格</w:t>
            </w:r>
            <w:r>
              <w:rPr>
                <w:rFonts w:hint="eastAsia" w:ascii="微软雅黑" w:hAnsi="微软雅黑" w:eastAsia="微软雅黑" w:cs="微软雅黑"/>
                <w:color w:val="000000"/>
                <w:sz w:val="21"/>
                <w:szCs w:val="21"/>
                <w:highlight w:val="none"/>
                <w:lang w:eastAsia="zh-CN"/>
              </w:rPr>
              <w:t>性</w:t>
            </w:r>
            <w:r>
              <w:rPr>
                <w:rFonts w:hint="eastAsia" w:ascii="微软雅黑" w:hAnsi="微软雅黑" w:eastAsia="微软雅黑" w:cs="微软雅黑"/>
                <w:color w:val="000000"/>
                <w:sz w:val="21"/>
                <w:szCs w:val="21"/>
                <w:highlight w:val="none"/>
              </w:rPr>
              <w:t>审查</w:t>
            </w:r>
            <w:r>
              <w:rPr>
                <w:rFonts w:hint="eastAsia" w:ascii="微软雅黑" w:hAnsi="微软雅黑" w:eastAsia="微软雅黑" w:cs="微软雅黑"/>
                <w:color w:val="000000"/>
                <w:sz w:val="21"/>
                <w:szCs w:val="21"/>
                <w:highlight w:val="none"/>
                <w:lang w:eastAsia="zh-CN"/>
              </w:rPr>
              <w:t>（</w:t>
            </w:r>
            <w:r>
              <w:rPr>
                <w:rFonts w:hint="eastAsia" w:ascii="微软雅黑" w:hAnsi="微软雅黑" w:eastAsia="微软雅黑" w:cs="微软雅黑"/>
                <w:color w:val="000000"/>
                <w:sz w:val="21"/>
                <w:szCs w:val="21"/>
                <w:highlight w:val="none"/>
                <w:lang w:val="en-US" w:eastAsia="zh-CN"/>
              </w:rPr>
              <w:t>开标后由业主或代理机构审查</w:t>
            </w:r>
            <w:r>
              <w:rPr>
                <w:rFonts w:hint="eastAsia" w:ascii="微软雅黑" w:hAnsi="微软雅黑" w:eastAsia="微软雅黑" w:cs="微软雅黑"/>
                <w:color w:val="000000"/>
                <w:sz w:val="21"/>
                <w:szCs w:val="21"/>
                <w:highlight w:val="none"/>
                <w:lang w:eastAsia="zh-CN"/>
              </w:rPr>
              <w:t>）</w:t>
            </w:r>
          </w:p>
        </w:tc>
        <w:tc>
          <w:tcPr>
            <w:tcW w:w="1837" w:type="pct"/>
            <w:noWrap w:val="0"/>
            <w:vAlign w:val="center"/>
          </w:tcPr>
          <w:p w14:paraId="54F3FF72">
            <w:pPr>
              <w:spacing w:line="420" w:lineRule="exact"/>
              <w:ind w:left="0" w:leftChars="-51" w:hanging="107" w:hangingChars="51"/>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 xml:space="preserve">营业执照 </w:t>
            </w:r>
          </w:p>
        </w:tc>
        <w:tc>
          <w:tcPr>
            <w:tcW w:w="2286" w:type="pct"/>
            <w:noWrap w:val="0"/>
            <w:vAlign w:val="center"/>
          </w:tcPr>
          <w:p w14:paraId="13E4369B">
            <w:pPr>
              <w:spacing w:line="420" w:lineRule="exact"/>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符合第二章“投标人须知”规定</w:t>
            </w:r>
          </w:p>
        </w:tc>
      </w:tr>
      <w:tr w14:paraId="5B2F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1" w:type="pct"/>
            <w:vMerge w:val="continue"/>
            <w:noWrap w:val="0"/>
            <w:vAlign w:val="center"/>
          </w:tcPr>
          <w:p w14:paraId="13AD04DE">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3E544889">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2707FD7A">
            <w:pPr>
              <w:keepNext/>
              <w:keepLines/>
              <w:widowControl/>
              <w:adjustRightInd w:val="0"/>
              <w:spacing w:before="160" w:after="160" w:line="240" w:lineRule="atLeast"/>
              <w:ind w:left="425" w:leftChars="0" w:hanging="425" w:firstLineChars="0"/>
              <w:jc w:val="center"/>
              <w:outlineLvl w:val="0"/>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财务状况</w:t>
            </w:r>
          </w:p>
        </w:tc>
        <w:tc>
          <w:tcPr>
            <w:tcW w:w="2286" w:type="pct"/>
            <w:noWrap w:val="0"/>
            <w:vAlign w:val="center"/>
          </w:tcPr>
          <w:p w14:paraId="4217A4B0">
            <w:pPr>
              <w:spacing w:line="360" w:lineRule="auto"/>
              <w:jc w:val="left"/>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符合第二章“投标人须知”规定</w:t>
            </w:r>
          </w:p>
        </w:tc>
      </w:tr>
      <w:tr w14:paraId="1A50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351" w:type="pct"/>
            <w:vMerge w:val="continue"/>
            <w:noWrap w:val="0"/>
            <w:vAlign w:val="center"/>
          </w:tcPr>
          <w:p w14:paraId="45D430D1">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2BBFD3AE">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4F16DBC3">
            <w:pPr>
              <w:keepNext/>
              <w:keepLines/>
              <w:widowControl/>
              <w:adjustRightInd w:val="0"/>
              <w:spacing w:before="160" w:after="160" w:line="240" w:lineRule="atLeast"/>
              <w:ind w:left="425" w:leftChars="0" w:hanging="425" w:firstLineChars="0"/>
              <w:jc w:val="center"/>
              <w:outlineLvl w:val="0"/>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bCs/>
                <w:color w:val="000000"/>
                <w:sz w:val="21"/>
                <w:szCs w:val="21"/>
                <w:highlight w:val="none"/>
                <w:lang w:eastAsia="zh-CN"/>
              </w:rPr>
              <w:t>履行合同所必需的设备和专业技术能力证明</w:t>
            </w:r>
          </w:p>
        </w:tc>
        <w:tc>
          <w:tcPr>
            <w:tcW w:w="2286" w:type="pct"/>
            <w:noWrap w:val="0"/>
            <w:vAlign w:val="center"/>
          </w:tcPr>
          <w:p w14:paraId="328DE50C">
            <w:pPr>
              <w:spacing w:line="360" w:lineRule="auto"/>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符合第二章“投标人须知”规定</w:t>
            </w:r>
          </w:p>
        </w:tc>
      </w:tr>
      <w:tr w14:paraId="1D31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351" w:type="pct"/>
            <w:vMerge w:val="continue"/>
            <w:noWrap w:val="0"/>
            <w:vAlign w:val="center"/>
          </w:tcPr>
          <w:p w14:paraId="2984161C">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41D48BFD">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3529675E">
            <w:pPr>
              <w:keepNext/>
              <w:keepLines/>
              <w:widowControl/>
              <w:adjustRightInd w:val="0"/>
              <w:spacing w:before="160" w:after="160" w:line="240" w:lineRule="atLeast"/>
              <w:jc w:val="center"/>
              <w:outlineLvl w:val="0"/>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bCs/>
                <w:color w:val="000000"/>
                <w:sz w:val="21"/>
                <w:szCs w:val="21"/>
                <w:highlight w:val="none"/>
              </w:rPr>
              <w:t>有依法缴纳税收和社会保障资金的良好记录</w:t>
            </w:r>
          </w:p>
        </w:tc>
        <w:tc>
          <w:tcPr>
            <w:tcW w:w="2286" w:type="pct"/>
            <w:noWrap w:val="0"/>
            <w:vAlign w:val="center"/>
          </w:tcPr>
          <w:p w14:paraId="5A95C9FE">
            <w:pPr>
              <w:spacing w:line="360" w:lineRule="auto"/>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符合第二章“投标人须知”规定</w:t>
            </w:r>
          </w:p>
        </w:tc>
      </w:tr>
      <w:tr w14:paraId="67B2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351" w:type="pct"/>
            <w:vMerge w:val="continue"/>
            <w:noWrap w:val="0"/>
            <w:vAlign w:val="center"/>
          </w:tcPr>
          <w:p w14:paraId="52F4F44E">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7B64FF4C">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2C30D3B2">
            <w:pPr>
              <w:keepNext/>
              <w:keepLines/>
              <w:widowControl/>
              <w:adjustRightInd w:val="0"/>
              <w:spacing w:before="160" w:after="160" w:line="240" w:lineRule="atLeast"/>
              <w:jc w:val="center"/>
              <w:outlineLvl w:val="0"/>
              <w:rPr>
                <w:rFonts w:hint="eastAsia" w:ascii="微软雅黑" w:hAnsi="微软雅黑" w:eastAsia="微软雅黑" w:cs="微软雅黑"/>
                <w:bCs/>
                <w:color w:val="000000"/>
                <w:sz w:val="21"/>
                <w:szCs w:val="21"/>
                <w:highlight w:val="none"/>
              </w:rPr>
            </w:pPr>
            <w:r>
              <w:rPr>
                <w:rFonts w:hint="eastAsia" w:ascii="微软雅黑" w:hAnsi="微软雅黑" w:eastAsia="微软雅黑" w:cs="微软雅黑"/>
                <w:szCs w:val="21"/>
                <w:highlight w:val="none"/>
              </w:rPr>
              <w:t>法律、行政法规规定的其他条件</w:t>
            </w:r>
          </w:p>
        </w:tc>
        <w:tc>
          <w:tcPr>
            <w:tcW w:w="2286" w:type="pct"/>
            <w:noWrap w:val="0"/>
            <w:vAlign w:val="center"/>
          </w:tcPr>
          <w:p w14:paraId="745CA851">
            <w:p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符合第二章“投标人须知”规定</w:t>
            </w:r>
          </w:p>
        </w:tc>
      </w:tr>
      <w:tr w14:paraId="0342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26690461">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09D34C9A">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437F06C7">
            <w:pPr>
              <w:keepNext/>
              <w:keepLines/>
              <w:widowControl/>
              <w:adjustRightInd w:val="0"/>
              <w:spacing w:before="160" w:after="160" w:line="240" w:lineRule="atLeast"/>
              <w:jc w:val="center"/>
              <w:outlineLvl w:val="0"/>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重大违法记录</w:t>
            </w:r>
          </w:p>
        </w:tc>
        <w:tc>
          <w:tcPr>
            <w:tcW w:w="2286" w:type="pct"/>
            <w:noWrap w:val="0"/>
            <w:vAlign w:val="center"/>
          </w:tcPr>
          <w:p w14:paraId="498B81E9">
            <w:pPr>
              <w:spacing w:line="360" w:lineRule="auto"/>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sz w:val="21"/>
                <w:szCs w:val="21"/>
                <w:highlight w:val="none"/>
              </w:rPr>
              <w:t>符合第二章“投标人须知”规定</w:t>
            </w:r>
          </w:p>
        </w:tc>
      </w:tr>
      <w:tr w14:paraId="5277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25A9DA75">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330B3C2F">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71E3DAD9">
            <w:pPr>
              <w:keepNext/>
              <w:keepLines/>
              <w:widowControl/>
              <w:adjustRightInd w:val="0"/>
              <w:spacing w:before="160" w:after="160" w:line="240" w:lineRule="atLeast"/>
              <w:jc w:val="center"/>
              <w:outlineLvl w:val="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信用查询</w:t>
            </w:r>
          </w:p>
        </w:tc>
        <w:tc>
          <w:tcPr>
            <w:tcW w:w="2286" w:type="pct"/>
            <w:noWrap w:val="0"/>
            <w:vAlign w:val="center"/>
          </w:tcPr>
          <w:p w14:paraId="1E1C0C99">
            <w:pP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符合第二章“投标人须知”规定</w:t>
            </w:r>
          </w:p>
        </w:tc>
      </w:tr>
      <w:tr w14:paraId="6C6E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1B2D93FF">
            <w:pPr>
              <w:jc w:val="center"/>
              <w:rPr>
                <w:rFonts w:hint="eastAsia" w:ascii="微软雅黑" w:hAnsi="微软雅黑" w:eastAsia="微软雅黑" w:cs="微软雅黑"/>
                <w:color w:val="000000"/>
                <w:sz w:val="21"/>
                <w:szCs w:val="21"/>
                <w:highlight w:val="none"/>
                <w:lang w:eastAsia="zh-CN"/>
              </w:rPr>
            </w:pPr>
          </w:p>
        </w:tc>
        <w:tc>
          <w:tcPr>
            <w:tcW w:w="523" w:type="pct"/>
            <w:vMerge w:val="restart"/>
            <w:noWrap w:val="0"/>
            <w:vAlign w:val="center"/>
          </w:tcPr>
          <w:p w14:paraId="3FB0FBAD">
            <w:pPr>
              <w:pStyle w:val="16"/>
              <w:ind w:firstLine="0" w:firstLineChars="0"/>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符合</w:t>
            </w:r>
          </w:p>
          <w:p w14:paraId="2EBE43EE">
            <w:pPr>
              <w:jc w:val="cente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eastAsia="zh-CN"/>
              </w:rPr>
              <w:t>性</w:t>
            </w:r>
            <w:r>
              <w:rPr>
                <w:rFonts w:hint="eastAsia" w:ascii="微软雅黑" w:hAnsi="微软雅黑" w:eastAsia="微软雅黑" w:cs="微软雅黑"/>
                <w:color w:val="000000"/>
                <w:sz w:val="21"/>
                <w:szCs w:val="21"/>
                <w:highlight w:val="none"/>
              </w:rPr>
              <w:t>审查</w:t>
            </w:r>
          </w:p>
        </w:tc>
        <w:tc>
          <w:tcPr>
            <w:tcW w:w="1837" w:type="pct"/>
            <w:noWrap w:val="0"/>
            <w:vAlign w:val="center"/>
          </w:tcPr>
          <w:p w14:paraId="2D7486CA">
            <w:pPr>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投标人名称</w:t>
            </w:r>
          </w:p>
        </w:tc>
        <w:tc>
          <w:tcPr>
            <w:tcW w:w="2286" w:type="pct"/>
            <w:noWrap w:val="0"/>
            <w:vAlign w:val="center"/>
          </w:tcPr>
          <w:p w14:paraId="61D9F18E">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与营业执照一致</w:t>
            </w:r>
          </w:p>
        </w:tc>
      </w:tr>
      <w:tr w14:paraId="61D0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07FD739B">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41979C41">
            <w:pPr>
              <w:pStyle w:val="16"/>
              <w:ind w:firstLine="0" w:firstLineChars="0"/>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50D813FA">
            <w:pPr>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投标函及投标函附录</w:t>
            </w:r>
          </w:p>
        </w:tc>
        <w:tc>
          <w:tcPr>
            <w:tcW w:w="2286" w:type="pct"/>
            <w:noWrap w:val="0"/>
            <w:vAlign w:val="center"/>
          </w:tcPr>
          <w:p w14:paraId="47F83C1D">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符合投标文件格式签字盖章要求</w:t>
            </w:r>
          </w:p>
        </w:tc>
      </w:tr>
      <w:tr w14:paraId="279A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4C98334C">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59039C68">
            <w:pPr>
              <w:pStyle w:val="16"/>
              <w:ind w:firstLine="0" w:firstLineChars="0"/>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71B7BC27">
            <w:pPr>
              <w:jc w:val="cente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投标文件格式</w:t>
            </w:r>
          </w:p>
        </w:tc>
        <w:tc>
          <w:tcPr>
            <w:tcW w:w="2286" w:type="pct"/>
            <w:noWrap w:val="0"/>
            <w:vAlign w:val="center"/>
          </w:tcPr>
          <w:p w14:paraId="3137728B">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符合第六章“投标文件格式”的要求</w:t>
            </w:r>
          </w:p>
        </w:tc>
      </w:tr>
      <w:tr w14:paraId="0B0F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351" w:type="pct"/>
            <w:vMerge w:val="continue"/>
            <w:noWrap w:val="0"/>
            <w:vAlign w:val="center"/>
          </w:tcPr>
          <w:p w14:paraId="23E2DB2F">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4FD24C5E">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285B76E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报价唯一</w:t>
            </w:r>
          </w:p>
        </w:tc>
        <w:tc>
          <w:tcPr>
            <w:tcW w:w="2286" w:type="pct"/>
            <w:noWrap w:val="0"/>
            <w:vAlign w:val="center"/>
          </w:tcPr>
          <w:p w14:paraId="297768D2">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只能有一个有效报价，且不得超出控制价</w:t>
            </w:r>
          </w:p>
        </w:tc>
      </w:tr>
      <w:tr w14:paraId="540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351" w:type="pct"/>
            <w:vMerge w:val="continue"/>
            <w:noWrap w:val="0"/>
            <w:vAlign w:val="center"/>
          </w:tcPr>
          <w:p w14:paraId="0F0240E5">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7C839F3E">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54787803">
            <w:pPr>
              <w:spacing w:line="40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采购内容</w:t>
            </w:r>
          </w:p>
        </w:tc>
        <w:tc>
          <w:tcPr>
            <w:tcW w:w="2286" w:type="pct"/>
            <w:noWrap w:val="0"/>
            <w:vAlign w:val="center"/>
          </w:tcPr>
          <w:p w14:paraId="0198DDED">
            <w:pP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000000"/>
                <w:sz w:val="21"/>
                <w:szCs w:val="21"/>
                <w:highlight w:val="none"/>
              </w:rPr>
              <w:t>符合招标文件要求</w:t>
            </w:r>
          </w:p>
        </w:tc>
      </w:tr>
      <w:tr w14:paraId="3669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006B9B85">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36A3A509">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45C3653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质量要求</w:t>
            </w:r>
          </w:p>
        </w:tc>
        <w:tc>
          <w:tcPr>
            <w:tcW w:w="2286" w:type="pct"/>
            <w:noWrap w:val="0"/>
            <w:vAlign w:val="center"/>
          </w:tcPr>
          <w:p w14:paraId="677899A8">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符合招标文件要求</w:t>
            </w:r>
          </w:p>
        </w:tc>
      </w:tr>
      <w:tr w14:paraId="60BA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3F4DD5FB">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3F5F2149">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4A9FABCD">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供货及安装期限</w:t>
            </w:r>
          </w:p>
        </w:tc>
        <w:tc>
          <w:tcPr>
            <w:tcW w:w="2286" w:type="pct"/>
            <w:noWrap w:val="0"/>
            <w:vAlign w:val="center"/>
          </w:tcPr>
          <w:p w14:paraId="39482427">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符合招标文件要求</w:t>
            </w:r>
          </w:p>
        </w:tc>
      </w:tr>
      <w:tr w14:paraId="5EC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1F549CB5">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46DA4F56">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688F1C97">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质保期</w:t>
            </w:r>
          </w:p>
        </w:tc>
        <w:tc>
          <w:tcPr>
            <w:tcW w:w="2286" w:type="pct"/>
            <w:noWrap w:val="0"/>
            <w:vAlign w:val="center"/>
          </w:tcPr>
          <w:p w14:paraId="19C1968C">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符合招标文件要求</w:t>
            </w:r>
          </w:p>
        </w:tc>
      </w:tr>
      <w:tr w14:paraId="1D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585E8D34">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3A97297B">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453ABB0C">
            <w:pPr>
              <w:spacing w:line="42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000000"/>
                <w:sz w:val="21"/>
                <w:szCs w:val="21"/>
                <w:highlight w:val="none"/>
              </w:rPr>
              <w:t>投标报价</w:t>
            </w:r>
          </w:p>
        </w:tc>
        <w:tc>
          <w:tcPr>
            <w:tcW w:w="2286" w:type="pct"/>
            <w:noWrap w:val="0"/>
            <w:vAlign w:val="center"/>
          </w:tcPr>
          <w:p w14:paraId="193A9672">
            <w:pPr>
              <w:spacing w:line="420" w:lineRule="exact"/>
              <w:jc w:val="left"/>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rPr>
              <w:t>不高于招标控制价</w:t>
            </w:r>
          </w:p>
        </w:tc>
      </w:tr>
      <w:tr w14:paraId="3B5E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 w:type="pct"/>
            <w:vMerge w:val="continue"/>
            <w:noWrap w:val="0"/>
            <w:vAlign w:val="center"/>
          </w:tcPr>
          <w:p w14:paraId="5B26B598">
            <w:pPr>
              <w:jc w:val="center"/>
              <w:rPr>
                <w:rFonts w:hint="eastAsia" w:ascii="微软雅黑" w:hAnsi="微软雅黑" w:eastAsia="微软雅黑" w:cs="微软雅黑"/>
                <w:color w:val="000000"/>
                <w:sz w:val="21"/>
                <w:szCs w:val="21"/>
                <w:highlight w:val="none"/>
                <w:lang w:eastAsia="zh-CN"/>
              </w:rPr>
            </w:pPr>
          </w:p>
        </w:tc>
        <w:tc>
          <w:tcPr>
            <w:tcW w:w="523" w:type="pct"/>
            <w:vMerge w:val="continue"/>
            <w:noWrap w:val="0"/>
            <w:vAlign w:val="top"/>
          </w:tcPr>
          <w:p w14:paraId="66B635B6">
            <w:pPr>
              <w:rPr>
                <w:rFonts w:hint="eastAsia" w:ascii="微软雅黑" w:hAnsi="微软雅黑" w:eastAsia="微软雅黑" w:cs="微软雅黑"/>
                <w:color w:val="000000"/>
                <w:sz w:val="21"/>
                <w:szCs w:val="21"/>
                <w:highlight w:val="none"/>
                <w:lang w:eastAsia="zh-CN"/>
              </w:rPr>
            </w:pPr>
          </w:p>
        </w:tc>
        <w:tc>
          <w:tcPr>
            <w:tcW w:w="1837" w:type="pct"/>
            <w:noWrap w:val="0"/>
            <w:vAlign w:val="center"/>
          </w:tcPr>
          <w:p w14:paraId="1CF18C47">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投标有效期</w:t>
            </w:r>
          </w:p>
        </w:tc>
        <w:tc>
          <w:tcPr>
            <w:tcW w:w="2286" w:type="pct"/>
            <w:noWrap w:val="0"/>
            <w:vAlign w:val="center"/>
          </w:tcPr>
          <w:p w14:paraId="1F80427E">
            <w:pPr>
              <w:rPr>
                <w:rFonts w:hint="eastAsia" w:ascii="微软雅黑" w:hAnsi="微软雅黑" w:eastAsia="微软雅黑" w:cs="微软雅黑"/>
                <w:color w:val="000000"/>
                <w:sz w:val="21"/>
                <w:szCs w:val="21"/>
                <w:highlight w:val="none"/>
                <w:lang w:eastAsia="zh-CN"/>
              </w:rPr>
            </w:pPr>
            <w:r>
              <w:rPr>
                <w:rFonts w:hint="eastAsia" w:ascii="微软雅黑" w:hAnsi="微软雅黑" w:eastAsia="微软雅黑" w:cs="微软雅黑"/>
                <w:color w:val="000000"/>
                <w:sz w:val="21"/>
                <w:szCs w:val="21"/>
                <w:highlight w:val="none"/>
                <w:lang w:eastAsia="zh-CN"/>
              </w:rPr>
              <w:t>投标截止之日起60日历天</w:t>
            </w:r>
          </w:p>
        </w:tc>
      </w:tr>
    </w:tbl>
    <w:p w14:paraId="549DCA5B">
      <w:pPr>
        <w:pStyle w:val="6"/>
        <w:rPr>
          <w:rFonts w:hint="eastAsia" w:ascii="微软雅黑" w:hAnsi="微软雅黑" w:eastAsia="微软雅黑" w:cs="微软雅黑"/>
          <w:highlight w:val="none"/>
          <w:lang w:eastAsia="zh-CN"/>
        </w:rPr>
      </w:pPr>
    </w:p>
    <w:bookmarkEnd w:id="188"/>
    <w:p w14:paraId="2B012B9D">
      <w:pPr>
        <w:spacing w:line="268" w:lineRule="auto"/>
        <w:outlineLvl w:val="0"/>
        <w:rPr>
          <w:rFonts w:hint="eastAsia" w:ascii="微软雅黑" w:hAnsi="微软雅黑" w:eastAsia="微软雅黑" w:cs="微软雅黑"/>
          <w:b/>
          <w:bCs/>
          <w:color w:val="000000"/>
          <w:szCs w:val="21"/>
          <w:highlight w:val="none"/>
        </w:rPr>
        <w:sectPr>
          <w:pgSz w:w="11900" w:h="16821"/>
          <w:pgMar w:top="1417" w:right="1134" w:bottom="1417" w:left="1134" w:header="720" w:footer="720" w:gutter="0"/>
          <w:cols w:space="720" w:num="1"/>
          <w:rtlGutter w:val="0"/>
          <w:docGrid w:linePitch="286" w:charSpace="0"/>
        </w:sectPr>
      </w:pPr>
      <w:bookmarkStart w:id="191" w:name="_Toc40365314"/>
    </w:p>
    <w:p w14:paraId="03CB993F">
      <w:pPr>
        <w:spacing w:line="360" w:lineRule="auto"/>
        <w:ind w:firstLine="420" w:firstLineChars="200"/>
        <w:rPr>
          <w:rFonts w:hint="eastAsia" w:ascii="微软雅黑" w:hAnsi="微软雅黑" w:eastAsia="微软雅黑" w:cs="微软雅黑"/>
          <w:b/>
          <w:highlight w:val="none"/>
          <w:lang w:eastAsia="zh-CN"/>
        </w:rPr>
      </w:pPr>
      <w:r>
        <w:rPr>
          <w:rFonts w:hint="eastAsia" w:ascii="微软雅黑" w:hAnsi="微软雅黑" w:eastAsia="微软雅黑" w:cs="微软雅黑"/>
          <w:b/>
          <w:highlight w:val="none"/>
          <w:lang w:eastAsia="zh-CN"/>
        </w:rPr>
        <w:t>二、评分标准</w:t>
      </w:r>
    </w:p>
    <w:tbl>
      <w:tblPr>
        <w:tblStyle w:val="18"/>
        <w:tblpPr w:leftFromText="180" w:rightFromText="180" w:vertAnchor="text" w:horzAnchor="page" w:tblpXSpec="center" w:tblpY="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673"/>
        <w:gridCol w:w="1534"/>
        <w:gridCol w:w="6881"/>
      </w:tblGrid>
      <w:tr w14:paraId="6002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D08BB12">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2.2.1</w:t>
            </w:r>
          </w:p>
        </w:tc>
        <w:tc>
          <w:tcPr>
            <w:tcW w:w="0" w:type="auto"/>
            <w:gridSpan w:val="2"/>
            <w:tcBorders>
              <w:top w:val="single" w:color="auto" w:sz="4" w:space="0"/>
              <w:left w:val="nil"/>
              <w:bottom w:val="single" w:color="auto" w:sz="4" w:space="0"/>
              <w:right w:val="single" w:color="auto" w:sz="4" w:space="0"/>
            </w:tcBorders>
            <w:noWrap w:val="0"/>
            <w:vAlign w:val="center"/>
          </w:tcPr>
          <w:p w14:paraId="7881288D">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分值组成</w:t>
            </w:r>
          </w:p>
          <w:p w14:paraId="50CC6DBB">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（总分100分）</w:t>
            </w:r>
          </w:p>
        </w:tc>
        <w:tc>
          <w:tcPr>
            <w:tcW w:w="0" w:type="auto"/>
            <w:tcBorders>
              <w:top w:val="single" w:color="auto" w:sz="4" w:space="0"/>
              <w:left w:val="nil"/>
              <w:bottom w:val="single" w:color="auto" w:sz="4" w:space="0"/>
              <w:right w:val="single" w:color="auto" w:sz="4" w:space="0"/>
            </w:tcBorders>
            <w:noWrap w:val="0"/>
            <w:vAlign w:val="center"/>
          </w:tcPr>
          <w:p w14:paraId="430F9C5F">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投标报价：30分；  技术标：</w:t>
            </w:r>
            <w:r>
              <w:rPr>
                <w:rFonts w:hint="eastAsia" w:ascii="微软雅黑" w:hAnsi="微软雅黑" w:eastAsia="微软雅黑" w:cs="微软雅黑"/>
                <w:color w:val="000000"/>
                <w:kern w:val="0"/>
                <w:sz w:val="21"/>
                <w:szCs w:val="21"/>
                <w:highlight w:val="none"/>
                <w:lang w:val="en-US" w:eastAsia="zh-CN"/>
              </w:rPr>
              <w:t>30</w:t>
            </w:r>
            <w:r>
              <w:rPr>
                <w:rFonts w:hint="eastAsia" w:ascii="微软雅黑" w:hAnsi="微软雅黑" w:eastAsia="微软雅黑" w:cs="微软雅黑"/>
                <w:color w:val="000000"/>
                <w:kern w:val="0"/>
                <w:sz w:val="21"/>
                <w:szCs w:val="21"/>
                <w:highlight w:val="none"/>
              </w:rPr>
              <w:t>分；商务部分：</w:t>
            </w:r>
            <w:r>
              <w:rPr>
                <w:rFonts w:hint="eastAsia" w:ascii="微软雅黑" w:hAnsi="微软雅黑" w:eastAsia="微软雅黑" w:cs="微软雅黑"/>
                <w:color w:val="000000"/>
                <w:kern w:val="0"/>
                <w:sz w:val="21"/>
                <w:szCs w:val="21"/>
                <w:highlight w:val="none"/>
                <w:lang w:val="en-US" w:eastAsia="zh-CN"/>
              </w:rPr>
              <w:t>40</w:t>
            </w:r>
            <w:r>
              <w:rPr>
                <w:rFonts w:hint="eastAsia" w:ascii="微软雅黑" w:hAnsi="微软雅黑" w:eastAsia="微软雅黑" w:cs="微软雅黑"/>
                <w:color w:val="000000"/>
                <w:kern w:val="0"/>
                <w:sz w:val="21"/>
                <w:szCs w:val="21"/>
                <w:highlight w:val="none"/>
              </w:rPr>
              <w:t>分.</w:t>
            </w:r>
          </w:p>
        </w:tc>
      </w:tr>
      <w:tr w14:paraId="62BD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D7C84E4">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评审因素</w:t>
            </w:r>
          </w:p>
        </w:tc>
        <w:tc>
          <w:tcPr>
            <w:tcW w:w="0" w:type="auto"/>
            <w:tcBorders>
              <w:top w:val="single" w:color="auto" w:sz="4" w:space="0"/>
              <w:left w:val="single" w:color="auto" w:sz="4" w:space="0"/>
              <w:bottom w:val="single" w:color="auto" w:sz="4" w:space="0"/>
              <w:right w:val="single" w:color="auto" w:sz="4" w:space="0"/>
            </w:tcBorders>
            <w:noWrap w:val="0"/>
            <w:vAlign w:val="top"/>
          </w:tcPr>
          <w:p w14:paraId="0EACA0B0">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评审内容</w:t>
            </w:r>
          </w:p>
        </w:tc>
        <w:tc>
          <w:tcPr>
            <w:tcW w:w="0" w:type="auto"/>
            <w:tcBorders>
              <w:top w:val="single" w:color="auto" w:sz="4" w:space="0"/>
              <w:left w:val="single" w:color="auto" w:sz="4" w:space="0"/>
              <w:bottom w:val="single" w:color="auto" w:sz="4" w:space="0"/>
              <w:right w:val="single" w:color="auto" w:sz="4" w:space="0"/>
            </w:tcBorders>
            <w:noWrap w:val="0"/>
            <w:vAlign w:val="top"/>
          </w:tcPr>
          <w:p w14:paraId="44E900B8">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分值</w:t>
            </w:r>
          </w:p>
        </w:tc>
        <w:tc>
          <w:tcPr>
            <w:tcW w:w="0" w:type="auto"/>
            <w:tcBorders>
              <w:top w:val="single" w:color="auto" w:sz="4" w:space="0"/>
              <w:left w:val="single" w:color="auto" w:sz="4" w:space="0"/>
              <w:bottom w:val="single" w:color="auto" w:sz="4" w:space="0"/>
              <w:right w:val="single" w:color="auto" w:sz="4" w:space="0"/>
            </w:tcBorders>
            <w:noWrap w:val="0"/>
            <w:vAlign w:val="top"/>
          </w:tcPr>
          <w:p w14:paraId="4515212E">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评分标准</w:t>
            </w:r>
          </w:p>
        </w:tc>
      </w:tr>
      <w:tr w14:paraId="715F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73FB9A3">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kern w:val="0"/>
                <w:sz w:val="21"/>
                <w:szCs w:val="21"/>
                <w:highlight w:val="none"/>
              </w:rPr>
              <w:t>2.2.2（</w:t>
            </w:r>
            <w:r>
              <w:rPr>
                <w:rFonts w:hint="eastAsia" w:ascii="微软雅黑" w:hAnsi="微软雅黑" w:eastAsia="微软雅黑" w:cs="微软雅黑"/>
                <w:kern w:val="0"/>
                <w:sz w:val="21"/>
                <w:szCs w:val="21"/>
                <w:highlight w:val="none"/>
                <w:lang w:val="en-US" w:eastAsia="zh-CN"/>
              </w:rPr>
              <w:t>1</w:t>
            </w:r>
            <w:r>
              <w:rPr>
                <w:rFonts w:hint="eastAsia" w:ascii="微软雅黑" w:hAnsi="微软雅黑" w:eastAsia="微软雅黑" w:cs="微软雅黑"/>
                <w:kern w:val="0"/>
                <w:sz w:val="21"/>
                <w:szCs w:val="21"/>
                <w:highlight w:val="none"/>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5C9A8A">
            <w:pPr>
              <w:pStyle w:val="6"/>
              <w:keepNext w:val="0"/>
              <w:keepLines w:val="0"/>
              <w:pageBreakBefore w:val="0"/>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000000"/>
                <w:kern w:val="0"/>
                <w:sz w:val="21"/>
                <w:szCs w:val="21"/>
                <w:highlight w:val="none"/>
              </w:rPr>
              <w:t>报价部分</w:t>
            </w:r>
            <w:r>
              <w:rPr>
                <w:rFonts w:hint="eastAsia" w:ascii="微软雅黑" w:hAnsi="微软雅黑" w:eastAsia="微软雅黑" w:cs="微软雅黑"/>
                <w:color w:val="000000"/>
                <w:sz w:val="21"/>
                <w:szCs w:val="21"/>
                <w:highlight w:val="none"/>
              </w:rPr>
              <w:t>（30分）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323EED66">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w:t>
            </w:r>
          </w:p>
          <w:p w14:paraId="18DA4018">
            <w:pPr>
              <w:pStyle w:val="17"/>
              <w:keepNext w:val="0"/>
              <w:keepLines w:val="0"/>
              <w:pageBreakBefore w:val="0"/>
              <w:kinsoku/>
              <w:wordWrap/>
              <w:overflowPunct/>
              <w:topLinePunct w:val="0"/>
              <w:bidi w:val="0"/>
              <w:snapToGrid w:val="0"/>
              <w:spacing w:line="400" w:lineRule="exact"/>
              <w:ind w:firstLine="600"/>
              <w:textAlignment w:val="auto"/>
              <w:rPr>
                <w:rFonts w:hint="eastAsia" w:ascii="微软雅黑" w:hAnsi="微软雅黑" w:eastAsia="微软雅黑" w:cs="微软雅黑"/>
                <w:color w:val="000000"/>
                <w:kern w:val="0"/>
                <w:sz w:val="21"/>
                <w:szCs w:val="21"/>
                <w:highlight w:val="none"/>
              </w:rPr>
            </w:pPr>
          </w:p>
          <w:p w14:paraId="2A5C1F4E">
            <w:pPr>
              <w:pStyle w:val="17"/>
              <w:keepNext w:val="0"/>
              <w:keepLines w:val="0"/>
              <w:pageBreakBefore w:val="0"/>
              <w:kinsoku/>
              <w:wordWrap/>
              <w:overflowPunct/>
              <w:topLinePunct w:val="0"/>
              <w:bidi w:val="0"/>
              <w:snapToGrid w:val="0"/>
              <w:spacing w:line="400" w:lineRule="exact"/>
              <w:ind w:firstLine="600"/>
              <w:textAlignment w:val="auto"/>
              <w:rPr>
                <w:rFonts w:hint="eastAsia" w:ascii="微软雅黑" w:hAnsi="微软雅黑" w:eastAsia="微软雅黑" w:cs="微软雅黑"/>
                <w:color w:val="000000"/>
                <w:kern w:val="0"/>
                <w:sz w:val="21"/>
                <w:szCs w:val="21"/>
                <w:highlight w:val="none"/>
              </w:rPr>
            </w:pPr>
          </w:p>
          <w:p w14:paraId="2AF602A6">
            <w:pPr>
              <w:pStyle w:val="17"/>
              <w:keepNext w:val="0"/>
              <w:keepLines w:val="0"/>
              <w:pageBreakBefore w:val="0"/>
              <w:kinsoku/>
              <w:wordWrap/>
              <w:overflowPunct/>
              <w:topLinePunct w:val="0"/>
              <w:bidi w:val="0"/>
              <w:snapToGrid w:val="0"/>
              <w:spacing w:line="400" w:lineRule="exact"/>
              <w:ind w:firstLine="600"/>
              <w:textAlignment w:val="auto"/>
              <w:rPr>
                <w:rFonts w:hint="eastAsia" w:ascii="微软雅黑" w:hAnsi="微软雅黑" w:eastAsia="微软雅黑" w:cs="微软雅黑"/>
                <w:color w:val="000000"/>
                <w:kern w:val="0"/>
                <w:sz w:val="21"/>
                <w:szCs w:val="21"/>
                <w:highlight w:val="none"/>
              </w:rPr>
            </w:pPr>
          </w:p>
          <w:p w14:paraId="5389F756">
            <w:pPr>
              <w:pStyle w:val="17"/>
              <w:keepNext w:val="0"/>
              <w:keepLines w:val="0"/>
              <w:pageBreakBefore w:val="0"/>
              <w:kinsoku/>
              <w:wordWrap/>
              <w:overflowPunct/>
              <w:topLinePunct w:val="0"/>
              <w:bidi w:val="0"/>
              <w:snapToGrid w:val="0"/>
              <w:spacing w:line="400" w:lineRule="exact"/>
              <w:ind w:firstLine="600"/>
              <w:textAlignment w:val="auto"/>
              <w:rPr>
                <w:rFonts w:hint="eastAsia" w:ascii="微软雅黑" w:hAnsi="微软雅黑" w:eastAsia="微软雅黑" w:cs="微软雅黑"/>
                <w:color w:val="000000"/>
                <w:kern w:val="0"/>
                <w:sz w:val="21"/>
                <w:szCs w:val="21"/>
                <w:highlight w:val="none"/>
              </w:rPr>
            </w:pPr>
          </w:p>
          <w:p w14:paraId="18D7DD77">
            <w:pPr>
              <w:pStyle w:val="17"/>
              <w:keepNext w:val="0"/>
              <w:keepLines w:val="0"/>
              <w:pageBreakBefore w:val="0"/>
              <w:kinsoku/>
              <w:wordWrap/>
              <w:overflowPunct/>
              <w:topLinePunct w:val="0"/>
              <w:bidi w:val="0"/>
              <w:snapToGrid w:val="0"/>
              <w:spacing w:line="400" w:lineRule="exact"/>
              <w:ind w:firstLine="600"/>
              <w:textAlignment w:val="auto"/>
              <w:rPr>
                <w:rFonts w:hint="eastAsia" w:ascii="微软雅黑" w:hAnsi="微软雅黑" w:eastAsia="微软雅黑" w:cs="微软雅黑"/>
                <w:color w:val="000000"/>
                <w:kern w:val="0"/>
                <w:sz w:val="21"/>
                <w:szCs w:val="21"/>
                <w:highlight w:val="none"/>
              </w:rPr>
            </w:pPr>
          </w:p>
          <w:p w14:paraId="54A3E59D">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报价</w:t>
            </w:r>
          </w:p>
          <w:p w14:paraId="75AFC6BA">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000000"/>
                <w:kern w:val="0"/>
                <w:sz w:val="21"/>
                <w:szCs w:val="21"/>
                <w:highlight w:val="none"/>
              </w:rPr>
              <w:t>（</w:t>
            </w:r>
            <w:r>
              <w:rPr>
                <w:rFonts w:hint="eastAsia" w:ascii="微软雅黑" w:hAnsi="微软雅黑" w:eastAsia="微软雅黑" w:cs="微软雅黑"/>
                <w:color w:val="000000"/>
                <w:kern w:val="0"/>
                <w:sz w:val="21"/>
                <w:szCs w:val="21"/>
                <w:highlight w:val="none"/>
                <w:lang w:val="en-US" w:eastAsia="zh-CN"/>
              </w:rPr>
              <w:t>30</w:t>
            </w:r>
            <w:r>
              <w:rPr>
                <w:rFonts w:hint="eastAsia" w:ascii="微软雅黑" w:hAnsi="微软雅黑" w:eastAsia="微软雅黑" w:cs="微软雅黑"/>
                <w:color w:val="000000"/>
                <w:kern w:val="0"/>
                <w:sz w:val="21"/>
                <w:szCs w:val="21"/>
                <w:highlight w:val="none"/>
              </w:rPr>
              <w:t>分）</w:t>
            </w:r>
            <w:r>
              <w:rPr>
                <w:rFonts w:hint="eastAsia" w:ascii="微软雅黑" w:hAnsi="微软雅黑" w:eastAsia="微软雅黑" w:cs="微软雅黑"/>
                <w:sz w:val="21"/>
                <w:szCs w:val="21"/>
                <w:highlight w:val="none"/>
              </w:rPr>
              <w:t xml:space="preserve">   </w:t>
            </w:r>
          </w:p>
          <w:p w14:paraId="2957A2F5">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864C71E">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1.价格分采用低价优先法计算，即通过资格审查和符合性审查且投标价格最低的投标报价为评标基准价，其价格得分为满分30分。</w:t>
            </w:r>
          </w:p>
          <w:p w14:paraId="72152075">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2.其他供应商的价格分统一按照下列公式计算：投标报价得分=(评标基准价／投标报价)×30</w:t>
            </w:r>
          </w:p>
          <w:p w14:paraId="3006ED3C">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注：1.价格分计算保留小数点后二位。</w:t>
            </w:r>
          </w:p>
          <w:p w14:paraId="664522DB">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2：投标人的报价明显低于其他通过符合性审查投标人的报价，有可能影响产品质量或者不能诚信履约的，应当要求其在评标过程中合理的时间内提供书面说明，必要时提交相关证明材料；投标人不能证明其报价合理性的，将作为无效投标处理。</w:t>
            </w:r>
          </w:p>
          <w:p w14:paraId="4CCC29C9">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3.关于投标报价评分中给予小微型企业、监狱企业和残疾人福利企业优惠的说明:</w:t>
            </w:r>
          </w:p>
          <w:p w14:paraId="686E662A">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（1）、中小企业划型标准以工信部联企业（2011）300号《工业和信息化部国家统计局国家发展和改革委财政部关于印发中小企业划型标准的通知》为依据。</w:t>
            </w:r>
          </w:p>
          <w:p w14:paraId="7FB59EE9">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（2）、监狱企业、残疾人福利企业视同小、微型企业,评审时小、微型企业给予20%的价格扣除。</w:t>
            </w:r>
          </w:p>
          <w:p w14:paraId="6667B78D">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（3）、同一供应商，小微企业产品、监狱、残疾人福利企业产品价格扣除优惠只享受一次，不得重复享受。</w:t>
            </w:r>
          </w:p>
          <w:p w14:paraId="36C20E5F">
            <w:pPr>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b/>
                <w:bCs/>
                <w:color w:val="auto"/>
                <w:sz w:val="21"/>
                <w:szCs w:val="21"/>
                <w:highlight w:val="none"/>
                <w:lang w:val="en-US" w:eastAsia="zh-CN"/>
              </w:rPr>
              <w:t>供应商若是小微型企业</w:t>
            </w:r>
            <w:r>
              <w:rPr>
                <w:rFonts w:hint="eastAsia" w:ascii="微软雅黑" w:hAnsi="微软雅黑" w:eastAsia="微软雅黑" w:cs="微软雅黑"/>
                <w:color w:val="auto"/>
                <w:sz w:val="21"/>
                <w:szCs w:val="21"/>
                <w:highlight w:val="none"/>
                <w:lang w:val="en-US" w:eastAsia="zh-CN"/>
              </w:rPr>
              <w:t>，所供产品全部为本企业生产的，应在投标文件中填写《中小企业声明函》，对供应商本企业生产的产品予以价格扣除；若是供应商提供其他企业制造的产品，须在中小企业声明函中标明所投产品制造商规模（包含：企业名称，从业人员 人数，营业收入，资产总额，规模）。若不能提供，则视为非小微型企业，价格不予扣除。供应商提供的货物既有中小企业制造货物，也有大型企业制造货物的，不享受本办法规定的中小企业扶持政策。</w:t>
            </w:r>
          </w:p>
          <w:p w14:paraId="102F908D">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（5）、监狱企业须提供省级以上监狱管理局、戒毒管理局（含新疆生产建设兵团）出具的属于监狱企业的证明文件，并在投标文件中附扫描件。</w:t>
            </w:r>
          </w:p>
          <w:p w14:paraId="40FF782E">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（6）、评审价的确定</w:t>
            </w:r>
          </w:p>
          <w:p w14:paraId="63996527">
            <w:pPr>
              <w:pageBreakBefore w:val="0"/>
              <w:kinsoku/>
              <w:overflowPunct/>
              <w:bidi w:val="0"/>
              <w:snapToGrid w:val="0"/>
              <w:spacing w:line="240" w:lineRule="auto"/>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大中型企业评审价=投标报价</w:t>
            </w:r>
          </w:p>
          <w:p w14:paraId="278531F7">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auto"/>
                <w:sz w:val="21"/>
                <w:szCs w:val="21"/>
                <w:highlight w:val="none"/>
                <w:lang w:val="en-US" w:eastAsia="zh-CN"/>
              </w:rPr>
              <w:t>小、微型企业评审价=投标报价×（1-20%）</w:t>
            </w:r>
          </w:p>
        </w:tc>
      </w:tr>
      <w:tr w14:paraId="689C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0" w:type="auto"/>
            <w:vMerge w:val="restart"/>
            <w:noWrap w:val="0"/>
            <w:vAlign w:val="center"/>
          </w:tcPr>
          <w:p w14:paraId="6C899D3D">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2.2.2（2）</w:t>
            </w:r>
          </w:p>
        </w:tc>
        <w:tc>
          <w:tcPr>
            <w:tcW w:w="0" w:type="auto"/>
            <w:noWrap w:val="0"/>
            <w:vAlign w:val="center"/>
          </w:tcPr>
          <w:p w14:paraId="5836D58E">
            <w:pPr>
              <w:keepNext w:val="0"/>
              <w:keepLines w:val="0"/>
              <w:pageBreakBefore w:val="0"/>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技术部分</w:t>
            </w:r>
          </w:p>
          <w:p w14:paraId="75791B69">
            <w:pPr>
              <w:keepNext w:val="0"/>
              <w:keepLines w:val="0"/>
              <w:pageBreakBefore w:val="0"/>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30</w:t>
            </w:r>
            <w:r>
              <w:rPr>
                <w:rFonts w:hint="eastAsia" w:ascii="微软雅黑" w:hAnsi="微软雅黑" w:eastAsia="微软雅黑" w:cs="微软雅黑"/>
                <w:sz w:val="21"/>
                <w:szCs w:val="21"/>
                <w:highlight w:val="none"/>
              </w:rPr>
              <w:t>分）</w:t>
            </w:r>
          </w:p>
        </w:tc>
        <w:tc>
          <w:tcPr>
            <w:tcW w:w="0" w:type="auto"/>
            <w:noWrap w:val="0"/>
            <w:vAlign w:val="center"/>
          </w:tcPr>
          <w:p w14:paraId="06A7AE1C">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技术参数</w:t>
            </w:r>
          </w:p>
          <w:p w14:paraId="7493C980">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color w:val="000000"/>
                <w:kern w:val="0"/>
                <w:sz w:val="21"/>
                <w:szCs w:val="21"/>
                <w:highlight w:val="none"/>
              </w:rPr>
              <w:t>（</w:t>
            </w:r>
            <w:r>
              <w:rPr>
                <w:rFonts w:hint="eastAsia" w:ascii="微软雅黑" w:hAnsi="微软雅黑" w:eastAsia="微软雅黑" w:cs="微软雅黑"/>
                <w:color w:val="000000"/>
                <w:kern w:val="0"/>
                <w:sz w:val="21"/>
                <w:szCs w:val="21"/>
                <w:highlight w:val="none"/>
                <w:lang w:val="en-US" w:eastAsia="zh-CN"/>
              </w:rPr>
              <w:t>30</w:t>
            </w:r>
            <w:r>
              <w:rPr>
                <w:rFonts w:hint="eastAsia" w:ascii="微软雅黑" w:hAnsi="微软雅黑" w:eastAsia="微软雅黑" w:cs="微软雅黑"/>
                <w:color w:val="000000"/>
                <w:kern w:val="0"/>
                <w:sz w:val="21"/>
                <w:szCs w:val="21"/>
                <w:highlight w:val="none"/>
              </w:rPr>
              <w:t>分）</w:t>
            </w:r>
          </w:p>
        </w:tc>
        <w:tc>
          <w:tcPr>
            <w:tcW w:w="0" w:type="auto"/>
            <w:noWrap w:val="0"/>
            <w:vAlign w:val="center"/>
          </w:tcPr>
          <w:p w14:paraId="1AB62932">
            <w:pPr>
              <w:pStyle w:val="25"/>
              <w:keepNext w:val="0"/>
              <w:keepLines w:val="0"/>
              <w:pageBreakBefore w:val="0"/>
              <w:kinsoku/>
              <w:wordWrap/>
              <w:overflowPunct/>
              <w:topLinePunct w:val="0"/>
              <w:bidi w:val="0"/>
              <w:snapToGrid w:val="0"/>
              <w:spacing w:line="400" w:lineRule="exact"/>
              <w:textAlignment w:val="auto"/>
              <w:rPr>
                <w:rFonts w:hint="eastAsia"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1.根据投标人对招标文件“</w:t>
            </w:r>
            <w:r>
              <w:rPr>
                <w:rFonts w:hint="eastAsia" w:ascii="微软雅黑" w:hAnsi="微软雅黑" w:eastAsia="微软雅黑" w:cs="微软雅黑"/>
                <w:bCs/>
                <w:sz w:val="21"/>
                <w:szCs w:val="21"/>
                <w:highlight w:val="none"/>
                <w:lang w:val="en-US" w:eastAsia="zh-CN" w:bidi="zh-CN"/>
              </w:rPr>
              <w:t>采购内容及技术要求</w:t>
            </w:r>
            <w:r>
              <w:rPr>
                <w:rFonts w:hint="eastAsia" w:ascii="微软雅黑" w:hAnsi="微软雅黑" w:eastAsia="微软雅黑" w:cs="微软雅黑"/>
                <w:color w:val="000000"/>
                <w:kern w:val="0"/>
                <w:sz w:val="21"/>
                <w:szCs w:val="21"/>
                <w:highlight w:val="none"/>
                <w:lang w:val="en-US" w:eastAsia="zh-CN" w:bidi="ar-SA"/>
              </w:rPr>
              <w:t>”的响应情况进行评分,所有条款全部满足或优于招标文件技术规格要求的得满分30分。</w:t>
            </w:r>
          </w:p>
          <w:p w14:paraId="5B144890">
            <w:pPr>
              <w:pStyle w:val="25"/>
              <w:keepNext w:val="0"/>
              <w:keepLines w:val="0"/>
              <w:pageBreakBefore w:val="0"/>
              <w:kinsoku/>
              <w:wordWrap/>
              <w:overflowPunct/>
              <w:topLinePunct w:val="0"/>
              <w:bidi w:val="0"/>
              <w:snapToGrid w:val="0"/>
              <w:spacing w:line="400" w:lineRule="exact"/>
              <w:textAlignment w:val="auto"/>
              <w:rPr>
                <w:rFonts w:hint="eastAsia"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2.不能全部满足招标文件“技术规格及参数要求”的，在满分30分的基础上扣分，其中带“★”技术指标每有一项不满足或低于招标文件要求的扣5分，不带“★”技术指标每有一项不满足或低于招标文件要求的扣2分，扣完为止，不计负分。</w:t>
            </w:r>
          </w:p>
          <w:p w14:paraId="450D672F">
            <w:pPr>
              <w:pStyle w:val="25"/>
              <w:keepNext w:val="0"/>
              <w:keepLines w:val="0"/>
              <w:pageBreakBefore w:val="0"/>
              <w:kinsoku/>
              <w:wordWrap/>
              <w:overflowPunct/>
              <w:topLinePunct w:val="0"/>
              <w:bidi w:val="0"/>
              <w:snapToGrid w:val="0"/>
              <w:spacing w:line="400" w:lineRule="exact"/>
              <w:textAlignment w:val="auto"/>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rPr>
              <w:t>若供应商提供虚假证明材料，将被按投标无效处理，并报有关监督部门按提供虚假资料谋取中标处理</w:t>
            </w:r>
            <w:r>
              <w:rPr>
                <w:rFonts w:hint="eastAsia" w:ascii="微软雅黑" w:hAnsi="微软雅黑" w:eastAsia="微软雅黑" w:cs="微软雅黑"/>
                <w:color w:val="auto"/>
                <w:kern w:val="0"/>
                <w:sz w:val="21"/>
                <w:szCs w:val="21"/>
                <w:highlight w:val="none"/>
                <w:lang w:eastAsia="zh-CN"/>
              </w:rPr>
              <w:t>。</w:t>
            </w:r>
          </w:p>
        </w:tc>
      </w:tr>
      <w:tr w14:paraId="559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0" w:type="auto"/>
            <w:vMerge w:val="continue"/>
            <w:noWrap w:val="0"/>
            <w:vAlign w:val="center"/>
          </w:tcPr>
          <w:p w14:paraId="09B829A7">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0" w:type="auto"/>
            <w:vMerge w:val="restart"/>
            <w:noWrap w:val="0"/>
            <w:vAlign w:val="center"/>
          </w:tcPr>
          <w:p w14:paraId="57846C9F">
            <w:pPr>
              <w:keepNext w:val="0"/>
              <w:keepLines w:val="0"/>
              <w:pageBreakBefore w:val="0"/>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商务部分（40分）</w:t>
            </w:r>
          </w:p>
        </w:tc>
        <w:tc>
          <w:tcPr>
            <w:tcW w:w="0" w:type="auto"/>
            <w:noWrap w:val="0"/>
            <w:vAlign w:val="center"/>
          </w:tcPr>
          <w:p w14:paraId="4D0AE6F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节能清单产品</w:t>
            </w:r>
          </w:p>
          <w:p w14:paraId="4E6C32AB">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1分</w:t>
            </w:r>
            <w:r>
              <w:rPr>
                <w:rFonts w:hint="eastAsia" w:ascii="微软雅黑" w:hAnsi="微软雅黑" w:eastAsia="微软雅黑" w:cs="微软雅黑"/>
                <w:sz w:val="21"/>
                <w:szCs w:val="21"/>
                <w:highlight w:val="none"/>
                <w:lang w:eastAsia="zh-CN"/>
              </w:rPr>
              <w:t>）</w:t>
            </w:r>
          </w:p>
        </w:tc>
        <w:tc>
          <w:tcPr>
            <w:tcW w:w="0" w:type="auto"/>
            <w:noWrap w:val="0"/>
            <w:vAlign w:val="top"/>
          </w:tcPr>
          <w:p w14:paraId="17EEB84A">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所投产品如为节能产品政府采购品目清单内非政府强制采购节能产品的，加1 分。提供该产品经国家确定的认证机构出具的、处于有效期之内的《国家节能产品认证证书》扫描件，不提供不得分。</w:t>
            </w:r>
          </w:p>
          <w:p w14:paraId="0079483A">
            <w:pPr>
              <w:keepNext w:val="0"/>
              <w:keepLines w:val="0"/>
              <w:pageBreakBefore w:val="0"/>
              <w:widowControl w:val="0"/>
              <w:kinsoku/>
              <w:wordWrap w:val="0"/>
              <w:overflowPunct/>
              <w:topLinePunct w:val="0"/>
              <w:autoSpaceDE/>
              <w:autoSpaceDN/>
              <w:bidi w:val="0"/>
              <w:adjustRightInd/>
              <w:snapToGrid w:val="0"/>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 w:val="21"/>
                <w:szCs w:val="21"/>
                <w:highlight w:val="none"/>
                <w:lang w:val="en-US" w:eastAsia="zh-CN"/>
              </w:rPr>
              <w:t>清单可在中华人民共和国财政部网站（http://www.mof.gov.cn）、中国政府采购网（http://www.ccgp.gov.cn/）查阅。</w:t>
            </w:r>
          </w:p>
        </w:tc>
      </w:tr>
      <w:tr w14:paraId="4FAE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0" w:type="auto"/>
            <w:vMerge w:val="continue"/>
            <w:noWrap w:val="0"/>
            <w:vAlign w:val="center"/>
          </w:tcPr>
          <w:p w14:paraId="28300451">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0" w:type="auto"/>
            <w:vMerge w:val="continue"/>
            <w:noWrap w:val="0"/>
            <w:vAlign w:val="center"/>
          </w:tcPr>
          <w:p w14:paraId="43E83029">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rPr>
            </w:pPr>
          </w:p>
        </w:tc>
        <w:tc>
          <w:tcPr>
            <w:tcW w:w="0" w:type="auto"/>
            <w:noWrap w:val="0"/>
            <w:vAlign w:val="center"/>
          </w:tcPr>
          <w:p w14:paraId="1E075F45">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eastAsia="zh-CN"/>
              </w:rPr>
            </w:pPr>
            <w:bookmarkStart w:id="192" w:name="OLE_LINK28"/>
            <w:r>
              <w:rPr>
                <w:rFonts w:hint="eastAsia" w:ascii="微软雅黑" w:hAnsi="微软雅黑" w:eastAsia="微软雅黑" w:cs="微软雅黑"/>
                <w:sz w:val="21"/>
                <w:szCs w:val="21"/>
                <w:highlight w:val="none"/>
                <w:lang w:eastAsia="zh-CN"/>
              </w:rPr>
              <w:t>环保清单产品</w:t>
            </w:r>
          </w:p>
          <w:bookmarkEnd w:id="192"/>
          <w:p w14:paraId="6AB1DD6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1分</w:t>
            </w:r>
            <w:r>
              <w:rPr>
                <w:rFonts w:hint="eastAsia" w:ascii="微软雅黑" w:hAnsi="微软雅黑" w:eastAsia="微软雅黑" w:cs="微软雅黑"/>
                <w:sz w:val="21"/>
                <w:szCs w:val="21"/>
                <w:highlight w:val="none"/>
                <w:lang w:eastAsia="zh-CN"/>
              </w:rPr>
              <w:t>）</w:t>
            </w:r>
          </w:p>
        </w:tc>
        <w:tc>
          <w:tcPr>
            <w:tcW w:w="0" w:type="auto"/>
            <w:noWrap w:val="0"/>
            <w:vAlign w:val="top"/>
          </w:tcPr>
          <w:p w14:paraId="2D942781">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所投产品如为环境标志产品政府采购品目清单内的产品，加1 分。提供经国家确定的认证机构出具的、处于有效期之内的《中国环境标志产品认证证书》扫描件，不提供不得分。</w:t>
            </w:r>
          </w:p>
          <w:p w14:paraId="4275FBFF">
            <w:pPr>
              <w:keepNext w:val="0"/>
              <w:keepLines w:val="0"/>
              <w:pageBreakBefore w:val="0"/>
              <w:widowControl w:val="0"/>
              <w:kinsoku/>
              <w:wordWrap w:val="0"/>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清单可在中华人民共和国财政部网站（http://www.mof.gov.cn）、中国政府采购网（http://www.ccgp.gov.cn/）查阅。</w:t>
            </w:r>
          </w:p>
        </w:tc>
      </w:tr>
      <w:tr w14:paraId="643E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4" w:hRule="exact"/>
          <w:jc w:val="center"/>
        </w:trPr>
        <w:tc>
          <w:tcPr>
            <w:tcW w:w="0" w:type="auto"/>
            <w:vMerge w:val="continue"/>
            <w:noWrap w:val="0"/>
            <w:vAlign w:val="center"/>
          </w:tcPr>
          <w:p w14:paraId="533DABB1">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0" w:type="auto"/>
            <w:vMerge w:val="continue"/>
            <w:noWrap w:val="0"/>
            <w:vAlign w:val="center"/>
          </w:tcPr>
          <w:p w14:paraId="76672D0F">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sz w:val="21"/>
                <w:szCs w:val="21"/>
                <w:highlight w:val="none"/>
              </w:rPr>
            </w:pPr>
          </w:p>
        </w:tc>
        <w:tc>
          <w:tcPr>
            <w:tcW w:w="1266" w:type="dxa"/>
            <w:noWrap w:val="0"/>
            <w:vAlign w:val="center"/>
          </w:tcPr>
          <w:p w14:paraId="44CD8C04">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技术方案</w:t>
            </w:r>
          </w:p>
          <w:p w14:paraId="3F508872">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（30分）</w:t>
            </w:r>
          </w:p>
        </w:tc>
        <w:tc>
          <w:tcPr>
            <w:tcW w:w="7149" w:type="dxa"/>
            <w:noWrap w:val="0"/>
            <w:vAlign w:val="center"/>
          </w:tcPr>
          <w:p w14:paraId="29AC238F">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1、质量保证方案（6分）</w:t>
            </w:r>
          </w:p>
          <w:p w14:paraId="63351F92">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投标人对项目服务范围、服务标准、项目目标、主要任务和范围理解透彻、重点难点把握准确。质量保证方案科学、合理、可行性程度强的得4-6分，合理、可行、细节待完善的1-3分，缺项得0分。</w:t>
            </w:r>
          </w:p>
          <w:p w14:paraId="65607D5B">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2、货物安装调试方案（6分）</w:t>
            </w:r>
          </w:p>
          <w:p w14:paraId="2CF5118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本项目投标人需充分考虑生产效率，在供货安装期内按时完成本项目。供应商针对本项目制定完整、全面、可行、有针对性的供货、安装、调试且科学、合理、可行性程度强的得4-6分，合理、可行、细节待完善的1-3分，缺项得0分。</w:t>
            </w:r>
          </w:p>
          <w:p w14:paraId="7B5A2296">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3、项目进度保障措施（6分）</w:t>
            </w:r>
          </w:p>
          <w:p w14:paraId="222E7258">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针对该项目设定工作进度、供货计划及安装调试进度保障，科学、合理、可行性程度强的得4-6分，合理、可行、细节待完善的1-3分，缺项得0分。</w:t>
            </w:r>
          </w:p>
          <w:p w14:paraId="552A17AD">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4、售后服务（6分）</w:t>
            </w:r>
          </w:p>
          <w:p w14:paraId="58E76224">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投标人针对本项目制定的服务方案具体内容和措施、服务方式(含维修人员组成)、维护修复时间承诺等：科学、合理、可行性程度强的得4-6分，合理、可行、细节待完善的1-3分，缺项得0分。</w:t>
            </w:r>
          </w:p>
          <w:p w14:paraId="74D15AA7">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5、培训方案（6分）</w:t>
            </w:r>
          </w:p>
          <w:p w14:paraId="6022215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培训方案内容完善、计划安排合理、方式多样、有针对性，根据描述内容符合程度：科学、合理、可行性程度强的得4-6分，合理、可行、细节待完善的1-3分，缺项得0分。</w:t>
            </w:r>
          </w:p>
          <w:p w14:paraId="6C1163E1">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以上1-5项由评委根据各供应商响应程度酌情在给定分值范围内量化打分。</w:t>
            </w:r>
          </w:p>
        </w:tc>
      </w:tr>
      <w:tr w14:paraId="484E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0" w:type="auto"/>
            <w:vMerge w:val="continue"/>
            <w:noWrap w:val="0"/>
            <w:vAlign w:val="center"/>
          </w:tcPr>
          <w:p w14:paraId="23F74BDA">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0" w:type="auto"/>
            <w:vMerge w:val="continue"/>
            <w:noWrap w:val="0"/>
            <w:vAlign w:val="center"/>
          </w:tcPr>
          <w:p w14:paraId="4BF1063B">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1274" w:type="dxa"/>
            <w:noWrap w:val="0"/>
            <w:vAlign w:val="center"/>
          </w:tcPr>
          <w:p w14:paraId="334615F7">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类似业绩</w:t>
            </w:r>
          </w:p>
          <w:p w14:paraId="6EA2ECD8">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（4分）</w:t>
            </w:r>
          </w:p>
        </w:tc>
        <w:tc>
          <w:tcPr>
            <w:tcW w:w="7141" w:type="dxa"/>
            <w:noWrap w:val="0"/>
            <w:vAlign w:val="center"/>
          </w:tcPr>
          <w:p w14:paraId="154E298B">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具有类似项目（2022年1月1日以来）的业绩，每份业绩得2分，最多得4分。（以合同签订时间为准，提供合同原件复印件）未提供合同不得分。</w:t>
            </w:r>
          </w:p>
        </w:tc>
      </w:tr>
      <w:tr w14:paraId="5DBD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vMerge w:val="continue"/>
            <w:noWrap w:val="0"/>
            <w:vAlign w:val="center"/>
          </w:tcPr>
          <w:p w14:paraId="081A24C3">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0" w:type="auto"/>
            <w:vMerge w:val="continue"/>
            <w:noWrap w:val="0"/>
            <w:vAlign w:val="center"/>
          </w:tcPr>
          <w:p w14:paraId="3DDEA928">
            <w:pPr>
              <w:keepNext w:val="0"/>
              <w:keepLines w:val="0"/>
              <w:pageBreakBefore w:val="0"/>
              <w:widowControl/>
              <w:kinsoku/>
              <w:wordWrap/>
              <w:overflowPunct/>
              <w:topLinePunct w:val="0"/>
              <w:bidi w:val="0"/>
              <w:snapToGrid w:val="0"/>
              <w:spacing w:line="400" w:lineRule="exact"/>
              <w:jc w:val="center"/>
              <w:textAlignment w:val="auto"/>
              <w:rPr>
                <w:rFonts w:hint="eastAsia" w:ascii="微软雅黑" w:hAnsi="微软雅黑" w:eastAsia="微软雅黑" w:cs="微软雅黑"/>
                <w:kern w:val="0"/>
                <w:sz w:val="21"/>
                <w:szCs w:val="21"/>
                <w:highlight w:val="none"/>
              </w:rPr>
            </w:pPr>
          </w:p>
        </w:tc>
        <w:tc>
          <w:tcPr>
            <w:tcW w:w="1274" w:type="dxa"/>
            <w:noWrap w:val="0"/>
            <w:vAlign w:val="center"/>
          </w:tcPr>
          <w:p w14:paraId="08CCB70D">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团队成员认证证书(4分)</w:t>
            </w:r>
          </w:p>
        </w:tc>
        <w:tc>
          <w:tcPr>
            <w:tcW w:w="7141" w:type="dxa"/>
            <w:noWrap w:val="0"/>
            <w:vAlign w:val="center"/>
          </w:tcPr>
          <w:p w14:paraId="09ABDDFF">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投标人项目管理机构中每有一人具备PMP项目管理专业人士资格认证或IT服务项目经理证书的，每有一项得1分，本项最高得4分，未提供不得分。（以上专业人员必须提供有效的资质证书扫描件或复印件）。</w:t>
            </w:r>
          </w:p>
        </w:tc>
      </w:tr>
      <w:tr w14:paraId="59E2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4"/>
            <w:noWrap w:val="0"/>
            <w:vAlign w:val="center"/>
          </w:tcPr>
          <w:p w14:paraId="54C5DB19">
            <w:pPr>
              <w:pStyle w:val="25"/>
              <w:spacing w:line="380" w:lineRule="exact"/>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注：1.评标委员会根据采购文件、响应文件，按照评分办法评判分值，得出每个评委的评标分数。所有评标委员会打分之和的算术平均值，即为该供应商的最终得分。计分过程按四舍五入取至小数点后三位，最终得分取至小数点后两位。</w:t>
            </w:r>
          </w:p>
          <w:p w14:paraId="274B9A0E">
            <w:pPr>
              <w:pStyle w:val="25"/>
              <w:numPr>
                <w:ilvl w:val="0"/>
                <w:numId w:val="4"/>
              </w:numPr>
              <w:spacing w:line="380" w:lineRule="exact"/>
              <w:ind w:left="0" w:leftChars="0" w:firstLine="0" w:firstLineChars="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在评标过程中，凡遇到采购文件中无界定或界定不清、前后不一致使</w:t>
            </w:r>
            <w:r>
              <w:rPr>
                <w:rFonts w:hint="eastAsia" w:ascii="微软雅黑" w:hAnsi="微软雅黑" w:eastAsia="微软雅黑" w:cs="微软雅黑"/>
                <w:color w:val="auto"/>
                <w:kern w:val="2"/>
                <w:sz w:val="21"/>
                <w:szCs w:val="21"/>
                <w:highlight w:val="none"/>
                <w:lang w:val="en-US" w:eastAsia="zh-CN"/>
              </w:rPr>
              <w:t>评审</w:t>
            </w:r>
            <w:r>
              <w:rPr>
                <w:rFonts w:hint="eastAsia" w:ascii="微软雅黑" w:hAnsi="微软雅黑" w:eastAsia="微软雅黑" w:cs="微软雅黑"/>
                <w:color w:val="auto"/>
                <w:kern w:val="2"/>
                <w:sz w:val="21"/>
                <w:szCs w:val="21"/>
                <w:highlight w:val="none"/>
              </w:rPr>
              <w:t>小组成员意见有分歧且又难以协商一致的问题，均由</w:t>
            </w:r>
            <w:r>
              <w:rPr>
                <w:rFonts w:hint="eastAsia" w:ascii="微软雅黑" w:hAnsi="微软雅黑" w:eastAsia="微软雅黑" w:cs="微软雅黑"/>
                <w:color w:val="auto"/>
                <w:kern w:val="2"/>
                <w:sz w:val="21"/>
                <w:szCs w:val="21"/>
                <w:highlight w:val="none"/>
                <w:lang w:val="en-US" w:eastAsia="zh-CN"/>
              </w:rPr>
              <w:t>评审</w:t>
            </w:r>
            <w:r>
              <w:rPr>
                <w:rFonts w:hint="eastAsia" w:ascii="微软雅黑" w:hAnsi="微软雅黑" w:eastAsia="微软雅黑" w:cs="微软雅黑"/>
                <w:color w:val="auto"/>
                <w:kern w:val="2"/>
                <w:sz w:val="21"/>
                <w:szCs w:val="21"/>
                <w:highlight w:val="none"/>
              </w:rPr>
              <w:t>小组予以表决，获半数以上同意的即为通过，未获半数同意的即为否决。</w:t>
            </w:r>
          </w:p>
          <w:p w14:paraId="1CC312C0">
            <w:pPr>
              <w:pStyle w:val="25"/>
              <w:numPr>
                <w:ilvl w:val="0"/>
                <w:numId w:val="4"/>
              </w:numPr>
              <w:spacing w:line="380" w:lineRule="exact"/>
              <w:ind w:left="0" w:leftChars="0" w:firstLine="0" w:firstLineChars="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使用综合评分法的采购项目，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05BD8271">
            <w:pPr>
              <w:pStyle w:val="25"/>
              <w:numPr>
                <w:ilvl w:val="0"/>
                <w:numId w:val="4"/>
              </w:numPr>
              <w:spacing w:line="380" w:lineRule="exact"/>
              <w:ind w:left="0" w:leftChars="0" w:firstLine="0" w:firstLineChars="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63B23326">
            <w:pPr>
              <w:pStyle w:val="25"/>
              <w:numPr>
                <w:ilvl w:val="0"/>
                <w:numId w:val="4"/>
              </w:numPr>
              <w:spacing w:line="380" w:lineRule="exact"/>
              <w:ind w:left="0" w:leftChars="0" w:firstLine="0" w:firstLineChars="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评标时涉及节能产品的，将按财政部发展改革委生态环境部市场监管总局关于调整优化节能产品、环境标志产品政府采购执行机制的通知财库〔2019〕9号的规定执行。采购人拟采购的产品如属于品目清单范围的，采购人及其委托的采购代理机构应当根据国家确定的认证机构出具的、处于有效期之内的节能产品、环境标志产品认证证书，对获得证书的产品实施政府优先采购或强制采购。</w:t>
            </w:r>
          </w:p>
        </w:tc>
      </w:tr>
    </w:tbl>
    <w:p w14:paraId="0C768A8E">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微软雅黑" w:hAnsi="微软雅黑" w:eastAsia="微软雅黑" w:cs="微软雅黑"/>
          <w:b/>
          <w:bCs/>
          <w:color w:val="000000"/>
          <w:highlight w:val="none"/>
        </w:rPr>
      </w:pPr>
      <w:r>
        <w:rPr>
          <w:rFonts w:hint="eastAsia" w:ascii="微软雅黑" w:hAnsi="微软雅黑" w:eastAsia="微软雅黑" w:cs="微软雅黑"/>
          <w:b/>
          <w:highlight w:val="none"/>
          <w:lang w:eastAsia="zh-CN"/>
        </w:rPr>
        <w:br w:type="page"/>
      </w:r>
      <w:bookmarkEnd w:id="191"/>
      <w:bookmarkStart w:id="193" w:name="_Toc428535572"/>
      <w:bookmarkStart w:id="194" w:name="_Toc428535716"/>
      <w:bookmarkStart w:id="195" w:name="_Toc517431715"/>
      <w:bookmarkStart w:id="196" w:name="_Toc330201352"/>
      <w:bookmarkStart w:id="197" w:name="_Toc365789263"/>
      <w:r>
        <w:rPr>
          <w:rFonts w:hint="eastAsia" w:ascii="微软雅黑" w:hAnsi="微软雅黑" w:eastAsia="微软雅黑" w:cs="微软雅黑"/>
          <w:b/>
          <w:bCs/>
          <w:color w:val="000000"/>
          <w:highlight w:val="none"/>
        </w:rPr>
        <w:t>一、 评标方法</w:t>
      </w:r>
      <w:bookmarkEnd w:id="193"/>
      <w:bookmarkEnd w:id="194"/>
      <w:bookmarkEnd w:id="195"/>
    </w:p>
    <w:p w14:paraId="7A2174D1">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3.1本次评标采用综合评估法。评标委员会对满足招标文件实质性要求的投标文件，按照本章第 2.2 款规定的评分标准进行打分，按得分由高到低顺序推荐叁名中标候选人，但投标报价低于其成本的除外。综合评分相等时，以投标报价低的优先；投标报价也相等的，由采购人自行确定。 </w:t>
      </w:r>
      <w:bookmarkStart w:id="198" w:name="_Toc416766931"/>
      <w:bookmarkStart w:id="199" w:name="_Toc371512642"/>
      <w:bookmarkStart w:id="200" w:name="_Toc14913"/>
      <w:bookmarkStart w:id="201" w:name="_Toc234599897"/>
      <w:bookmarkStart w:id="202" w:name="_Toc517431721"/>
      <w:bookmarkStart w:id="203" w:name="_Toc366232060"/>
      <w:bookmarkStart w:id="204" w:name="_Toc428535578"/>
      <w:bookmarkStart w:id="205" w:name="_Toc428535722"/>
    </w:p>
    <w:p w14:paraId="6B1F9F7D">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3.2 详细评审</w:t>
      </w:r>
      <w:bookmarkEnd w:id="198"/>
      <w:bookmarkEnd w:id="199"/>
      <w:bookmarkEnd w:id="200"/>
      <w:bookmarkEnd w:id="201"/>
      <w:bookmarkEnd w:id="202"/>
      <w:bookmarkEnd w:id="203"/>
      <w:bookmarkEnd w:id="204"/>
      <w:bookmarkEnd w:id="205"/>
    </w:p>
    <w:p w14:paraId="7A596C1F">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3.2.1 评标委员会按本章第2.2 款规定的量化因素和分值进行打分，并计算出综合评估得分。</w:t>
      </w:r>
    </w:p>
    <w:p w14:paraId="5042B822">
      <w:pPr>
        <w:keepNext w:val="0"/>
        <w:keepLines w:val="0"/>
        <w:pageBreakBefore w:val="0"/>
        <w:widowControl w:val="0"/>
        <w:kinsoku/>
        <w:wordWrap/>
        <w:overflowPunct/>
        <w:topLinePunct/>
        <w:autoSpaceDE/>
        <w:autoSpaceDN/>
        <w:bidi w:val="0"/>
        <w:adjustRightInd/>
        <w:snapToGrid/>
        <w:spacing w:line="400" w:lineRule="exact"/>
        <w:ind w:firstLine="404" w:firstLineChars="200"/>
        <w:textAlignment w:val="auto"/>
        <w:rPr>
          <w:rFonts w:hint="eastAsia" w:ascii="微软雅黑" w:hAnsi="微软雅黑" w:eastAsia="微软雅黑" w:cs="微软雅黑"/>
          <w:bCs/>
          <w:color w:val="000000"/>
          <w:spacing w:val="-4"/>
          <w:highlight w:val="none"/>
        </w:rPr>
      </w:pPr>
      <w:r>
        <w:rPr>
          <w:rFonts w:hint="eastAsia" w:ascii="微软雅黑" w:hAnsi="微软雅黑" w:eastAsia="微软雅黑" w:cs="微软雅黑"/>
          <w:bCs/>
          <w:color w:val="000000"/>
          <w:spacing w:val="-4"/>
          <w:highlight w:val="none"/>
        </w:rPr>
        <w:t>(1)按本章评分方式规定的评审因素和分值对技术部分计算出得分A ；</w:t>
      </w:r>
    </w:p>
    <w:p w14:paraId="435ABF8E">
      <w:pPr>
        <w:keepNext w:val="0"/>
        <w:keepLines w:val="0"/>
        <w:pageBreakBefore w:val="0"/>
        <w:widowControl w:val="0"/>
        <w:kinsoku/>
        <w:wordWrap/>
        <w:overflowPunct/>
        <w:topLinePunct/>
        <w:autoSpaceDE/>
        <w:autoSpaceDN/>
        <w:bidi w:val="0"/>
        <w:adjustRightInd/>
        <w:snapToGrid/>
        <w:spacing w:line="400" w:lineRule="exact"/>
        <w:ind w:firstLine="404" w:firstLineChars="200"/>
        <w:textAlignment w:val="auto"/>
        <w:rPr>
          <w:rFonts w:hint="eastAsia" w:ascii="微软雅黑" w:hAnsi="微软雅黑" w:eastAsia="微软雅黑" w:cs="微软雅黑"/>
          <w:bCs/>
          <w:color w:val="000000"/>
          <w:spacing w:val="-4"/>
          <w:highlight w:val="none"/>
        </w:rPr>
      </w:pPr>
      <w:r>
        <w:rPr>
          <w:rFonts w:hint="eastAsia" w:ascii="微软雅黑" w:hAnsi="微软雅黑" w:eastAsia="微软雅黑" w:cs="微软雅黑"/>
          <w:bCs/>
          <w:color w:val="000000"/>
          <w:spacing w:val="-4"/>
          <w:highlight w:val="none"/>
        </w:rPr>
        <w:t>(2)按本章评分方式规定的评审因素和分值对商务部分计算出得分B；</w:t>
      </w:r>
    </w:p>
    <w:p w14:paraId="2D5F26AF">
      <w:pPr>
        <w:keepNext w:val="0"/>
        <w:keepLines w:val="0"/>
        <w:pageBreakBefore w:val="0"/>
        <w:widowControl w:val="0"/>
        <w:kinsoku/>
        <w:wordWrap/>
        <w:overflowPunct/>
        <w:topLinePunct/>
        <w:autoSpaceDE/>
        <w:autoSpaceDN/>
        <w:bidi w:val="0"/>
        <w:adjustRightInd/>
        <w:snapToGrid/>
        <w:spacing w:line="400" w:lineRule="exact"/>
        <w:ind w:firstLine="404" w:firstLineChars="200"/>
        <w:textAlignment w:val="auto"/>
        <w:rPr>
          <w:rFonts w:hint="eastAsia" w:ascii="微软雅黑" w:hAnsi="微软雅黑" w:eastAsia="微软雅黑" w:cs="微软雅黑"/>
          <w:bCs/>
          <w:color w:val="000000"/>
          <w:spacing w:val="-4"/>
          <w:highlight w:val="none"/>
        </w:rPr>
      </w:pPr>
      <w:r>
        <w:rPr>
          <w:rFonts w:hint="eastAsia" w:ascii="微软雅黑" w:hAnsi="微软雅黑" w:eastAsia="微软雅黑" w:cs="微软雅黑"/>
          <w:bCs/>
          <w:color w:val="000000"/>
          <w:spacing w:val="-4"/>
          <w:highlight w:val="none"/>
        </w:rPr>
        <w:t>(3)按本章评分方式规定的评审因素和分值对报价部分计算出得分C；</w:t>
      </w:r>
    </w:p>
    <w:p w14:paraId="3F82E665">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3.2.2评分分值计算保留小数点后两位，小数点后第三位“四舍五入”。</w:t>
      </w:r>
    </w:p>
    <w:p w14:paraId="335A656C">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bCs/>
          <w:color w:val="000000"/>
          <w:spacing w:val="-4"/>
          <w:highlight w:val="none"/>
        </w:rPr>
      </w:pPr>
      <w:r>
        <w:rPr>
          <w:rFonts w:hint="eastAsia" w:ascii="微软雅黑" w:hAnsi="微软雅黑" w:eastAsia="微软雅黑" w:cs="微软雅黑"/>
          <w:color w:val="000000"/>
          <w:highlight w:val="none"/>
        </w:rPr>
        <w:t>3.2.3投标人得分＝A 十B十C。投标人的最终得分为各评委所评定分数的算术平均值。</w:t>
      </w:r>
    </w:p>
    <w:p w14:paraId="3DC542C9">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微软雅黑" w:hAnsi="微软雅黑" w:eastAsia="微软雅黑" w:cs="微软雅黑"/>
          <w:b/>
          <w:bCs/>
          <w:color w:val="000000"/>
          <w:highlight w:val="none"/>
        </w:rPr>
      </w:pPr>
      <w:r>
        <w:rPr>
          <w:rFonts w:hint="eastAsia" w:ascii="微软雅黑" w:hAnsi="微软雅黑" w:eastAsia="微软雅黑" w:cs="微软雅黑"/>
          <w:b/>
          <w:bCs/>
          <w:color w:val="000000"/>
          <w:highlight w:val="none"/>
        </w:rPr>
        <w:t>二、</w:t>
      </w:r>
      <w:r>
        <w:rPr>
          <w:rFonts w:hint="eastAsia" w:ascii="微软雅黑" w:hAnsi="微软雅黑" w:eastAsia="微软雅黑" w:cs="微软雅黑"/>
          <w:b/>
          <w:bCs/>
          <w:color w:val="000000"/>
          <w:spacing w:val="-4"/>
          <w:highlight w:val="none"/>
        </w:rPr>
        <w:t>评标程序</w:t>
      </w:r>
      <w:bookmarkEnd w:id="196"/>
      <w:bookmarkEnd w:id="197"/>
    </w:p>
    <w:p w14:paraId="52799E0C">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（一）初步评审</w:t>
      </w:r>
    </w:p>
    <w:p w14:paraId="17550F7A">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1．初步评审是评标委员会按照招标文件载明的评审标准，对所有投标文件进行的</w:t>
      </w:r>
      <w:r>
        <w:rPr>
          <w:rFonts w:hint="eastAsia" w:ascii="微软雅黑" w:hAnsi="微软雅黑" w:eastAsia="微软雅黑" w:cs="微软雅黑"/>
          <w:color w:val="000000"/>
          <w:highlight w:val="none"/>
          <w:lang w:eastAsia="zh-CN"/>
        </w:rPr>
        <w:t>资格性审查和符合性审查</w:t>
      </w:r>
      <w:r>
        <w:rPr>
          <w:rFonts w:hint="eastAsia" w:ascii="微软雅黑" w:hAnsi="微软雅黑" w:eastAsia="微软雅黑" w:cs="微软雅黑"/>
          <w:color w:val="000000"/>
          <w:highlight w:val="none"/>
        </w:rPr>
        <w:t>。有一项不符合评审标准的，作废标处理。</w:t>
      </w:r>
    </w:p>
    <w:p w14:paraId="17462514">
      <w:pPr>
        <w:keepNext w:val="0"/>
        <w:keepLines w:val="0"/>
        <w:pageBreakBefore w:val="0"/>
        <w:widowControl w:val="0"/>
        <w:kinsoku/>
        <w:wordWrap/>
        <w:overflowPunct/>
        <w:topLinePunct/>
        <w:autoSpaceDE/>
        <w:autoSpaceDN/>
        <w:bidi w:val="0"/>
        <w:adjustRightInd/>
        <w:snapToGrid/>
        <w:spacing w:line="400" w:lineRule="exact"/>
        <w:ind w:firstLine="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  2．投标文件出现以下情况之一者，属于重大偏差，视为未能对招标文件作出实质性响应，按无效投标处理，不得进入评标：</w:t>
      </w:r>
    </w:p>
    <w:p w14:paraId="7E798745">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（1）投标文件未按要求加盖投标人的企业公章及企业法定代表人及其委托代理人盖章或签字；</w:t>
      </w:r>
    </w:p>
    <w:p w14:paraId="7195527A">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（2）投标文件未按招标文件中提供格式填写，关键内容未填写或填写字迹模糊、辨认不清的；</w:t>
      </w:r>
    </w:p>
    <w:p w14:paraId="77FAA140">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（3）投标人报价超出本次招标控制金额的；</w:t>
      </w:r>
    </w:p>
    <w:p w14:paraId="429B8765">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（4）投标人递交两份或多份内容不同的投标文件，或在一份投标文件中对同一招标项目有两个或多个报价，且未声明哪一个有效的（按招标文件规定提交备选投标方案的除外）；</w:t>
      </w:r>
    </w:p>
    <w:p w14:paraId="352D8062">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（5）投标人的资格证明文件不满足招标文件要求的；</w:t>
      </w:r>
    </w:p>
    <w:p w14:paraId="0BE1C4B2">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（6）投标文件中附有采购人不能接受的条件的；</w:t>
      </w:r>
    </w:p>
    <w:p w14:paraId="27C5D6B3">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（7）不按评标委员会成员要求澄清、说明或补正的或不接受评标委员会错误修正的；</w:t>
      </w:r>
    </w:p>
    <w:p w14:paraId="513BA724">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（8）招标文件中规定的其它违规行为。</w:t>
      </w:r>
    </w:p>
    <w:p w14:paraId="4E878F75">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（10）交货期限及质量要求均未响应招标文件。</w:t>
      </w:r>
    </w:p>
    <w:p w14:paraId="1D6ACAD7">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3．投标报价有算术错误的，评标委员会按以下原则对投标报价进行修正，修正的价格经投标人书面确认后具有约束力。投标人不接受修正价格的，其投标作废标处理。</w:t>
      </w:r>
    </w:p>
    <w:p w14:paraId="237475F1">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b/>
          <w:bCs/>
          <w:color w:val="000000"/>
          <w:highlight w:val="none"/>
        </w:rPr>
      </w:pPr>
      <w:r>
        <w:rPr>
          <w:rFonts w:hint="eastAsia" w:ascii="微软雅黑" w:hAnsi="微软雅黑" w:eastAsia="微软雅黑" w:cs="微软雅黑"/>
          <w:color w:val="000000"/>
          <w:highlight w:val="none"/>
        </w:rPr>
        <w:t>（1）投标文件中的大写金额与小写金额不一致的，以大写金额为准；</w:t>
      </w:r>
    </w:p>
    <w:p w14:paraId="1A075D0E">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（2）总价金额与依据单价计算出的结果不一致的，以单价金额为准修正总价，但单价金额小数点有明显错误的除外。</w:t>
      </w:r>
    </w:p>
    <w:p w14:paraId="3FFB3FB8">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bookmarkStart w:id="206" w:name="_Toc366232057"/>
      <w:bookmarkStart w:id="207" w:name="_Toc234599894"/>
      <w:bookmarkStart w:id="208" w:name="_Toc517431718"/>
      <w:bookmarkStart w:id="209" w:name="_Toc371512639"/>
      <w:bookmarkStart w:id="210" w:name="_Toc28778"/>
      <w:bookmarkStart w:id="211" w:name="_Toc416766928"/>
      <w:bookmarkStart w:id="212" w:name="_Toc428535719"/>
      <w:bookmarkStart w:id="213" w:name="_Toc428535575"/>
      <w:r>
        <w:rPr>
          <w:rFonts w:hint="eastAsia" w:ascii="微软雅黑" w:hAnsi="微软雅黑" w:eastAsia="微软雅黑" w:cs="微软雅黑"/>
          <w:color w:val="000000"/>
          <w:highlight w:val="none"/>
        </w:rPr>
        <w:t>（二）分值构成与评分标准</w:t>
      </w:r>
      <w:bookmarkEnd w:id="206"/>
      <w:bookmarkEnd w:id="207"/>
      <w:bookmarkEnd w:id="208"/>
      <w:bookmarkEnd w:id="209"/>
      <w:bookmarkEnd w:id="210"/>
      <w:bookmarkEnd w:id="211"/>
      <w:bookmarkEnd w:id="212"/>
      <w:bookmarkEnd w:id="213"/>
    </w:p>
    <w:p w14:paraId="1E0EC7CF">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1.分值构成</w:t>
      </w:r>
    </w:p>
    <w:p w14:paraId="58C4FF52">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(1)</w:t>
      </w:r>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lang w:eastAsia="zh-CN"/>
        </w:rPr>
        <w:t>报价</w:t>
      </w:r>
      <w:r>
        <w:rPr>
          <w:rFonts w:hint="eastAsia" w:ascii="微软雅黑" w:hAnsi="微软雅黑" w:eastAsia="微软雅黑" w:cs="微软雅黑"/>
          <w:color w:val="000000"/>
          <w:highlight w:val="none"/>
        </w:rPr>
        <w:t>部分：见评标办法前附表；</w:t>
      </w:r>
    </w:p>
    <w:p w14:paraId="42F57850">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2</w:t>
      </w:r>
      <w:r>
        <w:rPr>
          <w:rFonts w:hint="eastAsia" w:ascii="微软雅黑" w:hAnsi="微软雅黑" w:eastAsia="微软雅黑" w:cs="微软雅黑"/>
          <w:color w:val="000000"/>
          <w:highlight w:val="none"/>
        </w:rPr>
        <w:t>) 技术部分：见评标办法前附表；</w:t>
      </w:r>
    </w:p>
    <w:p w14:paraId="4AAA49AE">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3</w:t>
      </w:r>
      <w:r>
        <w:rPr>
          <w:rFonts w:hint="eastAsia" w:ascii="微软雅黑" w:hAnsi="微软雅黑" w:eastAsia="微软雅黑" w:cs="微软雅黑"/>
          <w:color w:val="000000"/>
          <w:highlight w:val="none"/>
        </w:rPr>
        <w:t>) 商务部分：见评标办法前附表；</w:t>
      </w:r>
    </w:p>
    <w:p w14:paraId="181C2927">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2.评标基准价计算</w:t>
      </w:r>
    </w:p>
    <w:p w14:paraId="1E99E688">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评标基准价计算方法：评标基准价计算公式见评标办法前附表。</w:t>
      </w:r>
    </w:p>
    <w:p w14:paraId="1F5F63AE">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3.评分标准</w:t>
      </w:r>
    </w:p>
    <w:p w14:paraId="56CEEEB9">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(1) </w:t>
      </w:r>
      <w:r>
        <w:rPr>
          <w:rFonts w:hint="eastAsia" w:ascii="微软雅黑" w:hAnsi="微软雅黑" w:eastAsia="微软雅黑" w:cs="微软雅黑"/>
          <w:color w:val="000000"/>
          <w:highlight w:val="none"/>
          <w:lang w:eastAsia="zh-CN"/>
        </w:rPr>
        <w:t>报价</w:t>
      </w:r>
      <w:r>
        <w:rPr>
          <w:rFonts w:hint="eastAsia" w:ascii="微软雅黑" w:hAnsi="微软雅黑" w:eastAsia="微软雅黑" w:cs="微软雅黑"/>
          <w:color w:val="000000"/>
          <w:highlight w:val="none"/>
        </w:rPr>
        <w:t>部分评分标准：见评标办法前附表；</w:t>
      </w:r>
    </w:p>
    <w:p w14:paraId="7823D96E">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2</w:t>
      </w:r>
      <w:r>
        <w:rPr>
          <w:rFonts w:hint="eastAsia" w:ascii="微软雅黑" w:hAnsi="微软雅黑" w:eastAsia="微软雅黑" w:cs="微软雅黑"/>
          <w:color w:val="000000"/>
          <w:highlight w:val="none"/>
        </w:rPr>
        <w:t>) 技术部分评分标准：见评标办法前附表；</w:t>
      </w:r>
    </w:p>
    <w:p w14:paraId="641F90D1">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3</w:t>
      </w:r>
      <w:r>
        <w:rPr>
          <w:rFonts w:hint="eastAsia" w:ascii="微软雅黑" w:hAnsi="微软雅黑" w:eastAsia="微软雅黑" w:cs="微软雅黑"/>
          <w:color w:val="000000"/>
          <w:highlight w:val="none"/>
        </w:rPr>
        <w:t>) 商务部分评分标准：见评标办法前附表；</w:t>
      </w:r>
    </w:p>
    <w:p w14:paraId="28ECF425">
      <w:pPr>
        <w:keepNext w:val="0"/>
        <w:keepLines w:val="0"/>
        <w:pageBreakBefore w:val="0"/>
        <w:widowControl w:val="0"/>
        <w:kinsoku/>
        <w:wordWrap/>
        <w:overflowPunct/>
        <w:topLinePunct/>
        <w:autoSpaceDE/>
        <w:autoSpaceDN/>
        <w:bidi w:val="0"/>
        <w:adjustRightInd/>
        <w:snapToGrid/>
        <w:spacing w:line="400" w:lineRule="exact"/>
        <w:ind w:firstLine="411" w:firstLineChars="196"/>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（三）投标文件的澄清说明和补正</w:t>
      </w:r>
    </w:p>
    <w:p w14:paraId="1B051265">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14:paraId="036B00B4">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澄清、说明和补正不得改变投标文件的实质性内容（算术性错误修正的除外）。投标人的书面澄清、说明和补正属于投标文件的组成部分。</w:t>
      </w:r>
    </w:p>
    <w:p w14:paraId="75BAC740">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评标委员会对投标人提交的澄清、说明或补正有疑问的，可以要求投标人进一步澄清、说明或补正，直至满足评标委员会的要求。</w:t>
      </w:r>
    </w:p>
    <w:p w14:paraId="3108EC19">
      <w:pPr>
        <w:keepNext w:val="0"/>
        <w:keepLines w:val="0"/>
        <w:pageBreakBefore w:val="0"/>
        <w:widowControl w:val="0"/>
        <w:numPr>
          <w:ilvl w:val="0"/>
          <w:numId w:val="5"/>
        </w:numPr>
        <w:kinsoku/>
        <w:wordWrap/>
        <w:overflowPunct/>
        <w:autoSpaceDE/>
        <w:autoSpaceDN/>
        <w:bidi w:val="0"/>
        <w:adjustRightInd/>
        <w:snapToGrid/>
        <w:spacing w:line="400" w:lineRule="exact"/>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评标结果</w:t>
      </w:r>
      <w:bookmarkStart w:id="214" w:name="_Toc40365315"/>
    </w:p>
    <w:p w14:paraId="322B887D">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采购人可授权评标委员会直接确定中标人或根据评标委员会推荐中标候选人顺序确定中标人。依法必须进行招标的项目，采购人应当确定排名第一的中标候选人为中标人。排名第一的中标候选人放弃中标、因不可抗力不能履行合同、不按照招标文件要求提交履约保证金，或着被查实存在影响中标结果的违法行为等情形，不符合中标条件的，采购人可以按照评标委员会提出的中标候选人名单排序依次确定其他中标候选人为中标人。也可以重新招标。</w:t>
      </w:r>
      <w:bookmarkEnd w:id="214"/>
      <w:r>
        <w:rPr>
          <w:rFonts w:hint="eastAsia" w:ascii="微软雅黑" w:hAnsi="微软雅黑" w:eastAsia="微软雅黑" w:cs="微软雅黑"/>
          <w:color w:val="000000"/>
          <w:highlight w:val="none"/>
        </w:rPr>
        <w:t>评标委员会完成评标后，应当向采购人提交书面评标报告。</w:t>
      </w:r>
    </w:p>
    <w:p w14:paraId="49CA8899">
      <w:pPr>
        <w:topLinePunct/>
        <w:spacing w:line="440" w:lineRule="exact"/>
        <w:ind w:firstLine="420" w:firstLineChars="200"/>
        <w:rPr>
          <w:rFonts w:hint="eastAsia" w:ascii="微软雅黑" w:hAnsi="微软雅黑" w:eastAsia="微软雅黑" w:cs="微软雅黑"/>
          <w:color w:val="000000"/>
          <w:highlight w:val="none"/>
        </w:rPr>
      </w:pPr>
    </w:p>
    <w:p w14:paraId="68D7A4BE">
      <w:pPr>
        <w:topLinePunct/>
        <w:spacing w:line="440" w:lineRule="exact"/>
        <w:ind w:firstLine="420" w:firstLineChars="200"/>
        <w:rPr>
          <w:rFonts w:hint="eastAsia" w:ascii="微软雅黑" w:hAnsi="微软雅黑" w:eastAsia="微软雅黑" w:cs="微软雅黑"/>
          <w:color w:val="000000"/>
          <w:highlight w:val="none"/>
        </w:rPr>
        <w:sectPr>
          <w:pgSz w:w="11900" w:h="16821"/>
          <w:pgMar w:top="1417" w:right="1134" w:bottom="1417" w:left="1134" w:header="720" w:footer="720" w:gutter="0"/>
          <w:cols w:space="720" w:num="1"/>
          <w:rtlGutter w:val="0"/>
          <w:docGrid w:linePitch="286" w:charSpace="0"/>
        </w:sectPr>
      </w:pPr>
    </w:p>
    <w:p w14:paraId="5AC59E15">
      <w:pPr>
        <w:pStyle w:val="4"/>
        <w:numPr>
          <w:ilvl w:val="0"/>
          <w:numId w:val="6"/>
        </w:numPr>
        <w:jc w:val="center"/>
        <w:rPr>
          <w:rFonts w:hint="eastAsia" w:ascii="微软雅黑" w:hAnsi="微软雅黑" w:eastAsia="微软雅黑" w:cs="微软雅黑"/>
          <w:highlight w:val="none"/>
        </w:rPr>
      </w:pPr>
      <w:bookmarkStart w:id="215" w:name="_Toc7689"/>
      <w:r>
        <w:rPr>
          <w:rFonts w:hint="eastAsia" w:ascii="微软雅黑" w:hAnsi="微软雅黑" w:eastAsia="微软雅黑" w:cs="微软雅黑"/>
          <w:highlight w:val="none"/>
        </w:rPr>
        <w:t>采购</w:t>
      </w:r>
      <w:r>
        <w:rPr>
          <w:rFonts w:hint="eastAsia" w:ascii="微软雅黑" w:hAnsi="微软雅黑" w:eastAsia="微软雅黑" w:cs="微软雅黑"/>
          <w:highlight w:val="none"/>
          <w:lang w:val="zh-CN"/>
        </w:rPr>
        <w:t>内容</w:t>
      </w:r>
      <w:r>
        <w:rPr>
          <w:rFonts w:hint="eastAsia" w:ascii="微软雅黑" w:hAnsi="微软雅黑" w:eastAsia="微软雅黑" w:cs="微软雅黑"/>
          <w:highlight w:val="none"/>
        </w:rPr>
        <w:t>及技术</w:t>
      </w:r>
      <w:bookmarkEnd w:id="215"/>
      <w:r>
        <w:rPr>
          <w:rFonts w:hint="eastAsia" w:ascii="微软雅黑" w:hAnsi="微软雅黑" w:eastAsia="微软雅黑" w:cs="微软雅黑"/>
          <w:highlight w:val="none"/>
          <w:lang w:eastAsia="zh-CN"/>
        </w:rPr>
        <w:t>要求</w:t>
      </w:r>
    </w:p>
    <w:tbl>
      <w:tblPr>
        <w:tblStyle w:val="18"/>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8564"/>
      </w:tblGrid>
      <w:tr w14:paraId="4D78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9420" w:type="dxa"/>
            <w:gridSpan w:val="2"/>
            <w:tcBorders>
              <w:top w:val="single" w:color="auto" w:sz="4" w:space="0"/>
              <w:left w:val="single" w:color="auto" w:sz="4" w:space="0"/>
              <w:bottom w:val="single" w:color="auto" w:sz="4" w:space="0"/>
              <w:right w:val="single" w:color="auto" w:sz="4" w:space="0"/>
            </w:tcBorders>
            <w:noWrap w:val="0"/>
            <w:vAlign w:val="center"/>
          </w:tcPr>
          <w:p w14:paraId="6D72FED8">
            <w:pPr>
              <w:keepNext w:val="0"/>
              <w:keepLines w:val="0"/>
              <w:widowControl/>
              <w:suppressLineNumbers w:val="0"/>
              <w:jc w:val="center"/>
              <w:textAlignment w:val="center"/>
              <w:rPr>
                <w:rFonts w:ascii="微软雅黑" w:hAnsi="微软雅黑" w:eastAsia="微软雅黑" w:cs="微软雅黑"/>
                <w:i w:val="0"/>
                <w:iCs w:val="0"/>
                <w:color w:val="000000"/>
                <w:sz w:val="36"/>
                <w:szCs w:val="36"/>
                <w:highlight w:val="none"/>
                <w:u w:val="none"/>
              </w:rPr>
            </w:pPr>
            <w:r>
              <w:rPr>
                <w:rFonts w:hint="eastAsia" w:ascii="微软雅黑" w:hAnsi="微软雅黑" w:eastAsia="微软雅黑" w:cs="微软雅黑"/>
                <w:i w:val="0"/>
                <w:iCs w:val="0"/>
                <w:color w:val="000000"/>
                <w:kern w:val="0"/>
                <w:sz w:val="36"/>
                <w:szCs w:val="36"/>
                <w:highlight w:val="none"/>
                <w:u w:val="none"/>
                <w:lang w:val="en-US" w:eastAsia="zh-CN" w:bidi="ar"/>
              </w:rPr>
              <w:t>精品录播教室设备采购汇总</w:t>
            </w:r>
          </w:p>
        </w:tc>
      </w:tr>
      <w:tr w14:paraId="38F3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0" w:type="auto"/>
            <w:tcBorders>
              <w:top w:val="single" w:color="auto" w:sz="4" w:space="0"/>
              <w:left w:val="single" w:color="000000" w:sz="8" w:space="0"/>
              <w:bottom w:val="single" w:color="000000" w:sz="4" w:space="0"/>
              <w:right w:val="single" w:color="000000" w:sz="4" w:space="0"/>
            </w:tcBorders>
            <w:noWrap/>
            <w:vAlign w:val="center"/>
          </w:tcPr>
          <w:p w14:paraId="6AE5EB95">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序号</w:t>
            </w:r>
          </w:p>
        </w:tc>
        <w:tc>
          <w:tcPr>
            <w:tcW w:w="8564" w:type="dxa"/>
            <w:tcBorders>
              <w:top w:val="single" w:color="auto" w:sz="4" w:space="0"/>
              <w:left w:val="single" w:color="000000" w:sz="4" w:space="0"/>
              <w:bottom w:val="single" w:color="000000" w:sz="4" w:space="0"/>
              <w:right w:val="single" w:color="000000" w:sz="8" w:space="0"/>
            </w:tcBorders>
            <w:noWrap/>
            <w:vAlign w:val="center"/>
          </w:tcPr>
          <w:p w14:paraId="5F487E39">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名称</w:t>
            </w:r>
          </w:p>
        </w:tc>
      </w:tr>
      <w:tr w14:paraId="3798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57A02448">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1</w:t>
            </w:r>
          </w:p>
        </w:tc>
        <w:tc>
          <w:tcPr>
            <w:tcW w:w="8564" w:type="dxa"/>
            <w:tcBorders>
              <w:top w:val="single" w:color="000000" w:sz="4" w:space="0"/>
              <w:left w:val="single" w:color="000000" w:sz="4" w:space="0"/>
              <w:bottom w:val="single" w:color="000000" w:sz="4" w:space="0"/>
              <w:right w:val="single" w:color="000000" w:sz="8" w:space="0"/>
            </w:tcBorders>
            <w:noWrap w:val="0"/>
            <w:vAlign w:val="center"/>
          </w:tcPr>
          <w:p w14:paraId="19DF5315">
            <w:pPr>
              <w:jc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精品录播教室设备采购(南关学校）</w:t>
            </w:r>
          </w:p>
        </w:tc>
      </w:tr>
      <w:tr w14:paraId="748B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FC54ADD">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2</w:t>
            </w:r>
          </w:p>
        </w:tc>
        <w:tc>
          <w:tcPr>
            <w:tcW w:w="8564" w:type="dxa"/>
            <w:tcBorders>
              <w:top w:val="single" w:color="000000" w:sz="4" w:space="0"/>
              <w:left w:val="single" w:color="000000" w:sz="4" w:space="0"/>
              <w:bottom w:val="single" w:color="000000" w:sz="4" w:space="0"/>
              <w:right w:val="single" w:color="000000" w:sz="8" w:space="0"/>
            </w:tcBorders>
            <w:noWrap w:val="0"/>
            <w:vAlign w:val="center"/>
          </w:tcPr>
          <w:p w14:paraId="335084AF">
            <w:pPr>
              <w:jc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精品录播教室设备采购(大同实验学校）</w:t>
            </w:r>
          </w:p>
        </w:tc>
      </w:tr>
      <w:tr w14:paraId="4F83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000000" w:sz="4" w:space="0"/>
              <w:left w:val="single" w:color="000000" w:sz="8" w:space="0"/>
              <w:bottom w:val="single" w:color="auto" w:sz="4" w:space="0"/>
              <w:right w:val="single" w:color="000000" w:sz="4" w:space="0"/>
            </w:tcBorders>
            <w:noWrap/>
            <w:vAlign w:val="center"/>
          </w:tcPr>
          <w:p w14:paraId="6F119ABF">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3</w:t>
            </w:r>
          </w:p>
        </w:tc>
        <w:tc>
          <w:tcPr>
            <w:tcW w:w="8564" w:type="dxa"/>
            <w:tcBorders>
              <w:top w:val="single" w:color="000000" w:sz="4" w:space="0"/>
              <w:left w:val="single" w:color="000000" w:sz="4" w:space="0"/>
              <w:bottom w:val="single" w:color="auto" w:sz="4" w:space="0"/>
              <w:right w:val="single" w:color="000000" w:sz="8" w:space="0"/>
            </w:tcBorders>
            <w:noWrap w:val="0"/>
            <w:vAlign w:val="center"/>
          </w:tcPr>
          <w:p w14:paraId="3CE6318D">
            <w:pPr>
              <w:jc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1.86 LED屏等设备采购安装(大同实验学校）</w:t>
            </w:r>
          </w:p>
        </w:tc>
      </w:tr>
      <w:tr w14:paraId="13A8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auto" w:sz="4" w:space="0"/>
              <w:left w:val="single" w:color="auto" w:sz="4" w:space="0"/>
              <w:bottom w:val="single" w:color="auto" w:sz="4" w:space="0"/>
              <w:right w:val="single" w:color="000000" w:sz="4" w:space="0"/>
            </w:tcBorders>
            <w:noWrap/>
            <w:vAlign w:val="center"/>
          </w:tcPr>
          <w:p w14:paraId="0EC4790E">
            <w:pPr>
              <w:keepNext w:val="0"/>
              <w:keepLines w:val="0"/>
              <w:widowControl/>
              <w:suppressLineNumbers w:val="0"/>
              <w:jc w:val="center"/>
              <w:textAlignment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4</w:t>
            </w:r>
          </w:p>
        </w:tc>
        <w:tc>
          <w:tcPr>
            <w:tcW w:w="8564" w:type="dxa"/>
            <w:tcBorders>
              <w:top w:val="single" w:color="auto" w:sz="4" w:space="0"/>
              <w:left w:val="single" w:color="000000" w:sz="4" w:space="0"/>
              <w:bottom w:val="single" w:color="auto" w:sz="4" w:space="0"/>
              <w:right w:val="single" w:color="auto" w:sz="4" w:space="0"/>
            </w:tcBorders>
            <w:noWrap w:val="0"/>
            <w:vAlign w:val="center"/>
          </w:tcPr>
          <w:p w14:paraId="1584615E">
            <w:pPr>
              <w:jc w:val="center"/>
              <w:rPr>
                <w:rFonts w:hint="eastAsia" w:ascii="微软雅黑" w:hAnsi="微软雅黑" w:eastAsia="微软雅黑" w:cs="微软雅黑"/>
                <w:i w:val="0"/>
                <w:iCs w:val="0"/>
                <w:color w:val="000000"/>
                <w:sz w:val="32"/>
                <w:szCs w:val="32"/>
                <w:highlight w:val="none"/>
                <w:u w:val="none"/>
              </w:rPr>
            </w:pPr>
            <w:r>
              <w:rPr>
                <w:rFonts w:hint="eastAsia" w:ascii="微软雅黑" w:hAnsi="微软雅黑" w:eastAsia="微软雅黑" w:cs="微软雅黑"/>
                <w:i w:val="0"/>
                <w:iCs w:val="0"/>
                <w:color w:val="000000"/>
                <w:kern w:val="0"/>
                <w:sz w:val="32"/>
                <w:szCs w:val="32"/>
                <w:highlight w:val="none"/>
                <w:u w:val="none"/>
                <w:lang w:val="en-US" w:eastAsia="zh-CN" w:bidi="ar"/>
              </w:rPr>
              <w:t>会议长条桌(大同实验学校）</w:t>
            </w:r>
          </w:p>
        </w:tc>
      </w:tr>
      <w:tr w14:paraId="2747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auto" w:sz="4" w:space="0"/>
              <w:left w:val="single" w:color="auto" w:sz="4" w:space="0"/>
              <w:bottom w:val="single" w:color="auto" w:sz="4" w:space="0"/>
              <w:right w:val="single" w:color="000000" w:sz="4" w:space="0"/>
            </w:tcBorders>
            <w:noWrap/>
            <w:vAlign w:val="center"/>
          </w:tcPr>
          <w:p w14:paraId="3FD72E4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32"/>
                <w:szCs w:val="32"/>
                <w:highlight w:val="none"/>
                <w:u w:val="none"/>
                <w:lang w:val="en-US" w:eastAsia="zh-CN" w:bidi="ar"/>
              </w:rPr>
              <w:t>5</w:t>
            </w:r>
          </w:p>
        </w:tc>
        <w:tc>
          <w:tcPr>
            <w:tcW w:w="8564" w:type="dxa"/>
            <w:tcBorders>
              <w:top w:val="single" w:color="auto" w:sz="4" w:space="0"/>
              <w:left w:val="single" w:color="000000" w:sz="4" w:space="0"/>
              <w:bottom w:val="single" w:color="auto" w:sz="4" w:space="0"/>
              <w:right w:val="single" w:color="auto" w:sz="4" w:space="0"/>
            </w:tcBorders>
            <w:noWrap w:val="0"/>
            <w:vAlign w:val="center"/>
          </w:tcPr>
          <w:p w14:paraId="07267B8B">
            <w:pPr>
              <w:jc w:val="center"/>
              <w:rPr>
                <w:rFonts w:hint="eastAsia" w:ascii="微软雅黑" w:hAnsi="微软雅黑" w:eastAsia="微软雅黑" w:cs="微软雅黑"/>
                <w:i w:val="0"/>
                <w:iCs w:val="0"/>
                <w:color w:val="000000"/>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32"/>
                <w:szCs w:val="32"/>
                <w:highlight w:val="none"/>
                <w:u w:val="none"/>
                <w:lang w:val="en-US" w:eastAsia="zh-CN" w:bidi="ar"/>
              </w:rPr>
              <w:t>办公桌椅、文件柜（杞县高中附属中学）</w:t>
            </w:r>
          </w:p>
        </w:tc>
      </w:tr>
      <w:tr w14:paraId="55D6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auto" w:sz="4" w:space="0"/>
              <w:left w:val="single" w:color="auto" w:sz="4" w:space="0"/>
              <w:bottom w:val="single" w:color="auto" w:sz="4" w:space="0"/>
              <w:right w:val="single" w:color="000000" w:sz="4" w:space="0"/>
            </w:tcBorders>
            <w:noWrap/>
            <w:vAlign w:val="center"/>
          </w:tcPr>
          <w:p w14:paraId="32E2DBE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32"/>
                <w:szCs w:val="32"/>
                <w:highlight w:val="none"/>
                <w:u w:val="none"/>
                <w:lang w:val="en-US" w:eastAsia="zh-CN" w:bidi="ar"/>
              </w:rPr>
              <w:t>6</w:t>
            </w:r>
          </w:p>
        </w:tc>
        <w:tc>
          <w:tcPr>
            <w:tcW w:w="8564" w:type="dxa"/>
            <w:tcBorders>
              <w:top w:val="single" w:color="auto" w:sz="4" w:space="0"/>
              <w:left w:val="single" w:color="000000" w:sz="4" w:space="0"/>
              <w:bottom w:val="single" w:color="auto" w:sz="4" w:space="0"/>
              <w:right w:val="single" w:color="auto" w:sz="4" w:space="0"/>
            </w:tcBorders>
            <w:noWrap w:val="0"/>
            <w:vAlign w:val="center"/>
          </w:tcPr>
          <w:p w14:paraId="107D389C">
            <w:pPr>
              <w:jc w:val="center"/>
              <w:rPr>
                <w:rFonts w:hint="eastAsia" w:ascii="微软雅黑" w:hAnsi="微软雅黑" w:eastAsia="微软雅黑" w:cs="微软雅黑"/>
                <w:i w:val="0"/>
                <w:iCs w:val="0"/>
                <w:color w:val="000000"/>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32"/>
                <w:szCs w:val="32"/>
                <w:highlight w:val="none"/>
                <w:u w:val="none"/>
                <w:lang w:val="en-US" w:eastAsia="zh-CN" w:bidi="ar"/>
              </w:rPr>
              <w:t>精品录播教室设备采购（杞县高中附属中学）</w:t>
            </w:r>
          </w:p>
        </w:tc>
      </w:tr>
    </w:tbl>
    <w:p w14:paraId="2B52A02A">
      <w:pPr>
        <w:pStyle w:val="30"/>
        <w:ind w:firstLine="480" w:firstLineChars="200"/>
        <w:rPr>
          <w:rFonts w:hint="eastAsia" w:ascii="微软雅黑" w:hAnsi="微软雅黑" w:eastAsia="微软雅黑" w:cs="微软雅黑"/>
          <w:color w:val="auto"/>
          <w:sz w:val="24"/>
          <w:szCs w:val="28"/>
          <w:highlight w:val="none"/>
        </w:rPr>
      </w:pPr>
    </w:p>
    <w:tbl>
      <w:tblPr>
        <w:tblStyle w:val="18"/>
        <w:tblW w:w="10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6"/>
        <w:gridCol w:w="1200"/>
        <w:gridCol w:w="7608"/>
        <w:gridCol w:w="443"/>
        <w:gridCol w:w="630"/>
      </w:tblGrid>
      <w:tr w14:paraId="4E9A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257" w:type="dxa"/>
            <w:gridSpan w:val="5"/>
            <w:tcBorders>
              <w:top w:val="single" w:color="000000" w:sz="4" w:space="0"/>
              <w:left w:val="single" w:color="000000" w:sz="4" w:space="0"/>
              <w:bottom w:val="single" w:color="000000" w:sz="4" w:space="0"/>
              <w:right w:val="single" w:color="000000" w:sz="4" w:space="0"/>
            </w:tcBorders>
            <w:noWrap w:val="0"/>
            <w:vAlign w:val="center"/>
          </w:tcPr>
          <w:p w14:paraId="12A9381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highlight w:val="none"/>
                <w:u w:val="none"/>
                <w:lang w:val="en-US" w:eastAsia="zh-CN" w:bidi="ar"/>
              </w:rPr>
            </w:pPr>
            <w:r>
              <w:rPr>
                <w:rFonts w:hint="eastAsia" w:ascii="微软雅黑" w:hAnsi="微软雅黑" w:eastAsia="微软雅黑" w:cs="微软雅黑"/>
                <w:b/>
                <w:bCs/>
                <w:i w:val="0"/>
                <w:iCs w:val="0"/>
                <w:color w:val="000000"/>
                <w:kern w:val="0"/>
                <w:sz w:val="16"/>
                <w:szCs w:val="16"/>
                <w:highlight w:val="none"/>
                <w:u w:val="none"/>
                <w:lang w:val="en-US" w:eastAsia="zh-CN" w:bidi="ar"/>
              </w:rPr>
              <w:t>1.86 LED屏等设备采购安装(大同实验学校）</w:t>
            </w:r>
          </w:p>
        </w:tc>
      </w:tr>
      <w:tr w14:paraId="72AC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0AEE665D">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highlight w:val="none"/>
                <w:u w:val="none"/>
              </w:rPr>
            </w:pPr>
            <w:r>
              <w:rPr>
                <w:rFonts w:hint="eastAsia" w:ascii="微软雅黑" w:hAnsi="微软雅黑" w:eastAsia="微软雅黑" w:cs="微软雅黑"/>
                <w:b/>
                <w:bCs/>
                <w:i w:val="0"/>
                <w:iCs w:val="0"/>
                <w:color w:val="000000"/>
                <w:kern w:val="0"/>
                <w:sz w:val="16"/>
                <w:szCs w:val="16"/>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7836B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highlight w:val="none"/>
                <w:u w:val="none"/>
              </w:rPr>
            </w:pPr>
            <w:r>
              <w:rPr>
                <w:rFonts w:hint="eastAsia" w:ascii="微软雅黑" w:hAnsi="微软雅黑" w:eastAsia="微软雅黑" w:cs="微软雅黑"/>
                <w:b/>
                <w:bCs/>
                <w:i w:val="0"/>
                <w:iCs w:val="0"/>
                <w:color w:val="000000"/>
                <w:kern w:val="0"/>
                <w:sz w:val="16"/>
                <w:szCs w:val="16"/>
                <w:highlight w:val="none"/>
                <w:u w:val="none"/>
                <w:lang w:val="en-US" w:eastAsia="zh-CN" w:bidi="ar"/>
              </w:rPr>
              <w:t>设备名称</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1EE30F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highlight w:val="none"/>
                <w:u w:val="none"/>
              </w:rPr>
            </w:pPr>
            <w:r>
              <w:rPr>
                <w:rFonts w:hint="eastAsia" w:ascii="微软雅黑" w:hAnsi="微软雅黑" w:eastAsia="微软雅黑" w:cs="微软雅黑"/>
                <w:b/>
                <w:bCs/>
                <w:i w:val="0"/>
                <w:iCs w:val="0"/>
                <w:color w:val="000000"/>
                <w:kern w:val="0"/>
                <w:sz w:val="16"/>
                <w:szCs w:val="16"/>
                <w:highlight w:val="none"/>
                <w:u w:val="none"/>
                <w:lang w:val="en-US" w:eastAsia="zh-CN" w:bidi="ar"/>
              </w:rPr>
              <w:t>主要规格</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337D47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highlight w:val="none"/>
                <w:u w:val="none"/>
              </w:rPr>
            </w:pPr>
            <w:r>
              <w:rPr>
                <w:rFonts w:hint="eastAsia" w:ascii="微软雅黑" w:hAnsi="微软雅黑" w:eastAsia="微软雅黑" w:cs="微软雅黑"/>
                <w:b/>
                <w:bCs/>
                <w:i w:val="0"/>
                <w:iCs w:val="0"/>
                <w:color w:val="000000"/>
                <w:kern w:val="0"/>
                <w:sz w:val="16"/>
                <w:szCs w:val="16"/>
                <w:highlight w:val="none"/>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8E28B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highlight w:val="none"/>
                <w:u w:val="none"/>
              </w:rPr>
            </w:pPr>
            <w:r>
              <w:rPr>
                <w:rFonts w:hint="eastAsia" w:ascii="微软雅黑" w:hAnsi="微软雅黑" w:eastAsia="微软雅黑" w:cs="微软雅黑"/>
                <w:b/>
                <w:bCs/>
                <w:i w:val="0"/>
                <w:iCs w:val="0"/>
                <w:color w:val="000000"/>
                <w:kern w:val="0"/>
                <w:sz w:val="16"/>
                <w:szCs w:val="16"/>
                <w:highlight w:val="none"/>
                <w:u w:val="none"/>
                <w:lang w:val="en-US" w:eastAsia="zh-CN" w:bidi="ar"/>
              </w:rPr>
              <w:t>数量</w:t>
            </w:r>
          </w:p>
        </w:tc>
      </w:tr>
      <w:tr w14:paraId="2154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02617A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9242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LED屏（显示尺寸：4.16m*2.4m</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显示屏分辨率：2236*1290）</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1811D35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Style w:val="92"/>
                <w:highlight w:val="none"/>
                <w:lang w:val="en-US" w:eastAsia="zh-CN" w:bidi="ar"/>
              </w:rPr>
              <w:t>1.★像素间距：≤1.86mm；屏幕像素密度≥289032点/m2 ；（需提供经中国合格评定国家认可委员会和中国计量认证和国际实验室认可合作组织认可的第三方检测机构出具的检测报告）；</w:t>
            </w:r>
            <w:r>
              <w:rPr>
                <w:rStyle w:val="92"/>
                <w:highlight w:val="none"/>
                <w:lang w:val="en-US" w:eastAsia="zh-CN" w:bidi="ar"/>
              </w:rPr>
              <w:br w:type="textWrapping"/>
            </w:r>
            <w:r>
              <w:rPr>
                <w:rStyle w:val="92"/>
                <w:highlight w:val="none"/>
                <w:lang w:val="en-US" w:eastAsia="zh-CN" w:bidi="ar"/>
              </w:rPr>
              <w:t>2.为了保证色彩一致性，发光点RGB芯片主基色波长偏差≤±3nm；</w:t>
            </w:r>
            <w:r>
              <w:rPr>
                <w:rStyle w:val="92"/>
                <w:highlight w:val="none"/>
                <w:lang w:val="en-US" w:eastAsia="zh-CN" w:bidi="ar"/>
              </w:rPr>
              <w:br w:type="textWrapping"/>
            </w:r>
            <w:r>
              <w:rPr>
                <w:rStyle w:val="92"/>
                <w:highlight w:val="none"/>
                <w:lang w:val="en-US" w:eastAsia="zh-CN" w:bidi="ar"/>
              </w:rPr>
              <w:t>3.功率：要求LED显示屏峰值功耗240W/</w:t>
            </w:r>
            <w:r>
              <w:rPr>
                <w:rStyle w:val="93"/>
                <w:highlight w:val="none"/>
                <w:lang w:val="en-US" w:eastAsia="zh-CN" w:bidi="ar"/>
              </w:rPr>
              <w:t>㎡</w:t>
            </w:r>
            <w:r>
              <w:rPr>
                <w:rStyle w:val="92"/>
                <w:highlight w:val="none"/>
                <w:lang w:val="en-US" w:eastAsia="zh-CN" w:bidi="ar"/>
              </w:rPr>
              <w:t>，平均功耗116W/</w:t>
            </w:r>
            <w:r>
              <w:rPr>
                <w:rStyle w:val="93"/>
                <w:highlight w:val="none"/>
                <w:lang w:val="en-US" w:eastAsia="zh-CN" w:bidi="ar"/>
              </w:rPr>
              <w:t>㎡</w:t>
            </w:r>
            <w:r>
              <w:rPr>
                <w:rStyle w:val="92"/>
                <w:highlight w:val="none"/>
                <w:lang w:val="en-US" w:eastAsia="zh-CN" w:bidi="ar"/>
              </w:rPr>
              <w:t>，在600nits亮度下</w:t>
            </w:r>
            <w:r>
              <w:rPr>
                <w:rStyle w:val="92"/>
                <w:highlight w:val="none"/>
                <w:lang w:val="en-US" w:eastAsia="zh-CN" w:bidi="ar"/>
              </w:rPr>
              <w:br w:type="textWrapping"/>
            </w:r>
            <w:r>
              <w:rPr>
                <w:rStyle w:val="92"/>
                <w:highlight w:val="none"/>
                <w:lang w:val="en-US" w:eastAsia="zh-CN" w:bidi="ar"/>
              </w:rPr>
              <w:t>4.★驱动方式：共阳恒流驱动；</w:t>
            </w:r>
            <w:r>
              <w:rPr>
                <w:rStyle w:val="92"/>
                <w:highlight w:val="none"/>
                <w:lang w:val="en-US" w:eastAsia="zh-CN" w:bidi="ar"/>
              </w:rPr>
              <w:br w:type="textWrapping"/>
            </w:r>
            <w:r>
              <w:rPr>
                <w:rStyle w:val="92"/>
                <w:highlight w:val="none"/>
                <w:lang w:val="en-US" w:eastAsia="zh-CN" w:bidi="ar"/>
              </w:rPr>
              <w:t>5.控制方式：同步/异步，点对点控制；</w:t>
            </w:r>
            <w:r>
              <w:rPr>
                <w:rStyle w:val="92"/>
                <w:highlight w:val="none"/>
                <w:lang w:val="en-US" w:eastAsia="zh-CN" w:bidi="ar"/>
              </w:rPr>
              <w:br w:type="textWrapping"/>
            </w:r>
            <w:r>
              <w:rPr>
                <w:rStyle w:val="92"/>
                <w:highlight w:val="none"/>
                <w:lang w:val="en-US" w:eastAsia="zh-CN" w:bidi="ar"/>
              </w:rPr>
              <w:t>6.对比度：≥10000: 1 ；</w:t>
            </w:r>
            <w:r>
              <w:rPr>
                <w:rStyle w:val="92"/>
                <w:highlight w:val="none"/>
                <w:lang w:val="en-US" w:eastAsia="zh-CN" w:bidi="ar"/>
              </w:rPr>
              <w:br w:type="textWrapping"/>
            </w:r>
            <w:r>
              <w:rPr>
                <w:rStyle w:val="92"/>
                <w:highlight w:val="none"/>
                <w:lang w:val="en-US" w:eastAsia="zh-CN" w:bidi="ar"/>
              </w:rPr>
              <w:t>7.可视角度（水平/垂直）：≥175°/ 175°；</w:t>
            </w:r>
            <w:r>
              <w:rPr>
                <w:rStyle w:val="92"/>
                <w:highlight w:val="none"/>
                <w:lang w:val="en-US" w:eastAsia="zh-CN" w:bidi="ar"/>
              </w:rPr>
              <w:br w:type="textWrapping"/>
            </w:r>
            <w:r>
              <w:rPr>
                <w:rStyle w:val="92"/>
                <w:highlight w:val="none"/>
                <w:lang w:val="en-US" w:eastAsia="zh-CN" w:bidi="ar"/>
              </w:rPr>
              <w:t xml:space="preserve">8.灰度等级≥16Bit; </w:t>
            </w:r>
            <w:r>
              <w:rPr>
                <w:rStyle w:val="92"/>
                <w:highlight w:val="none"/>
                <w:lang w:val="en-US" w:eastAsia="zh-CN" w:bidi="ar"/>
              </w:rPr>
              <w:br w:type="textWrapping"/>
            </w:r>
            <w:r>
              <w:rPr>
                <w:rStyle w:val="92"/>
                <w:highlight w:val="none"/>
                <w:lang w:val="en-US" w:eastAsia="zh-CN" w:bidi="ar"/>
              </w:rPr>
              <w:t>9.刷新率（Hz）≥3840；</w:t>
            </w:r>
            <w:r>
              <w:rPr>
                <w:rStyle w:val="92"/>
                <w:highlight w:val="none"/>
                <w:lang w:val="en-US" w:eastAsia="zh-CN" w:bidi="ar"/>
              </w:rPr>
              <w:br w:type="textWrapping"/>
            </w:r>
            <w:r>
              <w:rPr>
                <w:rStyle w:val="92"/>
                <w:highlight w:val="none"/>
                <w:lang w:val="en-US" w:eastAsia="zh-CN" w:bidi="ar"/>
              </w:rPr>
              <w:t>10.换帧频率≥30Hz，其最高可支持120HZ ；</w:t>
            </w:r>
            <w:r>
              <w:rPr>
                <w:rStyle w:val="92"/>
                <w:highlight w:val="none"/>
                <w:lang w:val="en-US" w:eastAsia="zh-CN" w:bidi="ar"/>
              </w:rPr>
              <w:br w:type="textWrapping"/>
            </w:r>
            <w:r>
              <w:rPr>
                <w:rStyle w:val="92"/>
                <w:highlight w:val="none"/>
                <w:lang w:val="en-US" w:eastAsia="zh-CN" w:bidi="ar"/>
              </w:rPr>
              <w:t>11.色温范围：范围800K～20000K范围内调节；</w:t>
            </w:r>
            <w:r>
              <w:rPr>
                <w:rStyle w:val="92"/>
                <w:highlight w:val="none"/>
                <w:lang w:val="en-US" w:eastAsia="zh-CN" w:bidi="ar"/>
              </w:rPr>
              <w:br w:type="textWrapping"/>
            </w:r>
            <w:r>
              <w:rPr>
                <w:rStyle w:val="92"/>
                <w:highlight w:val="none"/>
                <w:lang w:val="en-US" w:eastAsia="zh-CN" w:bidi="ar"/>
              </w:rPr>
              <w:t>12.亮度：产品亮度&gt;600cd/</w:t>
            </w:r>
            <w:r>
              <w:rPr>
                <w:rStyle w:val="93"/>
                <w:highlight w:val="none"/>
                <w:lang w:val="en-US" w:eastAsia="zh-CN" w:bidi="ar"/>
              </w:rPr>
              <w:t>㎡</w:t>
            </w:r>
            <w:r>
              <w:rPr>
                <w:rStyle w:val="92"/>
                <w:highlight w:val="none"/>
                <w:lang w:val="en-US" w:eastAsia="zh-CN" w:bidi="ar"/>
              </w:rPr>
              <w:t>；</w:t>
            </w:r>
            <w:r>
              <w:rPr>
                <w:rStyle w:val="92"/>
                <w:highlight w:val="none"/>
                <w:lang w:val="en-US" w:eastAsia="zh-CN" w:bidi="ar"/>
              </w:rPr>
              <w:br w:type="textWrapping"/>
            </w:r>
            <w:r>
              <w:rPr>
                <w:rStyle w:val="92"/>
                <w:highlight w:val="none"/>
                <w:lang w:val="en-US" w:eastAsia="zh-CN" w:bidi="ar"/>
              </w:rPr>
              <w:t>13.亮度均匀性：校正前≥98%，校正后≥99.6%；</w:t>
            </w:r>
            <w:r>
              <w:rPr>
                <w:rStyle w:val="92"/>
                <w:highlight w:val="none"/>
                <w:lang w:val="en-US" w:eastAsia="zh-CN" w:bidi="ar"/>
              </w:rPr>
              <w:br w:type="textWrapping"/>
            </w:r>
            <w:r>
              <w:rPr>
                <w:rStyle w:val="92"/>
                <w:highlight w:val="none"/>
                <w:lang w:val="en-US" w:eastAsia="zh-CN" w:bidi="ar"/>
              </w:rPr>
              <w:t>14.色度均匀性：±0.0001Cx,Cy；</w:t>
            </w:r>
            <w:r>
              <w:rPr>
                <w:rStyle w:val="92"/>
                <w:highlight w:val="none"/>
                <w:lang w:val="en-US" w:eastAsia="zh-CN" w:bidi="ar"/>
              </w:rPr>
              <w:br w:type="textWrapping"/>
            </w:r>
            <w:r>
              <w:rPr>
                <w:rStyle w:val="92"/>
                <w:highlight w:val="none"/>
                <w:lang w:val="en-US" w:eastAsia="zh-CN" w:bidi="ar"/>
              </w:rPr>
              <w:t>15.像素失控率：≤1/100000；</w:t>
            </w:r>
            <w:r>
              <w:rPr>
                <w:rStyle w:val="92"/>
                <w:highlight w:val="none"/>
                <w:lang w:val="en-US" w:eastAsia="zh-CN" w:bidi="ar"/>
              </w:rPr>
              <w:br w:type="textWrapping"/>
            </w:r>
            <w:r>
              <w:rPr>
                <w:rStyle w:val="92"/>
                <w:highlight w:val="none"/>
                <w:lang w:val="en-US" w:eastAsia="zh-CN" w:bidi="ar"/>
              </w:rPr>
              <w:t>16.单点亮度校正：支持单点亮度校正；</w:t>
            </w:r>
            <w:r>
              <w:rPr>
                <w:rStyle w:val="92"/>
                <w:highlight w:val="none"/>
                <w:lang w:val="en-US" w:eastAsia="zh-CN" w:bidi="ar"/>
              </w:rPr>
              <w:br w:type="textWrapping"/>
            </w:r>
            <w:r>
              <w:rPr>
                <w:rStyle w:val="92"/>
                <w:highlight w:val="none"/>
                <w:lang w:val="en-US" w:eastAsia="zh-CN" w:bidi="ar"/>
              </w:rPr>
              <w:t>17.单点色度校正：支持单点色度校正；</w:t>
            </w:r>
            <w:r>
              <w:rPr>
                <w:rStyle w:val="92"/>
                <w:highlight w:val="none"/>
                <w:lang w:val="en-US" w:eastAsia="zh-CN" w:bidi="ar"/>
              </w:rPr>
              <w:br w:type="textWrapping"/>
            </w:r>
            <w:r>
              <w:rPr>
                <w:rStyle w:val="92"/>
                <w:highlight w:val="none"/>
                <w:lang w:val="en-US" w:eastAsia="zh-CN" w:bidi="ar"/>
              </w:rPr>
              <w:t>18.电源平均效率：室温下，供电电源的功率因素不小于90%，转换率不小于70%</w:t>
            </w:r>
            <w:r>
              <w:rPr>
                <w:rStyle w:val="92"/>
                <w:highlight w:val="none"/>
                <w:lang w:val="en-US" w:eastAsia="zh-CN" w:bidi="ar"/>
              </w:rPr>
              <w:br w:type="textWrapping"/>
            </w:r>
            <w:r>
              <w:rPr>
                <w:rStyle w:val="92"/>
                <w:highlight w:val="none"/>
                <w:lang w:val="en-US" w:eastAsia="zh-CN" w:bidi="ar"/>
              </w:rPr>
              <w:t>19.★接插件要求：采用镀金工艺，镀层厚度≥1um；</w:t>
            </w:r>
            <w:r>
              <w:rPr>
                <w:rStyle w:val="92"/>
                <w:highlight w:val="none"/>
                <w:lang w:val="en-US" w:eastAsia="zh-CN" w:bidi="ar"/>
              </w:rPr>
              <w:br w:type="textWrapping"/>
            </w:r>
            <w:r>
              <w:rPr>
                <w:rStyle w:val="92"/>
                <w:highlight w:val="none"/>
                <w:lang w:val="en-US" w:eastAsia="zh-CN" w:bidi="ar"/>
              </w:rPr>
              <w:t>20.平均失效工作时间：LED示屏的平均失效间隔工作时间MTBF不低于100000h；</w:t>
            </w:r>
            <w:r>
              <w:rPr>
                <w:rStyle w:val="92"/>
                <w:highlight w:val="none"/>
                <w:lang w:val="en-US" w:eastAsia="zh-CN" w:bidi="ar"/>
              </w:rPr>
              <w:br w:type="textWrapping"/>
            </w:r>
            <w:r>
              <w:rPr>
                <w:rStyle w:val="92"/>
                <w:highlight w:val="none"/>
                <w:lang w:val="en-US" w:eastAsia="zh-CN" w:bidi="ar"/>
              </w:rPr>
              <w:t xml:space="preserve">21.平均修复时间（mttr)：单元部件均可在15分钟内完成替换维修； </w:t>
            </w:r>
            <w:r>
              <w:rPr>
                <w:rStyle w:val="92"/>
                <w:highlight w:val="none"/>
                <w:lang w:val="en-US" w:eastAsia="zh-CN" w:bidi="ar"/>
              </w:rPr>
              <w:br w:type="textWrapping"/>
            </w:r>
            <w:r>
              <w:rPr>
                <w:rStyle w:val="92"/>
                <w:highlight w:val="none"/>
                <w:lang w:val="en-US" w:eastAsia="zh-CN" w:bidi="ar"/>
              </w:rPr>
              <w:t xml:space="preserve">22.使用寿命：≥100000H； </w:t>
            </w:r>
            <w:r>
              <w:rPr>
                <w:rStyle w:val="92"/>
                <w:highlight w:val="none"/>
                <w:lang w:val="en-US" w:eastAsia="zh-CN" w:bidi="ar"/>
              </w:rPr>
              <w:br w:type="textWrapping"/>
            </w:r>
            <w:r>
              <w:rPr>
                <w:rStyle w:val="92"/>
                <w:highlight w:val="none"/>
                <w:lang w:val="en-US" w:eastAsia="zh-CN" w:bidi="ar"/>
              </w:rPr>
              <w:t>23.维护方式：前维护；</w:t>
            </w:r>
            <w:r>
              <w:rPr>
                <w:rStyle w:val="92"/>
                <w:highlight w:val="none"/>
                <w:lang w:val="en-US" w:eastAsia="zh-CN" w:bidi="ar"/>
              </w:rPr>
              <w:br w:type="textWrapping"/>
            </w:r>
            <w:r>
              <w:rPr>
                <w:rStyle w:val="92"/>
                <w:highlight w:val="none"/>
                <w:lang w:val="en-US" w:eastAsia="zh-CN" w:bidi="ar"/>
              </w:rPr>
              <w:t>24.温度负载能力：LED显示屏最高工作环境温度下，相对湿度87%-93%，通电8h.通电显示无异常、无起泡，掉色等现象，功能和外观检测无异常；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24338">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D60B8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9.984</w:t>
            </w:r>
          </w:p>
        </w:tc>
      </w:tr>
      <w:tr w14:paraId="5391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6"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6A818AB8">
            <w:pPr>
              <w:jc w:val="center"/>
              <w:rPr>
                <w:rFonts w:hint="eastAsia" w:ascii="微软雅黑" w:hAnsi="微软雅黑" w:eastAsia="微软雅黑" w:cs="微软雅黑"/>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62CD28">
            <w:pPr>
              <w:rPr>
                <w:rFonts w:hint="eastAsia" w:ascii="微软雅黑" w:hAnsi="微软雅黑" w:eastAsia="微软雅黑" w:cs="微软雅黑"/>
                <w:i w:val="0"/>
                <w:iCs w:val="0"/>
                <w:color w:val="000000"/>
                <w:sz w:val="16"/>
                <w:szCs w:val="16"/>
                <w:highlight w:val="none"/>
                <w:u w:val="none"/>
              </w:rPr>
            </w:pP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EF337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Style w:val="92"/>
                <w:highlight w:val="none"/>
                <w:lang w:val="en-US" w:eastAsia="zh-CN" w:bidi="ar"/>
              </w:rPr>
              <w:t>25.工作环境温度：-10°～+40°；</w:t>
            </w:r>
            <w:r>
              <w:rPr>
                <w:rStyle w:val="92"/>
                <w:highlight w:val="none"/>
                <w:lang w:val="en-US" w:eastAsia="zh-CN" w:bidi="ar"/>
              </w:rPr>
              <w:br w:type="textWrapping"/>
            </w:r>
            <w:r>
              <w:rPr>
                <w:rStyle w:val="92"/>
                <w:highlight w:val="none"/>
                <w:lang w:val="en-US" w:eastAsia="zh-CN" w:bidi="ar"/>
              </w:rPr>
              <w:t>26.★灯珠附着力测试：用2块灯板做对比测试，给LED灯珠施加侧向推力，测试灯珠在一定的侧向推力的情况是否会从PCB板上脱落，或者灯珠壳破损，具备6KG的侧向推力。</w:t>
            </w:r>
            <w:r>
              <w:rPr>
                <w:rStyle w:val="92"/>
                <w:highlight w:val="none"/>
                <w:lang w:val="en-US" w:eastAsia="zh-CN" w:bidi="ar"/>
              </w:rPr>
              <w:br w:type="textWrapping"/>
            </w:r>
            <w:r>
              <w:rPr>
                <w:rStyle w:val="92"/>
                <w:highlight w:val="none"/>
                <w:lang w:val="en-US" w:eastAsia="zh-CN" w:bidi="ar"/>
              </w:rPr>
              <w:t>27.自检功能：LED单点自检，通讯检测，电源检测，温度监控；（需提供经国际实验室认可合作组织认可的第三方检测机构出具的检测报告）；</w:t>
            </w:r>
            <w:r>
              <w:rPr>
                <w:rStyle w:val="92"/>
                <w:highlight w:val="none"/>
                <w:lang w:val="en-US" w:eastAsia="zh-CN" w:bidi="ar"/>
              </w:rPr>
              <w:br w:type="textWrapping"/>
            </w:r>
            <w:r>
              <w:rPr>
                <w:rStyle w:val="92"/>
                <w:highlight w:val="none"/>
                <w:lang w:val="en-US" w:eastAsia="zh-CN" w:bidi="ar"/>
              </w:rPr>
              <w:t>28.★防蓝光：蓝光辐射功率≤0.11W/</w:t>
            </w:r>
            <w:r>
              <w:rPr>
                <w:rStyle w:val="93"/>
                <w:highlight w:val="none"/>
                <w:lang w:val="en-US" w:eastAsia="zh-CN" w:bidi="ar"/>
              </w:rPr>
              <w:t>㎡</w:t>
            </w:r>
            <w:r>
              <w:rPr>
                <w:rStyle w:val="92"/>
                <w:highlight w:val="none"/>
                <w:lang w:val="en-US" w:eastAsia="zh-CN" w:bidi="ar"/>
              </w:rPr>
              <w:t>·sr·nm；（需提供经国际实验室认可合作组织认可的第三方检测机构出具的检测报告）；</w:t>
            </w:r>
            <w:r>
              <w:rPr>
                <w:rStyle w:val="92"/>
                <w:highlight w:val="none"/>
                <w:lang w:val="en-US" w:eastAsia="zh-CN" w:bidi="ar"/>
              </w:rPr>
              <w:br w:type="textWrapping"/>
            </w:r>
            <w:r>
              <w:rPr>
                <w:rStyle w:val="92"/>
                <w:highlight w:val="none"/>
                <w:lang w:val="en-US" w:eastAsia="zh-CN" w:bidi="ar"/>
              </w:rPr>
              <w:t>29.监控功能：LED 显示屏具备远程监控功能，可实现 远程监督控制，对可能发生的潜在故障 记录日志，并向操作员发出报警信号；（需提供经国际实验室认可合作组织认可的第三方检测机构出具的检测报告）；</w:t>
            </w:r>
            <w:r>
              <w:rPr>
                <w:rStyle w:val="92"/>
                <w:highlight w:val="none"/>
                <w:lang w:val="en-US" w:eastAsia="zh-CN" w:bidi="ar"/>
              </w:rPr>
              <w:br w:type="textWrapping"/>
            </w:r>
            <w:r>
              <w:rPr>
                <w:rStyle w:val="92"/>
                <w:highlight w:val="none"/>
                <w:lang w:val="en-US" w:eastAsia="zh-CN" w:bidi="ar"/>
              </w:rPr>
              <w:t xml:space="preserve">30.处理能力：具备NTSC、PAL、EBU、DCI-P3、SRGB等不同色域标准的图像处理能力，具备12位4：4：4 超高清视频源画质处理能力，具备HDR、HDR10、HDR10+ 等高动态色彩处理能力，具备YUV、RGB、sRGB、Adobe RGB、XYZ等色彩空间定义的不同颜色格式转换显示的能力； </w:t>
            </w:r>
            <w:r>
              <w:rPr>
                <w:rStyle w:val="92"/>
                <w:highlight w:val="none"/>
                <w:lang w:val="en-US" w:eastAsia="zh-CN" w:bidi="ar"/>
              </w:rPr>
              <w:br w:type="textWrapping"/>
            </w:r>
            <w:r>
              <w:rPr>
                <w:rStyle w:val="92"/>
                <w:highlight w:val="none"/>
                <w:lang w:val="en-US" w:eastAsia="zh-CN" w:bidi="ar"/>
              </w:rPr>
              <w:t xml:space="preserve">31.GAMMA校正技术：具备GAMMA校正技术； </w:t>
            </w:r>
            <w:r>
              <w:rPr>
                <w:rStyle w:val="92"/>
                <w:highlight w:val="none"/>
                <w:lang w:val="en-US" w:eastAsia="zh-CN" w:bidi="ar"/>
              </w:rPr>
              <w:br w:type="textWrapping"/>
            </w:r>
            <w:r>
              <w:rPr>
                <w:rStyle w:val="92"/>
                <w:highlight w:val="none"/>
                <w:lang w:val="en-US" w:eastAsia="zh-CN" w:bidi="ar"/>
              </w:rPr>
              <w:t>32.要求产品通过GB/T16422-2014 老化测试，通过400mm 以下的紫外光照射24h，不发生变黄老化现象；</w:t>
            </w:r>
            <w:r>
              <w:rPr>
                <w:rStyle w:val="92"/>
                <w:highlight w:val="none"/>
                <w:lang w:val="en-US" w:eastAsia="zh-CN" w:bidi="ar"/>
              </w:rPr>
              <w:br w:type="textWrapping"/>
            </w:r>
            <w:r>
              <w:rPr>
                <w:rStyle w:val="92"/>
                <w:highlight w:val="none"/>
                <w:lang w:val="en-US" w:eastAsia="zh-CN" w:bidi="ar"/>
              </w:rPr>
              <w:t>33.电源插头或电源引入端子与外壳裸露金属部件之间的绝缘电阻在正常大气条件下应≥100MΩ，湿热条件下应≥2MΩ；</w:t>
            </w:r>
            <w:r>
              <w:rPr>
                <w:rStyle w:val="92"/>
                <w:highlight w:val="none"/>
                <w:lang w:val="en-US" w:eastAsia="zh-CN" w:bidi="ar"/>
              </w:rPr>
              <w:br w:type="textWrapping"/>
            </w:r>
            <w:r>
              <w:rPr>
                <w:rStyle w:val="92"/>
                <w:highlight w:val="none"/>
                <w:lang w:val="en-US" w:eastAsia="zh-CN" w:bidi="ar"/>
              </w:rPr>
              <w:t>34.为保证屏幕可靠性，要求LED显示屏PCB板需符合阻燃等级V-0级；对地漏电流1.2mA/m²（有效值）；</w:t>
            </w:r>
            <w:r>
              <w:rPr>
                <w:rStyle w:val="92"/>
                <w:highlight w:val="none"/>
                <w:lang w:val="en-US" w:eastAsia="zh-CN" w:bidi="ar"/>
              </w:rPr>
              <w:br w:type="textWrapping"/>
            </w:r>
            <w:r>
              <w:rPr>
                <w:rStyle w:val="92"/>
                <w:highlight w:val="none"/>
                <w:lang w:val="en-US" w:eastAsia="zh-CN" w:bidi="ar"/>
              </w:rPr>
              <w:t>35.电磁兼容性：符合GB9254-2008，Class B标准；</w:t>
            </w:r>
            <w:r>
              <w:rPr>
                <w:rStyle w:val="92"/>
                <w:highlight w:val="none"/>
                <w:lang w:val="en-US" w:eastAsia="zh-CN" w:bidi="ar"/>
              </w:rPr>
              <w:br w:type="textWrapping"/>
            </w:r>
            <w:r>
              <w:rPr>
                <w:rStyle w:val="92"/>
                <w:highlight w:val="none"/>
                <w:lang w:val="en-US" w:eastAsia="zh-CN" w:bidi="ar"/>
              </w:rPr>
              <w:t>36.抗电强度：电源插头或电源引入端与GND之间，施加DC2500V 测试1min，无击穿和飞弧现象。电源输入端与可触及的部件之间：施加DC4000V，测试1min，无飞狐、无击穿；</w:t>
            </w:r>
            <w:r>
              <w:rPr>
                <w:rStyle w:val="92"/>
                <w:highlight w:val="none"/>
                <w:lang w:val="en-US" w:eastAsia="zh-CN" w:bidi="ar"/>
              </w:rPr>
              <w:br w:type="textWrapping"/>
            </w:r>
            <w:r>
              <w:rPr>
                <w:rStyle w:val="92"/>
                <w:highlight w:val="none"/>
                <w:lang w:val="en-US" w:eastAsia="zh-CN" w:bidi="ar"/>
              </w:rPr>
              <w:t>37.★盐雾测试：置于温度35℃、PH值6.5~7.2、盐雾浓度5%，48小时连续喷雾的环境下，符合盐雾10级要求；（需提供经中国合格评定国家认可委员会和中国计量认证和国际实验室认可合作组织认可的第三方检测机构出具的检测报告）；</w:t>
            </w:r>
            <w:r>
              <w:rPr>
                <w:rStyle w:val="92"/>
                <w:highlight w:val="none"/>
                <w:lang w:val="en-US" w:eastAsia="zh-CN" w:bidi="ar"/>
              </w:rPr>
              <w:br w:type="textWrapping"/>
            </w:r>
            <w:r>
              <w:rPr>
                <w:rStyle w:val="92"/>
                <w:highlight w:val="none"/>
                <w:lang w:val="en-US" w:eastAsia="zh-CN" w:bidi="ar"/>
              </w:rPr>
              <w:t>38.为保证货物的运输稳定性需通过震动试验：在振动频率5Hz-55Hz-5Hz，振幅0.9mm的条件下，一次扫描5min，互相垂直的二个轴各扫描二次，试验后外观无划痕，模组安装无松动破裂；</w:t>
            </w:r>
            <w:r>
              <w:rPr>
                <w:rStyle w:val="92"/>
                <w:highlight w:val="none"/>
                <w:lang w:val="en-US" w:eastAsia="zh-CN" w:bidi="ar"/>
              </w:rPr>
              <w:br w:type="textWrapping"/>
            </w:r>
            <w:r>
              <w:rPr>
                <w:rStyle w:val="92"/>
                <w:highlight w:val="none"/>
                <w:lang w:val="en-US" w:eastAsia="zh-CN" w:bidi="ar"/>
              </w:rPr>
              <w:t>39.★LED表面硬度测试：具备HRC3级硬度；</w:t>
            </w:r>
            <w:r>
              <w:rPr>
                <w:rStyle w:val="92"/>
                <w:highlight w:val="none"/>
                <w:lang w:val="en-US" w:eastAsia="zh-CN" w:bidi="ar"/>
              </w:rPr>
              <w:br w:type="textWrapping"/>
            </w:r>
            <w:r>
              <w:rPr>
                <w:rStyle w:val="92"/>
                <w:highlight w:val="none"/>
                <w:lang w:val="en-US" w:eastAsia="zh-CN" w:bidi="ar"/>
              </w:rPr>
              <w:t xml:space="preserve">40.★LED面泼水防水：表面具备浸水防水，液体水泼洒到LED表面不会对显示产生影响；正面X7级防水；   </w:t>
            </w:r>
            <w:r>
              <w:rPr>
                <w:rStyle w:val="92"/>
                <w:highlight w:val="none"/>
                <w:lang w:val="en-US" w:eastAsia="zh-CN" w:bidi="ar"/>
              </w:rPr>
              <w:br w:type="textWrapping"/>
            </w:r>
            <w:r>
              <w:rPr>
                <w:rStyle w:val="92"/>
                <w:highlight w:val="none"/>
                <w:lang w:val="en-US" w:eastAsia="zh-CN" w:bidi="ar"/>
              </w:rPr>
              <w:t>41.★安全性：具备防数据传输泄密，防信号远程泄密，防电力远程泄密，符合GB 4943.1-2011 信息技术设备安全第1部分通用要求；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E6A4B">
            <w:pPr>
              <w:jc w:val="center"/>
              <w:rPr>
                <w:rFonts w:hint="eastAsia" w:ascii="宋体" w:hAnsi="宋体" w:eastAsia="宋体" w:cs="宋体"/>
                <w:i w:val="0"/>
                <w:iCs w:val="0"/>
                <w:color w:val="000000"/>
                <w:sz w:val="16"/>
                <w:szCs w:val="16"/>
                <w:highlight w:val="none"/>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1C937B7">
            <w:pPr>
              <w:jc w:val="center"/>
              <w:rPr>
                <w:rFonts w:hint="eastAsia" w:ascii="微软雅黑" w:hAnsi="微软雅黑" w:eastAsia="微软雅黑" w:cs="微软雅黑"/>
                <w:i w:val="0"/>
                <w:iCs w:val="0"/>
                <w:color w:val="000000"/>
                <w:sz w:val="16"/>
                <w:szCs w:val="16"/>
                <w:highlight w:val="none"/>
                <w:u w:val="none"/>
              </w:rPr>
            </w:pPr>
          </w:p>
        </w:tc>
      </w:tr>
      <w:tr w14:paraId="530B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6BB30D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87B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接收卡</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19A230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 集成HUB75，无需再配转接板，更方便，成本更低；</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 减少接插连接件，减少故障点，故障率更低；</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 支持常规芯片实现高刷新、高灰度、高亮度；</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5. 可消除单元板设计引起的某行偏暗、低灰偏红、鬼影等细节问题；</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6. 支持14bit精度逐点校正；</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7. 支持所有常规芯片、PWM 芯片、视芯芯片和灯饰芯片；</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8. 支持静态到 128 扫描之间 的任意扫描类型，单组数据可支持 13312 像素点以内的任意走线；</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9. 支持任意抽点，支持数据偏移，可轻松实现各种异型屏、球形屏、创意显示屏；</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10. 单卡支持24组并行 RGB 全彩数据或 32 组串行 RGB 数据，可扩展 128 组串行 RGB 数据组，数据组可以自由</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交换；</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11. 支持超大带载面积,单卡带载常规：128X1024 像素点，PWM：256X1024 像素点，视芯：162X1024 像素点；</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12. 支持（DC3.8V~5.5V，0.6A）超宽工作电压，有效减弱电压波动带来的影响；</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344867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F79DB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21</w:t>
            </w:r>
          </w:p>
        </w:tc>
      </w:tr>
      <w:tr w14:paraId="332E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6EA43AE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CB8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电源</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03131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1、额定输入电压范围：200-240VAC</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2、输入频率：50Hz-60Hz</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3、功率：180W</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4、额定输出电压：4.5V</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5、额定输出电流：0-40A</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6、波纹噪音：150mVp-p</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7、效率：≥85%</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8、过载保护：110～150% rated 打嗝模式,消除过载后可自动恢复正常工作</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9、短路保护：输出端短路时电源保护，消除短路后自动恢复工作</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10、工作温度：-20℃-70℃</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76D837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BF5C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49</w:t>
            </w:r>
          </w:p>
        </w:tc>
      </w:tr>
      <w:tr w14:paraId="4D2A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0E0599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1F2A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视频处理器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0EBFAEE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1.丰富的数字信号接口，包括2路DVI，1路HDMI，1路SDI</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2.最大带载520万像素，最宽可达8192点，或最高可达4096点</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2.最大输入分辨率1920×1200@60Hz，支持分辨率任意设置</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3.支持8路千兆网口输出，支持单机或双机冗余备份</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4.支持对视频信号任意切换，裁剪，拼接，缩放</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5.支持3画面显示，位置、大小可自由调节</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6.独立音频输入和音频输出，支持HDMI音频解析</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7.支持RS232串口协议控制</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8.支持HDCP高带宽数字内容保护技术</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9.支持亮度和色温调节</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10.支持低亮高灰，能有效地保持低亮下灰阶的完整并完美显示</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223FBF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120B6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r>
      <w:tr w14:paraId="57FF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56219F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588F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无线传屏</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0B5942D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 xml:space="preserve">1、宝疆一键联无线投屏会议系统；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2、标配发射器，USB按键；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3、免驱安装，一键投屏；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4、支持手机电脑直连，无需线材，连接简单方便；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5、快速响应，流畅体验，画面延迟低于0.1S，无卡顿；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6、支持9画面同时投屏，有效传输距离50米；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7、支持3.5音频、HDMI双音频同传；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8、支持有线和WI-FI 快速连接，方便灵活；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 xml:space="preserve">9、多人多端共享，兼容多设备，无缝接入； </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10、Linux系统，安全稳定，支持7*24小时运行；</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4E56CF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D8146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r>
      <w:tr w14:paraId="12A3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57FD3D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1476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配电柜</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B9BD27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1、配电柜基础参数</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2、箱体尺寸： 300*400*135MM</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3、显示屏输出路数： 3路</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4、检修插座： 1组</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5、远程控制端子： 1组</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6、远程控制开关： 1个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297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97C7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r>
      <w:tr w14:paraId="1CB1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561EED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498E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结构、包边</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F3D8B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边框尺寸：4.26m*2.5m</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显示屏专用钢结构，免焊接，黑色拉丝抗指纹包边，安装及调试费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4091D">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7657A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10.65</w:t>
            </w:r>
          </w:p>
        </w:tc>
      </w:tr>
      <w:tr w14:paraId="3978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0C470C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7C7E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屏内线材</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0543FE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LED屏体内使用的电源线、网线、磁吸、排线、高清视频线、辅材、备品等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4EA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6BB63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r>
      <w:tr w14:paraId="50CA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6" w:type="dxa"/>
            <w:tcBorders>
              <w:top w:val="single" w:color="000000" w:sz="4" w:space="0"/>
              <w:left w:val="single" w:color="000000" w:sz="4" w:space="0"/>
              <w:bottom w:val="single" w:color="000000" w:sz="4" w:space="0"/>
              <w:right w:val="single" w:color="000000" w:sz="4" w:space="0"/>
            </w:tcBorders>
            <w:noWrap w:val="0"/>
            <w:vAlign w:val="center"/>
          </w:tcPr>
          <w:p w14:paraId="22CB4C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D6EA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运输、备品备件</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2DAF2EE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同一批次模组接收卡电源等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98C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项</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8E5F4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r>
    </w:tbl>
    <w:p w14:paraId="11B0723B">
      <w:pPr>
        <w:pStyle w:val="31"/>
        <w:rPr>
          <w:rFonts w:hint="eastAsia"/>
          <w:highlight w:val="none"/>
        </w:rPr>
      </w:pPr>
    </w:p>
    <w:p w14:paraId="32C50E71">
      <w:pPr>
        <w:jc w:val="center"/>
        <w:rPr>
          <w:rFonts w:hint="eastAsia"/>
          <w:sz w:val="36"/>
          <w:szCs w:val="36"/>
          <w:highlight w:val="none"/>
        </w:rPr>
      </w:pPr>
    </w:p>
    <w:tbl>
      <w:tblPr>
        <w:tblStyle w:val="18"/>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5895"/>
        <w:gridCol w:w="1080"/>
        <w:gridCol w:w="975"/>
      </w:tblGrid>
      <w:tr w14:paraId="4859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10" w:type="dxa"/>
            <w:gridSpan w:val="5"/>
            <w:tcBorders>
              <w:top w:val="single" w:color="000000" w:sz="4" w:space="0"/>
              <w:left w:val="single" w:color="000000" w:sz="4" w:space="0"/>
              <w:bottom w:val="single" w:color="000000" w:sz="4" w:space="0"/>
              <w:right w:val="single" w:color="000000" w:sz="4" w:space="0"/>
            </w:tcBorders>
            <w:noWrap/>
            <w:vAlign w:val="center"/>
          </w:tcPr>
          <w:p w14:paraId="3B46D7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highlight w:val="none"/>
                <w:u w:val="none"/>
                <w:lang w:val="en-US" w:eastAsia="zh-CN" w:bidi="ar"/>
              </w:rPr>
            </w:pPr>
            <w:r>
              <w:rPr>
                <w:rFonts w:hint="eastAsia" w:ascii="微软雅黑" w:hAnsi="微软雅黑" w:eastAsia="微软雅黑" w:cs="微软雅黑"/>
                <w:i w:val="0"/>
                <w:iCs w:val="0"/>
                <w:color w:val="000000"/>
                <w:kern w:val="0"/>
                <w:sz w:val="16"/>
                <w:szCs w:val="16"/>
                <w:highlight w:val="none"/>
                <w:u w:val="none"/>
                <w:lang w:val="en-US" w:eastAsia="zh-CN" w:bidi="ar"/>
              </w:rPr>
              <w:t>会议长条桌(大同实验学校）</w:t>
            </w:r>
          </w:p>
        </w:tc>
      </w:tr>
      <w:tr w14:paraId="6157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CEC9F88">
            <w:pPr>
              <w:keepNext w:val="0"/>
              <w:keepLines w:val="0"/>
              <w:widowControl/>
              <w:suppressLineNumbers w:val="0"/>
              <w:jc w:val="center"/>
              <w:textAlignment w:val="center"/>
              <w:rPr>
                <w:rFonts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D2971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货物名称</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57DB75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详细参数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294C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009D9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数量</w:t>
            </w:r>
          </w:p>
        </w:tc>
      </w:tr>
      <w:tr w14:paraId="7029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3921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DA67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会议室长条桌</w:t>
            </w:r>
          </w:p>
        </w:tc>
        <w:tc>
          <w:tcPr>
            <w:tcW w:w="5895" w:type="dxa"/>
            <w:tcBorders>
              <w:top w:val="single" w:color="000000" w:sz="4" w:space="0"/>
              <w:left w:val="single" w:color="000000" w:sz="4" w:space="0"/>
              <w:bottom w:val="single" w:color="000000" w:sz="4" w:space="0"/>
              <w:right w:val="single" w:color="000000" w:sz="4" w:space="0"/>
            </w:tcBorders>
            <w:noWrap w:val="0"/>
            <w:vAlign w:val="center"/>
          </w:tcPr>
          <w:p w14:paraId="19EA49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1、规格1200mm*400mm*750mm</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台面与桌腿采用25mm其余部分采用16mm厚贴黑胡桃（或其他）色实木皮免漆板；板芯采用OSB定向实木颗粒板；提供所投产品具有第三方权威部门出具的带CMA或CNAS标识的板材检测报告扫描件，检测内容至少须包含：★静曲强度≥12MPa，★弹性模量≥1700MPa，★内结合强度≥0.4MPa，★表面胶合强度≥0.6MPa, ★2h吸水厚度膨胀率≤5%，★含水率≤9.5%，★密度≥0.6g/cm²，★板面握螺钉力≥1000N，★板边握螺钉力≥750N，★表面耐冷热循环无裂纹、鼓泡、变色、起皱等，★表面耐划痕≥1.5N，表面无大于90%的连续划痕，★表面耐磨耐磨值≤60mg/100r，表面耐磨素色350r无露底现象，★表面耐香烟灼烧达到 4 级以上，★表面耐干热达 4 级以上，★表面耐污染腐蚀达4级以上，★表面耐龟裂达4级以上，★表面耐水蒸气达4级以上，★甲醛释放量≤0.03mg/m³</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3、上部设高170mm置物斗，后面设400mm背板</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4、封边：优质同色PVC封边，封边带使用无重金属的高成份PVC粉做为原料来生产封边条，提供所投产品具有第三方权威部门出具的带CMA或CNAS标识的刨花板检测报告扫描件，检测内容至少须包含★可迁移元素（Sb\As\Ba\Cd\Cr\Pb\Hg\Se）达到国标GB28007-2011环保要求,其中As\Pb\Hg要求未检出，★邻苯二甲酸酯达到GB22048-2022环保要求，★甲醛释放量按GB/17657-1999(干燥器法)检测应未检出；使用优质热熔胶，经自动调温热压机使板材粘连无丝无缝，在不同地区气温、湿度的变化中不受影响，能长期不变形、不开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300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DA2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80</w:t>
            </w:r>
          </w:p>
        </w:tc>
      </w:tr>
    </w:tbl>
    <w:p w14:paraId="50E86F70">
      <w:pPr>
        <w:jc w:val="center"/>
        <w:rPr>
          <w:rFonts w:hint="eastAsia"/>
          <w:highlight w:val="none"/>
        </w:rPr>
      </w:pPr>
      <w:r>
        <w:rPr>
          <w:rFonts w:hint="eastAsia"/>
          <w:sz w:val="36"/>
          <w:szCs w:val="36"/>
          <w:highlight w:val="none"/>
        </w:rPr>
        <w:t>精品录播教室设备</w:t>
      </w:r>
      <w:r>
        <w:rPr>
          <w:rFonts w:hint="eastAsia"/>
          <w:sz w:val="36"/>
          <w:szCs w:val="36"/>
          <w:highlight w:val="none"/>
          <w:lang w:eastAsia="zh-CN"/>
        </w:rPr>
        <w:t>采购(大同实验学校）</w:t>
      </w:r>
    </w:p>
    <w:tbl>
      <w:tblPr>
        <w:tblStyle w:val="18"/>
        <w:tblpPr w:leftFromText="180" w:rightFromText="180" w:vertAnchor="text" w:horzAnchor="page" w:tblpX="1335" w:tblpY="307"/>
        <w:tblOverlap w:val="never"/>
        <w:tblW w:w="10038" w:type="dxa"/>
        <w:tblInd w:w="0" w:type="dxa"/>
        <w:tblLayout w:type="fixed"/>
        <w:tblCellMar>
          <w:top w:w="0" w:type="dxa"/>
          <w:left w:w="108" w:type="dxa"/>
          <w:bottom w:w="0" w:type="dxa"/>
          <w:right w:w="108" w:type="dxa"/>
        </w:tblCellMar>
      </w:tblPr>
      <w:tblGrid>
        <w:gridCol w:w="519"/>
        <w:gridCol w:w="1060"/>
        <w:gridCol w:w="6868"/>
        <w:gridCol w:w="513"/>
        <w:gridCol w:w="515"/>
        <w:gridCol w:w="563"/>
      </w:tblGrid>
      <w:tr w14:paraId="477699C0">
        <w:tblPrEx>
          <w:tblCellMar>
            <w:top w:w="0" w:type="dxa"/>
            <w:left w:w="108" w:type="dxa"/>
            <w:bottom w:w="0" w:type="dxa"/>
            <w:right w:w="108" w:type="dxa"/>
          </w:tblCellMar>
        </w:tblPrEx>
        <w:trPr>
          <w:trHeight w:val="719"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3D051">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0C750">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货物名称</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1D321">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详细参数</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C6709">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E40A0">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D13EA">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13EDC891">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7E32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013D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录播工作站</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E2766">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1、主机配置要求：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采用≤1U标准机架式机箱设计，内嵌≥3英寸彩色液晶触控屏，支持通过液晶触控屏控制录制开始/暂停/停止状态、设置主机网络地址、导出录像文件，支持通过液晶触控屏查询主机系统信息、通道信息、平台信息等；</w:t>
            </w:r>
          </w:p>
          <w:p w14:paraId="2FA616B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2）采用嵌入式架构设计，支持音视频信号采集、录制、直播、导播、1vN音视频互动、抠像及AI课堂分析等功能集成一体化，支持本地化课程录制、直播及本地化课堂 AI 实时分析并发工作；</w:t>
            </w:r>
          </w:p>
          <w:p w14:paraId="16B35311">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3）采用硬件采集、编码方式，支持H.264、H.265、PCMA（G.711A）、PCMU（G.711U）、G.722、OPUS、AAC音视频编码；内置嵌入式处理器，处理器总核心数≥10，内置≥2TB硬盘；提供CNAS认证检测报告并加盖投标人公章；</w:t>
            </w:r>
          </w:p>
          <w:p w14:paraId="05E88F52">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4）视频输入格式支持4K@60fps、1080P@60fps、1080P@30fps、1080P@25fps等，视频编码格式支持1080P@30fps、1080P@25fps、1080P@20fps、1080P@15fps、1080P@10fps、1080P@5fps可选；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5）视频编码码率支持256Kbps～8Mbps可调；主码流（录制）支持1Mbps～8Mbps可调，副码流（导播）支持256Kbps～1Mbps可调；音频采样率支持48KHz，码流支持96Kbps、128Kbps可调；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）★机身具备≥5路SDI输入接口、≥2路4K-HDMI输入接口、≥1路VGA输出接口、≥2路HDMI输出接口；机身具备≥8路幻象供电话筒输入接口、≥4路Line in输入接口、≥3路Line Out输出接口、≥1路monitor音频监听接口；提供CNAS认证检测报告并加盖投标人公章；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）内置专业音频处理模块，支持增益控制(AGC)、回声消除(AEC)、噪声抑制(ANS)、智能混音等专业音频处理功能，满足远程音视频互动的需求；提供CNAS认证检测报告并加盖投标人公章；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 xml:space="preserve">）★具备≥2个10/100/1000Mbps自适应网口。具备≥4个USB端口（含USB3.0接口）；具备≥6路RS-232控制接口、≥1路控制面板接口及≥1路跟踪机接口；提供CNAS认证检测报告并加盖投标人公章；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）支持TCP、RTSP、HTTP、FTP、MQTT等网络协议，支持IPv4和IPv6双栈网络通信协议；</w:t>
            </w:r>
          </w:p>
          <w:p w14:paraId="2CB5DB7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）★内置抠像功能，支持自定义选取≥5种背景取色，支持人物增强，可自定义调节亮区、暗区数值，支持导入背景；内置AI PPT功能，打开AI PPT模式，前景为HDMI输入画面，背景为教师全景画面；关闭AIPPT 模式，前景为教师全景，背景设备为HDMI输入画面；提供CNAS认证检测报告并加盖投标人公章；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）采用≤DC 24V安全电压供电，通电自动开机，功耗≤30W；</w:t>
            </w:r>
          </w:p>
          <w:p w14:paraId="70A759FF">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2、内置AI模块：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1）内置AI分析硬件模块支持独立运行，支持通过内置AI模块实现课堂师生行为分析；内置独立的AI模块处理器及AI芯片核心数≥6核，≥128GB存储空间，提供CNAS认证检测报告并加盖投标人公章；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2）支持通过网页浏览器访问内置AI模块，查看教师和学生实时分析界面，实现教师及学生检测及行为分析，并可生成课堂分析报告；</w:t>
            </w:r>
          </w:p>
          <w:p w14:paraId="38AE33F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3）★支持实时监测显示AI分析模块处理器、内存、硬盘使用率、温度信息，支持对分析状态、网络及视频通断状态进行检测；提供CNAS认证检测报告并加盖投标人公章；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设定课程分析计划后自动执行分析，支持教师讲授、教师发言或观察、课件操作、教师板书、教师巡视、学生听讲、学生应答、学生展示、学生读写、学生举手、生生互动行为分析；支持教师迟到、缺课、调课（或代课）、学生罚站、到课率、前排就坐率、抬头率、趴桌率、话语讲授时长、课件讲授或操作时长、师生问答时长、教师巡视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5）具备实时AI视觉分析能力，支持师生出勤率分析、课堂 S-T教学行为分析、课堂教学模式(Rt-Ch)分析、教师动作分析、学生动作分析、教师巡视分析、教师巡视次数分析、教师巡视位置分布分析、站立学生位置分布分析，支持行为一致性、学生参与度、学生活跃度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6）支持自定义配置AI分析模块网络信息、教师区摄像机及学生区摄像机网络视频流信息，自定义设置教师摄像机和≥2路学生摄像机分析的区域范围；</w:t>
            </w:r>
          </w:p>
          <w:p w14:paraId="08CEF9D3">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支持音量状态及分析时长监控，支持≥9种行为分析的自定义显示控制；支持系统调试过程，自定义开关师生头部识别框、开关课堂行为百分比信息呈现、开关系统自动框选的学生分析范围等，支持以多种颜色进行识别行为的分类标记，支持课堂教学场景VGA画面状态监测；</w:t>
            </w:r>
          </w:p>
          <w:p w14:paraId="63063F4B">
            <w:pPr>
              <w:jc w:val="left"/>
              <w:rPr>
                <w:rFonts w:hint="eastAsia" w:ascii="宋体" w:hAnsi="宋体" w:eastAsia="宋体"/>
                <w:color w:val="000000"/>
                <w:sz w:val="20"/>
                <w:szCs w:val="20"/>
                <w:highlight w:val="none"/>
              </w:rPr>
            </w:pPr>
            <w:r>
              <w:rPr>
                <w:rFonts w:hint="eastAsia" w:ascii="宋体" w:hAnsi="宋体" w:eastAsia="宋体" w:cs="宋体"/>
                <w:color w:val="000000"/>
                <w:kern w:val="0"/>
                <w:sz w:val="20"/>
                <w:szCs w:val="20"/>
                <w:highlight w:val="none"/>
              </w:rPr>
              <w:t>8）支持自定义设置时间服务器地址，自动同步系统时间；支持自动生成系统运行日志。</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4006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91E9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44336">
            <w:pPr>
              <w:jc w:val="center"/>
              <w:rPr>
                <w:rFonts w:hint="eastAsia" w:ascii="宋体" w:hAnsi="宋体" w:eastAsia="宋体"/>
                <w:color w:val="000000"/>
                <w:sz w:val="20"/>
                <w:szCs w:val="20"/>
                <w:highlight w:val="none"/>
              </w:rPr>
            </w:pPr>
          </w:p>
        </w:tc>
      </w:tr>
      <w:tr w14:paraId="7B69229F">
        <w:tblPrEx>
          <w:tblCellMar>
            <w:top w:w="0" w:type="dxa"/>
            <w:left w:w="108" w:type="dxa"/>
            <w:bottom w:w="0" w:type="dxa"/>
            <w:right w:w="108" w:type="dxa"/>
          </w:tblCellMar>
        </w:tblPrEx>
        <w:trPr>
          <w:trHeight w:val="1837"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237E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AAF0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全高清录播系统</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6BDD82A2">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1、支持音视频信号采集、录制、导播、直播、跟踪、抠像、摄像机电源管理、LED显示屏控制等功能集成一体化设计； </w:t>
            </w:r>
          </w:p>
          <w:p w14:paraId="70C03C13">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2、支持本地导播、网页导播及集控平台客户端导播等多种导播方式； </w:t>
            </w:r>
          </w:p>
          <w:p w14:paraId="0270EF8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3、支持电影模式、资源模式及“电影+资源”模式三种录制、直播工作模式，资源模式支持≥6路视频图像同时录制、直播，“电影+资源”模式支持≥6路资源模式视频图像及1路电影模式视频图像同时录制、直播，支持录制文件自动存储到相同路径下； </w:t>
            </w:r>
          </w:p>
          <w:p w14:paraId="7AC5FDA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支持显示系统运行的录直播状态、录像模式、跟踪状态、录像时间、硬盘空间、视频源启用状态、SDI及屏幕VGA视频信号分辨率、电影模式画面分辨率、录制编码、录制帧率、I帧间隔、直播地址等信息，提供独立的信息显示页面，支持单页面信息汇总呈现；</w:t>
            </w:r>
          </w:p>
          <w:p w14:paraId="3ED8F204">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5、具备≥28种特效，无需手动编辑，支持推拉、覆盖、擦除等模式，特效过渡时间支持0.5S、0.8S、1.0S、1.2S可调；提供CNAS认证的检测报告并加盖厂家公章 </w:t>
            </w:r>
          </w:p>
          <w:p w14:paraId="4C76B814">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★6、具备≥16种画中画模式，包括左右大小、左右、平铺、三分屏、四分屏、全景等，具备画面交换功能，支持画面快速对调；提供CNAS认证的检测报告并加盖厂家公章 </w:t>
            </w:r>
          </w:p>
          <w:p w14:paraId="100B245B">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7、支持添加台标、字幕、片头、片尾等，支持自定义设置字幕字号大小、颜色等，设置的字体颜色支持保存，可保存≥16种颜色；支持台标及显示位置设置，支持仅电影模式显示台标；支持图片、视频等格式片头、片尾添加，片头、片尾时间支持1s～5s可调； </w:t>
            </w:r>
          </w:p>
          <w:p w14:paraId="77BDF0CB">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★8、采用双导播窗口设计，具备PVW窗口和PGM窗口，支持在PVW窗口编辑视频画面的台标、字幕、画中画等，设置完成支持推送PGM窗口（直播/电影模式窗口）进行录制、直播；提供CNAS认证的检测报告并加盖厂家公章 </w:t>
            </w:r>
          </w:p>
          <w:p w14:paraId="6C60D35F">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9、支持≥5路摄像机的云台、变倍、聚焦、光圈控制，摄像机光圈和聚焦设置提供手动和自动设置按钮；具备≥5种摄像机固定位变焦，支持一键调用；支持摄像机设置≥8个预置位； </w:t>
            </w:r>
          </w:p>
          <w:p w14:paraId="1CF94FE2">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10、支持自动、手动及半自动三种跟踪模式，支持自定义设置软件跟踪或硬件跟踪； </w:t>
            </w:r>
          </w:p>
          <w:p w14:paraId="02817CB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11、支持一键开启录像、直播，一键设置开机启动录像或直播；支持查看系统版本信息，恢复系统出厂设置等；</w:t>
            </w:r>
          </w:p>
          <w:p w14:paraId="0167A236">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12、支持自定义输入视频源启用或禁用，支持有线、网络、交织、私有协议等多种视频采集方式，支持设置视频信号去抖动缓存时长；</w:t>
            </w:r>
          </w:p>
          <w:p w14:paraId="0685CEA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13、支持设置音频编码码率、降噪等级、输入增益、输出增益，支持设置输入及输出音量大小，支持导播画面及电影画面的双显输出设置；</w:t>
            </w:r>
          </w:p>
          <w:p w14:paraId="7465EA49">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14、支持录制编码、录制帧率、IP地址、内置时间、视频输出、互动功能、电源控制、LED 屏显示、定时开关机、定时重启等参数设置； </w:t>
            </w:r>
          </w:p>
          <w:p w14:paraId="68103777">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15、支持自定义开启双VGA探测、双分屏跟踪功能，支持自定义设置自动跟踪的教学大屏信号源；</w:t>
            </w:r>
          </w:p>
          <w:p w14:paraId="59A78522">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16、支持LED屏显示信息配置，可自定义设置上课时长、显示字幕、显示格式等，显示格式支持呈现距离下课时间、现在时间、启动录像时间等；</w:t>
            </w:r>
          </w:p>
          <w:p w14:paraId="7AEA88F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17、支持自定义添加管理用户，设置用户信息及管理权限等； </w:t>
            </w:r>
          </w:p>
          <w:p w14:paraId="1A80D980">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18、支持自定义设置直播信号源、直播服务器信息，支持向≥3个直播服务器进行直播推流；</w:t>
            </w:r>
          </w:p>
          <w:p w14:paraId="42D67F9B">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19、支持录像信息设置，至少包含学校代码、学校单位、学年学期、学科、授课年级、课程名称、教师、授课课时、开课时间、授课地点及课程描述等教学信息； </w:t>
            </w:r>
          </w:p>
          <w:p w14:paraId="18F280D0">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20、支持录像分割时长设置，具备≥8种录制时长可选，支持15分钟～240分钟可选；支持自定义设置录像存储天数； </w:t>
            </w:r>
          </w:p>
          <w:p w14:paraId="3FDDB9B6">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21、具备录像管理功能，支持查看录像列表、录像点播、下载、修改属性、删除等操作，录像文件支持自动上传平台且自动删除本地文件；</w:t>
            </w:r>
          </w:p>
          <w:p w14:paraId="01E9FA10">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22、支持磁盘格式化、磁盘满载后支持停止录像和覆盖模式两种可选；支持对设备异常断电造成损坏的视频文件进行修复； </w:t>
            </w:r>
          </w:p>
          <w:p w14:paraId="4B49936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23、支持扩展远程1vN互动教学，实现录播界面与互动界面相互切换，支持一键开启互动；支持控制AI模块启用、禁用；</w:t>
            </w:r>
          </w:p>
          <w:p w14:paraId="6EF8BE62">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24、支持POC供电控制，具备系统POC供电是否启用开关及≥5路SDI接口POC供电的独立开关。提供CNAS认证的检测报告并加盖厂家公章</w:t>
            </w:r>
          </w:p>
          <w:p w14:paraId="0B76D47A">
            <w:pPr>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资质要求：提供制造厂商针对此项目的售后服务承诺函及技术参数确认函加盖公章</w:t>
            </w:r>
            <w:r>
              <w:rPr>
                <w:rFonts w:hint="eastAsia" w:ascii="宋体" w:hAnsi="宋体" w:eastAsia="宋体" w:cs="宋体"/>
                <w:color w:val="000000"/>
                <w:kern w:val="0"/>
                <w:sz w:val="20"/>
                <w:szCs w:val="20"/>
                <w:highlight w:val="none"/>
                <w:lang w:eastAsia="zh-CN"/>
              </w:rPr>
              <w:t>。</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1BBB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97F8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78057">
            <w:pPr>
              <w:jc w:val="center"/>
              <w:rPr>
                <w:rFonts w:hint="default" w:ascii="宋体" w:hAnsi="宋体" w:eastAsia="宋体"/>
                <w:color w:val="000000"/>
                <w:sz w:val="20"/>
                <w:szCs w:val="20"/>
                <w:highlight w:val="none"/>
                <w:lang w:val="en-US" w:eastAsia="zh-CN"/>
              </w:rPr>
            </w:pPr>
          </w:p>
        </w:tc>
      </w:tr>
      <w:tr w14:paraId="48BFA053">
        <w:tblPrEx>
          <w:tblCellMar>
            <w:top w:w="0" w:type="dxa"/>
            <w:left w:w="108" w:type="dxa"/>
            <w:bottom w:w="0" w:type="dxa"/>
            <w:right w:w="108" w:type="dxa"/>
          </w:tblCellMar>
        </w:tblPrEx>
        <w:trPr>
          <w:trHeight w:val="335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513C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8F52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高清摄像机</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7C77AC3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1、采用≥1/2.8英寸 CMOS，有效像素≥207万；</w:t>
            </w:r>
          </w:p>
          <w:p w14:paraId="24F35FE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2、镜头：≥12倍，f3.5mm～42.3mm，F1.8～F2.8，≥16倍数字变焦；</w:t>
            </w:r>
          </w:p>
          <w:p w14:paraId="0C89C6B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3、最低照度：≤0.5Lux@（F1.8，AGC ON）；</w:t>
            </w:r>
          </w:p>
          <w:p w14:paraId="1DC1777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4、水平视场角72.5°～6.9°，垂直视场角44.8°～3.9°，水平转动范围：±170°，水平转动速度范围：1.7°～100°/s；垂直转动范围：-30°～+90°，垂直转动速度范围：1.7°～69.9°/s；</w:t>
            </w:r>
          </w:p>
          <w:p w14:paraId="77AC0F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5、具备≥1路3G-SDI、≥1路HDMI、≥1路RJ45网络、≥1路USB接口，四路接口输出；</w:t>
            </w:r>
          </w:p>
          <w:p w14:paraId="6D61926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6、具备≥1路 Line In，3.5mm音频输入接口；≥1路 Line Out，3.5mm音频输出接口；</w:t>
            </w:r>
          </w:p>
          <w:p w14:paraId="23CEB4F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7、具备≥1路USB 3.0，A型插座，支持UVC，UAC协议；</w:t>
            </w:r>
          </w:p>
          <w:p w14:paraId="6E1FD6B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8、具备≥1路RS-232输入和输出接口，≥1路RS-485接口；</w:t>
            </w:r>
          </w:p>
          <w:p w14:paraId="677E4AD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9、支持DC12V、POC、POE供电。</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9B1F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C90C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95060">
            <w:pPr>
              <w:jc w:val="center"/>
              <w:rPr>
                <w:rFonts w:hint="default" w:ascii="宋体" w:hAnsi="宋体" w:eastAsia="宋体"/>
                <w:color w:val="000000"/>
                <w:sz w:val="20"/>
                <w:szCs w:val="20"/>
                <w:highlight w:val="none"/>
                <w:lang w:val="en-US" w:eastAsia="zh-CN"/>
              </w:rPr>
            </w:pPr>
          </w:p>
        </w:tc>
      </w:tr>
      <w:tr w14:paraId="454E0AE1">
        <w:tblPrEx>
          <w:tblCellMar>
            <w:top w:w="0" w:type="dxa"/>
            <w:left w:w="108" w:type="dxa"/>
            <w:bottom w:w="0" w:type="dxa"/>
            <w:right w:w="108" w:type="dxa"/>
          </w:tblCellMar>
        </w:tblPrEx>
        <w:trPr>
          <w:trHeight w:val="3076" w:hRule="atLeast"/>
        </w:trPr>
        <w:tc>
          <w:tcPr>
            <w:tcW w:w="51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6D320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w:t>
            </w:r>
          </w:p>
        </w:tc>
        <w:tc>
          <w:tcPr>
            <w:tcW w:w="10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D2E4C6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摄像机协议管理软件</w:t>
            </w:r>
          </w:p>
        </w:tc>
        <w:tc>
          <w:tcPr>
            <w:tcW w:w="686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C0B375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1、须控制摄像机镜头的上、下、左、右转动（云台摄像机）；镜头的推近、拉远；云台的转动速度（云台摄像机）以及镜头的变倍速度；</w:t>
            </w:r>
          </w:p>
          <w:p w14:paraId="5C0B4A2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2、需要首页设置云台摄像机的预置位，以及一键恢复预置位；</w:t>
            </w:r>
          </w:p>
          <w:p w14:paraId="75765C4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3、须支持设置摄像机管理软件的语言；</w:t>
            </w:r>
          </w:p>
          <w:p w14:paraId="12FF2C9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4、可查看摄像机的视频画面，并可对摄像机进行控制；</w:t>
            </w:r>
          </w:p>
          <w:p w14:paraId="2C63BBB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5、可对摄像机的视频选项进行配置，包含视频制式、编码等级；第一及第二码流的编码协议、分辨率、码率、帧率、帧间隔、码率控制、码率波动等；</w:t>
            </w:r>
          </w:p>
          <w:p w14:paraId="481DDCB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6、须支持摄像机画面进行亮度、饱和度、对比度、锐度、色度调节，并可设置画面的上下及左右翻转；</w:t>
            </w:r>
          </w:p>
          <w:p w14:paraId="0B00E27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7、可设置摄像机的音频格式、采样率、码率、输入类型、输入音量R、输入音量L、ADTS开关控制等；</w:t>
            </w:r>
          </w:p>
        </w:tc>
        <w:tc>
          <w:tcPr>
            <w:tcW w:w="51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AD1AB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CC37E7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56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3A4EEBE">
            <w:pPr>
              <w:jc w:val="center"/>
              <w:rPr>
                <w:rFonts w:hint="eastAsia" w:ascii="宋体" w:hAnsi="宋体" w:eastAsia="宋体"/>
                <w:color w:val="000000"/>
                <w:sz w:val="20"/>
                <w:szCs w:val="20"/>
                <w:highlight w:val="none"/>
                <w:lang w:val="en-US" w:eastAsia="zh-CN"/>
              </w:rPr>
            </w:pPr>
          </w:p>
          <w:p w14:paraId="66ACB4C2">
            <w:pPr>
              <w:jc w:val="center"/>
              <w:rPr>
                <w:rFonts w:hint="default" w:ascii="宋体" w:hAnsi="宋体" w:eastAsia="宋体"/>
                <w:color w:val="000000"/>
                <w:sz w:val="20"/>
                <w:szCs w:val="20"/>
                <w:highlight w:val="none"/>
                <w:lang w:val="en-US" w:eastAsia="zh-CN"/>
              </w:rPr>
            </w:pPr>
          </w:p>
        </w:tc>
      </w:tr>
      <w:tr w14:paraId="7DD45B59">
        <w:tblPrEx>
          <w:tblCellMar>
            <w:top w:w="0" w:type="dxa"/>
            <w:left w:w="108" w:type="dxa"/>
            <w:bottom w:w="0" w:type="dxa"/>
            <w:right w:w="108" w:type="dxa"/>
          </w:tblCellMar>
        </w:tblPrEx>
        <w:trPr>
          <w:trHeight w:val="623"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7465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45CA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控制面板</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133A588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1、面板采用电容感应式触摸设计，具有LED背光设计功能；</w:t>
            </w:r>
          </w:p>
          <w:p w14:paraId="57BE0E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2、面板支持直接连接录播工作站使用，实现一键开启、暂停和关闭录播功能。</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06CC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FEC2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12270">
            <w:pPr>
              <w:jc w:val="center"/>
              <w:rPr>
                <w:rFonts w:hint="eastAsia" w:ascii="宋体" w:hAnsi="宋体" w:eastAsia="宋体"/>
                <w:color w:val="000000"/>
                <w:sz w:val="20"/>
                <w:szCs w:val="20"/>
                <w:highlight w:val="none"/>
              </w:rPr>
            </w:pPr>
          </w:p>
        </w:tc>
      </w:tr>
      <w:tr w14:paraId="4718F734">
        <w:tblPrEx>
          <w:tblCellMar>
            <w:top w:w="0" w:type="dxa"/>
            <w:left w:w="108" w:type="dxa"/>
            <w:bottom w:w="0" w:type="dxa"/>
            <w:right w:w="108" w:type="dxa"/>
          </w:tblCellMar>
        </w:tblPrEx>
        <w:trPr>
          <w:trHeight w:val="244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84F3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2B72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智能跟踪系统</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13C2D61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1、智能图像识别，结合具体的场合能够实现多个活动的过程的识别跟踪，直接对录制视频图像进行分析，完全实现常态化教学。</w:t>
            </w:r>
          </w:p>
          <w:p w14:paraId="64505B4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2、抗干扰能力：采用领先的防抖动人体特征跟踪算法，图像识别系统完全不受光线、声音、电磁等外在的环境影响；</w:t>
            </w:r>
          </w:p>
          <w:p w14:paraId="0405916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3、系统结构：设计合理，结构简单，实现全自动的跟踪识别；定位与实时：自动识别目标位置、实时控制摄像头精确定位，并且能够特写模式拍摄。</w:t>
            </w:r>
          </w:p>
          <w:p w14:paraId="7046C63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4、支持标定有效的探测区域，可以通过在探测区域划定教师身高大小的大概变化范围，在跟踪区域实现教师身高的自适应。</w:t>
            </w:r>
          </w:p>
          <w:p w14:paraId="2ECE8917">
            <w:pPr>
              <w:jc w:val="left"/>
              <w:rPr>
                <w:rFonts w:ascii="宋体" w:hAnsi="宋体" w:eastAsia="宋体"/>
                <w:color w:val="000000"/>
                <w:sz w:val="20"/>
                <w:szCs w:val="20"/>
                <w:highlight w:val="none"/>
              </w:rPr>
            </w:pPr>
            <w:r>
              <w:rPr>
                <w:rFonts w:hint="eastAsia" w:ascii="宋体" w:hAnsi="宋体" w:eastAsia="宋体"/>
                <w:color w:val="000000"/>
                <w:sz w:val="20"/>
                <w:szCs w:val="20"/>
                <w:highlight w:val="none"/>
              </w:rPr>
              <w:t>5、支持标记有效的学生探测区域。</w:t>
            </w:r>
          </w:p>
          <w:p w14:paraId="1D14CD9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6、为调试方便，支持配置好参数的导入导出。规格相同的教室可以一键完成探测调试。</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5026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68C6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81C8B">
            <w:pPr>
              <w:jc w:val="center"/>
              <w:rPr>
                <w:rFonts w:hint="default" w:ascii="宋体" w:hAnsi="宋体" w:eastAsia="宋体"/>
                <w:color w:val="000000"/>
                <w:sz w:val="20"/>
                <w:szCs w:val="20"/>
                <w:highlight w:val="none"/>
                <w:lang w:val="en-US" w:eastAsia="zh-CN"/>
              </w:rPr>
            </w:pPr>
          </w:p>
        </w:tc>
      </w:tr>
      <w:tr w14:paraId="790F6CF5">
        <w:tblPrEx>
          <w:tblCellMar>
            <w:top w:w="0" w:type="dxa"/>
            <w:left w:w="108" w:type="dxa"/>
            <w:bottom w:w="0" w:type="dxa"/>
            <w:right w:w="108" w:type="dxa"/>
          </w:tblCellMar>
        </w:tblPrEx>
        <w:trPr>
          <w:trHeight w:val="244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4E7E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221C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图像探测器</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317BBA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1、成像器件：1/3英寸高清CMOS；</w:t>
            </w:r>
          </w:p>
          <w:p w14:paraId="4D5427D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2、有效像素：≥207万；</w:t>
            </w:r>
          </w:p>
          <w:p w14:paraId="0657066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3、信噪比：≥50db（AGC OFF）；</w:t>
            </w:r>
          </w:p>
          <w:p w14:paraId="0E04C66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4、网络接口：10/100Mbps网络自适应，POE供电；</w:t>
            </w:r>
          </w:p>
          <w:p w14:paraId="2A478F8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5、视频编码：H.264 Main Profile、Baseline、MJPEG编码；</w:t>
            </w:r>
          </w:p>
          <w:p w14:paraId="524CAE6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6、供电方式：DC 12V、POE供电；</w:t>
            </w:r>
          </w:p>
          <w:p w14:paraId="2FCB2A3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7、协议支持：TCP/IP、UDP、RTP、RTSP；</w:t>
            </w:r>
          </w:p>
          <w:p w14:paraId="7CD7C0E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8、资质要求：提供MTBF不低于120000小时认证证书，提供厂家盖章的复印件。</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299E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AFB5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997C1">
            <w:pPr>
              <w:jc w:val="center"/>
              <w:rPr>
                <w:rFonts w:hint="eastAsia" w:ascii="宋体" w:hAnsi="宋体" w:eastAsia="宋体"/>
                <w:color w:val="000000"/>
                <w:sz w:val="20"/>
                <w:szCs w:val="20"/>
                <w:highlight w:val="none"/>
                <w:lang w:val="en-US" w:eastAsia="zh-CN"/>
              </w:rPr>
            </w:pPr>
          </w:p>
          <w:p w14:paraId="78D6DF7C">
            <w:pPr>
              <w:jc w:val="center"/>
              <w:rPr>
                <w:rFonts w:hint="default" w:ascii="宋体" w:hAnsi="宋体" w:eastAsia="宋体"/>
                <w:color w:val="000000"/>
                <w:sz w:val="20"/>
                <w:szCs w:val="20"/>
                <w:highlight w:val="none"/>
                <w:lang w:val="en-US" w:eastAsia="zh-CN"/>
              </w:rPr>
            </w:pPr>
          </w:p>
        </w:tc>
      </w:tr>
      <w:tr w14:paraId="6CE27433">
        <w:tblPrEx>
          <w:tblCellMar>
            <w:top w:w="0" w:type="dxa"/>
            <w:left w:w="108" w:type="dxa"/>
            <w:bottom w:w="0" w:type="dxa"/>
            <w:right w:w="108" w:type="dxa"/>
          </w:tblCellMar>
        </w:tblPrEx>
        <w:trPr>
          <w:trHeight w:val="244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148F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CE29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吊装话筒</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14EB6DF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1、指向性：超窄指向；</w:t>
            </w:r>
          </w:p>
          <w:p w14:paraId="7637160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2、拾音角度：≤100º；</w:t>
            </w:r>
          </w:p>
          <w:p w14:paraId="483445D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3、频率范围：100Hz～16KHz；</w:t>
            </w:r>
          </w:p>
          <w:p w14:paraId="1CE9546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4、信噪比：≥71dB-A；</w:t>
            </w:r>
          </w:p>
          <w:p w14:paraId="461A1FF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5、等效噪声级：23dB-A；</w:t>
            </w:r>
          </w:p>
          <w:p w14:paraId="4DFCEFC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6、灵敏度：≥28.2mV/Pa（-31Db，@1KHz）；</w:t>
            </w:r>
          </w:p>
          <w:p w14:paraId="76EE301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7、最大声压级：≥128dB（0.5% THD）；</w:t>
            </w:r>
          </w:p>
          <w:p w14:paraId="12DD6E2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8、供电：48V幻象供电、≤4mA电流；</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9D38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支</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7E7D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182EA">
            <w:pPr>
              <w:jc w:val="center"/>
              <w:rPr>
                <w:rFonts w:hint="eastAsia" w:ascii="宋体" w:hAnsi="宋体" w:eastAsia="宋体"/>
                <w:color w:val="000000"/>
                <w:sz w:val="20"/>
                <w:szCs w:val="20"/>
                <w:highlight w:val="none"/>
                <w:lang w:val="en-US" w:eastAsia="zh-CN"/>
              </w:rPr>
            </w:pPr>
          </w:p>
          <w:p w14:paraId="142ABA1A">
            <w:pPr>
              <w:jc w:val="both"/>
              <w:rPr>
                <w:rFonts w:hint="default" w:ascii="宋体" w:hAnsi="宋体" w:eastAsia="宋体"/>
                <w:color w:val="000000"/>
                <w:sz w:val="20"/>
                <w:szCs w:val="20"/>
                <w:highlight w:val="none"/>
                <w:lang w:val="en-US" w:eastAsia="zh-CN"/>
              </w:rPr>
            </w:pPr>
          </w:p>
        </w:tc>
      </w:tr>
      <w:tr w14:paraId="04A330C3">
        <w:tblPrEx>
          <w:tblCellMar>
            <w:top w:w="0" w:type="dxa"/>
            <w:left w:w="108" w:type="dxa"/>
            <w:bottom w:w="0" w:type="dxa"/>
            <w:right w:w="108" w:type="dxa"/>
          </w:tblCellMar>
        </w:tblPrEx>
        <w:trPr>
          <w:trHeight w:val="3657"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4662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AB2C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导播控制台</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191C93A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1、采用机械手感悬浮按键+背光提示设计，具备≥32个机械按键及摄像机四维控制摇杆，支持通过遥控控制摄像机云台控制、变倍及预置位设定；</w:t>
            </w:r>
          </w:p>
          <w:p w14:paraId="6BFC0D1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对≥5路摄像机云台进行控制，实现“上下翻转、左右翻转、放大缩小翻转”等，操控期间镜头变化速度支持自定义调节，支持为每个摄像机设定≥7个预置位，实现快速定位；提供检测报告并加盖厂家公章；</w:t>
            </w:r>
          </w:p>
          <w:p w14:paraId="6A7D898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3、支持对≥6路主画面和≥6路副画面进行切换控制，支持多种画中画模式开启与关闭、画中画副画面切换、主副画面切换等，支持启用或关闭特技效果；提供检测报告并加盖厂家公章；</w:t>
            </w:r>
          </w:p>
          <w:p w14:paraId="3858122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4、支持与自动跟踪系统联动，具备手动、自动切换功能，支持控制录像状态，无需键盘鼠标配合；</w:t>
            </w:r>
          </w:p>
          <w:p w14:paraId="6B44B3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5、具备≥2路RS-232协议的DB9接口用于录播机及跟踪机控制，具备≥1路DB15接口用于5路摄像机控制，具备≥5路RJ45摄像机控制口（串口），具备支持供电的USB接口；</w:t>
            </w:r>
          </w:p>
          <w:p w14:paraId="0076B7C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6、采用的绝缘材料具备足够的抗电强度，在抗电强度测试期间没有出现飞弧或击穿。</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E75C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9639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BB732">
            <w:pPr>
              <w:jc w:val="center"/>
              <w:rPr>
                <w:rFonts w:hint="default" w:ascii="宋体" w:hAnsi="宋体" w:eastAsia="宋体"/>
                <w:color w:val="000000"/>
                <w:sz w:val="20"/>
                <w:szCs w:val="20"/>
                <w:highlight w:val="none"/>
                <w:lang w:val="en-US" w:eastAsia="zh-CN"/>
              </w:rPr>
            </w:pPr>
          </w:p>
        </w:tc>
      </w:tr>
      <w:tr w14:paraId="7CD13459">
        <w:tblPrEx>
          <w:tblCellMar>
            <w:top w:w="0" w:type="dxa"/>
            <w:left w:w="108" w:type="dxa"/>
            <w:bottom w:w="0" w:type="dxa"/>
            <w:right w:w="108" w:type="dxa"/>
          </w:tblCellMar>
        </w:tblPrEx>
        <w:trPr>
          <w:trHeight w:val="396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E351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61E5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双通道功放</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15E039C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1、采用≤1U标准机架式功放，双通道设计，内置≥2个不间断散热风扇；</w:t>
            </w:r>
          </w:p>
          <w:p w14:paraId="41AC7CA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2、支持直流输出、过热保护、负载短路、过流、输出保护、过热保护、交流过流保护等；</w:t>
            </w:r>
          </w:p>
          <w:p w14:paraId="72A76FE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3、内置≥4路左右声道音频输入接口和≥4路功放音频输出接口；</w:t>
            </w:r>
          </w:p>
          <w:p w14:paraId="388428B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4、内置主功放和监听功放输出音量调节旋钮及音量指示灯；</w:t>
            </w:r>
          </w:p>
          <w:p w14:paraId="2E8CF46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5、信噪比（加权）：&gt;90dB；</w:t>
            </w:r>
          </w:p>
          <w:p w14:paraId="750201A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6、电压增益：≥30dB；</w:t>
            </w:r>
          </w:p>
          <w:p w14:paraId="51D56B4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7、频率响应：22H～20KHz（-3dB）；</w:t>
            </w:r>
          </w:p>
          <w:p w14:paraId="36D0F38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8、失真率：＜1%（1KHz，额定功率）；</w:t>
            </w:r>
          </w:p>
          <w:p w14:paraId="157E13D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9、声道系统：2.0 +2.0，电源输入：220V±10%/2A/50Hz，内置保险管；</w:t>
            </w:r>
          </w:p>
          <w:p w14:paraId="5071D60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10、功放和电源总效率：&gt;83%，功放开关频率：≥500KHz；</w:t>
            </w:r>
          </w:p>
          <w:p w14:paraId="4F2D10A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11、总功率：≥300W，主功放输出功率：≥200W，监听功放输出功率：≥100W；</w:t>
            </w:r>
          </w:p>
          <w:p w14:paraId="7F5838B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12、为保证系统整体兼容性、稳定性、统一性，便于系统维护，须与录播工作站设备同一生产制造厂商。</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01AE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94DE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38120">
            <w:pPr>
              <w:jc w:val="center"/>
              <w:rPr>
                <w:rFonts w:hint="default" w:ascii="宋体" w:hAnsi="宋体" w:eastAsia="宋体"/>
                <w:color w:val="000000"/>
                <w:sz w:val="20"/>
                <w:szCs w:val="20"/>
                <w:highlight w:val="none"/>
                <w:lang w:val="en-US" w:eastAsia="zh-CN"/>
              </w:rPr>
            </w:pPr>
          </w:p>
        </w:tc>
      </w:tr>
      <w:tr w14:paraId="3375669E">
        <w:tblPrEx>
          <w:tblCellMar>
            <w:top w:w="0" w:type="dxa"/>
            <w:left w:w="108" w:type="dxa"/>
            <w:bottom w:w="0" w:type="dxa"/>
            <w:right w:w="108" w:type="dxa"/>
          </w:tblCellMar>
        </w:tblPrEx>
        <w:trPr>
          <w:trHeight w:val="1533"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AD00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71F2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线阵列音箱</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3A78978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1、包含2个左右音箱，音箱最大功率≥60W、额定功率≥30W；</w:t>
            </w:r>
          </w:p>
          <w:p w14:paraId="3049CE5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2、声压级：1W（1KHz，1米）时，≥92dB（SPL）；</w:t>
            </w:r>
          </w:p>
          <w:p w14:paraId="58422E9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3、频率范围：190Hz～18KHz（-10 dB）；</w:t>
            </w:r>
          </w:p>
          <w:p w14:paraId="6CF8B93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4、开放角度：1KHz/4KHz（-6 dB），水平210°/132°，垂直50°/22°；</w:t>
            </w:r>
          </w:p>
          <w:p w14:paraId="182B8A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5、额定阻抗：≤6欧姆。</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EED7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B97C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EAC9B">
            <w:pPr>
              <w:jc w:val="center"/>
              <w:rPr>
                <w:rFonts w:hint="default" w:ascii="宋体" w:hAnsi="宋体" w:eastAsia="宋体"/>
                <w:color w:val="000000"/>
                <w:sz w:val="20"/>
                <w:szCs w:val="20"/>
                <w:highlight w:val="none"/>
                <w:lang w:val="en-US" w:eastAsia="zh-CN"/>
              </w:rPr>
            </w:pPr>
          </w:p>
        </w:tc>
      </w:tr>
      <w:tr w14:paraId="1E33A198">
        <w:tblPrEx>
          <w:tblCellMar>
            <w:top w:w="0" w:type="dxa"/>
            <w:left w:w="108" w:type="dxa"/>
            <w:bottom w:w="0" w:type="dxa"/>
            <w:right w:w="108" w:type="dxa"/>
          </w:tblCellMar>
        </w:tblPrEx>
        <w:trPr>
          <w:trHeight w:val="1533"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3EF79">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lang w:val="en-US" w:eastAsia="zh-CN"/>
              </w:rPr>
              <w:t>2</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2E63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机柜</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52F0DB4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1、采用19英寸标准机柜设计，高度≥22U，主体材质采用SPCC冷轧钢板，柜体内置电源箱，具备可调节行走脚轮；</w:t>
            </w:r>
          </w:p>
          <w:p w14:paraId="6FC2EA7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2、机柜顶部采用可操作台面设计，支持摆放显示器、导播台等设备进行本地导播控制；</w:t>
            </w:r>
          </w:p>
          <w:p w14:paraId="2486604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3、机柜内置电源箱具备≥4路包含2P和3P类型的AC 220V电源插座接口，具备≥4路包含圆孔插座和接线端子类型的DC 12V电源接口，支持为机柜内部模块及录播系统进行供电；</w:t>
            </w:r>
          </w:p>
          <w:p w14:paraId="31A4508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4、机柜内置电源箱具备≥8路10M/100M/1000Mbps自适应的POE网络接口，实现机柜内网络互联互通；</w:t>
            </w:r>
          </w:p>
          <w:p w14:paraId="0D1BBDC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5、机柜内置电源箱电源开关采用AC 220V/10A空气开关设计，支持控制机柜总电源；</w:t>
            </w:r>
          </w:p>
          <w:p w14:paraId="2F09DFE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6、机柜具备≥2个散热风口，前后柜门配备安全锁。</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BB99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633B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D27A8">
            <w:pPr>
              <w:jc w:val="center"/>
              <w:rPr>
                <w:rFonts w:hint="default" w:ascii="宋体" w:hAnsi="宋体" w:eastAsia="宋体"/>
                <w:color w:val="000000"/>
                <w:sz w:val="20"/>
                <w:szCs w:val="20"/>
                <w:highlight w:val="none"/>
                <w:lang w:val="en-US" w:eastAsia="zh-CN"/>
              </w:rPr>
            </w:pPr>
          </w:p>
        </w:tc>
      </w:tr>
      <w:tr w14:paraId="7DBCFE5E">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D8B27">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lang w:val="en-US" w:eastAsia="zh-CN"/>
              </w:rPr>
              <w:t>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7405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资源管理平台</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4F4EFE1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rPr>
              <w:tab/>
            </w:r>
            <w:r>
              <w:rPr>
                <w:rFonts w:hint="eastAsia" w:ascii="宋体" w:hAnsi="宋体" w:eastAsia="宋体"/>
                <w:color w:val="000000"/>
                <w:sz w:val="20"/>
                <w:szCs w:val="20"/>
                <w:highlight w:val="none"/>
              </w:rPr>
              <w:t>基础功能：</w:t>
            </w:r>
          </w:p>
          <w:p w14:paraId="65A3432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1）支持自定义设置当前站点机构组织、用户初始化导入、用户组及用户权限管理，支持建立和批量导入班级，具备师生注册审核机制；</w:t>
            </w:r>
          </w:p>
          <w:p w14:paraId="6F2F641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自定义设置门户导航目录，支持设置平台名称、logo、页脚信息，设置数据展示的学期范围，设置课程、活动、专辑等默认封面等，支持填写≥2个备案信息及其链接地址；提供CNAS认证检测报告并加盖厂家公章；</w:t>
            </w:r>
          </w:p>
          <w:p w14:paraId="21445C6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3）资源中心首页支持≥9个模块缩略展示，支持上传多banner图片，实现多图轮播；支持banner图片添加链接；</w:t>
            </w:r>
          </w:p>
          <w:p w14:paraId="0CABA1D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4）支持国家重大事件发生时，一键将平台设置为灰色风格； </w:t>
            </w:r>
          </w:p>
          <w:p w14:paraId="1BD3F93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5）支持系统默认播放模式设置为双屏模式、电影模式或资源模式,支持自定义开启或关闭OCR 分析；</w:t>
            </w:r>
          </w:p>
          <w:p w14:paraId="2C8E287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6）支持对教室进行管理及设备查看,支持一键跳转集控管理平台进行设备管理；提供CNAS认证检测报告并加盖厂家公章；</w:t>
            </w:r>
          </w:p>
          <w:p w14:paraId="2D65E0F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7）支持添加、导入互动终端，支持自定义设置内外网互动模式、会控服务器IP、服务端口等；</w:t>
            </w:r>
          </w:p>
          <w:p w14:paraId="2172B8A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自定义添加、编辑、启用及禁用系统的学科、学段、年级、教材版本、教材册等信息，支持批量导入教材目录，支持一键同步本站学段、学科、年级、教材版本、教材册的设置至下级站点，支持学期新建和删除，新建学期可设置学期开始日期和预计周次；</w:t>
            </w:r>
          </w:p>
          <w:p w14:paraId="20F418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9）支持自定义创建评分量表、设置量表指标及分值，支持基于已有量表进行指标添加，支持设置量表总分等于各一级指标得分×各自权重，汇总求和；</w:t>
            </w:r>
          </w:p>
          <w:p w14:paraId="1AE060F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10）支持录播设备接入平台实现自动转码、多画面直播及点播等，支持扫码观看直播、查看公告及浏览资源等； </w:t>
            </w:r>
          </w:p>
          <w:p w14:paraId="36D219B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11）★采用引用计数和垃圾回收技术，支持单条资源被多级平台共同调用，某处删除不影响其他站点用户使用，支持系统自动判断当每级站点都不需要此资源时再自动删除；提供CNAS认证检测报告并加盖厂家公章；</w:t>
            </w:r>
          </w:p>
          <w:p w14:paraId="0FDAB7D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12）支持自定义自动删除策略，根据文件上传时间和引用数进行清理周期、清理范围、清理方式等设置，支持服务器磁盘剩余容量达到设定警戒值时进行预警提示；</w:t>
            </w:r>
          </w:p>
          <w:p w14:paraId="5676F41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13）支持自定义设置当前站点服务器配置、维护平台使用手册,支持系统应用服务配置，支持针对教室端录播设备进行单个或批量升级，支持针对平台AI服务进行运行状态检测等。</w:t>
            </w:r>
          </w:p>
          <w:p w14:paraId="0BFBD2C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个人空间</w:t>
            </w:r>
          </w:p>
          <w:p w14:paraId="1AB9D73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提供个人空间，支持个人信息、资源及量表管理，支持消息发送和接收，支持在个人空间上传、管理、搜索、收藏资源，支持将课件、教案等资源与课堂录像进行关联，支持教师调课后视频资源自动、手动归档；</w:t>
            </w:r>
          </w:p>
          <w:p w14:paraId="53F072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2）支持通过课表对录播教室进行录像和直播预约，课程结束后，课堂录像自动上传至主讲人个人空间；</w:t>
            </w:r>
          </w:p>
          <w:p w14:paraId="2C9E484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3）★支持在个人空间针对原视频进行裁剪、编辑、合成及发布，具备文字轨道、视频轨道、台标等编辑功能；提供CNAS认证检测报告并加盖厂家公章；</w:t>
            </w:r>
          </w:p>
          <w:p w14:paraId="3B67AAA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4）支持查看我的课表，通过在个人课表添加课表或者导入课表进行约课，支持查看我的授课班级、授课班级学生，班主任可以编辑班级信息、进行学生模型训练、班级归档操作；支持查看我所加入的教研组、我的备课情况、我的视频教研情况、听课任务及记录听课进度等，支持查看我申请的优课评选及得奖课程，支持创建、编辑磨课组、添加课例等，支持查看我的教学反思、收到的反思及教学反思统计等； </w:t>
            </w:r>
          </w:p>
          <w:p w14:paraId="6473B10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5）支持汇总我的评审任务，包含优课评审、听课评审和集体磨课评审等；支持汇总我被评的课程，包含优课评审、听课评审和集体磨课评审等；</w:t>
            </w:r>
          </w:p>
          <w:p w14:paraId="449C90C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6）支持查看我参与的互动课程和联校空间，查看我加入的听评课、讲课反馈，支持查看平台的使用说明；</w:t>
            </w:r>
          </w:p>
          <w:p w14:paraId="7786EB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应用管理</w:t>
            </w:r>
          </w:p>
          <w:p w14:paraId="03B78E7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1）支持管理员编辑及修改通知公告，支持设定公告类型、公告定时发布信息；</w:t>
            </w:r>
          </w:p>
          <w:p w14:paraId="0F5413F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2）支持学情分析阈值设置，并可设置特例课识别值； </w:t>
            </w:r>
          </w:p>
          <w:p w14:paraId="398BFD4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3）支持汇总平台录像，对录像进行发布、删除、查看、编辑、推送等；</w:t>
            </w:r>
          </w:p>
          <w:p w14:paraId="4879A4B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4）支持视频添加教案、课件、习题等文档及图片作为附件进行在线无插件预览；</w:t>
            </w:r>
          </w:p>
          <w:p w14:paraId="4250376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5）支持用户对资源进行收藏、下载、分享等，支持用户对资源进行评论和在线交流；</w:t>
            </w:r>
          </w:p>
          <w:p w14:paraId="4EAAA14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6）支持用户在点播观看视频时可通过系统提供的量表进行在线打分评价，支持自定义设置量表； </w:t>
            </w:r>
          </w:p>
          <w:p w14:paraId="4A63CAB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7）支持用户对课堂视频录像进行量化评估，可根据实际教学评估要求设置多套评估标准，每套评估标准可设置不同总分，可设置多项评估项目，每项评估项目可设置多项评估子项，满足不同评估要求； </w:t>
            </w:r>
          </w:p>
          <w:p w14:paraId="7AC1B95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8）支持多种搜索条件进行组合搜索，支持用户通过资源名称、班级、教师文本快速搜索资源；</w:t>
            </w:r>
          </w:p>
          <w:p w14:paraId="753EC26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9）支持管理员设置资源分类审核、关闭审核开关，设置免审核模式，支持管理员将教师推送的资源进行修正归档；</w:t>
            </w:r>
          </w:p>
          <w:p w14:paraId="0F3A4DE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10）支持自定义录像主题、录像专辑等，支持录像资源删除后进入回收站，支持在站群内子站向父站推送课程。</w:t>
            </w:r>
          </w:p>
          <w:p w14:paraId="46D1021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课表管理</w:t>
            </w:r>
          </w:p>
          <w:p w14:paraId="5B3064E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1）支持根据教室和教师维度查看和添加课表、批量导入课表，支持依据日历和课表两种方式查看教室课表，支持设置教室相应的时间节次方案；</w:t>
            </w:r>
          </w:p>
          <w:p w14:paraId="2B97396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2）支持按时间或设置好的节次方案进行课表约课，支持修改课程名称、班级、学段、教师、学科、年级等信息，设置教室及输入直播源；</w:t>
            </w:r>
          </w:p>
          <w:p w14:paraId="4C97DC8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3）支持根据教师、课程、教室、班级、学生等关键词查询课表；</w:t>
            </w:r>
          </w:p>
          <w:p w14:paraId="1072B05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4）支持课表约课时控制录像、直播、聊天室、AI分析、直播评课、直播时移、手机端直播的功能开启状态，支持设置≥5种直播访问方式；提供CNAS认证检测报告并加盖厂家公章。</w:t>
            </w:r>
          </w:p>
          <w:p w14:paraId="0F6B835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视频点播、直播</w:t>
            </w:r>
          </w:p>
          <w:p w14:paraId="6EBE18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1）支持多画面资源模式点播，如以三分屏的方式同步播放教师画面、学生画面、课件画面，支持视频直接拖拽播放； </w:t>
            </w:r>
          </w:p>
          <w:p w14:paraId="43379F3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2）支持在播放器窗口进行标清、高清、超清等多种清晰度切换；</w:t>
            </w:r>
          </w:p>
          <w:p w14:paraId="23F361D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3）支持观看视频时可通过系统提供的量表进行在线打分评价； </w:t>
            </w:r>
          </w:p>
          <w:p w14:paraId="4744D85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4）具有教育行业特性，依据直播课堂时况可实现课堂S-T分析，自动分析课堂教师、学生及互动行为占比并自动画出行为曲线，自动分析课堂类型；</w:t>
            </w:r>
          </w:p>
          <w:p w14:paraId="64E967F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5）直播过程支持在线用户文字交流、量表打分，直播结束后系统将视频和评论记录自动上传到教师个人空间；</w:t>
            </w:r>
          </w:p>
          <w:p w14:paraId="6013A39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6）直播过程中支持用户以二维码、链接地址形式分享直播；</w:t>
            </w:r>
          </w:p>
          <w:p w14:paraId="140496A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7）支持自定义直播开始、结束时间，设置直播评分量表；</w:t>
            </w:r>
          </w:p>
          <w:p w14:paraId="4E09D3B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8）支持直播时移，直播开始后可拖动播放器时间轴回放直播；</w:t>
            </w:r>
          </w:p>
          <w:p w14:paraId="323F6BF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9）支持设置直播观看密码，支持匿名用户观看直播，支持设置是否在设备开启直播时才允许观看教室画面；</w:t>
            </w:r>
          </w:p>
          <w:p w14:paraId="4FDBFFE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10）支持门户显示和观看设置，支持设置在直播频道中是否显示离线设备；</w:t>
            </w:r>
          </w:p>
          <w:p w14:paraId="2B7D77D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11）支持微信扫描平台二维码进行直播观看、课程点播等。</w:t>
            </w:r>
          </w:p>
          <w:p w14:paraId="7884418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直播门户</w:t>
            </w:r>
          </w:p>
          <w:p w14:paraId="24AEEF6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1）支持查看当前正在进行的直播课、将要开始的直播课、已经结束且已发布的直播课，支持按照学校、学段、学科、时间段、资源名称、作者和标签等搜索直播课，支持按时间和视频热度呈现直播课资源；</w:t>
            </w:r>
          </w:p>
          <w:p w14:paraId="692A5B1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2）支持统计直播门户下的所有直播课数量和播放量，支持统计不同时间周期内的直播课程数量、累计观看人数及课程；</w:t>
            </w:r>
          </w:p>
          <w:p w14:paraId="6E636FA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3）支持统计任意直播课程观看人数、观看用户信息，至少包含用户姓名、学段、学科、观看开始及退出时间等，数据可导出。</w:t>
            </w:r>
          </w:p>
          <w:p w14:paraId="0E106D1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2、优课中心：</w:t>
            </w:r>
          </w:p>
          <w:p w14:paraId="2497A0B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1）支持在模块首页展示优课资源数量和播放量；</w:t>
            </w:r>
          </w:p>
          <w:p w14:paraId="0DD7D5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按照资源发布时间、点赞数量和播放量，对资源进行排行展示，支持手动推荐资源在优课中心进行重点展示，支持按照学校、学段、学科进行筛选优课，支持按资源名称、作者、标签搜索查找优课，支持教案、课件、习题等文档进行在线无插件预览； </w:t>
            </w:r>
          </w:p>
          <w:p w14:paraId="24CEC29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3）支持对资源进行收藏、下载、分享等，支持对资源进行量表评分和文字评论。</w:t>
            </w:r>
          </w:p>
          <w:p w14:paraId="0EB913E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3、微课中心：</w:t>
            </w:r>
          </w:p>
          <w:p w14:paraId="4BEBFF2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1）支持以知识点系列形式组织微课专辑，自定义微课发布方式，支持在微课资源首页展示微课资源数量、点播数量；</w:t>
            </w:r>
          </w:p>
          <w:p w14:paraId="7C84E44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2）支持按发布时间、播放量、点赞量进行微课排行展示，支持按学段、学科、微课名称、作者、标签等筛选及搜索微课；</w:t>
            </w:r>
          </w:p>
          <w:p w14:paraId="18518FF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3）支持用户收藏、订阅微课，在个人空间查看微课学习记录；</w:t>
            </w:r>
          </w:p>
          <w:p w14:paraId="27FD9BC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4）支持对微课资源进行在线评分，支持采用预设量表评分、主观评价等，支持删除个人讨论内容，管理员可删除任意讨论内容。</w:t>
            </w:r>
          </w:p>
          <w:p w14:paraId="1DD5E87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4、主题资源：</w:t>
            </w:r>
          </w:p>
          <w:p w14:paraId="6A38B81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1）支持用户自定义主题与子主题资源分类，支持提交与发布资源；</w:t>
            </w:r>
          </w:p>
          <w:p w14:paraId="429E443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2）支持用户将资源提交通过审核后发布展示在对应主题模块；</w:t>
            </w:r>
          </w:p>
          <w:p w14:paraId="759B3B7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3）支持将发布的专题在首页展示，支持按主题、子主题、资源名称、作者和标签等筛选及搜索资源；</w:t>
            </w:r>
          </w:p>
          <w:p w14:paraId="133051D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4）支持主题资源按发布时间、最热点赞和最热播放进行排序展示；</w:t>
            </w:r>
          </w:p>
          <w:p w14:paraId="23AC480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5、课程专辑：</w:t>
            </w:r>
          </w:p>
          <w:p w14:paraId="6FE1119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1）支持用户按类型、学段及学科对资源进行分类，自定义专辑发布方式，支持在优课专辑首页展示专辑数量、资源数量；</w:t>
            </w:r>
          </w:p>
          <w:p w14:paraId="252739A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2）支持专辑按发布时间、播放量、收藏量进行排行展示，支持按学段、学科、专辑名称、作者、标签等筛选及搜索专辑。</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3945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789C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D9426">
            <w:pPr>
              <w:jc w:val="center"/>
              <w:rPr>
                <w:rFonts w:hint="default" w:ascii="宋体" w:hAnsi="宋体" w:eastAsia="宋体"/>
                <w:color w:val="000000"/>
                <w:sz w:val="20"/>
                <w:szCs w:val="20"/>
                <w:highlight w:val="none"/>
                <w:lang w:val="en-US" w:eastAsia="zh-CN"/>
              </w:rPr>
            </w:pPr>
          </w:p>
        </w:tc>
      </w:tr>
      <w:tr w14:paraId="73586E77">
        <w:tblPrEx>
          <w:tblCellMar>
            <w:top w:w="0" w:type="dxa"/>
            <w:left w:w="108" w:type="dxa"/>
            <w:bottom w:w="0" w:type="dxa"/>
            <w:right w:w="108" w:type="dxa"/>
          </w:tblCellMar>
        </w:tblPrEx>
        <w:trPr>
          <w:trHeight w:val="244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65248">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lang w:val="en-US" w:eastAsia="zh-CN"/>
              </w:rPr>
              <w:t>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A75D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平台应用主机</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60ED415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1、≤1U机架式设计，Linux操作系统；</w:t>
            </w:r>
          </w:p>
          <w:p w14:paraId="3E8CFE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2、内置高性能低功耗处理器，内存容量≥32GB；</w:t>
            </w:r>
          </w:p>
          <w:p w14:paraId="243751C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3、采用双硬盘设计，内置≥500GB SSD系统盘及≥4TB数据盘，内置≥2个数据盘接口，支持硬盘容量扩展；</w:t>
            </w:r>
          </w:p>
          <w:p w14:paraId="5D79894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4、内置≥2路USB接口，≥1路 HDMI接口，</w:t>
            </w:r>
          </w:p>
          <w:p w14:paraId="65E2FD3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5、内置≥4路 2.5G网络接口；</w:t>
            </w:r>
          </w:p>
          <w:p w14:paraId="7EB8625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6、支持教室端录播工作站的接入，支持集群部署。</w:t>
            </w:r>
          </w:p>
          <w:p w14:paraId="6C87B42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7、支持流媒体转发、直播、点播功能。与录播同一品牌。</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A31B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A7AE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E0B17">
            <w:pPr>
              <w:jc w:val="center"/>
              <w:rPr>
                <w:rFonts w:hint="default" w:ascii="宋体" w:hAnsi="宋体" w:eastAsia="宋体"/>
                <w:color w:val="000000"/>
                <w:sz w:val="20"/>
                <w:szCs w:val="20"/>
                <w:highlight w:val="none"/>
                <w:lang w:val="en-US" w:eastAsia="zh-CN"/>
              </w:rPr>
            </w:pPr>
          </w:p>
        </w:tc>
      </w:tr>
      <w:tr w14:paraId="6E807DA0">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3874E">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lang w:val="en-US" w:eastAsia="zh-CN"/>
              </w:rPr>
              <w:t>5</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DA61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智慧黑板</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0A63192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一、 整体设计要求</w:t>
            </w:r>
          </w:p>
          <w:p w14:paraId="1F01759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 要求智慧黑板采用无推拉式结构，由三块拼接而成的纯平面黑板，一体化设计，无任何外露连接线；整机尺寸：不小于4200mm×1200mm，厚度≤85mm。 </w:t>
            </w:r>
          </w:p>
          <w:p w14:paraId="5B2B4A7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屏幕显示尺寸：≥86英寸，直下式LED背光源，显示比例：16:9，分辨率：3840×2160，屏体亮度≥500cd/㎡，对比度：5000：1。</w:t>
            </w:r>
          </w:p>
          <w:p w14:paraId="366B102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产品采用电容全贴合技术，消除屏幕间的空气，减少显示面板与玻璃之间的反光。</w:t>
            </w:r>
          </w:p>
          <w:p w14:paraId="32BCDBA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支持任意信号通道下不低于20点的书写体验，且具备抗强光干扰性能，在450K LUX照度的光照下保证书写功能正常。</w:t>
            </w:r>
          </w:p>
          <w:p w14:paraId="419F6A9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整机内置前朝向：2×15W扬声器。</w:t>
            </w:r>
          </w:p>
          <w:p w14:paraId="47106EA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整机提供前置按键：前面板具备不少于7个按键设计，至少包含电源、护眼、音量±；</w:t>
            </w:r>
          </w:p>
          <w:p w14:paraId="557216E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 整机显示区域下方具备通体笔槽，内凹设计避免灰尘落入接口，方便放置书写笔。</w:t>
            </w:r>
          </w:p>
          <w:p w14:paraId="7CE23CA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 整机接口：HDMI in（1路前置）≥4，USB（支持双系统识别读取）≥4，TOUCH Out≥3（一路前置），LAN≥1。</w:t>
            </w:r>
          </w:p>
          <w:p w14:paraId="7928B1B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 前置红外接收器，遥控器可一键切换内置电脑模式或外接电脑设备模式；具备电视遥控功能和电脑键盘常用的F1—F12功能键及Alt+F4、Alt+Tab、Space、windows等快捷按键，PPT上下翻页、一键锁定。</w:t>
            </w:r>
          </w:p>
          <w:p w14:paraId="220286E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 整机需配备Android和Windows双系统，可通过多种方式进行双系统的切换。</w:t>
            </w:r>
          </w:p>
          <w:p w14:paraId="396B41A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 内置Android系统版本Android8.0或以上，内存≥3GB，存储空间≥16GB。</w:t>
            </w:r>
          </w:p>
          <w:p w14:paraId="1E5E2D4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 采用OPS电脑方案，抽拉式且采用intel标准80pin接口，采用手转螺丝锁固定，无需工具即可快速拆卸OPS电脑模块；</w:t>
            </w:r>
          </w:p>
          <w:p w14:paraId="1022CC6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 整机OPS电脑接口位置设计必须方便插拔，无需拆卸整机任何结构，即可快速取出。</w:t>
            </w:r>
          </w:p>
          <w:p w14:paraId="1B71156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 整机采用左右双侧边菜单虚拟按键设计，开机即显，通过侧边菜单可实现一键主页、全通道放大、一键绿板、信源切换、批注、工具箱、音量调节、中控菜单调取，二维码分享等功能。</w:t>
            </w:r>
          </w:p>
          <w:p w14:paraId="25F9383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 为满足用户的个性化需求，前置物理按键需包含一个自定义按键，可方便自定义为：锁屏、录屏、自检、信源切换、调用展台等多项功能。</w:t>
            </w:r>
          </w:p>
          <w:p w14:paraId="6BF5EF2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 健康护眼，通过前置物理按键一键启动减滤蓝光功能，同时也可通过触控调节蓝光滤值的大小，保护师生视觉健康。</w:t>
            </w:r>
          </w:p>
          <w:p w14:paraId="1613E27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 采用DC调光背光技术，有效消除频闪，提搞师生用眼舒适度；使用录像设备录制时，屏幕无‘斜条纹’。</w:t>
            </w:r>
          </w:p>
          <w:p w14:paraId="279B100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18、 为保证维护便捷，整机具备前置针孔式电脑还原按键。</w:t>
            </w:r>
          </w:p>
          <w:p w14:paraId="7755FC1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19、 前置USB接口全部支持双系统读取，将U 盘插入任意前置USB接口，均能被Windows 及Android 系统识别，无需区分接口对应系统，减少误操作。</w:t>
            </w:r>
          </w:p>
          <w:p w14:paraId="125D796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20、 外接电脑设备连接整机且触摸信号连通时，外接电脑设备可直接读取整机前置USB接口的移动存储设备数据，连接整机前置USB接口的翻页笔、无线键鼠等外接设备可直接使用于外接电脑，无需重复部署。</w:t>
            </w:r>
          </w:p>
          <w:p w14:paraId="5CE5F25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 整机支持多种功能禁用开关，方便不同场景，支持触控禁用、按键禁用、遥控器禁用、网络禁用、应用安装/卸载应用等。</w:t>
            </w:r>
          </w:p>
          <w:p w14:paraId="38716A9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22、 屏幕两侧具有软件形态的电子黑板系统快捷菜单，可便捷隐藏，此系统无需借助Windows系统软件即可正常教学，且在任意通道下均可实现以下内容：</w:t>
            </w:r>
          </w:p>
          <w:p w14:paraId="318F4E9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 书写：为用户提供模拟粉笔的书写批注功能，笔支持无限色盘得色彩选择及线性粗细选择。</w:t>
            </w:r>
          </w:p>
          <w:p w14:paraId="5D8FBA6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板面：为用户提供常见的黑、白、绿背景板面供选择；</w:t>
            </w:r>
          </w:p>
          <w:p w14:paraId="4558AE1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对象编辑：用户可对屏幕内容进行拖动、截图、缩放、旋转等操作；</w:t>
            </w:r>
          </w:p>
          <w:p w14:paraId="7193E8D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内容回顾：书写内容占满屏幕后，可切换至下一页，需要时，教师可回切至相应的页面，对过往内容进行回顾；</w:t>
            </w:r>
          </w:p>
          <w:p w14:paraId="7669213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保存与分享：批注笔迹和背景层的快速保存，并可通过生成二维码的方式分享，亦可对分享内容加密，保护隐私。</w:t>
            </w:r>
          </w:p>
          <w:p w14:paraId="6A74044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便捷切换：支持一键切换批注与触控状态，支持一键切换电子黑板与信源界面。</w:t>
            </w:r>
          </w:p>
          <w:p w14:paraId="6C4EC73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23、 支持在任意通道下将画面冻结并双击画面任一部分进行放大，放大后的屏幕画面可进行任意拖拽等操作。</w:t>
            </w:r>
          </w:p>
          <w:p w14:paraId="5DD6A5B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24、 支持在任意通道下调取幕布、聚光灯、截屏、秒表、倒计时、倒计日、 随机数、自检等小工具。</w:t>
            </w:r>
          </w:p>
          <w:p w14:paraId="030669B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25、 窗口下移：通过四指下滑手势快捷实现液晶屏显示窗口下移，并可进行触控操作。</w:t>
            </w:r>
          </w:p>
          <w:p w14:paraId="607F0EB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26、 主页具备信源预览窗口，点击窗口可一键切换信源，具备5个常用应用程序。</w:t>
            </w:r>
          </w:p>
          <w:p w14:paraId="6B5E74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27、 安卓白板软件支持基本教学工具，至少包含直尺、三角板、量角器、圆规等；支持分屏书写功能，可实现二/三分屏幕，各区域书写擦除互不干扰；支持快速绘制平面及立体图形。</w:t>
            </w:r>
          </w:p>
          <w:p w14:paraId="5A3E750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28、 智能手势：支持五指息屏和唤醒；支持任意通道下手势调取板擦工具擦除批注内容，且智能识别手与屏幕接触面积自动调整板擦工具的大小。</w:t>
            </w:r>
          </w:p>
          <w:p w14:paraId="24B96B2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二、 OPS电脑配置要求</w:t>
            </w:r>
          </w:p>
          <w:p w14:paraId="49DD3AE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29、 采用Intel 酷睿系列i5八代或以上CPU；内存：8GB DDR4笔记本内存或以上配置。硬盘：256GB或以上SSD固态硬盘。</w:t>
            </w:r>
          </w:p>
          <w:p w14:paraId="3445BE0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30、 具有独立非外扩展的电脑USB接口：电脑上至少具备3个USB3.0接口。</w:t>
            </w:r>
          </w:p>
          <w:p w14:paraId="14091F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31、 具有独立非外扩展的视频输出接口：≥1路HDMI 。</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CCB8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788F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94EF2">
            <w:pPr>
              <w:jc w:val="center"/>
              <w:rPr>
                <w:rFonts w:hint="default" w:ascii="宋体" w:hAnsi="宋体" w:eastAsia="宋体"/>
                <w:color w:val="000000"/>
                <w:sz w:val="20"/>
                <w:szCs w:val="20"/>
                <w:highlight w:val="none"/>
                <w:lang w:val="en-US" w:eastAsia="zh-CN"/>
              </w:rPr>
            </w:pPr>
          </w:p>
        </w:tc>
      </w:tr>
      <w:tr w14:paraId="221F86E7">
        <w:tblPrEx>
          <w:tblCellMar>
            <w:top w:w="0" w:type="dxa"/>
            <w:left w:w="108" w:type="dxa"/>
            <w:bottom w:w="0" w:type="dxa"/>
            <w:right w:w="108" w:type="dxa"/>
          </w:tblCellMar>
        </w:tblPrEx>
        <w:trPr>
          <w:trHeight w:val="335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1D298">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lang w:val="en-US" w:eastAsia="zh-CN"/>
              </w:rPr>
              <w:t>6</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5026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多媒体讲桌</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3A64791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1.尺寸：长*宽*高（mm）整体闭合不低于：1100*670*975 ；整体展开不低于：1540*1660*975 （允许正负5mm偏离）。</w:t>
            </w:r>
          </w:p>
          <w:p w14:paraId="7BCBAC0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2.桌面采用木黄色高密度纤维板，边缘采用单面封边工艺，采用冷压工艺三聚氰胺贴面，防划、防泼水。</w:t>
            </w:r>
          </w:p>
          <w:p w14:paraId="495CD41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3.主体采用≥1.5mm冷轧钢板，钣金全部通过酸洗磷化喷涂后再进行高温烘烤，防锈，喷涂工艺符合GB22374-2008 涂装材料标准，桌面两侧采用高档橡木扶手，正面可根据需求丝印学校LOGO。</w:t>
            </w:r>
          </w:p>
          <w:p w14:paraId="60A3A0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4.设计：分体式设计，桌面和桌体自成一体，内置固定螺丝孔位。桌体拐角采用圆弧设计，倒角R18。讲桌内部可扩充IC卡系统，可扩充四只轮子，方便移动。</w:t>
            </w:r>
          </w:p>
          <w:p w14:paraId="5AF4F7A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有翻转显示器安装位，安装显示器尺寸不低于21.5英寸，显示器翻转到最大角度和挡边平齐，无凸出。采用不锈钢可调阻尼转轴，显示器支持在0-130°中任意停留，不允许出现反扣现象。显示器右侧需预留至少2个USB2.0的扩展孔，方便引线到桌面。讲台内需自带固定线孔位。</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957B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D5D4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A574C">
            <w:pPr>
              <w:jc w:val="center"/>
              <w:rPr>
                <w:rFonts w:hint="default" w:ascii="宋体" w:hAnsi="宋体" w:eastAsia="宋体"/>
                <w:color w:val="000000"/>
                <w:sz w:val="20"/>
                <w:szCs w:val="20"/>
                <w:highlight w:val="none"/>
                <w:lang w:val="en-US" w:eastAsia="zh-CN"/>
              </w:rPr>
            </w:pPr>
          </w:p>
        </w:tc>
      </w:tr>
      <w:tr w14:paraId="22D9BDC0">
        <w:tblPrEx>
          <w:tblCellMar>
            <w:top w:w="0" w:type="dxa"/>
            <w:left w:w="108" w:type="dxa"/>
            <w:bottom w:w="0" w:type="dxa"/>
            <w:right w:w="108" w:type="dxa"/>
          </w:tblCellMar>
        </w:tblPrEx>
        <w:trPr>
          <w:trHeight w:val="305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0D0E9">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17</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430E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装修</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top"/>
          </w:tcPr>
          <w:p w14:paraId="2785120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一、整体要求</w:t>
            </w:r>
          </w:p>
          <w:p w14:paraId="49C94AC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1、要求整体环境应美观大方协调。</w:t>
            </w:r>
          </w:p>
          <w:p w14:paraId="28D0060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2、必须阻燃处理、防火处理，到达国家标准级别。</w:t>
            </w:r>
          </w:p>
          <w:p w14:paraId="2AB2BEA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二、吸音处理要求</w:t>
            </w:r>
          </w:p>
          <w:p w14:paraId="6F954A6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1、顶棚吸音处理：使用标准600mm×600mm规格的矿棉吸音板处理，确保吸音效果。</w:t>
            </w:r>
          </w:p>
          <w:p w14:paraId="5468A9E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四周墙壁吸音处理：底层采用防火板找平打底后，在0.8米以下安装浅色吸音板,0.8米以上用环保聚脂化纤吸音板装修；100%聚酯纤维制作，在125-4000HZ噪声范围内吸音系数达到0.94，具有出色阻燃防火性能;甲醛释放量为0.05㎎/1，达到国家标准要求，应做到耐磨、抗冲击、耐撕裂、不易划破。</w:t>
            </w:r>
          </w:p>
          <w:p w14:paraId="2E0FA05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3、地面：采用PVC塑胶地板。水泥自流平找平，塑胶耐磨层0.35mm.厚度2.0mm</w:t>
            </w:r>
          </w:p>
          <w:p w14:paraId="0B2C343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三、灯光要求：</w:t>
            </w:r>
          </w:p>
          <w:p w14:paraId="27890E9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教室布光均匀。布置LED防眩目光源，平均照度讲台区≥700lux，学生区≥500lux；色温4000k或5600k；显色指数（Ra）≥80；灯具平均寿命≥10000小时；内嵌式安装。</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006E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0ADCC">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6AC31">
            <w:pPr>
              <w:jc w:val="center"/>
              <w:rPr>
                <w:rFonts w:hint="default" w:ascii="宋体" w:hAnsi="宋体" w:eastAsia="宋体"/>
                <w:color w:val="000000"/>
                <w:sz w:val="20"/>
                <w:szCs w:val="20"/>
                <w:highlight w:val="none"/>
                <w:lang w:val="en-US"/>
              </w:rPr>
            </w:pPr>
          </w:p>
        </w:tc>
      </w:tr>
      <w:tr w14:paraId="2F60F69D">
        <w:tblPrEx>
          <w:tblCellMar>
            <w:top w:w="0" w:type="dxa"/>
            <w:left w:w="108" w:type="dxa"/>
            <w:bottom w:w="0" w:type="dxa"/>
            <w:right w:w="108" w:type="dxa"/>
          </w:tblCellMar>
        </w:tblPrEx>
        <w:trPr>
          <w:trHeight w:val="719"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00F39">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DD0F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显示器</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BCFB1">
            <w:pPr>
              <w:jc w:val="both"/>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21.5寸液晶显示器</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15BD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0D74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5E55A">
            <w:pPr>
              <w:jc w:val="center"/>
              <w:rPr>
                <w:rFonts w:hint="default" w:ascii="宋体" w:hAnsi="宋体" w:eastAsia="宋体"/>
                <w:color w:val="000000"/>
                <w:sz w:val="20"/>
                <w:szCs w:val="20"/>
                <w:highlight w:val="none"/>
                <w:lang w:val="en-US" w:eastAsia="zh-CN"/>
              </w:rPr>
            </w:pPr>
          </w:p>
        </w:tc>
      </w:tr>
      <w:tr w14:paraId="2A0C53A6">
        <w:tblPrEx>
          <w:tblCellMar>
            <w:top w:w="0" w:type="dxa"/>
            <w:left w:w="108" w:type="dxa"/>
            <w:bottom w:w="0" w:type="dxa"/>
            <w:right w:w="108" w:type="dxa"/>
          </w:tblCellMar>
        </w:tblPrEx>
        <w:trPr>
          <w:trHeight w:val="719"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5D1FB">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98AC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系统集成</w:t>
            </w:r>
          </w:p>
        </w:tc>
        <w:tc>
          <w:tcPr>
            <w:tcW w:w="68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7BBA3">
            <w:pPr>
              <w:jc w:val="both"/>
              <w:rPr>
                <w:rFonts w:hint="eastAsia" w:ascii="宋体" w:hAnsi="宋体" w:eastAsia="宋体"/>
                <w:color w:val="000000"/>
                <w:sz w:val="20"/>
                <w:szCs w:val="20"/>
                <w:highlight w:val="none"/>
              </w:rPr>
            </w:pPr>
            <w:r>
              <w:rPr>
                <w:rFonts w:hint="eastAsia" w:ascii="宋体" w:hAnsi="宋体" w:eastAsia="宋体"/>
                <w:color w:val="000000"/>
                <w:sz w:val="20"/>
                <w:szCs w:val="20"/>
                <w:highlight w:val="none"/>
                <w:lang w:val="en-US" w:eastAsia="zh-CN"/>
              </w:rPr>
              <w:t>系统所需各类线材及施工</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C6A5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FEBD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5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0B026">
            <w:pPr>
              <w:jc w:val="center"/>
              <w:rPr>
                <w:rFonts w:hint="default" w:ascii="宋体" w:hAnsi="宋体" w:eastAsia="宋体"/>
                <w:color w:val="000000"/>
                <w:sz w:val="20"/>
                <w:szCs w:val="20"/>
                <w:highlight w:val="none"/>
                <w:lang w:val="en-US" w:eastAsia="zh-CN"/>
              </w:rPr>
            </w:pPr>
          </w:p>
        </w:tc>
      </w:tr>
    </w:tbl>
    <w:p w14:paraId="7D7BB686">
      <w:pPr>
        <w:pStyle w:val="30"/>
        <w:ind w:firstLine="480" w:firstLineChars="200"/>
        <w:rPr>
          <w:rFonts w:hint="eastAsia" w:ascii="微软雅黑" w:hAnsi="微软雅黑" w:eastAsia="微软雅黑" w:cs="微软雅黑"/>
          <w:color w:val="auto"/>
          <w:sz w:val="24"/>
          <w:szCs w:val="28"/>
          <w:highlight w:val="none"/>
        </w:rPr>
      </w:pPr>
    </w:p>
    <w:p w14:paraId="23B38960">
      <w:pPr>
        <w:jc w:val="center"/>
        <w:rPr>
          <w:rFonts w:hint="eastAsia" w:eastAsia="宋体"/>
          <w:sz w:val="36"/>
          <w:szCs w:val="36"/>
          <w:highlight w:val="none"/>
          <w:lang w:val="en-US" w:eastAsia="zh-CN"/>
        </w:rPr>
      </w:pPr>
      <w:r>
        <w:rPr>
          <w:rFonts w:hint="eastAsia"/>
          <w:sz w:val="36"/>
          <w:szCs w:val="36"/>
          <w:highlight w:val="none"/>
        </w:rPr>
        <w:t>精品录播教室设备</w:t>
      </w:r>
      <w:r>
        <w:rPr>
          <w:rFonts w:hint="eastAsia"/>
          <w:sz w:val="36"/>
          <w:szCs w:val="36"/>
          <w:highlight w:val="none"/>
          <w:lang w:eastAsia="zh-CN"/>
        </w:rPr>
        <w:t>采购(南关学校）</w:t>
      </w:r>
    </w:p>
    <w:tbl>
      <w:tblPr>
        <w:tblStyle w:val="18"/>
        <w:tblW w:w="10256" w:type="dxa"/>
        <w:tblInd w:w="78" w:type="dxa"/>
        <w:tblLayout w:type="fixed"/>
        <w:tblCellMar>
          <w:top w:w="0" w:type="dxa"/>
          <w:left w:w="108" w:type="dxa"/>
          <w:bottom w:w="0" w:type="dxa"/>
          <w:right w:w="108" w:type="dxa"/>
        </w:tblCellMar>
      </w:tblPr>
      <w:tblGrid>
        <w:gridCol w:w="519"/>
        <w:gridCol w:w="1060"/>
        <w:gridCol w:w="6872"/>
        <w:gridCol w:w="513"/>
        <w:gridCol w:w="515"/>
        <w:gridCol w:w="777"/>
      </w:tblGrid>
      <w:tr w14:paraId="3557E026">
        <w:tblPrEx>
          <w:tblCellMar>
            <w:top w:w="0" w:type="dxa"/>
            <w:left w:w="108" w:type="dxa"/>
            <w:bottom w:w="0" w:type="dxa"/>
            <w:right w:w="108" w:type="dxa"/>
          </w:tblCellMar>
        </w:tblPrEx>
        <w:trPr>
          <w:trHeight w:val="65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F91B7">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BD82F">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货物名称</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0945D">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详细参数</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11974">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7A963">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6706F">
            <w:pPr>
              <w:keepNext w:val="0"/>
              <w:keepLines w:val="0"/>
              <w:widowControl/>
              <w:suppressLineNumbers w:val="0"/>
              <w:jc w:val="center"/>
              <w:textAlignment w:val="center"/>
              <w:rPr>
                <w:rFonts w:hint="eastAsia" w:ascii="宋体" w:hAnsi="宋体" w:eastAsia="宋体"/>
                <w:b/>
                <w:color w:val="000000"/>
                <w:sz w:val="20"/>
                <w:szCs w:val="20"/>
                <w:highlight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4AFFDEF8">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FC40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9478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录播工作站</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C7F8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1、主机配置要求：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采用≤1U标准机架式机箱设计，内嵌≥3英寸彩色液晶触控屏，支持通过液晶触控屏控制录制开始/暂停/停止状态、设置主机网络地址、导出录像文件，支持通过液晶触控屏查询主机系统信息、通道信息、平台信息等；</w:t>
            </w:r>
          </w:p>
          <w:p w14:paraId="58C861D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2）采用嵌入式架构设计，支持音视频信号采集、录制、直播、导播、1vN音视频互动、抠像及AI课堂分析等功能集成一体化，支持本地化课程录制、直播及本地化课堂 AI 实时分析并发工作；</w:t>
            </w:r>
          </w:p>
          <w:p w14:paraId="3EDBA4C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3）采用硬件采集、编码方式，支持H.264、H.265、PCMA（G.711A）、PCMU（G.711U）、G.722、OPUS、AAC音视频编码；内置嵌入式处理器，处理器总核心数≥10，内置≥2TB硬盘；提供CNAS认证检测报告并加盖投标人公章；</w:t>
            </w:r>
          </w:p>
          <w:p w14:paraId="043CB6A1">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4）视频输入格式支持4K@60fps、1080P@60fps、1080P@30fps、1080P@25fps等，视频编码格式支持1080P@30fps、1080P@25fps、1080P@20fps、1080P@15fps、1080P@10fps、1080P@5fps可选；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5）视频编码码率支持256Kbps～8Mbps可调；主码流（录制）支持1Mbps～8Mbps可调，副码流（导播）支持256Kbps～1Mbps可调；音频采样率支持48KHz，码流支持96Kbps、128Kbps可调；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）★机身具备≥5路SDI输入接口、≥2路4K-HDMI输入接口、≥1路VGA输出接口、≥2路HDMI输出接口；机身具备≥8路幻象供电话筒输入接口、≥4路Line in输入接口、≥3路Line Out输出接口、≥1路monitor音频监听接口；提供CNAS认证检测报告并加盖投标人公章；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）内置专业音频处理模块，支持增益控制(AGC)、回声消除(AEC)、噪声抑制(ANS)、智能混音等专业音频处理功能，满足远程音视频互动的需求；提供CNAS认证检测报告并加盖投标人公章；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 xml:space="preserve">）具备≥2个10/100/1000Mbps自适应网口。具备≥4个USB端口（含USB3.0接口）；具备≥6路RS-232控制接口、≥1路控制面板接口及≥1路跟踪机接口；提供CNAS认证检测报告并加盖投标人公章；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）支持TCP、RTSP、HTTP、FTP、MQTT等网络协议，支持IPv4和IPv6双栈网络通信协议；</w:t>
            </w:r>
          </w:p>
          <w:p w14:paraId="60E8C799">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）★内置抠像功能，支持自定义选取≥5种背景取色，支持人物增强，可自定义调节亮区、暗区数值，支持导入背景；内置AI PPT功能，打开AI PPT模式，前景为HDMI输入画面，背景为教师全景画面；关闭AIPPT 模式，前景为教师全景，背景设备为HDMI输入画面；提供CNAS认证检测报告并加盖投标人公章；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）采用≤DC 24V安全电压供电，通电自动开机，功耗≤30W；</w:t>
            </w:r>
          </w:p>
          <w:p w14:paraId="750F9EBC">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2、内置AI模块：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1）内置AI分析硬件模块支持独立运行，支持通过内置AI模块实现课堂师生行为分析；内置独立的AI模块处理器及AI芯片核心数≥6核，≥128GB存储空间，</w:t>
            </w:r>
          </w:p>
          <w:p w14:paraId="1F1CEDB7">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2）支持通过网页浏览器访问内置AI模块，查看教师和学生实时分析界面，实现教师及学生检测及行为分析，并可生成课堂分析报告；</w:t>
            </w:r>
          </w:p>
          <w:p w14:paraId="4055C3F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3）★支持实时监测显示AI分析模块处理器、内存、硬盘使用率、温度信息，支持对分析状态、网络及视频通断状态进行检测；提供CNAS认证检测报告并加盖投标人公章；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设定课程分析计划后自动执行分析，支持教师讲授、教师发言或观察、课件操作、教师板书、教师巡视、学生听讲、学生应答、学生展示、学生读写、学生举手、生生互动行为分析；支持教师迟到、缺课、调课（或代课）、学生罚站、到课率、前排就坐率、抬头率、趴桌率、话语讲授时长、课件讲授或操作时长、师生问答时长、教师巡视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5）具备实时AI视觉分析能力，支持师生出勤率分析、课堂 S-T教学行为分析、课堂教学模式(Rt-Ch)分析、教师动作分析、学生动作分析、教师巡视分析、教师巡视次数分析、教师巡视位置分布分析、站立学生位置分布分析，支持行为一致性、学生参与度、学生活跃度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6）支持自定义配置AI分析模块网络信息、教师区摄像机及学生区摄像机网络视频流信息，自定义设置教师摄像机和≥2路学生摄像机分析的区域范围；</w:t>
            </w:r>
          </w:p>
          <w:p w14:paraId="6E4EF1C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支持音量状态及分析时长监控，支持≥9种行为分析的自定义显示控制；支持系统调试过程，自定义开关师生头部识别框、开关课堂行为百分比信息呈现、开关系统自动框选的学生分析范围等，支持以多种颜色进行识别行为的分类标记，支持课堂教学场景VGA画面状态监测；</w:t>
            </w:r>
          </w:p>
          <w:p w14:paraId="4AED3188">
            <w:pPr>
              <w:jc w:val="left"/>
              <w:rPr>
                <w:rFonts w:hint="eastAsia" w:ascii="宋体" w:hAnsi="宋体" w:eastAsia="宋体"/>
                <w:color w:val="000000"/>
                <w:sz w:val="20"/>
                <w:szCs w:val="20"/>
                <w:highlight w:val="none"/>
              </w:rPr>
            </w:pPr>
            <w:r>
              <w:rPr>
                <w:rFonts w:hint="eastAsia" w:ascii="宋体" w:hAnsi="宋体" w:eastAsia="宋体" w:cs="宋体"/>
                <w:color w:val="000000"/>
                <w:kern w:val="0"/>
                <w:sz w:val="20"/>
                <w:szCs w:val="20"/>
                <w:highlight w:val="none"/>
              </w:rPr>
              <w:t>8）支持自定义设置时间服务器地址，自动同步系统时间；支持自动生成系统运行日志。</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0B1C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3D75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ADD84">
            <w:pPr>
              <w:jc w:val="center"/>
              <w:rPr>
                <w:rFonts w:hint="eastAsia" w:ascii="宋体" w:hAnsi="宋体" w:eastAsia="宋体"/>
                <w:color w:val="000000"/>
                <w:sz w:val="20"/>
                <w:szCs w:val="20"/>
                <w:highlight w:val="none"/>
              </w:rPr>
            </w:pPr>
          </w:p>
        </w:tc>
      </w:tr>
      <w:tr w14:paraId="6CF5B3D9">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AAF2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DC9E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全高清录播系统</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6F3E30E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1、支持音视频信号采集、录制、导播、直播、跟踪、抠像、摄像机电源管理、LED显示屏控制等功能集成一体化设计； </w:t>
            </w:r>
          </w:p>
          <w:p w14:paraId="6B1747DD">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2、支持本地导播、网页导播及集控平台客户端导播等多种导播方式； </w:t>
            </w:r>
          </w:p>
          <w:p w14:paraId="6DDC6C63">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3、支持电影模式、资源模式及“电影+资源”模式三种录制、直播工作模式，资源模式支持≥6路视频图像同时录制、直播，“电影+资源”模式支持≥6路资源模式视频图像及1路电影模式视频图像同时录制、直播，支持录制文件自动存储到相同路径下； </w:t>
            </w:r>
          </w:p>
          <w:p w14:paraId="39C97F43">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支持显示系统运行的录直播状态、录像模式、跟踪状态、录像时间、硬盘空间、视频源启用状态、SDI及屏幕VGA视频信号分辨率、电影模式画面分辨率、录制编码、录制帧率、I帧间隔、直播地址等信息，提供独立的信息显示页面，支持单页面信息汇总呈现；</w:t>
            </w:r>
          </w:p>
          <w:p w14:paraId="50E246AD">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5、具备≥28种特效，无需手动编辑，支持推拉、覆盖、擦除等模式，特效过渡时间支持0.5S、0.8S、1.0S、1.2S可调；提供CNAS认证的检测报告并加盖厂家公章 </w:t>
            </w:r>
          </w:p>
          <w:p w14:paraId="7B66FAE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6、具备≥16种画中画模式，包括左右大小、左右、平铺、三分屏、四分屏、全景等，具备画面交换功能，支持画面快速对调；提供CNAS认证的检测报告并加盖厂家公章 </w:t>
            </w:r>
          </w:p>
          <w:p w14:paraId="7645BDE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7、支持添加台标、字幕、片头、片尾等，支持自定义设置字幕字号大小、颜色等，设置的字体颜色支持保存，可保存≥16种颜色；支持台标及显示位置设置，支持仅电影模式显示台标；支持图片、视频等格式片头、片尾添加，片头、片尾时间支持1s～5s可调； </w:t>
            </w:r>
          </w:p>
          <w:p w14:paraId="09298ADD">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8、★采用双导播窗口设计，具备PVW窗口和PGM窗口，支持在PVW窗口编辑视频画面的台标、字幕、画中画等，设置完成支持推送PGM窗口（直播/电影模式窗口）进行录制、直播；提供CNAS认证的检测报告并加盖厂家公章 </w:t>
            </w:r>
          </w:p>
          <w:p w14:paraId="0953027F">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9、支持≥5路摄像机的云台、变倍、聚焦、光圈控制，摄像机光圈和聚焦设置提供手动和自动设置按钮；具备≥5种摄像机固定位变焦，支持一键调用；支持摄像机设置≥8个预置位； </w:t>
            </w:r>
          </w:p>
          <w:p w14:paraId="7B77FAE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10、支持自动、手动及半自动三种跟踪模式，支持自定义设置软件跟踪或硬件跟踪； </w:t>
            </w:r>
          </w:p>
          <w:p w14:paraId="5571DD6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11、支持一键开启录像、直播，一键设置开机启动录像或直播；支持查看系统版本信息，恢复系统出厂设置等；</w:t>
            </w:r>
          </w:p>
          <w:p w14:paraId="41E6289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12、支持自定义输入视频源启用或禁用，支持有线、网络、交织、私有协议等多种视频采集方式，支持设置视频信号去抖动缓存时长；</w:t>
            </w:r>
          </w:p>
          <w:p w14:paraId="6E8A6CA6">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13、支持设置音频编码码率、降噪等级、输入增益、输出增益，支持设置输入及输出音量大小，支持导播画面及电影画面的双显输出设置；</w:t>
            </w:r>
          </w:p>
          <w:p w14:paraId="4D35C1E7">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14、支持录制编码、录制帧率、IP地址、内置时间、视频输出、互动功能、电源控制、LED 屏显示、定时开关机、定时重启等参数设置； </w:t>
            </w:r>
          </w:p>
          <w:p w14:paraId="44F9BDB8">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15、支持自定义开启双VGA探测、双分屏跟踪功能，支持自定义设置自动跟踪的教学大屏信号源；</w:t>
            </w:r>
          </w:p>
          <w:p w14:paraId="75F07A4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16、支持LED屏显示信息配置，可自定义设置上课时长、显示字幕、显示格式等，显示格式支持呈现距离下课时间、现在时间、启动录像时间等；</w:t>
            </w:r>
          </w:p>
          <w:p w14:paraId="3570C35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17、支持自定义添加管理用户，设置用户信息及管理权限等； </w:t>
            </w:r>
          </w:p>
          <w:p w14:paraId="0063E36F">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18、支持自定义设置直播信号源、直播服务器信息，支持向≥3个直播服务器进行直播推流；</w:t>
            </w:r>
          </w:p>
          <w:p w14:paraId="7FB2F8A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19、支持录像信息设置，至少包含学校代码、学校单位、学年学期、学科、授课年级、课程名称、教师、授课课时、开课时间、授课地点及课程描述等教学信息； </w:t>
            </w:r>
          </w:p>
          <w:p w14:paraId="0C3E12ED">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20、支持录像分割时长设置，具备≥8种录制时长可选，支持15分钟～240分钟可选；支持自定义设置录像存储天数； </w:t>
            </w:r>
          </w:p>
          <w:p w14:paraId="515F542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21、具备录像管理功能，支持查看录像列表、录像点播、下载、修改属性、删除等操作，录像文件支持自动上传平台且自动删除本地文件；</w:t>
            </w:r>
          </w:p>
          <w:p w14:paraId="2C8DC53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22、支持磁盘格式化、磁盘满载后支持停止录像和覆盖模式两种可选；支持对设备异常断电造成损坏的视频文件进行修复； </w:t>
            </w:r>
          </w:p>
          <w:p w14:paraId="7655154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23、支持扩展远程1vN互动教学，实现录播界面与互动界面相互切换，支持一键开启互动；支持控制AI模块启用、禁用；</w:t>
            </w:r>
          </w:p>
          <w:p w14:paraId="63C286CF">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★24、支持POC供电控制，具备系统POC供电是否启用开关及≥5路SDI接口POC供电的独立开关。提供CNAS认证的检测报告并加盖厂家公章</w:t>
            </w:r>
          </w:p>
          <w:p w14:paraId="29F90FBD">
            <w:pPr>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资质要求：提供制造厂商针对此项目的售后服务承诺函及技术参数确认函加盖公章</w:t>
            </w:r>
            <w:r>
              <w:rPr>
                <w:rFonts w:hint="eastAsia" w:ascii="宋体" w:hAnsi="宋体" w:eastAsia="宋体" w:cs="宋体"/>
                <w:color w:val="000000"/>
                <w:kern w:val="0"/>
                <w:sz w:val="20"/>
                <w:szCs w:val="20"/>
                <w:highlight w:val="none"/>
                <w:lang w:eastAsia="zh-CN"/>
              </w:rPr>
              <w:t>。</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A4D9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6594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31161">
            <w:pPr>
              <w:jc w:val="center"/>
              <w:rPr>
                <w:rFonts w:hint="eastAsia" w:ascii="宋体" w:hAnsi="宋体" w:eastAsia="宋体"/>
                <w:color w:val="000000"/>
                <w:sz w:val="20"/>
                <w:szCs w:val="20"/>
                <w:highlight w:val="none"/>
              </w:rPr>
            </w:pPr>
          </w:p>
        </w:tc>
      </w:tr>
      <w:tr w14:paraId="6661AA54">
        <w:tblPrEx>
          <w:tblCellMar>
            <w:top w:w="0" w:type="dxa"/>
            <w:left w:w="108" w:type="dxa"/>
            <w:bottom w:w="0" w:type="dxa"/>
            <w:right w:w="108" w:type="dxa"/>
          </w:tblCellMar>
        </w:tblPrEx>
        <w:trPr>
          <w:trHeight w:val="3031"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4702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1439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高清摄像机</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496E093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1、采用≥1/2.8英寸 CMOS，有效像素≥207万；</w:t>
            </w:r>
          </w:p>
          <w:p w14:paraId="279826C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2、镜头：≥12倍，f3.5mm～42.3mm，F1.8～F2.8，≥16倍数字变焦；</w:t>
            </w:r>
          </w:p>
          <w:p w14:paraId="7D3D31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3、最低照度：≤0.5Lux@（F1.8，AGC ON）；</w:t>
            </w:r>
          </w:p>
          <w:p w14:paraId="38BF375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4、水平视场角72.5°～6.9°，垂直视场角44.8°～3.9°，水平转动范围：±170°，水平转动速度范围：1.7°～100°/s；垂直转动范围：-30°～+90°，垂直转动速度范围：1.7°～69.9°/s；</w:t>
            </w:r>
          </w:p>
          <w:p w14:paraId="2A92733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5、具备≥1路3G-SDI、≥1路HDMI、≥1路RJ45网络、≥1路USB接口，四路接口输出；</w:t>
            </w:r>
          </w:p>
          <w:p w14:paraId="1242829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6、具备≥1路 Line In，3.5mm音频输入接口；≥1路 Line Out，3.5mm音频输出接口；</w:t>
            </w:r>
          </w:p>
          <w:p w14:paraId="1E1A793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7、具备≥1路USB 3.0，A型插座，支持UVC，UAC协议；</w:t>
            </w:r>
          </w:p>
          <w:p w14:paraId="6F99F1D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8、具备≥1路RS-232输入和输出接口，≥1路RS-485接口；</w:t>
            </w:r>
          </w:p>
          <w:p w14:paraId="5B97BF7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9、支持DC12V、POC、POE供电。</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9019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BA88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A7D6D">
            <w:pPr>
              <w:jc w:val="center"/>
              <w:rPr>
                <w:rFonts w:hint="eastAsia" w:ascii="宋体" w:hAnsi="宋体" w:eastAsia="宋体"/>
                <w:color w:val="000000"/>
                <w:sz w:val="20"/>
                <w:szCs w:val="20"/>
                <w:highlight w:val="none"/>
              </w:rPr>
            </w:pPr>
          </w:p>
        </w:tc>
      </w:tr>
      <w:tr w14:paraId="198E4B45">
        <w:tblPrEx>
          <w:tblCellMar>
            <w:top w:w="0" w:type="dxa"/>
            <w:left w:w="108" w:type="dxa"/>
            <w:bottom w:w="0" w:type="dxa"/>
            <w:right w:w="108" w:type="dxa"/>
          </w:tblCellMar>
        </w:tblPrEx>
        <w:trPr>
          <w:trHeight w:val="2911" w:hRule="atLeast"/>
        </w:trPr>
        <w:tc>
          <w:tcPr>
            <w:tcW w:w="51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3D882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w:t>
            </w:r>
          </w:p>
        </w:tc>
        <w:tc>
          <w:tcPr>
            <w:tcW w:w="10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F50185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摄像机协议管理软件</w:t>
            </w:r>
          </w:p>
        </w:tc>
        <w:tc>
          <w:tcPr>
            <w:tcW w:w="6872"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876BA8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1、须控制摄像机镜头的上、下、左、右转动（云台摄像机）；镜头的推近、拉远；云台的转动速度（云台摄像机）以及镜头的变倍速度；</w:t>
            </w:r>
          </w:p>
          <w:p w14:paraId="5A91410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2、需要首页设置云台摄像机的预置位，以及一键恢复预置位；</w:t>
            </w:r>
          </w:p>
          <w:p w14:paraId="03B43CA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3、须支持设置摄像机管理软件的语言；</w:t>
            </w:r>
          </w:p>
          <w:p w14:paraId="6A6D8B6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4、可查看摄像机的视频画面，并可对摄像机进行控制；</w:t>
            </w:r>
          </w:p>
          <w:p w14:paraId="4D67402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5、可对摄像机的视频选项进行配置，包含视频制式、编码等级；第一及第二码流的编码协议、分辨率、码率、帧率、帧间隔、码率控制、码率波动等；</w:t>
            </w:r>
          </w:p>
          <w:p w14:paraId="15EC593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6、须支持摄像机画面进行亮度、饱和度、对比度、锐度、色度调节，并可设置画面的上下及左右翻转；</w:t>
            </w:r>
          </w:p>
          <w:p w14:paraId="0E93F6A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7、可设置摄像机的音频格式、采样率、码率、输入类型、输入音量R、输入音量L、ADTS开关控制等；</w:t>
            </w:r>
          </w:p>
        </w:tc>
        <w:tc>
          <w:tcPr>
            <w:tcW w:w="51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989C3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563A28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77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4F764C1">
            <w:pPr>
              <w:jc w:val="center"/>
              <w:rPr>
                <w:rFonts w:hint="eastAsia" w:ascii="宋体" w:hAnsi="宋体" w:eastAsia="宋体"/>
                <w:color w:val="000000"/>
                <w:sz w:val="20"/>
                <w:szCs w:val="20"/>
                <w:highlight w:val="none"/>
              </w:rPr>
            </w:pPr>
          </w:p>
        </w:tc>
      </w:tr>
      <w:tr w14:paraId="438F2C02">
        <w:tblPrEx>
          <w:tblCellMar>
            <w:top w:w="0" w:type="dxa"/>
            <w:left w:w="108" w:type="dxa"/>
            <w:bottom w:w="0" w:type="dxa"/>
            <w:right w:w="108" w:type="dxa"/>
          </w:tblCellMar>
        </w:tblPrEx>
        <w:trPr>
          <w:trHeight w:val="563"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9BE4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DA84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控制面板</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56BCE7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1、面板采用电容感应式触摸设计，具有LED背光设计功能；</w:t>
            </w:r>
          </w:p>
          <w:p w14:paraId="5731E88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2、面板支持直接连接录播工作站使用，实现一键开启、暂停和关闭录播功能。</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8E93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2345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69540">
            <w:pPr>
              <w:jc w:val="center"/>
              <w:rPr>
                <w:rFonts w:hint="eastAsia" w:ascii="宋体" w:hAnsi="宋体" w:eastAsia="宋体"/>
                <w:color w:val="000000"/>
                <w:sz w:val="20"/>
                <w:szCs w:val="20"/>
                <w:highlight w:val="none"/>
              </w:rPr>
            </w:pPr>
          </w:p>
        </w:tc>
      </w:tr>
      <w:tr w14:paraId="758EF817">
        <w:tblPrEx>
          <w:tblCellMar>
            <w:top w:w="0" w:type="dxa"/>
            <w:left w:w="108" w:type="dxa"/>
            <w:bottom w:w="0" w:type="dxa"/>
            <w:right w:w="108" w:type="dxa"/>
          </w:tblCellMar>
        </w:tblPrEx>
        <w:trPr>
          <w:trHeight w:val="2756"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4E19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B61A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智能跟踪系统</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25D868D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1、智能图像识别，结合具体的场合能够实现多个活动的过程的识别跟踪，直接对录制视频图像进行分析，完全实现常态化教学。</w:t>
            </w:r>
          </w:p>
          <w:p w14:paraId="10A80A2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2、抗干扰能力：采用领先的防抖动人体特征跟踪算法，图像识别系统完全不受光线、声音、电磁等外在的环境影响；</w:t>
            </w:r>
          </w:p>
          <w:p w14:paraId="29C35F2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3、系统结构：设计合理，结构简单，实现全自动的跟踪识别；定位与实时：自动识别目标位置、实时控制摄像头精确定位，并且能够特写模式拍摄。</w:t>
            </w:r>
          </w:p>
          <w:p w14:paraId="084660D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4、支持标定有效的探测区域，可以通过在探测区域划定教师身高大小的大概变化范围，在跟踪区域实现教师身高的自适应。</w:t>
            </w:r>
          </w:p>
          <w:p w14:paraId="22547E3A">
            <w:pPr>
              <w:jc w:val="left"/>
              <w:rPr>
                <w:rFonts w:ascii="宋体" w:hAnsi="宋体" w:eastAsia="宋体"/>
                <w:color w:val="000000"/>
                <w:sz w:val="20"/>
                <w:szCs w:val="20"/>
                <w:highlight w:val="none"/>
              </w:rPr>
            </w:pPr>
            <w:r>
              <w:rPr>
                <w:rFonts w:hint="eastAsia" w:ascii="宋体" w:hAnsi="宋体" w:eastAsia="宋体"/>
                <w:color w:val="000000"/>
                <w:sz w:val="20"/>
                <w:szCs w:val="20"/>
                <w:highlight w:val="none"/>
              </w:rPr>
              <w:t>5、支持标记有效的学生探测区域。</w:t>
            </w:r>
          </w:p>
          <w:p w14:paraId="390DE7B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6、为调试方便，支持配置好参数的导入导出。规格相同的教室可以一键完成探测调试。</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63CA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FDE8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72297">
            <w:pPr>
              <w:jc w:val="center"/>
              <w:rPr>
                <w:rFonts w:hint="eastAsia" w:ascii="宋体" w:hAnsi="宋体" w:eastAsia="宋体"/>
                <w:color w:val="000000"/>
                <w:sz w:val="20"/>
                <w:szCs w:val="20"/>
                <w:highlight w:val="none"/>
              </w:rPr>
            </w:pPr>
          </w:p>
        </w:tc>
      </w:tr>
      <w:tr w14:paraId="21EACF5F">
        <w:tblPrEx>
          <w:tblCellMar>
            <w:top w:w="0" w:type="dxa"/>
            <w:left w:w="108" w:type="dxa"/>
            <w:bottom w:w="0" w:type="dxa"/>
            <w:right w:w="108" w:type="dxa"/>
          </w:tblCellMar>
        </w:tblPrEx>
        <w:trPr>
          <w:trHeight w:val="2208"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8069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04F7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图像探测器</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231BE30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1、成像器件：1/3英寸高清CMOS；</w:t>
            </w:r>
          </w:p>
          <w:p w14:paraId="656E61E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2、有效像素：≥207万；</w:t>
            </w:r>
          </w:p>
          <w:p w14:paraId="0C1125A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3、信噪比：≥50db（AGC OFF）；</w:t>
            </w:r>
          </w:p>
          <w:p w14:paraId="4BF2CAC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4、网络接口：10/100Mbps网络自适应，POE供电；</w:t>
            </w:r>
          </w:p>
          <w:p w14:paraId="747357C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5、视频编码：H.264 Main Profile、Baseline、MJPEG编码；</w:t>
            </w:r>
          </w:p>
          <w:p w14:paraId="0DC3C15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6、供电方式：DC 12V、POE供电；</w:t>
            </w:r>
          </w:p>
          <w:p w14:paraId="5032EF0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7、协议支持：TCP/IP、UDP、RTP、RTSP；</w:t>
            </w:r>
          </w:p>
          <w:p w14:paraId="2D1EF17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8、资质要求：提供MTBF不低于120000小时认证证书，提供厂家盖章的复印件。</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E552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9C21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4DDC3">
            <w:pPr>
              <w:jc w:val="center"/>
              <w:rPr>
                <w:rFonts w:hint="eastAsia" w:ascii="宋体" w:hAnsi="宋体" w:eastAsia="宋体"/>
                <w:color w:val="000000"/>
                <w:sz w:val="20"/>
                <w:szCs w:val="20"/>
                <w:highlight w:val="none"/>
              </w:rPr>
            </w:pPr>
          </w:p>
        </w:tc>
      </w:tr>
      <w:tr w14:paraId="0F656F0B">
        <w:tblPrEx>
          <w:tblCellMar>
            <w:top w:w="0" w:type="dxa"/>
            <w:left w:w="108" w:type="dxa"/>
            <w:bottom w:w="0" w:type="dxa"/>
            <w:right w:w="108" w:type="dxa"/>
          </w:tblCellMar>
        </w:tblPrEx>
        <w:trPr>
          <w:trHeight w:val="2208"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0D3C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DF19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吊装话筒</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137C3C7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1、指向性：超窄指向；</w:t>
            </w:r>
          </w:p>
          <w:p w14:paraId="5525AD7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2、拾音角度：≤100º；</w:t>
            </w:r>
          </w:p>
          <w:p w14:paraId="7625B06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3、频率范围：100Hz～16KHz；</w:t>
            </w:r>
          </w:p>
          <w:p w14:paraId="3F4800B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4、信噪比：≥71dB-A；</w:t>
            </w:r>
          </w:p>
          <w:p w14:paraId="20AA29E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5、等效噪声级：23dB-A；</w:t>
            </w:r>
          </w:p>
          <w:p w14:paraId="04EC514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6、灵敏度：≥28.2mV/Pa（-31Db，@1KHz）；</w:t>
            </w:r>
          </w:p>
          <w:p w14:paraId="126CE14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7、最大声压级：≥128dB（0.5% THD）；</w:t>
            </w:r>
          </w:p>
          <w:p w14:paraId="3847DB6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8、供电：48V幻象供电、≤4mA电流；</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A29B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支</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3BC9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DFB88">
            <w:pPr>
              <w:jc w:val="center"/>
              <w:rPr>
                <w:rFonts w:hint="eastAsia" w:ascii="宋体" w:hAnsi="宋体" w:eastAsia="宋体"/>
                <w:color w:val="000000"/>
                <w:sz w:val="20"/>
                <w:szCs w:val="20"/>
                <w:highlight w:val="none"/>
              </w:rPr>
            </w:pPr>
          </w:p>
        </w:tc>
      </w:tr>
      <w:tr w14:paraId="3F6A5E20">
        <w:tblPrEx>
          <w:tblCellMar>
            <w:top w:w="0" w:type="dxa"/>
            <w:left w:w="108" w:type="dxa"/>
            <w:bottom w:w="0" w:type="dxa"/>
            <w:right w:w="108" w:type="dxa"/>
          </w:tblCellMar>
        </w:tblPrEx>
        <w:trPr>
          <w:trHeight w:val="3305"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3C78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7F97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导播控制台</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113A7A7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1、采用机械手感悬浮按键+背光提示设计，具备≥32个机械按键及摄像机四维控制摇杆，支持通过遥控控制摄像机云台控制、变倍及预置位设定；</w:t>
            </w:r>
          </w:p>
          <w:p w14:paraId="6D0BEAB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对≥5路摄像机云台进行控制，实现“上下翻转、左右翻转、放大缩小翻转”等，操控期间镜头变化速度支持自定义调节，支持为每个摄像机设定≥7个预置位，实现快速定位；提供检测报告并加盖厂家公章；</w:t>
            </w:r>
          </w:p>
          <w:p w14:paraId="3C02007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3、支持对≥6路主画面和≥6路副画面进行切换控制，支持多种画中画模式开启与关闭、画中画副画面切换、主副画面切换等，支持启用或关闭特技效果；提供检测报告并加盖厂家公章；</w:t>
            </w:r>
          </w:p>
          <w:p w14:paraId="3FDE74C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4、支持与自动跟踪系统联动，具备手动、自动切换功能，支持控制录像状态，无需键盘鼠标配合；</w:t>
            </w:r>
          </w:p>
          <w:p w14:paraId="79E2F67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5、具备≥2路RS-232协议的DB9接口用于录播机及跟踪机控制，具备≥1路DB15接口用于5路摄像机控制，具备≥5路RJ45摄像机控制口（串口），具备支持供电的USB接口；</w:t>
            </w:r>
          </w:p>
          <w:p w14:paraId="2A804B4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6、采用的绝缘材料具备足够的抗电强度，在抗电强度测试期间没有出现飞弧或击穿。</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27E1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E9CF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A38BF">
            <w:pPr>
              <w:jc w:val="center"/>
              <w:rPr>
                <w:rFonts w:hint="eastAsia" w:ascii="宋体" w:hAnsi="宋体" w:eastAsia="宋体"/>
                <w:color w:val="000000"/>
                <w:sz w:val="20"/>
                <w:szCs w:val="20"/>
                <w:highlight w:val="none"/>
              </w:rPr>
            </w:pPr>
          </w:p>
        </w:tc>
      </w:tr>
      <w:tr w14:paraId="34280382">
        <w:tblPrEx>
          <w:tblCellMar>
            <w:top w:w="0" w:type="dxa"/>
            <w:left w:w="108" w:type="dxa"/>
            <w:bottom w:w="0" w:type="dxa"/>
            <w:right w:w="108" w:type="dxa"/>
          </w:tblCellMar>
        </w:tblPrEx>
        <w:trPr>
          <w:trHeight w:val="3578"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432E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422C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双通道功放</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6D1A1F2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1、采用≤1U标准机架式功放，双通道设计，内置≥2个不间断散热风扇；</w:t>
            </w:r>
          </w:p>
          <w:p w14:paraId="72E6D31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2、支持直流输出、过热保护、负载短路、过流、输出保护、过热保护、交流过流保护等；</w:t>
            </w:r>
          </w:p>
          <w:p w14:paraId="6ED6150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3、内置≥4路左右声道音频输入接口和≥4路功放音频输出接口；</w:t>
            </w:r>
          </w:p>
          <w:p w14:paraId="013EFB4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4、内置主功放和监听功放输出音量调节旋钮及音量指示灯；</w:t>
            </w:r>
          </w:p>
          <w:p w14:paraId="3723203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5、信噪比（加权）：&gt;90dB；</w:t>
            </w:r>
          </w:p>
          <w:p w14:paraId="41058ED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6、电压增益：≥30dB；</w:t>
            </w:r>
          </w:p>
          <w:p w14:paraId="53ECEC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7、频率响应：22H～20KHz（-3dB）；</w:t>
            </w:r>
          </w:p>
          <w:p w14:paraId="7F9D078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8、失真率：＜1%（1KHz，额定功率）；</w:t>
            </w:r>
          </w:p>
          <w:p w14:paraId="4BAABFE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9、声道系统：2.0 +2.0，电源输入：220V±10%/2A/50Hz，内置保险管；</w:t>
            </w:r>
          </w:p>
          <w:p w14:paraId="1E22929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10、功放和电源总效率：&gt;83%，功放开关频率：≥500KHz；</w:t>
            </w:r>
          </w:p>
          <w:p w14:paraId="5684C89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11、总功率：≥300W，主功放输出功率：≥200W，监听功放输出功率：≥100W；</w:t>
            </w:r>
          </w:p>
          <w:p w14:paraId="7DA29F6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12、为保证系统整体兼容性、稳定性、统一性，便于系统维护，须与录播工作站设备同一生产制造厂商。</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76C7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6BF7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03B9B">
            <w:pPr>
              <w:jc w:val="center"/>
              <w:rPr>
                <w:rFonts w:hint="eastAsia" w:ascii="宋体" w:hAnsi="宋体" w:eastAsia="宋体"/>
                <w:color w:val="000000"/>
                <w:sz w:val="20"/>
                <w:szCs w:val="20"/>
                <w:highlight w:val="none"/>
              </w:rPr>
            </w:pPr>
          </w:p>
        </w:tc>
      </w:tr>
      <w:tr w14:paraId="2AF287C7">
        <w:tblPrEx>
          <w:tblCellMar>
            <w:top w:w="0" w:type="dxa"/>
            <w:left w:w="108" w:type="dxa"/>
            <w:bottom w:w="0" w:type="dxa"/>
            <w:right w:w="108" w:type="dxa"/>
          </w:tblCellMar>
        </w:tblPrEx>
        <w:trPr>
          <w:trHeight w:val="1385"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ACCA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5C72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线阵列音箱</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1D35759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1、包含2个左右音箱，音箱最大功率≥60W、额定功率≥30W；</w:t>
            </w:r>
          </w:p>
          <w:p w14:paraId="6A5A7FE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2、声压级：1W（1KHz，1米）时，≥92dB（SPL）；</w:t>
            </w:r>
          </w:p>
          <w:p w14:paraId="758C794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3、频率范围：190Hz～18KHz（-10 dB）；</w:t>
            </w:r>
          </w:p>
          <w:p w14:paraId="5AA4FBF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4、开放角度：1KHz/4KHz（-6 dB），水平210°/132°，垂直50°/22°；</w:t>
            </w:r>
          </w:p>
          <w:p w14:paraId="47D7CF7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5、额定阻抗：≤6欧姆。</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772F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FDC0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491BE">
            <w:pPr>
              <w:jc w:val="center"/>
              <w:rPr>
                <w:rFonts w:hint="eastAsia" w:ascii="宋体" w:hAnsi="宋体" w:eastAsia="宋体"/>
                <w:color w:val="000000"/>
                <w:sz w:val="20"/>
                <w:szCs w:val="20"/>
                <w:highlight w:val="none"/>
              </w:rPr>
            </w:pPr>
          </w:p>
        </w:tc>
      </w:tr>
      <w:tr w14:paraId="43D13DAC">
        <w:tblPrEx>
          <w:tblCellMar>
            <w:top w:w="0" w:type="dxa"/>
            <w:left w:w="108" w:type="dxa"/>
            <w:bottom w:w="0" w:type="dxa"/>
            <w:right w:w="108" w:type="dxa"/>
          </w:tblCellMar>
        </w:tblPrEx>
        <w:trPr>
          <w:trHeight w:val="166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9D94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FF43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智能导播软件</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04943FD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1）支持录像控制、摄像机控制、跟踪控制、视频切换等操作；</w:t>
            </w:r>
          </w:p>
          <w:p w14:paraId="2C9D526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2）支持手动导播控制和跟踪主机自动导播控制；</w:t>
            </w:r>
          </w:p>
          <w:p w14:paraId="2A42940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3）支持通过跟踪主机自动控制摄像机云台上、下、左、右旋转、镜头变倍，自动进行多机位视频切换；</w:t>
            </w:r>
          </w:p>
          <w:p w14:paraId="176ED1B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4）支持直切、叠画等多种视频切换效果，支持大小、左右、平铺等多种画中画模式，支持切换画中画的主副画面，实现画面交换。</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BA6D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FD97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F33D4">
            <w:pPr>
              <w:jc w:val="center"/>
              <w:rPr>
                <w:rFonts w:hint="eastAsia" w:ascii="宋体" w:hAnsi="宋体" w:eastAsia="宋体"/>
                <w:color w:val="000000"/>
                <w:sz w:val="20"/>
                <w:szCs w:val="20"/>
                <w:highlight w:val="none"/>
              </w:rPr>
            </w:pPr>
          </w:p>
        </w:tc>
      </w:tr>
      <w:tr w14:paraId="5D20E51D">
        <w:tblPrEx>
          <w:tblCellMar>
            <w:top w:w="0" w:type="dxa"/>
            <w:left w:w="108" w:type="dxa"/>
            <w:bottom w:w="0" w:type="dxa"/>
            <w:right w:w="108" w:type="dxa"/>
          </w:tblCellMar>
        </w:tblPrEx>
        <w:trPr>
          <w:trHeight w:val="8239"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0A40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B2C6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在线课堂互动软件</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6CAACE2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1、基础设置</w:t>
            </w:r>
          </w:p>
          <w:p w14:paraId="5DFCD7B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1）支持录播模式及互动模式两种开机显示模式，用户可自定义选择终端开机显示模式；</w:t>
            </w:r>
          </w:p>
          <w:p w14:paraId="47CE1C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2）支持配套触控大屏的X/Y值校正，支持查询系统软硬件信息；</w:t>
            </w:r>
          </w:p>
          <w:p w14:paraId="0E35371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3）支持自定义控制终端POC供电及任意SDI接口POC供电开关，支持自定义互动画面内的工具栏显示位置；</w:t>
            </w:r>
          </w:p>
          <w:p w14:paraId="6510C7D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4）支持国际标准SIP通讯协议，自定义设置互动音视频编码方式，支持PCMU、PCMA、G.722、OPUS、AAC等音频编码，支持H.264视频及双流编码；</w:t>
            </w:r>
          </w:p>
          <w:p w14:paraId="3422321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5）支持自定义设置互动屏及抬头屏的视频信号源、清晰度；</w:t>
            </w:r>
          </w:p>
          <w:p w14:paraId="02BFB49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6）支持自定义开启系统自动应答模式，实现教室被呼叫时可以自动加入课堂；</w:t>
            </w:r>
          </w:p>
          <w:p w14:paraId="00C39C5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7）支持本地音频信号采集、播放测试，支持自定义主讲端、听讲端及课件画面的信号源、分辨率、码率及帧率等，配置窗口支持直观呈现选择的视频信号源画面；</w:t>
            </w:r>
          </w:p>
          <w:p w14:paraId="5A7BAF5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8）支持自定义开关自动跟踪功能，系统提供≥3种跟踪模式可选；支持自定义升级服务器配置信息。</w:t>
            </w:r>
          </w:p>
          <w:p w14:paraId="1C77F99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2、系统功能</w:t>
            </w:r>
          </w:p>
          <w:p w14:paraId="7D3521A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1）具备一键上课功能，支持自动获取平台预设互动组信息，一键以主讲端身份与互动组内其他教室开启远程1vN教学互动；</w:t>
            </w:r>
          </w:p>
          <w:p w14:paraId="4DB2945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2）具备课表查询功能，支持查看当前教室课表安排及课程开展状态；</w:t>
            </w:r>
          </w:p>
          <w:p w14:paraId="4722C50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3）具备创建课堂功能，支持查看学校列表及可用教室列表，支持自定义选择教室创建互动课堂开展远程1vN教学互动；</w:t>
            </w:r>
          </w:p>
          <w:p w14:paraId="0A57409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4）具备临时加入课堂功能，支持输入互动课堂的课堂号进入到互动课堂；支持查询互动课堂开启记录，并可加入未结束的互动课程，支持输入密码方可进入互动课程；</w:t>
            </w:r>
          </w:p>
          <w:p w14:paraId="1BA631E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5）具备1～9数字键和拨号键，局域网内支持输入设备IP开启设备间音视频互动，无需配置互动服务器；</w:t>
            </w:r>
          </w:p>
          <w:p w14:paraId="74AF23B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6）支持授课模式、互动模式及会议模式可选，主讲端教师可自定义切换互动模式；</w:t>
            </w:r>
          </w:p>
          <w:p w14:paraId="0194805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7）支持1～9分屏、16分屏、32分屏等多种分屏模式，互动画面支持采用1大N小、全等分等模式进行画面呈现；</w:t>
            </w:r>
          </w:p>
          <w:p w14:paraId="16C07B3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8）支持互动过程静音/开音控制，主讲端教师可一键静音所有听讲端或静音某个听讲端；</w:t>
            </w:r>
          </w:p>
          <w:p w14:paraId="2E323A0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9）支持课件投屏，主讲端教师可共享本地课件画面到听讲端教室；</w:t>
            </w:r>
          </w:p>
          <w:p w14:paraId="7BA8072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10）支持断线重连，对异常退出课堂的教室系统支持自动重新连接；</w:t>
            </w:r>
          </w:p>
          <w:p w14:paraId="44BB52F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11）支持通过配套平台进行互动过程的直播观看，课程结束后支持课程回放；</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61B1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7B32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9DBEE">
            <w:pPr>
              <w:jc w:val="center"/>
              <w:rPr>
                <w:rFonts w:hint="default" w:ascii="宋体" w:hAnsi="宋体" w:eastAsia="宋体"/>
                <w:color w:val="000000"/>
                <w:sz w:val="20"/>
                <w:szCs w:val="20"/>
                <w:highlight w:val="none"/>
                <w:lang w:val="en-US" w:eastAsia="zh-CN"/>
              </w:rPr>
            </w:pPr>
          </w:p>
        </w:tc>
      </w:tr>
      <w:tr w14:paraId="38185C95">
        <w:tblPrEx>
          <w:tblCellMar>
            <w:top w:w="0" w:type="dxa"/>
            <w:left w:w="108" w:type="dxa"/>
            <w:bottom w:w="0" w:type="dxa"/>
            <w:right w:w="108" w:type="dxa"/>
          </w:tblCellMar>
        </w:tblPrEx>
        <w:trPr>
          <w:trHeight w:val="166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05B0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AE7C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LED显示器时钟</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501A1C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1）录播教室内LED显示屏，专用LED铝合金喷塑框架结构；</w:t>
            </w:r>
          </w:p>
          <w:p w14:paraId="047FAFE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2）支持RS-232/485接口协议控制及多种波特率传输；</w:t>
            </w:r>
          </w:p>
          <w:p w14:paraId="5E4C06D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3）支持显示红、绿、黄三色16×16点阵、32×32点阵、字库24×24点阵汉字；</w:t>
            </w:r>
          </w:p>
          <w:p w14:paraId="1EBC25D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4）支持与录播联动显示录播状态，提供≥6种时间提示，如录播正记时和当前时间等；</w:t>
            </w:r>
          </w:p>
          <w:p w14:paraId="5FAA9D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5）支持录播状态和时间采用双色显示；</w:t>
            </w:r>
          </w:p>
          <w:p w14:paraId="140D42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6）显示屏尺寸≥668mm×212mm×92mm。</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9CDF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6052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9A5F7">
            <w:pPr>
              <w:jc w:val="both"/>
              <w:rPr>
                <w:rFonts w:hint="default" w:ascii="宋体" w:hAnsi="宋体" w:eastAsia="宋体"/>
                <w:color w:val="000000"/>
                <w:sz w:val="20"/>
                <w:szCs w:val="20"/>
                <w:highlight w:val="none"/>
                <w:lang w:val="en-US" w:eastAsia="zh-CN"/>
              </w:rPr>
            </w:pPr>
          </w:p>
        </w:tc>
      </w:tr>
      <w:tr w14:paraId="187C7333">
        <w:tblPrEx>
          <w:tblCellMar>
            <w:top w:w="0" w:type="dxa"/>
            <w:left w:w="108" w:type="dxa"/>
            <w:bottom w:w="0" w:type="dxa"/>
            <w:right w:w="108" w:type="dxa"/>
          </w:tblCellMar>
        </w:tblPrEx>
        <w:trPr>
          <w:trHeight w:val="9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C50F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7980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机柜</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7CFD730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1、采用19英寸标准机柜设计，高度≥22U，主体材质采用SPCC冷轧钢板，柜体内置电源箱，具备可调节行走脚轮；</w:t>
            </w:r>
          </w:p>
          <w:p w14:paraId="57D48FE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2、机柜顶部采用可操作台面设计，支持摆放显示器、导播台等设备进行本地导播控制；</w:t>
            </w:r>
          </w:p>
          <w:p w14:paraId="64B8564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3、机柜内置电源箱具备≥4路包含2P和3P类型的AC 220V电源插座接口，具备≥4路包含圆孔插座和接线端子类型的DC 12V电源接口，支持为机柜内部模块及录播系统进行供电；</w:t>
            </w:r>
          </w:p>
          <w:p w14:paraId="5796613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4、机柜内置电源箱具备≥8路10M/100M/1000Mbps自适应的POE网络接口，实现机柜内网络互联互通；</w:t>
            </w:r>
          </w:p>
          <w:p w14:paraId="2978B68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5、机柜内置电源箱电源开关采用AC 220V/10A空气开关设计，支持控制机柜总电源；</w:t>
            </w:r>
          </w:p>
          <w:p w14:paraId="2827AB1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6、机柜具备≥2个散热风口，前后柜门配备安全锁。</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D762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5F01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0BC91">
            <w:pPr>
              <w:jc w:val="both"/>
              <w:rPr>
                <w:rFonts w:hint="default" w:ascii="宋体" w:hAnsi="宋体" w:eastAsia="宋体"/>
                <w:color w:val="000000"/>
                <w:sz w:val="20"/>
                <w:szCs w:val="20"/>
                <w:highlight w:val="none"/>
                <w:lang w:val="en-US" w:eastAsia="zh-CN"/>
              </w:rPr>
            </w:pPr>
          </w:p>
        </w:tc>
      </w:tr>
      <w:tr w14:paraId="367F8554">
        <w:tblPrEx>
          <w:tblCellMar>
            <w:top w:w="0" w:type="dxa"/>
            <w:left w:w="108" w:type="dxa"/>
            <w:bottom w:w="0" w:type="dxa"/>
            <w:right w:w="108" w:type="dxa"/>
          </w:tblCellMar>
        </w:tblPrEx>
        <w:trPr>
          <w:trHeight w:val="2208"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C16B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71D3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资源管理平台</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3900C3B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r>
              <w:rPr>
                <w:rFonts w:hint="eastAsia" w:ascii="宋体" w:hAnsi="宋体" w:eastAsia="宋体"/>
                <w:color w:val="000000"/>
                <w:sz w:val="20"/>
                <w:szCs w:val="20"/>
                <w:highlight w:val="none"/>
              </w:rPr>
              <w:tab/>
            </w:r>
            <w:r>
              <w:rPr>
                <w:rFonts w:hint="eastAsia" w:ascii="宋体" w:hAnsi="宋体" w:eastAsia="宋体"/>
                <w:color w:val="000000"/>
                <w:sz w:val="20"/>
                <w:szCs w:val="20"/>
                <w:highlight w:val="none"/>
              </w:rPr>
              <w:t>基础功能：</w:t>
            </w:r>
          </w:p>
          <w:p w14:paraId="015437F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1）支持自定义设置当前站点机构组织、用户初始化导入、用户组及用户权限管理，支持建立和批量导入班级，具备师生注册审核机制；</w:t>
            </w:r>
          </w:p>
          <w:p w14:paraId="7D6B003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自定义设置门户导航目录，支持设置平台名称、logo、页脚信息，设置数据展示的学期范围，设置课程、活动、专辑等默认封面等，支持填写≥2个备案信息及其链接地址；提供CNAS认证检测报告并加盖厂家公章；</w:t>
            </w:r>
          </w:p>
          <w:p w14:paraId="016A5C6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3）资源中心首页支持≥9个模块缩略展示，支持上传多banner图片，实现多图轮播；支持banner图片添加链接；</w:t>
            </w:r>
          </w:p>
          <w:p w14:paraId="4CA2196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4）支持国家重大事件发生时，一键将平台设置为灰色风格； </w:t>
            </w:r>
          </w:p>
          <w:p w14:paraId="0DC7C36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5）支持系统默认播放模式设置为双屏模式、电影模式或资源模式,支持自定义开启或关闭OCR 分析；</w:t>
            </w:r>
          </w:p>
          <w:p w14:paraId="540203A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6）支持对教室进行管理及设备查看,支持一键跳转集控管理平台进行设备管理；提供CNAS认证检测报告并加盖厂家公章；</w:t>
            </w:r>
          </w:p>
          <w:p w14:paraId="20B3811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7）支持添加、导入互动终端，支持自定义设置内外网互动模式、会控服务器IP、服务端口等；</w:t>
            </w:r>
          </w:p>
          <w:p w14:paraId="2F49223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自定义添加、编辑、启用及禁用系统的学科、学段、年级、教材版本、教材册等信息，支持批量导入教材目录，支持一键同步本站学段、学科、年级、教材版本、教材册的设置至下级站点，支持学期新建和删除，新建学期可设置学期开始日期和预计周次；</w:t>
            </w:r>
          </w:p>
          <w:p w14:paraId="4DD2D1B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9）支持自定义创建评分量表、设置量表指标及分值，支持基于已有量表进行指标添加，支持设置量表总分等于各一级指标得分×各自权重，汇总求和；</w:t>
            </w:r>
          </w:p>
          <w:p w14:paraId="67A4672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10）支持录播设备接入平台实现自动转码、多画面直播及点播等，支持扫码观看直播、查看公告及浏览资源等； </w:t>
            </w:r>
          </w:p>
          <w:p w14:paraId="61FB535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11）采用引用计数和垃圾回收技术，支持单条资源被多级平台共同调用，某处删除不影响其他站点用户使用，支持系统自动判断当每级站点都不需要此资源时再自动删除；提供CNAS认证检测报告并加盖厂家公章；</w:t>
            </w:r>
          </w:p>
          <w:p w14:paraId="14BA702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12）支持自定义自动删除策略，根据文件上传时间和引用数进行清理周期、清理范围、清理方式等设置，支持服务器磁盘剩余容量达到设定警戒值时进行预警提示；</w:t>
            </w:r>
          </w:p>
          <w:p w14:paraId="398690F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13）支持自定义设置当前站点服务器配置、维护平台使用手册,支持系统应用服务配置，支持针对教室端录播设备进行单个或批量升级，支持针对平台AI服务进行运行状态检测等。</w:t>
            </w:r>
          </w:p>
          <w:p w14:paraId="6B29F8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个人空间</w:t>
            </w:r>
          </w:p>
          <w:p w14:paraId="27114BB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提供个人空间，支持个人信息、资源及量表管理，支持消息发送和接收，支持在个人空间上传、管理、搜索、收藏资源，支持将课件、教案等资源与课堂录像进行关联，支持教师调课后视频资源自动、手动归档；</w:t>
            </w:r>
          </w:p>
          <w:p w14:paraId="6DE08BC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2）支持通过课表对录播教室进行录像和直播预约，课程结束后，课堂录像自动上传至主讲人个人空间；</w:t>
            </w:r>
          </w:p>
          <w:p w14:paraId="56D0B50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3）支持在个人空间针对原视频进行裁剪、编辑、合成及发布，具备文字轨道、视频轨道、台标等编辑功能；提供CNAS认证检测报告并加盖厂家公章；</w:t>
            </w:r>
          </w:p>
          <w:p w14:paraId="2C4F3F5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4）支持查看我的课表，通过在个人课表添加课表或者导入课表进行约课，支持查看我的授课班级、授课班级学生，班主任可以编辑班级信息、进行学生模型训练、班级归档操作；支持查看我所加入的教研组、我的备课情况、我的视频教研情况、听课任务及记录听课进度等，支持查看我申请的优课评选及得奖课程，支持创建、编辑磨课组、添加课例等，支持查看我的教学反思、收到的反思及教学反思统计等； </w:t>
            </w:r>
          </w:p>
          <w:p w14:paraId="166A3AB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5）支持汇总我的评审任务，包含优课评审、听课评审和集体磨课评审等；支持汇总我被评的课程，包含优课评审、听课评审和集体磨课评审等；</w:t>
            </w:r>
          </w:p>
          <w:p w14:paraId="036C691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6）支持查看我参与的互动课程和联校空间，查看我加入的听评课、讲课反馈，支持查看平台的使用说明；</w:t>
            </w:r>
          </w:p>
          <w:p w14:paraId="035C052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应用管理</w:t>
            </w:r>
          </w:p>
          <w:p w14:paraId="3F443B1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1）支持管理员编辑及修改通知公告，支持设定公告类型、公告定时发布信息；</w:t>
            </w:r>
          </w:p>
          <w:p w14:paraId="7EEFAA9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2）支持学情分析阈值设置，并可设置特例课识别值； </w:t>
            </w:r>
          </w:p>
          <w:p w14:paraId="139F021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3）支持汇总平台录像，对录像进行发布、删除、查看、编辑、推送等；</w:t>
            </w:r>
          </w:p>
          <w:p w14:paraId="308974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4）支持视频添加教案、课件、习题等文档及图片作为附件进行在线无插件预览；</w:t>
            </w:r>
          </w:p>
          <w:p w14:paraId="2593354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5）支持用户对资源进行收藏、下载、分享等，支持用户对资源进行评论和在线交流；</w:t>
            </w:r>
          </w:p>
          <w:p w14:paraId="14B451C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6）支持用户在点播观看视频时可通过系统提供的量表进行在线打分评价，支持自定义设置量表； </w:t>
            </w:r>
          </w:p>
          <w:p w14:paraId="601D44F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7）支持用户对课堂视频录像进行量化评估，可根据实际教学评估要求设置多套评估标准，每套评估标准可设置不同总分，可设置多项评估项目，每项评估项目可设置多项评估子项，满足不同评估要求； </w:t>
            </w:r>
          </w:p>
          <w:p w14:paraId="7AD894C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8）支持多种搜索条件进行组合搜索，支持用户通过资源名称、班级、教师文本快速搜索资源；</w:t>
            </w:r>
          </w:p>
          <w:p w14:paraId="12F83A7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9）支持管理员设置资源分类审核、关闭审核开关，设置免审核模式，支持管理员将教师推送的资源进行修正归档；</w:t>
            </w:r>
          </w:p>
          <w:p w14:paraId="410F6ED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10）支持自定义录像主题、录像专辑等，支持录像资源删除后进入回收站，支持在站群内子站向父站推送课程。</w:t>
            </w:r>
          </w:p>
          <w:p w14:paraId="522ED3A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课表管理</w:t>
            </w:r>
          </w:p>
          <w:p w14:paraId="10740EC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1）支持根据教室和教师维度查看和添加课表、批量导入课表，支持依据日历和课表两种方式查看教室课表，支持设置教室相应的时间节次方案；</w:t>
            </w:r>
          </w:p>
          <w:p w14:paraId="38F59C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2）支持按时间或设置好的节次方案进行课表约课，支持修改课程名称、班级、学段、教师、学科、年级等信息，设置教室及输入直播源；</w:t>
            </w:r>
          </w:p>
          <w:p w14:paraId="3E5C896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3）支持根据教师、课程、教室、班级、学生等关键词查询课表；</w:t>
            </w:r>
          </w:p>
          <w:p w14:paraId="0E5199E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4）支持课表约课时控制录像、直播、聊天室、AI分析、直播评课、直播时移、手机端直播的功能开启状态，支持设置≥5种直播访问方式；提供CNAS认证检测报告并加盖厂家公章。</w:t>
            </w:r>
          </w:p>
          <w:p w14:paraId="0EF8A8B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视频点播、直播</w:t>
            </w:r>
          </w:p>
          <w:p w14:paraId="3D4EEAA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1）支持多画面资源模式点播，如以三分屏的方式同步播放教师画面、学生画面、课件画面，支持视频直接拖拽播放； </w:t>
            </w:r>
          </w:p>
          <w:p w14:paraId="6E96988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2）支持在播放器窗口进行标清、高清、超清等多种清晰度切换；</w:t>
            </w:r>
          </w:p>
          <w:p w14:paraId="34C6FB9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3）支持观看视频时可通过系统提供的量表进行在线打分评价； </w:t>
            </w:r>
          </w:p>
          <w:p w14:paraId="2D2BE78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4）具有教育行业特性，依据直播课堂时况可实现课堂S-T分析，自动分析课堂教师、学生及互动行为占比并自动画出行为曲线，自动分析课堂类型；</w:t>
            </w:r>
          </w:p>
          <w:p w14:paraId="7635B3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5）直播过程支持在线用户文字交流、量表打分，直播结束后系统将视频和评论记录自动上传到教师个人空间；</w:t>
            </w:r>
          </w:p>
          <w:p w14:paraId="1C33305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6）直播过程中支持用户以二维码、链接地址形式分享直播；</w:t>
            </w:r>
          </w:p>
          <w:p w14:paraId="78EE73E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7）支持自定义直播开始、结束时间，设置直播评分量表；</w:t>
            </w:r>
          </w:p>
          <w:p w14:paraId="7143839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8）支持直播时移，直播开始后可拖动播放器时间轴回放直播；提供CNAS认证检测报告并加盖厂家公章； </w:t>
            </w:r>
          </w:p>
          <w:p w14:paraId="5A723E6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9）支持设置直播观看密码，支持匿名用户观看直播，支持设置是否在设备开启直播时才允许观看教室画面；</w:t>
            </w:r>
          </w:p>
          <w:p w14:paraId="40C3B7E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10）支持门户显示和观看设置，支持设置在直播频道中是否显示离线设备；</w:t>
            </w:r>
          </w:p>
          <w:p w14:paraId="3EF6F30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11）支持微信扫描平台二维码进行直播观看、课程点播等。</w:t>
            </w:r>
          </w:p>
          <w:p w14:paraId="0DD4627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直播门户</w:t>
            </w:r>
          </w:p>
          <w:p w14:paraId="715103A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1）支持查看当前正在进行的直播课、将要开始的直播课、已经结束且已发布的直播课，支持按照学校、学段、学科、时间段、资源名称、作者和标签等搜索直播课，支持按时间和视频热度呈现直播课资源；</w:t>
            </w:r>
          </w:p>
          <w:p w14:paraId="42103C3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2）支持统计直播门户下的所有直播课数量和播放量，支持统计不同时间周期内的直播课程数量、累计观看人数及课程；</w:t>
            </w:r>
          </w:p>
          <w:p w14:paraId="2D061AF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3）支持统计任意直播课程观看人数、观看用户信息，至少包含用户姓名、学段、学科、观看开始及退出时间等，数据可导出。</w:t>
            </w:r>
          </w:p>
          <w:p w14:paraId="1C4A08C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2、优课中心：</w:t>
            </w:r>
          </w:p>
          <w:p w14:paraId="5B24A1A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1）支持在模块首页展示优课资源数量和播放量；</w:t>
            </w:r>
          </w:p>
          <w:p w14:paraId="7E10554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按照资源发布时间、点赞数量和播放量，对资源进行排行展示，支持手动推荐资源在优课中心进行重点展示，支持按照学校、学段、学科进行筛选优课，支持按资源名称、作者、标签搜索查找优课，支持教案、课件、习题等文档进行在线无插件预览； </w:t>
            </w:r>
          </w:p>
          <w:p w14:paraId="1AFCACF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3）支持对资源进行收藏、下载、分享等，支持对资源进行量表评分和文字评论。</w:t>
            </w:r>
          </w:p>
          <w:p w14:paraId="5436583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3、微课中心：</w:t>
            </w:r>
          </w:p>
          <w:p w14:paraId="66C9F94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1）支持以知识点系列形式组织微课专辑，自定义微课发布方式，支持在微课资源首页展示微课资源数量、点播数量；</w:t>
            </w:r>
          </w:p>
          <w:p w14:paraId="2C869FA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2）支持按发布时间、播放量、点赞量进行微课排行展示，支持按学段、学科、微课名称、作者、标签等筛选及搜索微课；</w:t>
            </w:r>
          </w:p>
          <w:p w14:paraId="751392B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3）支持用户收藏、订阅微课，在个人空间查看微课学习记录；</w:t>
            </w:r>
          </w:p>
          <w:p w14:paraId="1423C3E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4）支持对微课资源进行在线评分，支持采用预设量表评分、主观评价等，支持删除个人讨论内容，管理员可删除任意讨论内容。</w:t>
            </w:r>
          </w:p>
          <w:p w14:paraId="3F1128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4、主题资源：</w:t>
            </w:r>
          </w:p>
          <w:p w14:paraId="3DDAAEE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1）支持用户自定义主题与子主题资源分类，支持提交与发布资源；</w:t>
            </w:r>
          </w:p>
          <w:p w14:paraId="7FB77A9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2）支持用户将资源提交通过审核后发布展示在对应主题模块；</w:t>
            </w:r>
          </w:p>
          <w:p w14:paraId="4D83EA8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3）支持将发布的专题在首页展示，支持按主题、子主题、资源名称、作者和标签等筛选及搜索资源；</w:t>
            </w:r>
          </w:p>
          <w:p w14:paraId="3369A94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4）支持主题资源按发布时间、最热点赞和最热播放进行排序展示；</w:t>
            </w:r>
          </w:p>
          <w:p w14:paraId="63F2CB5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5、课程专辑：</w:t>
            </w:r>
          </w:p>
          <w:p w14:paraId="7D6B79A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1）支持用户按类型、学段及学科对资源进行分类，自定义专辑发布方式，支持在优课专辑首页展示专辑数量、资源数量；</w:t>
            </w:r>
          </w:p>
          <w:p w14:paraId="0DEFA03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2）支持专辑按发布时间、播放量、收藏量进行排行展示，支持按学段、学科、专辑名称、作者、标签等筛选及搜索专辑。</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F03C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417A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8CE8D">
            <w:pPr>
              <w:jc w:val="center"/>
              <w:rPr>
                <w:rFonts w:hint="default" w:ascii="宋体" w:hAnsi="宋体" w:eastAsia="宋体"/>
                <w:color w:val="000000"/>
                <w:sz w:val="20"/>
                <w:szCs w:val="20"/>
                <w:highlight w:val="none"/>
                <w:lang w:val="en-US" w:eastAsia="zh-CN"/>
              </w:rPr>
            </w:pPr>
          </w:p>
        </w:tc>
      </w:tr>
      <w:tr w14:paraId="68A3C21A">
        <w:tblPrEx>
          <w:tblCellMar>
            <w:top w:w="0" w:type="dxa"/>
            <w:left w:w="108" w:type="dxa"/>
            <w:bottom w:w="0" w:type="dxa"/>
            <w:right w:w="108" w:type="dxa"/>
          </w:tblCellMar>
        </w:tblPrEx>
        <w:trPr>
          <w:trHeight w:val="2208"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11AA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0259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平台应用主机</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5D26649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1、≤1U机架式设计，Linux操作系统；</w:t>
            </w:r>
          </w:p>
          <w:p w14:paraId="218C506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2、内置高性能低功耗处理器，内存容量≥32GB；</w:t>
            </w:r>
          </w:p>
          <w:p w14:paraId="517A90B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3、采用双硬盘设计，内置≥500GB SSD系统盘及≥4TB数据盘，内置≥2个数据盘接口，支持硬盘容量扩展；</w:t>
            </w:r>
          </w:p>
          <w:p w14:paraId="4995884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4、内置≥2路USB接口，≥1路 HDMI接口，</w:t>
            </w:r>
          </w:p>
          <w:p w14:paraId="58F952C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5、内置≥4路 2.5G网络接口；</w:t>
            </w:r>
          </w:p>
          <w:p w14:paraId="5D72B24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6、支持教室端录播工作站的接入，支持集群部署。</w:t>
            </w:r>
          </w:p>
          <w:p w14:paraId="4CAE635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7、支持流媒体转发、直播、点播功能。与录播同一品牌。</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0D24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B03E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C7E24">
            <w:pPr>
              <w:jc w:val="center"/>
              <w:rPr>
                <w:rFonts w:hint="default" w:ascii="宋体" w:hAnsi="宋体" w:eastAsia="宋体"/>
                <w:color w:val="000000"/>
                <w:sz w:val="20"/>
                <w:szCs w:val="20"/>
                <w:highlight w:val="none"/>
                <w:lang w:val="en-US" w:eastAsia="zh-CN"/>
              </w:rPr>
            </w:pPr>
          </w:p>
        </w:tc>
      </w:tr>
      <w:tr w14:paraId="26DF5490">
        <w:tblPrEx>
          <w:tblCellMar>
            <w:top w:w="0" w:type="dxa"/>
            <w:left w:w="108" w:type="dxa"/>
            <w:bottom w:w="0" w:type="dxa"/>
            <w:right w:w="108" w:type="dxa"/>
          </w:tblCellMar>
        </w:tblPrEx>
        <w:trPr>
          <w:trHeight w:val="5709"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E430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DC55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智慧黑板</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019CB1F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一、 整体设计要求</w:t>
            </w:r>
          </w:p>
          <w:p w14:paraId="4640253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 要求智慧黑板采用无推拉式结构，由三块拼接而成的纯平面黑板，一体化设计，无任何外露连接线；整机尺寸：不小于4200mm×1200mm，厚度≤85mm。 </w:t>
            </w:r>
          </w:p>
          <w:p w14:paraId="40E4DC6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屏幕显示尺寸：≥86英寸，直下式LED背光源，显示比例：16:9，分辨率：3840×2160，屏体亮度≥500cd/㎡，对比度：5000：1。</w:t>
            </w:r>
          </w:p>
          <w:p w14:paraId="69E77F9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产品采用电容全贴合技术，消除屏幕间的空气，减少显示面板与玻璃之间的反光。</w:t>
            </w:r>
          </w:p>
          <w:p w14:paraId="641BABE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支持任意信号通道下不低于20点的书写体验，且具备抗强光干扰性能，在450K LUX照度的光照下保证书写功能正常。</w:t>
            </w:r>
          </w:p>
          <w:p w14:paraId="6CBDA00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整机内置前朝向：2×15W扬声器。</w:t>
            </w:r>
          </w:p>
          <w:p w14:paraId="1E91149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整机提供前置按键：前面板具备不少于7个按键设计，至少包含电源、护眼、音量±；</w:t>
            </w:r>
          </w:p>
          <w:p w14:paraId="6983BEB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 整机显示区域下方具备通体笔槽，内凹设计避免灰尘落入接口，方便放置书写笔。</w:t>
            </w:r>
          </w:p>
          <w:p w14:paraId="4CBE2C2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 整机接口：HDMI in（1路前置）≥4，USB（支持双系统识别读取）≥4，TOUCH Out≥3（一路前置），LAN≥1。</w:t>
            </w:r>
          </w:p>
          <w:p w14:paraId="656638C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 前置红外接收器，遥控器可一键切换内置电脑模式或外接电脑设备模式；具备电视遥控功能和电脑键盘常用的F1—F12功能键及Alt+F4、Alt+Tab、Space、windows等快捷按键，PPT上下翻页、一键锁定。</w:t>
            </w:r>
          </w:p>
          <w:p w14:paraId="43C92A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 整机需配备Android和Windows双系统，可通过多种方式进行双系统的切换。</w:t>
            </w:r>
          </w:p>
          <w:p w14:paraId="4CAAAAB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 内置Android系统版本Android8.0或以上，内存≥3GB，存储空间≥16GB。</w:t>
            </w:r>
          </w:p>
          <w:p w14:paraId="0EAA53A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 采用OPS电脑方案，抽拉式且采用intel标准80pin接口，采用手转螺丝锁固定，无需工具即可快速拆卸OPS电脑模块；</w:t>
            </w:r>
          </w:p>
          <w:p w14:paraId="37A744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 整机OPS电脑接口位置设计必须方便插拔，无需拆卸整机任何结构，即可快速取出。</w:t>
            </w:r>
          </w:p>
          <w:p w14:paraId="4FD288F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 整机采用左右双侧边菜单虚拟按键设计，开机即显，通过侧边菜单可实现一键主页、全通道放大、一键绿板、信源切换、批注、工具箱、音量调节、中控菜单调取，二维码分享等功能。</w:t>
            </w:r>
          </w:p>
          <w:p w14:paraId="244C8AA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 为满足用户的个性化需求，前置物理按键需包含一个自定义按键，可方便自定义为：锁屏、录屏、自检、信源切换、调用展台等多项功能。</w:t>
            </w:r>
          </w:p>
          <w:p w14:paraId="6D97FED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 健康护眼，通过前置物理按键一键启动减滤蓝光功能，同时也可通过触控调节蓝光滤值的大小，保护师生视觉健康。</w:t>
            </w:r>
          </w:p>
          <w:p w14:paraId="6EEE4D2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 采用DC调光背光技术，有效消除频闪，提搞师生用眼舒适度；使用录像设备录制时，屏幕无‘斜条纹’。</w:t>
            </w:r>
          </w:p>
          <w:p w14:paraId="3505794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18、 为保证维护便捷，整机具备前置针孔式电脑还原按键。</w:t>
            </w:r>
          </w:p>
          <w:p w14:paraId="4893805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19、 前置USB接口全部支持双系统读取，将U 盘插入任意前置USB接口，均能被Windows 及Android 系统识别，无需区分接口对应系统，减少误操作。</w:t>
            </w:r>
          </w:p>
          <w:p w14:paraId="468FEB5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20、 外接电脑设备连接整机且触摸信号连通时，外接电脑设备可直接读取整机前置USB接口的移动存储设备数据，连接整机前置USB接口的翻页笔、无线键鼠等外接设备可直接使用于外接电脑，无需重复部署。</w:t>
            </w:r>
          </w:p>
          <w:p w14:paraId="706E0D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 整机支持多种功能禁用开关，方便不同场景，支持触控禁用、按键禁用、遥控器禁用、网络禁用、应用安装/卸载应用等。</w:t>
            </w:r>
          </w:p>
          <w:p w14:paraId="6BE02BD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22、 屏幕两侧具有软件形态的电子黑板系统快捷菜单，可便捷隐藏，此系统无需借助Windows系统软件即可正常教学，且在任意通道下均可实现以下内容：</w:t>
            </w:r>
          </w:p>
          <w:p w14:paraId="4BF45CF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 书写：为用户提供模拟粉笔的书写批注功能，笔支持无限色盘得色彩选择及线性粗细选择。</w:t>
            </w:r>
          </w:p>
          <w:p w14:paraId="1275CCC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板面：为用户提供常见的黑、白、绿背景板面供选择；</w:t>
            </w:r>
          </w:p>
          <w:p w14:paraId="7F9821A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对象编辑：用户可对屏幕内容进行拖动、截图、缩放、旋转等操作；</w:t>
            </w:r>
          </w:p>
          <w:p w14:paraId="7563F0E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内容回顾：书写内容占满屏幕后，可切换至下一页，需要时，教师可回切至相应的页面，对过往内容进行回顾；</w:t>
            </w:r>
          </w:p>
          <w:p w14:paraId="44F7693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保存与分享：批注笔迹和背景层的快速保存，并可通过生成二维码的方式分享，亦可对分享内容加密，保护隐私。</w:t>
            </w:r>
          </w:p>
          <w:p w14:paraId="2B13CE7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便捷切换：支持一键切换批注与触控状态，支持一键切换电子黑板与信源界面。</w:t>
            </w:r>
          </w:p>
          <w:p w14:paraId="32684CD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23、 支持在任意通道下将画面冻结并双击画面任一部分进行放大，放大后的屏幕画面可进行任意拖拽等操作。</w:t>
            </w:r>
          </w:p>
          <w:p w14:paraId="495BA19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24、 支持在任意通道下调取幕布、聚光灯、截屏、秒表、倒计时、倒计日、 随机数、自检等小工具。</w:t>
            </w:r>
          </w:p>
          <w:p w14:paraId="49E7B56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25、 窗口下移：通过四指下滑手势快捷实现液晶屏显示窗口下移，并可进行触控操作。</w:t>
            </w:r>
          </w:p>
          <w:p w14:paraId="1A8BB88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26、 主页具备信源预览窗口，点击窗口可一键切换信源，具备5个常用应用程序。</w:t>
            </w:r>
          </w:p>
          <w:p w14:paraId="0CFB397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27、 安卓白板软件支持基本教学工具，至少包含直尺、三角板、量角器、圆规等；支持分屏书写功能，可实现二/三分屏幕，各区域书写擦除互不干扰；支持快速绘制平面及立体图形。</w:t>
            </w:r>
          </w:p>
          <w:p w14:paraId="1E1D626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28、 智能手势：支持五指息屏和唤醒；支持任意通道下手势调取板擦工具擦除批注内容，且智能识别手与屏幕接触面积自动调整板擦工具的大小。</w:t>
            </w:r>
          </w:p>
          <w:p w14:paraId="5A5CE60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二、 OPS电脑配置要求</w:t>
            </w:r>
          </w:p>
          <w:p w14:paraId="0B61659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29、 采用Intel 酷睿系列i5八代或以上CPU；内存：8GB DDR4笔记本内存或以上配置。硬盘：256GB或以上SSD固态硬盘。</w:t>
            </w:r>
          </w:p>
          <w:p w14:paraId="5DB4186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30、 具有独立非外扩展的电脑USB接口：电脑上至少具备3个USB3.0接口。</w:t>
            </w:r>
          </w:p>
          <w:p w14:paraId="31E41CA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31、 具有独立非外扩展的视频输出接口：≥1路HDMI 。</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0466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9AC7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F1247">
            <w:pPr>
              <w:jc w:val="center"/>
              <w:rPr>
                <w:rFonts w:hint="default" w:ascii="宋体" w:hAnsi="宋体" w:eastAsia="宋体"/>
                <w:color w:val="000000"/>
                <w:sz w:val="20"/>
                <w:szCs w:val="20"/>
                <w:highlight w:val="none"/>
                <w:lang w:val="en-US" w:eastAsia="zh-CN"/>
              </w:rPr>
            </w:pPr>
          </w:p>
        </w:tc>
      </w:tr>
      <w:tr w14:paraId="7A95AE97">
        <w:tblPrEx>
          <w:tblCellMar>
            <w:top w:w="0" w:type="dxa"/>
            <w:left w:w="108" w:type="dxa"/>
            <w:bottom w:w="0" w:type="dxa"/>
            <w:right w:w="108" w:type="dxa"/>
          </w:tblCellMar>
        </w:tblPrEx>
        <w:trPr>
          <w:trHeight w:val="3031"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41C9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7433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多媒体讲桌</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44F287D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1.尺寸：长*宽*高（mm）整体闭合不低于：1100*670*975 ；整体展开不低于：1540*1660*975 （允许正负5mm偏离）。</w:t>
            </w:r>
          </w:p>
          <w:p w14:paraId="20DD1CD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2.桌面采用木黄色高密度纤维板，边缘采用单面封边工艺，采用冷压工艺三聚氰胺贴面，防划、防泼水。</w:t>
            </w:r>
          </w:p>
          <w:p w14:paraId="5C56046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3.主体采用≥1.5mm冷轧钢板，钣金全部通过酸洗磷化喷涂后再进行高温烘烤，防锈，喷涂工艺符合GB22374-2008 涂装材料标准，桌面两侧采用高档橡木扶手，正面可根据需求丝印学校LOGO。</w:t>
            </w:r>
          </w:p>
          <w:p w14:paraId="4A7D46D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4.设计：分体式设计，桌面和桌体自成一体，内置固定螺丝孔位。桌体拐角采用圆弧设计，倒角R18。讲桌内部可扩充IC卡系统，可扩充四只轮子，方便移动。</w:t>
            </w:r>
          </w:p>
          <w:p w14:paraId="3BC951F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有翻转显示器安装位，安装显示器尺寸不低于21.5英寸，显示器翻转到最大角度和挡边平齐，无凸出。采用不锈钢可调阻尼转轴，显示器支持在0-130°中任意停留，不允许出现反扣现象。显示器右侧需预留至少2个USB2.0的扩展孔，方便引线到桌面。讲台内需自带固定线孔位。</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072C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70F7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E130A">
            <w:pPr>
              <w:jc w:val="center"/>
              <w:rPr>
                <w:rFonts w:hint="default" w:ascii="宋体" w:hAnsi="宋体" w:eastAsia="宋体"/>
                <w:color w:val="000000"/>
                <w:sz w:val="20"/>
                <w:szCs w:val="20"/>
                <w:highlight w:val="none"/>
                <w:lang w:val="en-US" w:eastAsia="zh-CN"/>
              </w:rPr>
            </w:pPr>
          </w:p>
        </w:tc>
      </w:tr>
      <w:tr w14:paraId="09754879">
        <w:tblPrEx>
          <w:tblCellMar>
            <w:top w:w="0" w:type="dxa"/>
            <w:left w:w="108" w:type="dxa"/>
            <w:bottom w:w="0" w:type="dxa"/>
            <w:right w:w="108" w:type="dxa"/>
          </w:tblCellMar>
        </w:tblPrEx>
        <w:trPr>
          <w:trHeight w:val="65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3BBA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34BF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操作台</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4E051">
            <w:pPr>
              <w:jc w:val="both"/>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不低于1.5米操作台，配2把椅子。</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476C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709D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4B995">
            <w:pPr>
              <w:jc w:val="center"/>
              <w:rPr>
                <w:rFonts w:hint="default" w:ascii="宋体" w:hAnsi="宋体" w:eastAsia="宋体"/>
                <w:color w:val="000000"/>
                <w:sz w:val="20"/>
                <w:szCs w:val="20"/>
                <w:highlight w:val="none"/>
                <w:lang w:val="en-US" w:eastAsia="zh-CN"/>
              </w:rPr>
            </w:pPr>
          </w:p>
        </w:tc>
      </w:tr>
      <w:tr w14:paraId="5124A677">
        <w:tblPrEx>
          <w:tblCellMar>
            <w:top w:w="0" w:type="dxa"/>
            <w:left w:w="108" w:type="dxa"/>
            <w:bottom w:w="0" w:type="dxa"/>
            <w:right w:w="108" w:type="dxa"/>
          </w:tblCellMar>
        </w:tblPrEx>
        <w:trPr>
          <w:trHeight w:val="5224"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66C7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41F9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装修</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4F20074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一、整体要求</w:t>
            </w:r>
          </w:p>
          <w:p w14:paraId="60ED508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1、要求整体环境应美观大方协调。</w:t>
            </w:r>
          </w:p>
          <w:p w14:paraId="061F7F0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2、必须阻燃处理、防火处理，到达国家标准级别。</w:t>
            </w:r>
          </w:p>
          <w:p w14:paraId="312496F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二、吸音处理要求</w:t>
            </w:r>
          </w:p>
          <w:p w14:paraId="22ECD50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1、顶棚吸音处理：使用标准600mm×600mm规格的矿棉吸音板处理，确保吸音效果。</w:t>
            </w:r>
          </w:p>
          <w:p w14:paraId="24D0746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四周墙壁吸音处理：底层采用防火板找平打底后，在0.8米以下安装浅色吸音板,0.8米以上用环保聚脂化纤吸音板装修；100%聚酯纤维制作，在125-4000HZ噪声范围内吸音系数达到0.94，具有出色阻燃防火性能;甲醛释放量为0.05㎎/1，达到国家标准要求，应做到耐磨、抗冲击、耐撕裂、不易划破。</w:t>
            </w:r>
          </w:p>
          <w:p w14:paraId="70E5EE0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3、地面：采用PVC塑胶地板。水泥自流平找平，塑胶耐磨层0.35mm.厚度2.0mm</w:t>
            </w:r>
          </w:p>
          <w:p w14:paraId="7FA3A9C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三、灯光要求：</w:t>
            </w:r>
          </w:p>
          <w:p w14:paraId="1A4BD85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教室布光均匀。布置LED防眩目光源，平均照度讲台区≥700lux，学生区≥500lux；色温4000k或5600k；显色指数（Ra）≥80；灯具平均寿命≥10000小时；内嵌式安装。</w:t>
            </w:r>
          </w:p>
          <w:p w14:paraId="08DC4F9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四、观摩室要求：</w:t>
            </w:r>
          </w:p>
          <w:p w14:paraId="79344A87">
            <w:pPr>
              <w:widowControl/>
              <w:jc w:val="left"/>
              <w:textAlignment w:val="center"/>
              <w:rPr>
                <w:rFonts w:ascii="宋体" w:hAnsi="宋体" w:eastAsia="宋体"/>
                <w:color w:val="000000"/>
                <w:sz w:val="20"/>
                <w:szCs w:val="20"/>
                <w:highlight w:val="none"/>
              </w:rPr>
            </w:pPr>
            <w:r>
              <w:rPr>
                <w:rFonts w:hint="eastAsia" w:ascii="宋体" w:hAnsi="宋体" w:eastAsia="宋体"/>
                <w:color w:val="000000"/>
                <w:sz w:val="20"/>
                <w:szCs w:val="20"/>
                <w:highlight w:val="none"/>
              </w:rPr>
              <w:t>录播室与控制观摩室中间隔开，墙隔断采用加厚75天地龙骨、竖骨、横穿骨。具有较高的稳定性和抗撞击能力强。相邻墙壁采用钢化单向可视玻璃，面积1200毫米×（2500至4000）毫米左右,玻璃尺寸根据学校具体情况而定。玻璃贴单向透视膜，黑色，无胶纹，不起泡。在观摩室能清晰看到教学全过程且不影响学生的注意力</w:t>
            </w:r>
          </w:p>
          <w:p w14:paraId="5B8D1F6D">
            <w:pPr>
              <w:widowControl/>
              <w:jc w:val="left"/>
              <w:textAlignment w:val="center"/>
              <w:rPr>
                <w:rFonts w:ascii="宋体" w:hAnsi="宋体" w:eastAsia="宋体"/>
                <w:color w:val="000000"/>
                <w:sz w:val="20"/>
                <w:szCs w:val="20"/>
                <w:highlight w:val="none"/>
              </w:rPr>
            </w:pPr>
            <w:r>
              <w:rPr>
                <w:rFonts w:hint="eastAsia" w:ascii="宋体" w:hAnsi="宋体" w:eastAsia="宋体"/>
                <w:color w:val="000000"/>
                <w:sz w:val="20"/>
                <w:szCs w:val="20"/>
                <w:highlight w:val="none"/>
              </w:rPr>
              <w:t>五、线路改造要求</w:t>
            </w:r>
          </w:p>
          <w:p w14:paraId="45299F82">
            <w:pPr>
              <w:widowControl/>
              <w:jc w:val="left"/>
              <w:textAlignment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配电箱配备3路供电系统，一路教室照明专用供电采用≥国标4平方铜线；一路提供整个教室多媒体设备及控制机柜内的设备供电采用≥国标4平方铜线，一路空调专用供电采用≥国标6平方铜线。五孔插座及电源开关以及对老电路的撤除。</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A839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862D5">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lang w:val="en-US" w:eastAsia="zh-CN"/>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14193">
            <w:pPr>
              <w:jc w:val="center"/>
              <w:rPr>
                <w:rFonts w:hint="eastAsia" w:ascii="宋体" w:hAnsi="宋体" w:eastAsia="宋体"/>
                <w:color w:val="000000"/>
                <w:sz w:val="20"/>
                <w:szCs w:val="20"/>
                <w:highlight w:val="none"/>
              </w:rPr>
            </w:pPr>
          </w:p>
        </w:tc>
      </w:tr>
      <w:tr w14:paraId="0D9BD6E4">
        <w:tblPrEx>
          <w:tblCellMar>
            <w:top w:w="0" w:type="dxa"/>
            <w:left w:w="108" w:type="dxa"/>
            <w:bottom w:w="0" w:type="dxa"/>
            <w:right w:w="108" w:type="dxa"/>
          </w:tblCellMar>
        </w:tblPrEx>
        <w:trPr>
          <w:trHeight w:val="65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A73D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22</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2B16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显示器</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909ED">
            <w:pPr>
              <w:jc w:val="both"/>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21.5寸液晶显示器</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374C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3A66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DF3BD">
            <w:pPr>
              <w:jc w:val="center"/>
              <w:rPr>
                <w:rFonts w:hint="default" w:ascii="宋体" w:hAnsi="宋体" w:eastAsia="宋体"/>
                <w:color w:val="000000"/>
                <w:sz w:val="20"/>
                <w:szCs w:val="20"/>
                <w:highlight w:val="none"/>
                <w:lang w:val="en-US" w:eastAsia="zh-CN"/>
              </w:rPr>
            </w:pPr>
          </w:p>
        </w:tc>
      </w:tr>
      <w:tr w14:paraId="0EE8570A">
        <w:tblPrEx>
          <w:tblCellMar>
            <w:top w:w="0" w:type="dxa"/>
            <w:left w:w="108" w:type="dxa"/>
            <w:bottom w:w="0" w:type="dxa"/>
            <w:right w:w="108" w:type="dxa"/>
          </w:tblCellMar>
        </w:tblPrEx>
        <w:trPr>
          <w:trHeight w:val="10432"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C677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8DFC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学生桌椅</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top"/>
          </w:tcPr>
          <w:p w14:paraId="48B8D59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课桌：整体规格 660mm（长）×450mm（宽）×670mm至760mm（高）,钢塑结构、可升降,共4档。</w:t>
            </w:r>
          </w:p>
          <w:p w14:paraId="616418A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桌面规格：660mm（长）×450mm（宽）×25mm（厚），壁厚≥3mm。采用模具成型环保材料全新蓝色ABS一次性注塑成型，桌面前沿及两端三分之一处有U型凸起挡笔条。正面内凹20mm，增加使用舒适度。桌面下合理布局壁厚≥2mm加强筋，另加两根30×15×1.2mm钢管加强。 </w:t>
            </w:r>
          </w:p>
          <w:p w14:paraId="71A7781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桌斗规格：容积≥490mm×300mm×140mm。采用厚度0.6mm的钢板一次冲压成型，边沿卷有圆形加强筋，上沿宽度≥20mm，桌斗下增设20mm×20mm×1.0mm的钢管作为下撑。</w:t>
            </w:r>
          </w:p>
          <w:p w14:paraId="6087722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桌架：桌腿和底管采用60mm×30mm×1.5mm的椭圆钢管；升降管及桌撑采用50mm×20mm×1.2mm的椭圆钢管，升降管采用拉伸攻丝螺母连接，管材外径误差±1mm，各焊接处光滑平整无虚焊现象。</w:t>
            </w:r>
          </w:p>
          <w:p w14:paraId="32C1A69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托铁及挂钩：托铁采用≥2.0mm的钢板冲压成型，长度≥280mm。两侧安装全新ABS工程塑料一次注塑成型挂钩，承重量大于10千克，不得超出桌面外沿。</w:t>
            </w:r>
          </w:p>
          <w:p w14:paraId="1694C13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升降：升降接口采用内塞式全新PP工程塑料一次注塑成型封头，长度≥90mm，接口结合紧密，无摇晃。升降管采用拉伸攻丝技术，配合高强度圆头螺栓调节高度。</w:t>
            </w:r>
          </w:p>
          <w:p w14:paraId="76815A7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脚套：采用全新PE工程塑料一次注塑成型，规格：≥60mm×70mm厚度≥2mm，采用卡扣固定，牢固耐磨。</w:t>
            </w:r>
          </w:p>
          <w:p w14:paraId="72FF5B7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工艺：钢材采用焊接机器人CO</w:t>
            </w:r>
            <w:r>
              <w:rPr>
                <w:rFonts w:ascii="Cambria Math" w:hAnsi="Cambria Math" w:eastAsia="宋体" w:cs="Cambria Math"/>
                <w:color w:val="000000"/>
                <w:sz w:val="20"/>
                <w:szCs w:val="20"/>
                <w:highlight w:val="none"/>
              </w:rPr>
              <w:t>₂</w:t>
            </w:r>
            <w:r>
              <w:rPr>
                <w:rFonts w:hint="eastAsia" w:ascii="宋体" w:hAnsi="宋体" w:eastAsia="宋体" w:cs="宋体"/>
                <w:color w:val="000000"/>
                <w:sz w:val="20"/>
                <w:szCs w:val="20"/>
                <w:highlight w:val="none"/>
              </w:rPr>
              <w:t>保护焊焊接，表层采用去油、除锈、喷塑工艺处理，防止生锈，各焊接处光滑平整无突出。</w:t>
            </w:r>
          </w:p>
          <w:p w14:paraId="181D8CE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外观：钢材表面涂层均匀牢固，无流挂、气泡等缺陷。塑料件表面平整、色彩均匀、有光泽。整体着色采用亮色搭配，美观大方，符合青少年身心发展特点。塑料件颜色一致无色差。桌架内侧无螺丝外露，防止刮蹭。</w:t>
            </w:r>
          </w:p>
          <w:p w14:paraId="69F231D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课椅 整体规格 420mm（宽）×390mm（深）×（380-440）mm（椅面高），塑钢结构、可升降,共4档。</w:t>
            </w:r>
          </w:p>
          <w:p w14:paraId="0A30416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椅面规格：420mm（宽）×390mm（深），依据人体工程学原理，采用曲面弧形设计，壁厚≥3mm。椅面设计有透气缝，及时排走久坐产生的热量，前沿波浪形流线设计，增加使用舒适度。</w:t>
            </w:r>
          </w:p>
          <w:p w14:paraId="6BAF1B9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靠背规格 420mm（宽）×350mm（高），依据人体工程学原理，采用曲面弧形设计，壁厚≥3mm。设计有透气缝，及时排走久坐产生的热量。上部设有横向椭圆孔方便提起、挪动。</w:t>
            </w:r>
          </w:p>
          <w:p w14:paraId="1625F7F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椅面靠背材质 采用全新PP工程塑料一次注塑成型，舒适有弹性。</w:t>
            </w:r>
          </w:p>
          <w:p w14:paraId="04BB5A5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椅架、椅腿和底管采用60mm×30mm×1.5mm的椭圆钢管立式焊接。升降管及椅撑采用50mm×20mm×1.2mm的椭圆钢管，管材外径误差±1mm，采用焊接连接。</w:t>
            </w:r>
          </w:p>
          <w:p w14:paraId="4D17CEF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托管及靠背管 托管及靠背管采用20mm×40mm×1.2mm的椭圆钢管，管材外径误差±1mm，经数控弯管设备加工一次成形设计；</w:t>
            </w:r>
          </w:p>
          <w:p w14:paraId="46DE118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椅面和椅架托管连接处有塑质U型卡槽，槽深度和宽度与托管紧密配合,采用≥Ф4mm自攻丝固定。</w:t>
            </w:r>
          </w:p>
          <w:p w14:paraId="070E68C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靠背和椅架采用插接式连接,并用≥Ф4mm自攻丝固定。</w:t>
            </w:r>
          </w:p>
          <w:p w14:paraId="2B5EFDF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升降 升降接口采用内塞式全新PP工程塑料一次注塑成型封头，长度≥90mm，接口结合紧密，无摇晃。升降管规格：≥60mm×70mm,厚度≥2mm,采用卡扣固定，牢固</w:t>
            </w:r>
          </w:p>
          <w:p w14:paraId="632F38F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外观 钢材表面涂层均匀牢固，无流挂、气泡等缺陷。塑料件表面平整、色彩均匀、光泽。整体着色采用亮色搭配，美观大方，符合青少年身心发展特点。塑料件颜色一致无色差。椅架内侧无螺丝外露，防止刮蹭。 </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9D3E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CA03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1A054">
            <w:pPr>
              <w:jc w:val="center"/>
              <w:rPr>
                <w:rFonts w:hint="default" w:ascii="宋体" w:hAnsi="宋体" w:eastAsia="宋体"/>
                <w:color w:val="000000"/>
                <w:sz w:val="20"/>
                <w:szCs w:val="20"/>
                <w:highlight w:val="none"/>
                <w:lang w:val="en-US" w:eastAsia="zh-CN"/>
              </w:rPr>
            </w:pPr>
          </w:p>
        </w:tc>
      </w:tr>
      <w:tr w14:paraId="76700A7F">
        <w:tblPrEx>
          <w:tblCellMar>
            <w:top w:w="0" w:type="dxa"/>
            <w:left w:w="108" w:type="dxa"/>
            <w:bottom w:w="0" w:type="dxa"/>
            <w:right w:w="108" w:type="dxa"/>
          </w:tblCellMar>
        </w:tblPrEx>
        <w:trPr>
          <w:trHeight w:val="650" w:hRule="atLeast"/>
        </w:trPr>
        <w:tc>
          <w:tcPr>
            <w:tcW w:w="5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1203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0212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系统集成</w:t>
            </w:r>
          </w:p>
        </w:tc>
        <w:tc>
          <w:tcPr>
            <w:tcW w:w="68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3140D3">
            <w:pPr>
              <w:jc w:val="both"/>
              <w:rPr>
                <w:rFonts w:hint="eastAsia" w:ascii="宋体" w:hAnsi="宋体" w:eastAsia="宋体"/>
                <w:color w:val="000000"/>
                <w:sz w:val="20"/>
                <w:szCs w:val="20"/>
                <w:highlight w:val="none"/>
              </w:rPr>
            </w:pPr>
            <w:r>
              <w:rPr>
                <w:rFonts w:hint="eastAsia" w:ascii="宋体" w:hAnsi="宋体" w:eastAsia="宋体"/>
                <w:color w:val="000000"/>
                <w:sz w:val="20"/>
                <w:szCs w:val="20"/>
                <w:highlight w:val="none"/>
                <w:lang w:val="en-US" w:eastAsia="zh-CN"/>
              </w:rPr>
              <w:t>系统所需各类线材及施工</w:t>
            </w:r>
          </w:p>
        </w:tc>
        <w:tc>
          <w:tcPr>
            <w:tcW w:w="51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58C5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c>
          <w:tcPr>
            <w:tcW w:w="5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C0DD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AEC4B">
            <w:pPr>
              <w:jc w:val="center"/>
              <w:rPr>
                <w:rFonts w:hint="default" w:ascii="宋体" w:hAnsi="宋体" w:eastAsia="宋体"/>
                <w:color w:val="000000"/>
                <w:sz w:val="20"/>
                <w:szCs w:val="20"/>
                <w:highlight w:val="none"/>
                <w:lang w:val="en-US" w:eastAsia="zh-CN"/>
              </w:rPr>
            </w:pPr>
          </w:p>
        </w:tc>
      </w:tr>
    </w:tbl>
    <w:p w14:paraId="2C7FF37B">
      <w:pPr>
        <w:pStyle w:val="30"/>
        <w:jc w:val="center"/>
        <w:rPr>
          <w:rFonts w:hint="eastAsia" w:ascii="微软雅黑" w:hAnsi="微软雅黑" w:eastAsia="微软雅黑" w:cs="微软雅黑"/>
          <w:sz w:val="36"/>
          <w:szCs w:val="40"/>
          <w:highlight w:val="none"/>
          <w:lang w:eastAsia="zh-CN"/>
        </w:rPr>
      </w:pPr>
    </w:p>
    <w:p w14:paraId="639BF496">
      <w:pPr>
        <w:jc w:val="center"/>
        <w:rPr>
          <w:rFonts w:hint="eastAsia" w:ascii="微软雅黑" w:hAnsi="微软雅黑" w:eastAsia="微软雅黑" w:cs="微软雅黑"/>
          <w:sz w:val="36"/>
          <w:szCs w:val="40"/>
          <w:highlight w:val="none"/>
          <w:lang w:val="en-US" w:eastAsia="zh-CN"/>
        </w:rPr>
      </w:pPr>
      <w:r>
        <w:rPr>
          <w:rFonts w:hint="eastAsia" w:ascii="微软雅黑" w:hAnsi="微软雅黑" w:eastAsia="微软雅黑" w:cs="微软雅黑"/>
          <w:sz w:val="36"/>
          <w:szCs w:val="40"/>
          <w:highlight w:val="none"/>
          <w:lang w:eastAsia="zh-CN"/>
        </w:rPr>
        <w:t>杞县高中附属中学</w:t>
      </w:r>
      <w:r>
        <w:rPr>
          <w:rFonts w:hint="eastAsia" w:ascii="微软雅黑" w:hAnsi="微软雅黑" w:eastAsia="微软雅黑" w:cs="微软雅黑"/>
          <w:sz w:val="36"/>
          <w:szCs w:val="40"/>
          <w:highlight w:val="none"/>
          <w:lang w:val="en-US" w:eastAsia="zh-CN"/>
        </w:rPr>
        <w:t>采购设备参数</w:t>
      </w:r>
    </w:p>
    <w:p w14:paraId="59686884">
      <w:pPr>
        <w:rPr>
          <w:rFonts w:hint="eastAsia"/>
          <w:b/>
          <w:bCs/>
          <w:sz w:val="22"/>
          <w:szCs w:val="28"/>
          <w:highlight w:val="none"/>
        </w:rPr>
      </w:pPr>
      <w:r>
        <w:rPr>
          <w:rFonts w:hint="eastAsia"/>
          <w:b/>
          <w:bCs/>
          <w:sz w:val="22"/>
          <w:szCs w:val="28"/>
          <w:highlight w:val="none"/>
        </w:rPr>
        <w:t>办公桌</w:t>
      </w:r>
    </w:p>
    <w:p w14:paraId="7AB6F4A9">
      <w:pPr>
        <w:rPr>
          <w:rFonts w:hint="eastAsia"/>
          <w:highlight w:val="none"/>
        </w:rPr>
      </w:pPr>
      <w:r>
        <w:rPr>
          <w:rFonts w:hint="eastAsia"/>
          <w:highlight w:val="none"/>
        </w:rPr>
        <w:t>1、1400*600*760，带抽屉柜。</w:t>
      </w:r>
    </w:p>
    <w:p w14:paraId="6818630D">
      <w:pPr>
        <w:rPr>
          <w:rFonts w:hint="eastAsia"/>
          <w:highlight w:val="none"/>
        </w:rPr>
      </w:pPr>
      <w:r>
        <w:rPr>
          <w:rFonts w:hint="eastAsia"/>
          <w:highlight w:val="none"/>
        </w:rPr>
        <w:t>2、材质：主材采用E1级浸渍胶膜纸饰面刨花板，桌面板厚度为25mm，其他板材为16mm；抽屉底板采用4mm密度板。提供所投产品具有第三方权威部门出具的带CMA或CNAS标识的刨花板检测报告扫描件，检测内容至少须包含：</w:t>
      </w:r>
      <w:bookmarkStart w:id="216" w:name="_Hlk201045967"/>
      <w:r>
        <w:rPr>
          <w:rFonts w:hint="eastAsia"/>
          <w:highlight w:val="none"/>
        </w:rPr>
        <w:t>★</w:t>
      </w:r>
      <w:bookmarkEnd w:id="216"/>
      <w:r>
        <w:rPr>
          <w:rFonts w:hint="eastAsia"/>
          <w:highlight w:val="none"/>
        </w:rPr>
        <w:t>静曲强度≥12MPa，★弹性模量≥1700MPa，★内结合强度≥0.4MPa，★表面胶合强度≥0.6MPa, ★2h吸水厚度膨胀率≤5%，★含水率≤9.5%，★密度≥0.6g/cm²，★板面握螺钉力≥1000N，★板边握螺钉力≥750N，★表面耐冷热循环无裂纹、鼓泡、变色、起皱等，★表面耐划痕≥1.5N，表面无大于90%的连续划痕，★表面耐磨耐磨值≤60mg/100r，表面耐磨素色350r无露底现象，★表面耐香烟灼烧达到 4 级以上，★表面耐干热达 4 级以上，★表面耐污染腐蚀达4级以上，★表面耐龟裂达4级以上，★表面耐水蒸气达4级以上，★甲醛释放量≤0.03mg/m³。</w:t>
      </w:r>
    </w:p>
    <w:p w14:paraId="71EFCE04">
      <w:pPr>
        <w:rPr>
          <w:rFonts w:hint="eastAsia"/>
          <w:highlight w:val="none"/>
        </w:rPr>
      </w:pPr>
      <w:r>
        <w:rPr>
          <w:rFonts w:hint="eastAsia"/>
          <w:highlight w:val="none"/>
        </w:rPr>
        <w:t>3、封边：优质同色PVC封边，</w:t>
      </w:r>
      <w:r>
        <w:rPr>
          <w:rFonts w:hint="eastAsia" w:ascii="宋体" w:hAnsi="宋体" w:eastAsia="宋体" w:cs="宋体"/>
          <w:sz w:val="21"/>
          <w:szCs w:val="21"/>
          <w:highlight w:val="none"/>
        </w:rPr>
        <w:t>封边带使用无重金属的高成份PVC粉做为原料来生产封边条，</w:t>
      </w:r>
      <w:r>
        <w:rPr>
          <w:rFonts w:hint="eastAsia"/>
          <w:highlight w:val="none"/>
        </w:rPr>
        <w:t>提供所投产品具有第三方权威部门出具的带CMA或CNAS标识的刨花板检测报告扫描件，检测内容至少须包含★</w:t>
      </w:r>
      <w:r>
        <w:rPr>
          <w:rFonts w:hint="eastAsia" w:ascii="宋体" w:hAnsi="宋体" w:eastAsia="宋体" w:cs="宋体"/>
          <w:sz w:val="21"/>
          <w:szCs w:val="21"/>
          <w:highlight w:val="none"/>
        </w:rPr>
        <w:t>可迁移元素（Sb\As\Ba\Cd\Cr\Pb\Hg\Se）达到国标GB28007-2011环保要求,其中As\Pb\Hg要求未检出，</w:t>
      </w:r>
      <w:r>
        <w:rPr>
          <w:rFonts w:hint="eastAsia"/>
          <w:highlight w:val="none"/>
        </w:rPr>
        <w:t>★</w:t>
      </w:r>
      <w:r>
        <w:rPr>
          <w:rFonts w:hint="eastAsia" w:ascii="宋体" w:hAnsi="宋体" w:eastAsia="宋体" w:cs="宋体"/>
          <w:sz w:val="21"/>
          <w:szCs w:val="21"/>
          <w:highlight w:val="none"/>
        </w:rPr>
        <w:t>邻苯二甲酸酯达到GB22048-2022环保要求，</w:t>
      </w:r>
      <w:r>
        <w:rPr>
          <w:rFonts w:hint="eastAsia"/>
          <w:highlight w:val="none"/>
        </w:rPr>
        <w:t>★</w:t>
      </w:r>
      <w:r>
        <w:rPr>
          <w:rFonts w:hint="eastAsia" w:ascii="宋体" w:hAnsi="宋体" w:eastAsia="宋体" w:cs="宋体"/>
          <w:sz w:val="21"/>
          <w:szCs w:val="21"/>
          <w:highlight w:val="none"/>
        </w:rPr>
        <w:t>甲醛释放量按GB/17657-1999(干燥器法)检测应未检出；使用</w:t>
      </w:r>
      <w:r>
        <w:rPr>
          <w:rFonts w:hint="eastAsia"/>
          <w:highlight w:val="none"/>
        </w:rPr>
        <w:t>优质热熔胶，经自动调温热压机使板材粘连无丝无缝，在不同地区气温、湿度的变化中不受影响，能长期不变形、不开裂。</w:t>
      </w:r>
    </w:p>
    <w:p w14:paraId="2AAF238A">
      <w:pPr>
        <w:adjustRightInd w:val="0"/>
        <w:snapToGrid w:val="0"/>
        <w:spacing w:line="360" w:lineRule="auto"/>
        <w:ind w:firstLine="420" w:firstLineChars="200"/>
        <w:rPr>
          <w:rFonts w:hint="eastAsia"/>
          <w:highlight w:val="none"/>
        </w:rPr>
      </w:pPr>
      <w:r>
        <w:rPr>
          <w:rFonts w:hint="eastAsia"/>
          <w:highlight w:val="none"/>
        </w:rPr>
        <w:t>4、五金件：采用品牌五金配件，产品用五金连接件拼接后整体显得紧密，间隙细小，保持适当间隙；优质三合一连接件；</w:t>
      </w:r>
      <w:r>
        <w:rPr>
          <w:rFonts w:hint="eastAsia" w:ascii="宋体" w:hAnsi="宋体" w:eastAsia="宋体" w:cs="宋体"/>
          <w:sz w:val="21"/>
          <w:szCs w:val="21"/>
          <w:highlight w:val="none"/>
        </w:rPr>
        <w:t>拉手为不锈钢亚光拉手，模具成型，表面经化学处理，耐腐蚀，外形美观，设计人性化。</w:t>
      </w:r>
      <w:r>
        <w:rPr>
          <w:rFonts w:hint="eastAsia" w:ascii="宋体" w:hAnsi="宋体" w:eastAsia="宋体" w:cs="宋体"/>
          <w:b/>
          <w:bCs/>
          <w:sz w:val="21"/>
          <w:szCs w:val="21"/>
          <w:highlight w:val="none"/>
        </w:rPr>
        <w:t>滑轨：</w:t>
      </w:r>
      <w:r>
        <w:rPr>
          <w:rFonts w:hint="eastAsia" w:ascii="宋体" w:hAnsi="宋体" w:eastAsia="宋体" w:cs="宋体"/>
          <w:sz w:val="21"/>
          <w:szCs w:val="21"/>
          <w:highlight w:val="none"/>
        </w:rPr>
        <w:t>采用采用国产优质超静音自关轨道可负载不低于35kg，使用时，抽斗拉出顺畅灵活，并且可避免因抽拉用力过猛而导致抽屉滑落地面；同时三节导轨还具有优秀的承重性能。</w:t>
      </w:r>
      <w:r>
        <w:rPr>
          <w:rFonts w:hint="eastAsia" w:ascii="宋体" w:hAnsi="宋体" w:eastAsia="宋体" w:cs="宋体"/>
          <w:b/>
          <w:bCs/>
          <w:sz w:val="21"/>
          <w:szCs w:val="21"/>
          <w:highlight w:val="none"/>
        </w:rPr>
        <w:t>铰链：</w:t>
      </w:r>
      <w:r>
        <w:rPr>
          <w:rFonts w:hint="eastAsia" w:ascii="宋体" w:hAnsi="宋体" w:eastAsia="宋体" w:cs="宋体"/>
          <w:sz w:val="21"/>
          <w:szCs w:val="21"/>
          <w:highlight w:val="none"/>
        </w:rPr>
        <w:t>采用国产优质二段力缓冲铰链，通过不低于75磅负重不少于100000次以上开合测试，</w:t>
      </w:r>
      <w:r>
        <w:rPr>
          <w:rFonts w:hint="eastAsia"/>
          <w:highlight w:val="none"/>
        </w:rPr>
        <w:t>提供所投产品具有第三方权威部门出具的带CMA或CNAS标识的刨花板检测报告扫描件，检测内容至少须包含：</w:t>
      </w:r>
      <w:bookmarkStart w:id="217" w:name="_Hlk201050506"/>
      <w:r>
        <w:rPr>
          <w:rFonts w:hint="eastAsia"/>
          <w:highlight w:val="none"/>
        </w:rPr>
        <w:t>★</w:t>
      </w:r>
      <w:bookmarkEnd w:id="217"/>
      <w:r>
        <w:rPr>
          <w:rFonts w:hint="eastAsia"/>
          <w:highlight w:val="none"/>
        </w:rPr>
        <w:t>金属表面耐腐蚀性</w:t>
      </w:r>
      <w:r>
        <w:rPr>
          <w:rFonts w:hint="eastAsia" w:ascii="宋体" w:hAnsi="宋体" w:eastAsia="宋体" w:cs="宋体"/>
          <w:sz w:val="21"/>
          <w:szCs w:val="21"/>
          <w:highlight w:val="none"/>
        </w:rPr>
        <w:t>通过盐雾连续喷雾48小时以上，符合QB/T3826-1999标准要求达到10级。</w:t>
      </w:r>
      <w:r>
        <w:rPr>
          <w:rFonts w:hint="eastAsia"/>
          <w:highlight w:val="none"/>
        </w:rPr>
        <w:t>★</w:t>
      </w:r>
      <w:r>
        <w:rPr>
          <w:rFonts w:hint="eastAsia" w:ascii="宋体" w:hAnsi="宋体" w:eastAsia="宋体" w:cs="宋体"/>
          <w:sz w:val="21"/>
          <w:szCs w:val="21"/>
          <w:highlight w:val="none"/>
        </w:rPr>
        <w:t>关注力、耐久性试验后关注力、承载能力、检验门的下沉量、抗超限性符合QB/T2189-1995标准要求，外形美观，使用过程中无噪音，耐腐蚀，使用寿命长。</w:t>
      </w:r>
    </w:p>
    <w:p w14:paraId="021BD2C3">
      <w:pPr>
        <w:rPr>
          <w:rFonts w:hint="eastAsia"/>
          <w:highlight w:val="none"/>
        </w:rPr>
      </w:pPr>
      <w:r>
        <w:rPr>
          <w:rFonts w:hint="eastAsia"/>
          <w:highlight w:val="none"/>
        </w:rPr>
        <w:t>5、粘合剂材：高级环保胶粘剂。</w:t>
      </w:r>
    </w:p>
    <w:p w14:paraId="002E39CC">
      <w:pPr>
        <w:rPr>
          <w:rFonts w:hint="eastAsia"/>
          <w:b/>
          <w:bCs/>
          <w:sz w:val="22"/>
          <w:szCs w:val="28"/>
          <w:highlight w:val="none"/>
        </w:rPr>
      </w:pPr>
      <w:r>
        <w:rPr>
          <w:rFonts w:hint="eastAsia"/>
          <w:b/>
          <w:bCs/>
          <w:sz w:val="22"/>
          <w:szCs w:val="28"/>
          <w:highlight w:val="none"/>
        </w:rPr>
        <w:t>办公椅</w:t>
      </w:r>
    </w:p>
    <w:p w14:paraId="03439559">
      <w:pPr>
        <w:rPr>
          <w:rFonts w:hint="eastAsia"/>
          <w:highlight w:val="none"/>
        </w:rPr>
      </w:pPr>
      <w:r>
        <w:rPr>
          <w:rFonts w:hint="eastAsia"/>
          <w:highlight w:val="none"/>
        </w:rPr>
        <w:t xml:space="preserve">1.面料：采用优质透气网布面料，防磨防污性好；                           </w:t>
      </w:r>
    </w:p>
    <w:p w14:paraId="39BE356A">
      <w:pPr>
        <w:rPr>
          <w:rFonts w:hint="eastAsia"/>
          <w:highlight w:val="none"/>
        </w:rPr>
      </w:pPr>
      <w:r>
        <w:rPr>
          <w:rFonts w:hint="eastAsia"/>
          <w:highlight w:val="none"/>
        </w:rPr>
        <w:t xml:space="preserve">2.塑料：采用PP+纤维塑料，抗拉性高， 一次性成型；拉力100KG。                                                              </w:t>
      </w:r>
    </w:p>
    <w:p w14:paraId="168AA3FA">
      <w:pPr>
        <w:rPr>
          <w:rFonts w:hint="eastAsia"/>
          <w:highlight w:val="none"/>
        </w:rPr>
      </w:pPr>
      <w:r>
        <w:rPr>
          <w:rFonts w:hint="eastAsia"/>
          <w:highlight w:val="none"/>
        </w:rPr>
        <w:t xml:space="preserve">3.座棉：采用高弹力聚氨脂弹力海绵，可防氧化、防碎，软硬适中，回弹性良好，不易变形。提供所投产品具有第三方权威部门出具的带CMA或CNAS标识的“海绵”检测报告扫描件，符合 GB/T10802-2006 标准，检测项目至少包含：★75%压缩永久变形合格、★回弹率合格。                                                                  </w:t>
      </w:r>
    </w:p>
    <w:p w14:paraId="0B402555">
      <w:pPr>
        <w:rPr>
          <w:rFonts w:hint="eastAsia" w:ascii="宋体" w:hAnsi="宋体" w:eastAsia="宋体" w:cs="宋体"/>
          <w:sz w:val="21"/>
          <w:szCs w:val="21"/>
          <w:highlight w:val="none"/>
        </w:rPr>
      </w:pPr>
      <w:r>
        <w:rPr>
          <w:rFonts w:hint="eastAsia"/>
          <w:highlight w:val="none"/>
        </w:rPr>
        <w:t>4.铁架：采用2.0厚度铁管弯制而成，承重力强，表面防锈处理后喷黑细沙。提供所投产品具有第三方权威部门出具的带CMA或CNAS标识的椅钢架检测报告扫描件，检验内容至少须包含：★表面涂层硬度、冲击强度、耐腐蚀、附着力合格。★600h中性与酸性抗盐雾10级、★</w:t>
      </w:r>
      <w:r>
        <w:rPr>
          <w:rFonts w:hint="eastAsia" w:ascii="宋体" w:hAnsi="宋体" w:eastAsia="宋体" w:cs="宋体"/>
          <w:sz w:val="21"/>
          <w:szCs w:val="21"/>
          <w:highlight w:val="none"/>
        </w:rPr>
        <w:t>可迁移元素（Sb\As\Ba\Cd\Cr\Pb\Hg\Se）要求未检出，</w:t>
      </w:r>
      <w:r>
        <w:rPr>
          <w:rFonts w:hint="eastAsia"/>
          <w:highlight w:val="none"/>
        </w:rPr>
        <w:t>★</w:t>
      </w:r>
      <w:r>
        <w:rPr>
          <w:rFonts w:hint="eastAsia" w:ascii="宋体" w:hAnsi="宋体" w:eastAsia="宋体" w:cs="宋体"/>
          <w:sz w:val="21"/>
          <w:szCs w:val="21"/>
          <w:highlight w:val="none"/>
        </w:rPr>
        <w:t>抑菌率（金黄色葡萄糖菌、大肠埃希氏菌）合格，</w:t>
      </w:r>
      <w:r>
        <w:rPr>
          <w:rFonts w:hint="eastAsia"/>
          <w:highlight w:val="none"/>
        </w:rPr>
        <w:t>★</w:t>
      </w:r>
      <w:r>
        <w:rPr>
          <w:rFonts w:hint="eastAsia" w:ascii="宋体" w:hAnsi="宋体" w:eastAsia="宋体" w:cs="宋体"/>
          <w:sz w:val="21"/>
          <w:szCs w:val="21"/>
          <w:highlight w:val="none"/>
        </w:rPr>
        <w:t>耐霉菌性等级（黑曲霉、黄曲霉）合格</w:t>
      </w:r>
    </w:p>
    <w:tbl>
      <w:tblPr>
        <w:tblStyle w:val="19"/>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830"/>
      </w:tblGrid>
      <w:tr w14:paraId="5664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4830" w:type="dxa"/>
            <w:noWrap w:val="0"/>
            <w:vAlign w:val="top"/>
          </w:tcPr>
          <w:p w14:paraId="62FE0C2D">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4830" w:type="dxa"/>
            <w:noWrap w:val="0"/>
            <w:vAlign w:val="top"/>
          </w:tcPr>
          <w:p w14:paraId="26B9479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个数</w:t>
            </w:r>
          </w:p>
        </w:tc>
      </w:tr>
      <w:tr w14:paraId="5A61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30" w:type="dxa"/>
            <w:noWrap w:val="0"/>
            <w:vAlign w:val="top"/>
          </w:tcPr>
          <w:p w14:paraId="4E6F3E6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桌子</w:t>
            </w:r>
          </w:p>
        </w:tc>
        <w:tc>
          <w:tcPr>
            <w:tcW w:w="4830" w:type="dxa"/>
            <w:noWrap w:val="0"/>
            <w:vAlign w:val="top"/>
          </w:tcPr>
          <w:p w14:paraId="57792396">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w:t>
            </w:r>
          </w:p>
        </w:tc>
      </w:tr>
      <w:tr w14:paraId="3834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30" w:type="dxa"/>
            <w:noWrap w:val="0"/>
            <w:vAlign w:val="top"/>
          </w:tcPr>
          <w:p w14:paraId="00821663">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椅子</w:t>
            </w:r>
          </w:p>
        </w:tc>
        <w:tc>
          <w:tcPr>
            <w:tcW w:w="4830" w:type="dxa"/>
            <w:noWrap w:val="0"/>
            <w:vAlign w:val="top"/>
          </w:tcPr>
          <w:p w14:paraId="4B9D5F0D">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w:t>
            </w:r>
          </w:p>
        </w:tc>
      </w:tr>
    </w:tbl>
    <w:p w14:paraId="70AFAC64">
      <w:pPr>
        <w:rPr>
          <w:rFonts w:hint="eastAsia" w:ascii="宋体" w:hAnsi="宋体" w:eastAsia="宋体"/>
          <w:b/>
          <w:bCs/>
          <w:sz w:val="24"/>
          <w:highlight w:val="none"/>
          <w:lang w:val="en-US" w:eastAsia="zh-CN"/>
        </w:rPr>
      </w:pPr>
    </w:p>
    <w:p w14:paraId="3A5B6895">
      <w:pPr>
        <w:rPr>
          <w:rFonts w:hint="eastAsia" w:ascii="宋体" w:hAnsi="宋体" w:eastAsia="宋体"/>
          <w:b/>
          <w:bCs/>
          <w:sz w:val="24"/>
          <w:highlight w:val="none"/>
          <w:lang w:val="en-US" w:eastAsia="zh-CN"/>
        </w:rPr>
      </w:pPr>
    </w:p>
    <w:p w14:paraId="2A3D0DFC">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文件柜（</w:t>
      </w:r>
      <w:r>
        <w:rPr>
          <w:rFonts w:hint="eastAsia" w:ascii="宋体" w:hAnsi="宋体" w:eastAsia="宋体"/>
          <w:sz w:val="24"/>
          <w:highlight w:val="none"/>
          <w:lang w:val="en-US" w:eastAsia="zh-CN"/>
        </w:rPr>
        <w:t>12个</w:t>
      </w:r>
      <w:r>
        <w:rPr>
          <w:rFonts w:hint="eastAsia" w:ascii="宋体" w:hAnsi="宋体" w:eastAsia="宋体"/>
          <w:b/>
          <w:bCs/>
          <w:sz w:val="24"/>
          <w:highlight w:val="none"/>
          <w:lang w:val="en-US" w:eastAsia="zh-CN"/>
        </w:rPr>
        <w:t>）</w:t>
      </w:r>
    </w:p>
    <w:p w14:paraId="1392FAEF">
      <w:pPr>
        <w:rPr>
          <w:rFonts w:hint="eastAsia" w:ascii="宋体" w:hAnsi="宋体" w:eastAsia="宋体"/>
          <w:sz w:val="24"/>
          <w:highlight w:val="none"/>
        </w:rPr>
      </w:pPr>
      <w:r>
        <w:rPr>
          <w:rFonts w:hint="eastAsia" w:ascii="宋体" w:hAnsi="宋体" w:eastAsia="宋体"/>
          <w:sz w:val="24"/>
          <w:highlight w:val="none"/>
        </w:rPr>
        <w:t>柜体尺寸（宽深高）1850 mm×850 mm×390mm。</w:t>
      </w:r>
    </w:p>
    <w:p w14:paraId="004605CB">
      <w:pPr>
        <w:rPr>
          <w:rFonts w:hint="eastAsia" w:ascii="宋体" w:hAnsi="宋体" w:eastAsia="宋体"/>
          <w:sz w:val="24"/>
          <w:highlight w:val="none"/>
        </w:rPr>
      </w:pPr>
      <w:r>
        <w:rPr>
          <w:rFonts w:hint="eastAsia" w:ascii="宋体" w:hAnsi="宋体" w:eastAsia="宋体"/>
          <w:sz w:val="24"/>
          <w:highlight w:val="none"/>
        </w:rPr>
        <w:t>金属结构，基本要求如下：</w:t>
      </w:r>
    </w:p>
    <w:p w14:paraId="4B24A844">
      <w:pPr>
        <w:rPr>
          <w:rFonts w:hint="eastAsia" w:ascii="宋体" w:hAnsi="宋体" w:eastAsia="宋体"/>
          <w:sz w:val="24"/>
          <w:highlight w:val="none"/>
        </w:rPr>
      </w:pPr>
      <w:r>
        <w:rPr>
          <w:rFonts w:hint="eastAsia" w:ascii="宋体" w:hAnsi="宋体" w:eastAsia="宋体"/>
          <w:sz w:val="24"/>
          <w:highlight w:val="none"/>
        </w:rPr>
        <w:t>（1）材质：主材采用0.6㎜冷轧钢板，其他采用0.5㎜冷轧钢板；</w:t>
      </w:r>
    </w:p>
    <w:p w14:paraId="3EFFB0F7">
      <w:pPr>
        <w:rPr>
          <w:rFonts w:ascii="宋体" w:hAnsi="宋体" w:eastAsia="宋体"/>
          <w:sz w:val="24"/>
          <w:highlight w:val="none"/>
        </w:rPr>
      </w:pPr>
      <w:r>
        <w:rPr>
          <w:rFonts w:hint="eastAsia" w:ascii="宋体" w:hAnsi="宋体" w:eastAsia="宋体"/>
          <w:sz w:val="24"/>
          <w:highlight w:val="none"/>
        </w:rPr>
        <w:t>（2）结构：上下结构，上部镶装3mm厚浮化玻璃对开门，一棚二格，中间设抽斗，下部0.6㎜冷轧钢板双开门，一棚两格；柜门上带冲压式标签框、扣手采用塑料拉手、配置钢制文件柜专用锁具。</w:t>
      </w:r>
    </w:p>
    <w:p w14:paraId="0CC718D7">
      <w:pPr>
        <w:rPr>
          <w:rFonts w:hint="eastAsia" w:ascii="宋体" w:hAnsi="宋体" w:eastAsia="宋体"/>
          <w:sz w:val="24"/>
          <w:highlight w:val="none"/>
        </w:rPr>
      </w:pPr>
      <w:r>
        <w:rPr>
          <w:rFonts w:hint="eastAsia" w:ascii="宋体" w:hAnsi="宋体" w:eastAsia="宋体"/>
          <w:sz w:val="24"/>
          <w:highlight w:val="none"/>
        </w:rPr>
        <w:t>（3）点焊应牢固可靠，焊点均匀，不得焊焦焊穿，焊点直径为3-8MM，焊点间距应控制在100MM以内，焊点高度不大于1MM。表面经酸洗磷化，全封闭静电喷塑。颜色：亚光白+高级灰。</w:t>
      </w:r>
    </w:p>
    <w:p w14:paraId="2EC7E43D">
      <w:pPr>
        <w:rPr>
          <w:rFonts w:hint="eastAsia"/>
          <w:highlight w:val="none"/>
        </w:rPr>
      </w:pPr>
    </w:p>
    <w:p w14:paraId="504DC2D9">
      <w:pPr>
        <w:jc w:val="center"/>
        <w:rPr>
          <w:rFonts w:hint="eastAsia" w:eastAsia="宋体"/>
          <w:sz w:val="36"/>
          <w:szCs w:val="36"/>
          <w:highlight w:val="none"/>
          <w:lang w:eastAsia="zh-CN"/>
        </w:rPr>
      </w:pPr>
      <w:r>
        <w:rPr>
          <w:rFonts w:hint="eastAsia"/>
          <w:sz w:val="36"/>
          <w:szCs w:val="36"/>
          <w:highlight w:val="none"/>
        </w:rPr>
        <w:t>精品录播教室设备</w:t>
      </w:r>
      <w:r>
        <w:rPr>
          <w:rFonts w:hint="eastAsia"/>
          <w:sz w:val="36"/>
          <w:szCs w:val="36"/>
          <w:highlight w:val="none"/>
          <w:lang w:eastAsia="zh-CN"/>
        </w:rPr>
        <w:t>（杞县高中附属中学）</w:t>
      </w:r>
    </w:p>
    <w:p w14:paraId="39CF6206">
      <w:pPr>
        <w:rPr>
          <w:rFonts w:hint="eastAsia"/>
          <w:highlight w:val="none"/>
        </w:rPr>
      </w:pPr>
    </w:p>
    <w:tbl>
      <w:tblPr>
        <w:tblStyle w:val="18"/>
        <w:tblW w:w="9220" w:type="dxa"/>
        <w:tblInd w:w="78" w:type="dxa"/>
        <w:tblLayout w:type="fixed"/>
        <w:tblCellMar>
          <w:top w:w="0" w:type="dxa"/>
          <w:left w:w="108" w:type="dxa"/>
          <w:bottom w:w="0" w:type="dxa"/>
          <w:right w:w="108" w:type="dxa"/>
        </w:tblCellMar>
      </w:tblPr>
      <w:tblGrid>
        <w:gridCol w:w="486"/>
        <w:gridCol w:w="1077"/>
        <w:gridCol w:w="6348"/>
        <w:gridCol w:w="531"/>
        <w:gridCol w:w="778"/>
      </w:tblGrid>
      <w:tr w14:paraId="4F449491">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center"/>
          </w:tcPr>
          <w:p w14:paraId="7D3D0B27">
            <w:pPr>
              <w:jc w:val="center"/>
              <w:rPr>
                <w:rFonts w:hint="eastAsia" w:ascii="宋体" w:hAnsi="宋体" w:eastAsia="宋体"/>
                <w:b/>
                <w:color w:val="000000"/>
                <w:sz w:val="20"/>
                <w:szCs w:val="20"/>
                <w:highlight w:val="none"/>
              </w:rPr>
            </w:pPr>
          </w:p>
        </w:tc>
        <w:tc>
          <w:tcPr>
            <w:tcW w:w="1077"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center"/>
          </w:tcPr>
          <w:p w14:paraId="30CF9D3A">
            <w:pPr>
              <w:jc w:val="center"/>
              <w:rPr>
                <w:rFonts w:hint="eastAsia" w:ascii="宋体" w:hAnsi="宋体" w:eastAsia="宋体"/>
                <w:b/>
                <w:color w:val="000000"/>
                <w:sz w:val="20"/>
                <w:szCs w:val="20"/>
                <w:highlight w:val="none"/>
              </w:rPr>
            </w:pPr>
          </w:p>
        </w:tc>
        <w:tc>
          <w:tcPr>
            <w:tcW w:w="6348"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14:paraId="6DFBC215">
            <w:pPr>
              <w:jc w:val="center"/>
              <w:rPr>
                <w:rFonts w:hint="eastAsia" w:ascii="宋体" w:hAnsi="宋体" w:eastAsia="宋体"/>
                <w:b/>
                <w:color w:val="000000"/>
                <w:sz w:val="32"/>
                <w:szCs w:val="32"/>
                <w:highlight w:val="none"/>
              </w:rPr>
            </w:pPr>
            <w:r>
              <w:rPr>
                <w:rFonts w:hint="eastAsia" w:ascii="宋体" w:hAnsi="宋体" w:eastAsia="宋体"/>
                <w:b/>
                <w:color w:val="000000"/>
                <w:sz w:val="32"/>
                <w:szCs w:val="32"/>
                <w:highlight w:val="none"/>
              </w:rPr>
              <w:t>精品录播教室设备清单</w:t>
            </w:r>
          </w:p>
        </w:tc>
        <w:tc>
          <w:tcPr>
            <w:tcW w:w="531"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center"/>
          </w:tcPr>
          <w:p w14:paraId="14F96D4C">
            <w:pPr>
              <w:jc w:val="center"/>
              <w:rPr>
                <w:rFonts w:hint="eastAsia" w:ascii="宋体" w:hAnsi="宋体" w:eastAsia="宋体"/>
                <w:b/>
                <w:color w:val="000000"/>
                <w:sz w:val="20"/>
                <w:szCs w:val="20"/>
                <w:highlight w:val="none"/>
              </w:rPr>
            </w:pPr>
          </w:p>
        </w:tc>
        <w:tc>
          <w:tcPr>
            <w:tcW w:w="778"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center"/>
          </w:tcPr>
          <w:p w14:paraId="1A99ED11">
            <w:pPr>
              <w:jc w:val="center"/>
              <w:rPr>
                <w:rFonts w:hint="eastAsia" w:ascii="宋体" w:hAnsi="宋体" w:eastAsia="宋体"/>
                <w:b/>
                <w:color w:val="000000"/>
                <w:sz w:val="20"/>
                <w:szCs w:val="20"/>
                <w:highlight w:val="none"/>
              </w:rPr>
            </w:pPr>
          </w:p>
        </w:tc>
      </w:tr>
      <w:tr w14:paraId="6BABF6C7">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24BE3">
            <w:pPr>
              <w:jc w:val="center"/>
              <w:rPr>
                <w:rFonts w:hint="eastAsia" w:ascii="宋体" w:hAnsi="宋体" w:eastAsia="宋体"/>
                <w:b/>
                <w:color w:val="000000"/>
                <w:sz w:val="20"/>
                <w:szCs w:val="20"/>
                <w:highlight w:val="none"/>
              </w:rPr>
            </w:pPr>
            <w:r>
              <w:rPr>
                <w:rFonts w:hint="eastAsia" w:ascii="宋体" w:hAnsi="宋体" w:eastAsia="宋体"/>
                <w:b/>
                <w:color w:val="000000"/>
                <w:sz w:val="20"/>
                <w:szCs w:val="20"/>
                <w:highlight w:val="none"/>
              </w:rPr>
              <w:t>序号</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682F8">
            <w:pPr>
              <w:jc w:val="center"/>
              <w:rPr>
                <w:rFonts w:hint="eastAsia" w:ascii="宋体" w:hAnsi="宋体" w:eastAsia="宋体"/>
                <w:b/>
                <w:color w:val="000000"/>
                <w:sz w:val="20"/>
                <w:szCs w:val="20"/>
                <w:highlight w:val="none"/>
              </w:rPr>
            </w:pPr>
            <w:r>
              <w:rPr>
                <w:rFonts w:hint="eastAsia" w:ascii="宋体" w:hAnsi="宋体" w:eastAsia="宋体"/>
                <w:b/>
                <w:color w:val="000000"/>
                <w:sz w:val="20"/>
                <w:szCs w:val="20"/>
                <w:highlight w:val="none"/>
              </w:rPr>
              <w:t>设备名称</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95B8F">
            <w:pPr>
              <w:jc w:val="center"/>
              <w:rPr>
                <w:rFonts w:hint="eastAsia" w:ascii="宋体" w:hAnsi="宋体" w:eastAsia="宋体"/>
                <w:b/>
                <w:color w:val="000000"/>
                <w:sz w:val="20"/>
                <w:szCs w:val="20"/>
                <w:highlight w:val="none"/>
              </w:rPr>
            </w:pPr>
            <w:r>
              <w:rPr>
                <w:rFonts w:hint="eastAsia" w:ascii="宋体" w:hAnsi="宋体" w:eastAsia="宋体"/>
                <w:b/>
                <w:color w:val="000000"/>
                <w:sz w:val="20"/>
                <w:szCs w:val="20"/>
                <w:highlight w:val="none"/>
              </w:rPr>
              <w:t>技术参数</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634A0">
            <w:pPr>
              <w:jc w:val="center"/>
              <w:rPr>
                <w:rFonts w:hint="eastAsia" w:ascii="宋体" w:hAnsi="宋体" w:eastAsia="宋体"/>
                <w:b/>
                <w:color w:val="000000"/>
                <w:sz w:val="20"/>
                <w:szCs w:val="20"/>
                <w:highlight w:val="none"/>
              </w:rPr>
            </w:pPr>
            <w:r>
              <w:rPr>
                <w:rFonts w:hint="eastAsia" w:ascii="宋体" w:hAnsi="宋体" w:eastAsia="宋体"/>
                <w:b/>
                <w:color w:val="000000"/>
                <w:sz w:val="20"/>
                <w:szCs w:val="20"/>
                <w:highlight w:val="none"/>
              </w:rPr>
              <w:t>数量</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D466A">
            <w:pPr>
              <w:jc w:val="center"/>
              <w:rPr>
                <w:rFonts w:hint="eastAsia" w:ascii="宋体" w:hAnsi="宋体" w:eastAsia="宋体"/>
                <w:b/>
                <w:color w:val="000000"/>
                <w:sz w:val="20"/>
                <w:szCs w:val="20"/>
                <w:highlight w:val="none"/>
              </w:rPr>
            </w:pPr>
            <w:r>
              <w:rPr>
                <w:rFonts w:hint="eastAsia" w:ascii="宋体" w:hAnsi="宋体" w:eastAsia="宋体"/>
                <w:b/>
                <w:color w:val="000000"/>
                <w:sz w:val="20"/>
                <w:szCs w:val="20"/>
                <w:highlight w:val="none"/>
              </w:rPr>
              <w:t>单位</w:t>
            </w:r>
          </w:p>
        </w:tc>
      </w:tr>
      <w:tr w14:paraId="6E060FF0">
        <w:tblPrEx>
          <w:tblCellMar>
            <w:top w:w="0" w:type="dxa"/>
            <w:left w:w="108" w:type="dxa"/>
            <w:bottom w:w="0" w:type="dxa"/>
            <w:right w:w="108" w:type="dxa"/>
          </w:tblCellMar>
        </w:tblPrEx>
        <w:trPr>
          <w:trHeight w:val="90"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87DC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C65E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录播工作站</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D44A4">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1、主机配置要求：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采用≤1U标准机架式机箱设计，内嵌≥3英寸彩色液晶触控屏，支持通过液晶触控屏控制录制开始/暂停/停止状态、设置主机网络地址、导出录像文件，支持通过液晶触控屏查询主机系统信息、通道信息、平台信息等；</w:t>
            </w:r>
          </w:p>
          <w:p w14:paraId="7CDBB67B">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2）采用嵌入式架构设计，支持音视频信号采集、录制、直播、导播、1vN音视频互动、抠像及AI课堂分析等功能集成一体化，支持本地化课程录制、直播及本地化课堂 AI 实时分析并发工作；</w:t>
            </w:r>
          </w:p>
          <w:p w14:paraId="0ADF47D6">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3）采用硬件采集、编码方式，支持H.264、H.265、PCMA（G.711A）、PCMU（G.711U）、G.722、OPUS、AAC音视频编码；内置嵌入式处理器，处理器总核心数≥10，内置≥2TB硬盘；提供CNAS认证检测报告并加盖投标人公章；</w:t>
            </w:r>
          </w:p>
          <w:p w14:paraId="6CD80F27">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4）视频输入格式支持4K@60fps、1080P@60fps、1080P@30fps、1080P@25fps等，视频编码格式支持1080P@30fps、1080P@25fps、1080P@20fps、1080P@15fps、1080P@10fps、1080P@5fps可选；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5）视频编码码率支持256Kbps～8Mbps可调；主码流（录制）支持1Mbps～8Mbps可调，副码流（导播）支持256Kbps～1Mbps可调；音频采样率支持48KHz，码流支持96Kbps、128Kbps可调；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）★机身具备≥5路SDI输入接口、≥2路4K-HDMI输入接口、≥1路VGA输出接口、≥2路HDMI输出接口；机身具备≥8路幻象供电话筒输入接口、≥4路Line in输入接口、≥3路Line Out输出接口、≥1路monitor音频监听接口；提供CNAS认证检测报告并加盖投标人公章；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9）内置专业音频处理模块，支持增益控制(AGC)、回声消除(AEC)、噪声抑制(ANS)、智能混音等专业音频处理功能，满足远程音视频互动的需求；提供CNAS认证检测报告并加盖投标人公章；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10）具备≥2个10/100/1000Mbps自适应网口。具备≥4个USB端口（含USB3.0接口）；具备≥6路RS-232控制接口、≥1路控制面板接口及≥1路跟踪机接口；提供CNAS认证检测报告并加盖投标人公章；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11）支持TCP、RTSP、HTTP、FTP、MQTT等网络协议，支持IPv4和IPv6双栈网络通信协议；</w:t>
            </w:r>
          </w:p>
          <w:p w14:paraId="18E1FD7C">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12）内置抠像功能，支持自定义选取≥5种背景取色，支持人物增强，可自定义调节亮区、暗区数值，支持导入背景；内置AI PPT功能，打开AI PPT模式，前景为HDMI输入画面，背景为教师全景画面；关闭AIPPT 模式，前景为教师全景，背景设备为HDMI输入画面；提供CNAS认证检测报告并加盖投标人公章；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13）采用≤DC 24V安全电压供电，通电自动开机，功耗≤30W；</w:t>
            </w:r>
          </w:p>
          <w:p w14:paraId="34E6BF00">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2、内置AI模块：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1）内置AI分析硬件模块支持独立运行，支持通过内置AI模块实现课堂师生行为分析；内置独立的AI模块处理器及AI芯片核心数≥6核，≥128GB存储空间，提供CNAS认证检测报告并加盖投标人公章；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2）支持通过网页浏览器访问内置AI模块，查看教师和学生实时分析界面，实现教师及学生检测及行为分析，并可生成课堂分析报告；</w:t>
            </w:r>
          </w:p>
          <w:p w14:paraId="5C4C477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3）★支持实时监测显示AI分析模块处理器、内存、硬盘使用率、温度信息，支持对分析状态、网络及视频通断状态进行检测；提供CNAS认证检测报告并加盖投标人公章；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设定课程分析计划后自动执行分析，支持教师讲授、教师发言或观察、课件操作、教师板书、教师巡视、学生听讲、学生应答、学生展示、学生读写、学生举手、生生互动行为分析；支持教师迟到、缺课、调课（或代课）、学生罚站、到课率、前排就坐率、抬头率、趴桌率、话语讲授时长、课件讲授或操作时长、师生问答时长、教师巡视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5）具备实时AI视觉分析能力，支持师生出勤率分析、课堂 S-T教学行为分析、课堂教学模式(Rt-Ch)分析、教师动作分析、学生动作分析、教师巡视分析、教师巡视次数分析、教师巡视位置分布分析、站立学生位置分布分析，支持行为一致性、学生参与度、学生活跃度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6）支持自定义配置AI分析模块网络信息、教师区摄像机及学生区摄像机网络视频流信息，自定义设置教师摄像机和≥2路学生摄像机分析的区域范围；</w:t>
            </w:r>
          </w:p>
          <w:p w14:paraId="43E8117F">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支持音量状态及分析时长监控，支持≥9种行为分析的自定义显示控制；支持系统调试过程，自定义开关师生头部识别框、开关课堂行为百分比信息呈现、开关系统自动框选的学生分析范围等，支持以多种颜色进行识别行为的分类标记，支持课堂教学场景VGA画面状态监测；</w:t>
            </w:r>
          </w:p>
          <w:p w14:paraId="2515149B">
            <w:pPr>
              <w:jc w:val="left"/>
              <w:rPr>
                <w:rFonts w:hint="eastAsia" w:ascii="宋体" w:hAnsi="宋体" w:eastAsia="宋体"/>
                <w:color w:val="000000"/>
                <w:sz w:val="20"/>
                <w:szCs w:val="20"/>
                <w:highlight w:val="none"/>
              </w:rPr>
            </w:pPr>
            <w:r>
              <w:rPr>
                <w:rFonts w:hint="eastAsia" w:ascii="宋体" w:hAnsi="宋体" w:eastAsia="宋体" w:cs="宋体"/>
                <w:color w:val="000000"/>
                <w:kern w:val="0"/>
                <w:sz w:val="20"/>
                <w:szCs w:val="20"/>
                <w:highlight w:val="none"/>
              </w:rPr>
              <w:t>8）支持自定义设置时间服务器地址，自动同步系统时间；支持自动生成系统运行日志。</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069B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A5BD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07856962">
        <w:tblPrEx>
          <w:tblCellMar>
            <w:top w:w="0" w:type="dxa"/>
            <w:left w:w="108" w:type="dxa"/>
            <w:bottom w:w="0" w:type="dxa"/>
            <w:right w:w="108" w:type="dxa"/>
          </w:tblCellMar>
        </w:tblPrEx>
        <w:trPr>
          <w:trHeight w:val="2551"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2E51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87B9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全高清录播系统</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C618A51">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1、支持音视频信号采集、录制、导播、直播、跟踪、抠像、摄像机电源管理、LED显示屏控制等功能集成一体化设计； </w:t>
            </w:r>
          </w:p>
          <w:p w14:paraId="1B3C1AB7">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2、支持本地导播、网页导播及集控平台客户端导播等多种导播方式； </w:t>
            </w:r>
          </w:p>
          <w:p w14:paraId="062A4AFF">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3、支持电影模式、资源模式及“电影+资源”模式三种录制、直播工作模式，资源模式支持≥6路视频图像同时录制、直播，“电影+资源”模式支持≥6路资源模式视频图像及1路电影模式视频图像同时录制、直播，支持录制文件自动存储到相同路径下； </w:t>
            </w:r>
          </w:p>
          <w:p w14:paraId="02945EC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支持显示系统运行的录直播状态、录像模式、跟踪状态、录像时间、硬盘空间、视频源启用状态、SDI及屏幕VGA视频信号分辨率、电影模式画面分辨率、录制编码、录制帧率、I帧间隔、直播地址等信息，提供独立的信息显示页面，支持单页面信息汇总呈现；</w:t>
            </w:r>
          </w:p>
          <w:p w14:paraId="47FC0EA6">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5、具备≥28种特效，无需手动编辑，支持推拉、覆盖、擦除等模式，特效过渡时间支持0.5S、0.8S、1.0S、1.2S可调；提供CNAS认证的检测报告并加盖厂家公章 </w:t>
            </w:r>
          </w:p>
          <w:p w14:paraId="27C7222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6、具备≥16种画中画模式，包括左右大小、左右、平铺、三分屏、四分屏、全景等，具备画面交换功能，支持画面快速对调；提供CNAS认证的检测报告并加盖厂家公章 </w:t>
            </w:r>
          </w:p>
          <w:p w14:paraId="422CF8A0">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7、支持添加台标、字幕、片头、片尾等，支持自定义设置字幕字号大小、颜色等，设置的字体颜色支持保存，可保存≥16种颜色；支持台标及显示位置设置，支持仅电影模式显示台标；支持图片、视频等格式片头、片尾添加，片头、片尾时间支持1s～5s可调； </w:t>
            </w:r>
          </w:p>
          <w:p w14:paraId="7A361D81">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★8、采用双导播窗口设计，具备PVW窗口和PGM窗口，支持在PVW窗口编辑视频画面的台标、字幕、画中画等，设置完成支持推送PGM窗口（直播/电影模式窗口）进行录制、直播；提供CNAS认证的检测报告并加盖厂家公章 </w:t>
            </w:r>
          </w:p>
          <w:p w14:paraId="13D4A0E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9、支持≥5路摄像机的云台、变倍、聚焦、光圈控制，摄像机光圈和聚焦设置提供手动和自动设置按钮；具备≥5种摄像机固定位变焦，支持一键调用；支持摄像机设置≥8个预置位； </w:t>
            </w:r>
          </w:p>
          <w:p w14:paraId="515E11C8">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10、支持自动、手动及半自动三种跟踪模式，支持自定义设置软件跟踪或硬件跟踪； </w:t>
            </w:r>
          </w:p>
          <w:p w14:paraId="7B483C4A">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11、支持一键开启录像、直播，一键设置开机启动录像或直播；支持查看系统版本信息，恢复系统出厂设置等；</w:t>
            </w:r>
          </w:p>
          <w:p w14:paraId="2BD10DC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12、支持自定义输入视频源启用或禁用，支持有线、网络、交织、私有协议等多种视频采集方式，支持设置视频信号去抖动缓存时长；</w:t>
            </w:r>
          </w:p>
          <w:p w14:paraId="421ED2D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13、支持设置音频编码码率、降噪等级、输入增益、输出增益，支持设置输入及输出音量大小，支持导播画面及电影画面的双显输出设置；</w:t>
            </w:r>
          </w:p>
          <w:p w14:paraId="16916DA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14、支持录制编码、录制帧率、IP地址、内置时间、视频输出、互动功能、电源控制、LED 屏显示、定时开关机、定时重启等参数设置； </w:t>
            </w:r>
          </w:p>
          <w:p w14:paraId="3BB5C879">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15、支持自定义开启双VGA探测、双分屏跟踪功能，支持自定义设置自动跟踪的教学大屏信号源；</w:t>
            </w:r>
          </w:p>
          <w:p w14:paraId="1A986EE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16、支持LED屏显示信息配置，可自定义设置上课时长、显示字幕、显示格式等，显示格式支持呈现距离下课时间、现在时间、启动录像时间等；</w:t>
            </w:r>
          </w:p>
          <w:p w14:paraId="18F6E6BD">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17、支持自定义添加管理用户，设置用户信息及管理权限等； </w:t>
            </w:r>
          </w:p>
          <w:p w14:paraId="6982AF53">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18、支持自定义设置直播信号源、直播服务器信息，支持向≥3个直播服务器进行直播推流；</w:t>
            </w:r>
          </w:p>
          <w:p w14:paraId="4C4C9E26">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19、支持录像信息设置，至少包含学校代码、学校单位、学年学期、学科、授课年级、课程名称、教师、授课课时、开课时间、授课地点及课程描述等教学信息； </w:t>
            </w:r>
          </w:p>
          <w:p w14:paraId="1799FB84">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20、支持录像分割时长设置，具备≥8种录制时长可选，支持15分钟～240分钟可选；支持自定义设置录像存储天数； </w:t>
            </w:r>
          </w:p>
          <w:p w14:paraId="465FC63E">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21、具备录像管理功能，支持查看录像列表、录像点播、下载、修改属性、删除等操作，录像文件支持自动上传平台且自动删除本地文件；</w:t>
            </w:r>
          </w:p>
          <w:p w14:paraId="327D3223">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22、支持磁盘格式化、磁盘满载后支持停止录像和覆盖模式两种可选；支持对设备异常断电造成损坏的视频文件进行修复； </w:t>
            </w:r>
          </w:p>
          <w:p w14:paraId="521DFE25">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23、支持扩展远程1vN互动教学，实现录播界面与互动界面相互切换，支持一键开启互动；支持控制AI模块启用、禁用；</w:t>
            </w:r>
          </w:p>
          <w:p w14:paraId="406005A7">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24、支持POC供电控制，具备系统POC供电是否启用开关及≥5路SDI接口POC供电的独立开关。提供CNAS认证的检测报告并加盖厂家公章</w:t>
            </w:r>
          </w:p>
          <w:p w14:paraId="6FB91339">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资质要求：</w:t>
            </w:r>
          </w:p>
          <w:p w14:paraId="3412AE0C">
            <w:p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 提供制造厂商针对此项目的售后服务承诺函及技术参数确认函加盖公章。</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2F88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1834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r w14:paraId="1EA6AD0B">
        <w:tblPrEx>
          <w:tblCellMar>
            <w:top w:w="0" w:type="dxa"/>
            <w:left w:w="108" w:type="dxa"/>
            <w:bottom w:w="0" w:type="dxa"/>
            <w:right w:w="108" w:type="dxa"/>
          </w:tblCellMar>
        </w:tblPrEx>
        <w:trPr>
          <w:trHeight w:val="3187"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4026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4D33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高清摄像机</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38422A4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1、采用≥1/2.8英寸 CMOS，有效像素≥207万；</w:t>
            </w:r>
          </w:p>
          <w:p w14:paraId="3836F7B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2、镜头：≥12倍，f3.5mm～42.3mm，F1.8～F2.8，≥16倍数字变焦；</w:t>
            </w:r>
          </w:p>
          <w:p w14:paraId="7CF249B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3、最低照度：≤0.5Lux@（F1.8，AGC ON）；</w:t>
            </w:r>
          </w:p>
          <w:p w14:paraId="14B2D73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4、水平视场角72.5°～6.9°，垂直视场角44.8°～3.9°，水平转动范围：±170°，水平转动速度范围：1.7°～100°/s；垂直转动范围：-30°～+90°，垂直转动速度范围：1.7°～69.9°/s；</w:t>
            </w:r>
          </w:p>
          <w:p w14:paraId="321F765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5、具备≥1路3G-SDI、≥1路HDMI、≥1路RJ45网络、≥1路USB接口，四路接口输出；</w:t>
            </w:r>
          </w:p>
          <w:p w14:paraId="44793D5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6、具备≥1路 Line In，3.5mm音频输入接口；≥1路 Line Out，3.5mm音频输出接口；</w:t>
            </w:r>
          </w:p>
          <w:p w14:paraId="2BC163D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7、具备≥1路USB 3.0，A型插座，支持UVC，UAC协议；</w:t>
            </w:r>
          </w:p>
          <w:p w14:paraId="31C0149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8、具备≥1路RS-232输入和输出接口，≥1路RS-485接口；</w:t>
            </w:r>
          </w:p>
          <w:p w14:paraId="4F60FFC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9、支持DC12V、POC、POE供电。</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D1A2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FC74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699EE008">
        <w:tblPrEx>
          <w:tblCellMar>
            <w:top w:w="0" w:type="dxa"/>
            <w:left w:w="108" w:type="dxa"/>
            <w:bottom w:w="0" w:type="dxa"/>
            <w:right w:w="108" w:type="dxa"/>
          </w:tblCellMar>
        </w:tblPrEx>
        <w:trPr>
          <w:trHeight w:val="2610" w:hRule="atLeast"/>
        </w:trPr>
        <w:tc>
          <w:tcPr>
            <w:tcW w:w="48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CE15E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w:t>
            </w:r>
          </w:p>
        </w:tc>
        <w:tc>
          <w:tcPr>
            <w:tcW w:w="107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F99331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摄像机协议管理软件</w:t>
            </w:r>
          </w:p>
        </w:tc>
        <w:tc>
          <w:tcPr>
            <w:tcW w:w="634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A62E1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1、须控制摄像机镜头的上、下、左、右转动（云台摄像机）；镜头的推近、拉远；云台的转动速度（云台摄像机）以及镜头的变倍速度；</w:t>
            </w:r>
          </w:p>
          <w:p w14:paraId="25663C3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2、需要首页设置云台摄像机的预置位，以及一键恢复预置位；</w:t>
            </w:r>
          </w:p>
          <w:p w14:paraId="53AC523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3、须支持设置摄像机管理软件的语言；</w:t>
            </w:r>
          </w:p>
          <w:p w14:paraId="4CEDD0E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4、可查看摄像机的视频画面，并可对摄像机进行控制；</w:t>
            </w:r>
          </w:p>
          <w:p w14:paraId="42B647F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5、可对摄像机的视频选项进行配置，包含视频制式、编码等级；第一及第二码流的编码协议、分辨率、码率、帧率、帧间隔、码率控制、码率波动等；</w:t>
            </w:r>
          </w:p>
          <w:p w14:paraId="5E61ECC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6、须支持摄像机画面进行亮度、饱和度、对比度、锐度、色度调节，并可设置画面的上下及左右翻转；</w:t>
            </w:r>
          </w:p>
          <w:p w14:paraId="4C4063B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7、可设置摄像机的音频格式、采样率、码率、输入类型、输入音量R、输入音量L、ADTS开关控制等；</w:t>
            </w:r>
          </w:p>
        </w:tc>
        <w:tc>
          <w:tcPr>
            <w:tcW w:w="5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91FC0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77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D6B049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r w14:paraId="43007740">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A2D3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76FD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控制面板</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6481FB1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1、面板采用电容感应式触摸设计，具有LED背光设计功能；</w:t>
            </w:r>
          </w:p>
          <w:p w14:paraId="2E2151C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2、面板支持直接连接录播工作站使用，实现一键开启、暂停和关闭录播功能。</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459B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58C2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r>
      <w:tr w14:paraId="7D582EDC">
        <w:tblPrEx>
          <w:tblCellMar>
            <w:top w:w="0" w:type="dxa"/>
            <w:left w:w="108" w:type="dxa"/>
            <w:bottom w:w="0" w:type="dxa"/>
            <w:right w:w="108" w:type="dxa"/>
          </w:tblCellMar>
        </w:tblPrEx>
        <w:trPr>
          <w:trHeight w:val="2898"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E1A8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F143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智能跟踪系统</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487EE6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1、智能图像识别，结合具体的场合能够实现多个活动的过程的识别跟踪，直接对录制视频图像进行分析，完全实现常态化教学。</w:t>
            </w:r>
          </w:p>
          <w:p w14:paraId="1FC3E4E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2、抗干扰能力：采用领先的防抖动人体特征跟踪算法，图像识别系统完全不受光线、声音、电磁等外在的环境影响；</w:t>
            </w:r>
          </w:p>
          <w:p w14:paraId="1BF4B1E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3、系统结构：设计合理，结构简单，实现全自动的跟踪识别；定位与实时：自动识别目标位置、实时控制摄像头精确定位，并且能够特写模式拍摄。</w:t>
            </w:r>
          </w:p>
          <w:p w14:paraId="6E79778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4、支持标定有效的探测区域，可以通过在探测区域划定教师身高大小的大概变化范围，在跟踪区域实现教师身高的自适应。</w:t>
            </w:r>
          </w:p>
          <w:p w14:paraId="5A41D62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5、支持标记有效的学生探测区域。</w:t>
            </w:r>
          </w:p>
          <w:p w14:paraId="36EE7B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6、为调试方便，支持配置好参数的导入导出。规格相同的教室可以一键完成探测调试。</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0B47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3CBE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r w14:paraId="4F29B135">
        <w:tblPrEx>
          <w:tblCellMar>
            <w:top w:w="0" w:type="dxa"/>
            <w:left w:w="108" w:type="dxa"/>
            <w:bottom w:w="0" w:type="dxa"/>
            <w:right w:w="108" w:type="dxa"/>
          </w:tblCellMar>
        </w:tblPrEx>
        <w:trPr>
          <w:trHeight w:val="2322"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0384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DBE2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图像探测器</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0755636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1、成像器件：1/3英寸高清CMOS；</w:t>
            </w:r>
          </w:p>
          <w:p w14:paraId="171EA4A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2、有效像素：≥207万；</w:t>
            </w:r>
          </w:p>
          <w:p w14:paraId="2D5FCC0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3、信噪比：≥50db（AGC OFF）；</w:t>
            </w:r>
          </w:p>
          <w:p w14:paraId="4106E3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4、网络接口：10/100Mbps网络自适应，POE供电；</w:t>
            </w:r>
          </w:p>
          <w:p w14:paraId="6BCE703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5、视频编码：H.264 Main Profile、Baseline、MJPEG编码；</w:t>
            </w:r>
          </w:p>
          <w:p w14:paraId="7018FDF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6、供电方式：DC 12V、POE供电；</w:t>
            </w:r>
          </w:p>
          <w:p w14:paraId="135DE0F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7、协议支持：TCP/IP、UDP、RTP、RTSP；</w:t>
            </w:r>
          </w:p>
          <w:p w14:paraId="0651EC6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8、资质要求：提供MTBF不低于120000小时认证证书，提供厂家盖章的复印件。</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4308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5E53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r>
      <w:tr w14:paraId="0AAFE241">
        <w:tblPrEx>
          <w:tblCellMar>
            <w:top w:w="0" w:type="dxa"/>
            <w:left w:w="108" w:type="dxa"/>
            <w:bottom w:w="0" w:type="dxa"/>
            <w:right w:w="108" w:type="dxa"/>
          </w:tblCellMar>
        </w:tblPrEx>
        <w:trPr>
          <w:trHeight w:val="2322"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B805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D38D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吊装话筒</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619D1B8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1、指向性：超窄指向；</w:t>
            </w:r>
          </w:p>
          <w:p w14:paraId="2A7D553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2、拾音角度：≤100º；</w:t>
            </w:r>
          </w:p>
          <w:p w14:paraId="12FFA1B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3、频率范围：100Hz～16KHz；</w:t>
            </w:r>
          </w:p>
          <w:p w14:paraId="1BEEB42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4、信噪比：≥71dB-A；</w:t>
            </w:r>
          </w:p>
          <w:p w14:paraId="43D933C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5、等效噪声级：23dB-A；</w:t>
            </w:r>
          </w:p>
          <w:p w14:paraId="4B1CF70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6、灵敏度：≥28.2mV/Pa（-31Db，@1KHz）；</w:t>
            </w:r>
          </w:p>
          <w:p w14:paraId="6086774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7、最大声压级：≥128dB（0.5% THD）；</w:t>
            </w:r>
          </w:p>
          <w:p w14:paraId="1CE5014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8、供电：48V幻象供电、≤4mA电流；</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F65E6">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lang w:val="en-US" w:eastAsia="zh-CN"/>
              </w:rPr>
              <w:t>8</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89B1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支</w:t>
            </w:r>
          </w:p>
        </w:tc>
      </w:tr>
      <w:tr w14:paraId="1D95A7D3">
        <w:tblPrEx>
          <w:tblCellMar>
            <w:top w:w="0" w:type="dxa"/>
            <w:left w:w="108" w:type="dxa"/>
            <w:bottom w:w="0" w:type="dxa"/>
            <w:right w:w="108" w:type="dxa"/>
          </w:tblCellMar>
        </w:tblPrEx>
        <w:trPr>
          <w:trHeight w:val="3187"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28FD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B480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导播控制台</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6A49EB1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1、采用机械手感悬浮按键+背光提示设计，具备≥32个机械按键及摄像机四维控制摇杆，支持通过遥控控制摄像机云台控制、变倍及预置位设定；</w:t>
            </w:r>
          </w:p>
          <w:p w14:paraId="5DCF1B6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2、支持对≥5路摄像机云台进行控制，实现“上下翻转、左右翻转、放大缩小翻转”等，操控期间镜头变化速度支持自定义调节，支持为每个摄像机设定≥7个预置位，实现快速定位； </w:t>
            </w:r>
          </w:p>
          <w:p w14:paraId="6EC1735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3、支持对≥6路主画面和≥6路副画面进行切换控制，支持多种画中画模式开启与关闭、画中画副画面切换、主副画面切换等，支持启用或关闭特技效果；</w:t>
            </w:r>
          </w:p>
          <w:p w14:paraId="06A0AD9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4、支持与自动跟踪系统联动，具备手动、自动切换功能，支持控制录像状态，无需键盘鼠标配合；</w:t>
            </w:r>
          </w:p>
          <w:p w14:paraId="61D0ADB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5、具备≥2路RS-232协议的DB9接口用于录播机及跟踪机控制，具备≥1路DB15接口用于5路摄像机控制，具备≥5路RJ45摄像机控制口（串口），具备支持供电的USB接口；</w:t>
            </w:r>
          </w:p>
          <w:p w14:paraId="6FC8D0E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6、采用的绝缘材料具备足够的抗电强度，在抗电强度测试期间没有出现飞弧或击穿。</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22F4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D4D0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49724F42">
        <w:tblPrEx>
          <w:tblCellMar>
            <w:top w:w="0" w:type="dxa"/>
            <w:left w:w="108" w:type="dxa"/>
            <w:bottom w:w="0" w:type="dxa"/>
            <w:right w:w="108" w:type="dxa"/>
          </w:tblCellMar>
        </w:tblPrEx>
        <w:trPr>
          <w:trHeight w:val="3187"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F36E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DF18A">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双通道功放</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088707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1、采用≤1U标准机架式功放，双通道设计，内置≥2个不间断散热风扇；</w:t>
            </w:r>
          </w:p>
          <w:p w14:paraId="75EAB27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2、支持直流输出、过热保护、负载短路、过流、输出保护、过热保护、交流过流保护等；</w:t>
            </w:r>
          </w:p>
          <w:p w14:paraId="0D88088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3、内置≥4路左右声道音频输入接口和≥4路功放音频输出接口；</w:t>
            </w:r>
          </w:p>
          <w:p w14:paraId="38E04C5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4、内置主功放和监听功放输出音量调节旋钮及音量指示灯；</w:t>
            </w:r>
          </w:p>
          <w:p w14:paraId="3F22F77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5、信噪比（加权）：&gt;90dB；</w:t>
            </w:r>
          </w:p>
          <w:p w14:paraId="0C5285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6、电压增益：≥30dB；</w:t>
            </w:r>
          </w:p>
          <w:p w14:paraId="0030E6C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7、频率响应：22H～20KHz（-3dB）；</w:t>
            </w:r>
          </w:p>
          <w:p w14:paraId="1AEBBE8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8、失真率：＜1%（1KHz，额定功率）；</w:t>
            </w:r>
          </w:p>
          <w:p w14:paraId="6EBB288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9、声道系统：2.0 +2.0，电源输入：220V±10%/2A/50Hz，内置保险管；</w:t>
            </w:r>
          </w:p>
          <w:p w14:paraId="4A5396D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10、功放和电源总效率：&gt;83%，功放开关频率：≥500KHz；</w:t>
            </w:r>
          </w:p>
          <w:p w14:paraId="0057371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11、总功率：≥300W，主功放输出功率：≥200W，监听功放输出功率：≥100W；</w:t>
            </w:r>
          </w:p>
          <w:p w14:paraId="3BE66A5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12、为保证系统整体兼容性、稳定性、统一性，便于系统维护，须与录播工作站设备同一生产制造厂商。</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0427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9AD5E">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1AD394EF">
        <w:tblPrEx>
          <w:tblCellMar>
            <w:top w:w="0" w:type="dxa"/>
            <w:left w:w="108" w:type="dxa"/>
            <w:bottom w:w="0" w:type="dxa"/>
            <w:right w:w="108" w:type="dxa"/>
          </w:tblCellMar>
        </w:tblPrEx>
        <w:trPr>
          <w:trHeight w:val="1457"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0C669">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7F41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线阵列音箱</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3B5844A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1、包含2个左右音箱，音箱最大功率≥60W、额定功率≥30W；</w:t>
            </w:r>
          </w:p>
          <w:p w14:paraId="4A09F5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2、声压级：1W（1KHz，1米）时，≥92dB（SPL）；</w:t>
            </w:r>
          </w:p>
          <w:p w14:paraId="45309DB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3、频率范围：190Hz～18KHz（-10 dB）；</w:t>
            </w:r>
          </w:p>
          <w:p w14:paraId="5EFCFD4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4、开放角度：1KHz/4KHz（-6 dB），水平210°/132°，垂直50°/22°；</w:t>
            </w:r>
          </w:p>
          <w:p w14:paraId="14AA789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5、额定阻抗：≤6欧姆。</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1F7A5">
            <w:pPr>
              <w:jc w:val="center"/>
              <w:rPr>
                <w:rFonts w:hint="eastAsia" w:ascii="宋体" w:hAnsi="宋体" w:eastAsia="宋体"/>
                <w:color w:val="000000"/>
                <w:sz w:val="20"/>
                <w:szCs w:val="20"/>
                <w:highlight w:val="none"/>
                <w:lang w:eastAsia="zh-CN"/>
              </w:rPr>
            </w:pPr>
            <w:r>
              <w:rPr>
                <w:rFonts w:hint="eastAsia" w:ascii="宋体" w:hAnsi="宋体" w:eastAsia="宋体"/>
                <w:color w:val="000000"/>
                <w:sz w:val="20"/>
                <w:szCs w:val="20"/>
                <w:highlight w:val="none"/>
                <w:lang w:val="en-US" w:eastAsia="zh-CN"/>
              </w:rPr>
              <w:t>6</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84C7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只</w:t>
            </w:r>
          </w:p>
        </w:tc>
      </w:tr>
      <w:tr w14:paraId="445C0BC6">
        <w:tblPrEx>
          <w:tblCellMar>
            <w:top w:w="0" w:type="dxa"/>
            <w:left w:w="108" w:type="dxa"/>
            <w:bottom w:w="0" w:type="dxa"/>
            <w:right w:w="108" w:type="dxa"/>
          </w:tblCellMar>
        </w:tblPrEx>
        <w:trPr>
          <w:trHeight w:val="2610"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A91A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080C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机柜</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BC5F3F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1、采用19英寸标准机柜设计，高度≥22U，主体材质采用SPCC冷轧钢板，柜体内置电源箱，具备可调节行走脚轮；</w:t>
            </w:r>
          </w:p>
          <w:p w14:paraId="2FD7E4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2、机柜顶部采用可操作台面设计，支持摆放显示器、导播台等设备进行本地导播控制；</w:t>
            </w:r>
          </w:p>
          <w:p w14:paraId="65F8EC8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3、机柜内置电源箱具备≥4路包含2P和3P类型的AC 220V电源插座接口，具备≥4路包含圆孔插座和接线端子类型的DC 12V电源接口，支持为机柜内部模块及录播系统进行供电；</w:t>
            </w:r>
          </w:p>
          <w:p w14:paraId="0BB7520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4、机柜内置电源箱具备≥8路10M/100M/1000Mbps自适应的POE网络接口，实现机柜内网络互联互通；</w:t>
            </w:r>
          </w:p>
          <w:p w14:paraId="23B8A6A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5、机柜内置电源箱电源开关采用AC 220V/10A空气开关设计，支持控制机柜总电源；</w:t>
            </w:r>
          </w:p>
          <w:p w14:paraId="11F86F4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6、机柜具备≥2个散热风口，前后柜门配备安全锁。</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60AD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2E92B">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r>
      <w:tr w14:paraId="64AD54F5">
        <w:tblPrEx>
          <w:tblCellMar>
            <w:top w:w="0" w:type="dxa"/>
            <w:left w:w="108" w:type="dxa"/>
            <w:bottom w:w="0" w:type="dxa"/>
            <w:right w:w="108" w:type="dxa"/>
          </w:tblCellMar>
        </w:tblPrEx>
        <w:trPr>
          <w:trHeight w:val="96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99E8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8D58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资源管理平台</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6EE3CC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基础功能：</w:t>
            </w:r>
          </w:p>
          <w:p w14:paraId="72A322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1）支持自定义设置当前站点机构组织、用户初始化导入、用户组及用户权限管理，支持建立和批量导入班级，具备师生注册审核机制；</w:t>
            </w:r>
          </w:p>
          <w:p w14:paraId="63654A2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2）支持自定义设置门户导航目录，支持设置平台名称、logo、页脚信息，设置数据展示的学期范围，设置课程、活动、专辑等默认封面等，支持填写≥2个备案信息及其链接地址； </w:t>
            </w:r>
          </w:p>
          <w:p w14:paraId="497B037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3）资源中心首页支持≥9个模块缩略展示，支持上传多banner图片，实现多图轮播；支持banner图片添加链接；</w:t>
            </w:r>
          </w:p>
          <w:p w14:paraId="77C2968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4）支持国家重大事件发生时，一键将平台设置为灰色风格； </w:t>
            </w:r>
          </w:p>
          <w:p w14:paraId="653C850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5）支持系统默认播放模式设置为双屏模式、电影模式或资源模式,支持自定义开启或关闭OCR 分析；</w:t>
            </w:r>
          </w:p>
          <w:p w14:paraId="1468F31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6）支持对教室进行管理及设备查看,支持一键跳转集控管理平台进行设备管理；提供CNAS认证检测报告并加盖厂家公章；</w:t>
            </w:r>
          </w:p>
          <w:p w14:paraId="297D03C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7）支持添加、导入互动终端，支持自定义设置内外网互动模式、会控服务器IP、服务端口等；</w:t>
            </w:r>
          </w:p>
          <w:p w14:paraId="3E00A49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自定义添加、编辑、启用及禁用系统的学科、学段、年级、教材版本、教材册等信息，支持批量导入教材目录，支持一键同步本站学段、学科、年级、教材版本、教材册的设置至下级站点，支持学期新建和删除，新建学期可设置学期开始日期和预计周次；</w:t>
            </w:r>
          </w:p>
          <w:p w14:paraId="6E222F2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9）支持自定义创建评分量表、设置量表指标及分值，支持基于已有量表进行指标添加，支持设置量表总分等于各一级指标得分×各自权重，汇总求和；</w:t>
            </w:r>
          </w:p>
          <w:p w14:paraId="5F4CE0D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10）支持录播设备接入平台实现自动转码、多画面直播及点播等，支持扫码观看直播、查看公告及浏览资源等； </w:t>
            </w:r>
          </w:p>
          <w:p w14:paraId="7C9E529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11）采用引用计数和垃圾回收技术，支持单条资源被多级平台共同调用，某处删除不影响其他站点用户使用，支持系统自动判断当每级站点都不需要此资源时再自动删除；提供CNAS认证检测报告并加盖厂家公章；</w:t>
            </w:r>
          </w:p>
          <w:p w14:paraId="3B5D451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12）支持自定义自动删除策略，根据文件上传时间和引用数进行清理周期、清理范围、清理方式等设置，支持服务器磁盘剩余容量达到设定警戒值时进行预警提示；</w:t>
            </w:r>
          </w:p>
          <w:p w14:paraId="1917CB8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13）支持自定义设置当前站点服务器配置、维护平台使用手册,支持系统应用服务配置，支持针对教室端录播设备进行单个或批量升级，支持针对平台AI服务进行运行状态检测等。</w:t>
            </w:r>
          </w:p>
          <w:p w14:paraId="74ED47D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个人空间：</w:t>
            </w:r>
          </w:p>
          <w:p w14:paraId="684BC86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提供个人空间，支持个人信息、资源及量表管理，支持消息发送和接收，支持在个人空间上传、管理、搜索、收藏资源，支持将课件、教案等资源与课堂录像进行关联，支持教师调课后视频资源自动、手动归档；</w:t>
            </w:r>
          </w:p>
          <w:p w14:paraId="3AAF0F5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2）支持通过课表对录播教室进行录像和直播预约，课程结束后，课堂录像自动上传至主讲人个人空间；</w:t>
            </w:r>
          </w:p>
          <w:p w14:paraId="66E2A09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3）支持在个人空间针对原视频进行裁剪、编辑、合成及发布，具备文字轨道、视频轨道、台标等编辑功能；提供CNAS认证检测报告并加盖厂家公章；</w:t>
            </w:r>
          </w:p>
          <w:p w14:paraId="6503D92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查看我的课表，通过在个人课表添加课表或者导入课表进行约课，支持查看我的授课班级、授课班级学生，班主任可以编辑班级信息、进行学生模型训练、班级归档操作；支持查看我所加入的教研组、我的备课情况、我的视频教研情况、听课任务及记录听课进度等，支持查看我申请的优课评选及得奖课程，支持创建、编辑磨课组、添加课例等，支持查看我的教学反思、收到的反思及教学反思统计等；</w:t>
            </w:r>
          </w:p>
          <w:p w14:paraId="634C4D0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5）支持汇总我的评审任务，包含优课评审、听课评审和集体磨课评审等；支持汇总我被评的课程，包含优课评审、听课评审和集体磨课评审等；</w:t>
            </w:r>
          </w:p>
          <w:p w14:paraId="226F1E2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6）支持查看我参与的互动课程和联校空间，查看我加入的听评课、讲课反馈，支持查看平台的使用说明；</w:t>
            </w:r>
          </w:p>
          <w:p w14:paraId="3351893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应用管理：</w:t>
            </w:r>
          </w:p>
          <w:p w14:paraId="71C3106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1）支持管理员编辑及修改通知公告，支持设定公告类型、公告定时发布信息；</w:t>
            </w:r>
          </w:p>
          <w:p w14:paraId="00FEF98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2）支持学情分析阈值设置，并可设置特例课识别值； </w:t>
            </w:r>
          </w:p>
          <w:p w14:paraId="67C97D1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3）支持汇总平台录像，对录像进行发布、删除、查看、编辑、推送等；</w:t>
            </w:r>
          </w:p>
          <w:p w14:paraId="78C7866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4）支持视频添加教案、课件、习题等文档及图片作为附件进行在线无插件预览；</w:t>
            </w:r>
          </w:p>
          <w:p w14:paraId="34561B9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5）支持用户对资源进行收藏、下载、分享等，支持用户对资源进行评论和在线交流；</w:t>
            </w:r>
          </w:p>
          <w:p w14:paraId="1557608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6）支持用户在点播观看视频时可通过系统提供的量表进行在线打分评价，支持自定义设置量表； </w:t>
            </w:r>
          </w:p>
          <w:p w14:paraId="579811E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7）支持用户对课堂视频录像进行量化评估，可根据实际教学评估要求设置多套评估标准，每套评估标准可设置不同总分，可设置多项评估项目，每项评估项目可设置多项评估子项，满足不同评估要求； </w:t>
            </w:r>
          </w:p>
          <w:p w14:paraId="4FD7334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8）支持多种搜索条件进行组合搜索，支持用户通过资源名称、班级、教师文本快速搜索资源；</w:t>
            </w:r>
          </w:p>
          <w:p w14:paraId="7A183DC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9）支持管理员设置资源分类审核、关闭审核开关，设置免审核模式，支持管理员将教师推送的资源进行修正归档；</w:t>
            </w:r>
          </w:p>
          <w:p w14:paraId="58CEAD4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10）支持自定义录像主题、录像专辑等，支持录像资源删除后进入回收站，支持在站群内子站向父站推送课程。</w:t>
            </w:r>
          </w:p>
          <w:p w14:paraId="6F57EA0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课表管理：</w:t>
            </w:r>
          </w:p>
          <w:p w14:paraId="45EF6B7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1）支持根据教室和教师维度查看和添加课表、批量导入课表，支持依据日历和课表两种方式查看教室课表，支持设置教室相应的时间节次方案；</w:t>
            </w:r>
          </w:p>
          <w:p w14:paraId="49357B5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2）支持按时间或设置好的节次方案进行课表约课，支持修改课程名称、班级、学段、教师、学科、年级等信息，设置教室及输入直播源；</w:t>
            </w:r>
          </w:p>
          <w:p w14:paraId="57225F1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3）支持根据教师、课程、教室、班级、学生等关键词查询课表；</w:t>
            </w:r>
          </w:p>
          <w:p w14:paraId="03BD24F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4）支持课表约课时控制录像、直播、聊天室、AI分析、直播评课、直播时移、手机端直播的功能开启状态，支持设置≥5种直播访问方式；提供CNAS认证检测报告并加盖厂家公章。</w:t>
            </w:r>
          </w:p>
          <w:p w14:paraId="2A270F3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视频点播、直播：</w:t>
            </w:r>
          </w:p>
          <w:p w14:paraId="24B9FF9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1）支持多画面资源模式点播，如以三分屏的方式同步播放教师画面、学生画面、课件画面，支持视频直接拖拽播放； </w:t>
            </w:r>
          </w:p>
          <w:p w14:paraId="59E87A4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2）支持在播放器窗口进行标清、高清、超清等多种清晰度切换；</w:t>
            </w:r>
          </w:p>
          <w:p w14:paraId="29B2C88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3）支持观看视频时可通过系统提供的量表进行在线打分评价； </w:t>
            </w:r>
          </w:p>
          <w:p w14:paraId="45B75FB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4）具有教育行业特性，依据直播课堂时况可实现课堂S-T分析，自动分析课堂教师、学生及互动行为占比并自动画出行为曲线，自动分析课堂类型；</w:t>
            </w:r>
          </w:p>
          <w:p w14:paraId="5EAA1CC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5）直播过程支持在线用户文字交流、量表打分，直播结束后系统将视频和评论记录自动上传到教师个人空间；</w:t>
            </w:r>
          </w:p>
          <w:p w14:paraId="65EBF14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6）直播过程中支持用户以二维码、链接地址形式分享直播；</w:t>
            </w:r>
          </w:p>
          <w:p w14:paraId="7F58228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7）支持自定义直播开始、结束时间，设置直播评分量表；</w:t>
            </w:r>
          </w:p>
          <w:p w14:paraId="540F6D0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8）支持直播时移，直播开始后可拖动播放器时间轴回放直播；提供CNAS认证检测报告并加盖厂家公章； </w:t>
            </w:r>
          </w:p>
          <w:p w14:paraId="786BD89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9）支持设置直播观看密码，支持匿名用户观看直播，支持设置是否在设备开启直播时才允许观看教室画面；</w:t>
            </w:r>
          </w:p>
          <w:p w14:paraId="6B3C625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10）支持门户显示和观看设置，支持设置在直播频道中是否显示离线设备；</w:t>
            </w:r>
          </w:p>
          <w:p w14:paraId="764BB3C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11）支持微信扫描平台二维码进行直播观看、课程点播等。</w:t>
            </w:r>
          </w:p>
          <w:p w14:paraId="08556A5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直播门户：</w:t>
            </w:r>
          </w:p>
          <w:p w14:paraId="2E2B290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1）支持查看当前正在进行的直播课、将要开始的直播课、已经结束且已发布的直播课，支持按照学校、学段、学科、时间段、资源名称、作者和标签等搜索直播课，支持按时间和视频热度呈现直播课资源；</w:t>
            </w:r>
          </w:p>
          <w:p w14:paraId="3EE999C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2）支持统计直播门户下的所有直播课数量和播放量，支持统计不同时间周期内的直播课程数量、累计观看人数及课程；</w:t>
            </w:r>
          </w:p>
          <w:p w14:paraId="1AC2303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AI学情分析：</w:t>
            </w:r>
          </w:p>
          <w:p w14:paraId="1DA89E1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1）支持查看大数据页面，包含设备信息，教学质量等长期数据的汇总；</w:t>
            </w:r>
          </w:p>
          <w:p w14:paraId="3BAAD41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2）支持管理员依据平台提供教学行为分析类型进行筛选，平台即可依据选择的行为分析类型进行对应分析数据的统计与呈现；</w:t>
            </w:r>
          </w:p>
          <w:p w14:paraId="25E61CC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3）支持管理员构建课堂内学生的人脸识别模型，并可针对构建的模型进行增强训练提高学生人脸识别的精度；</w:t>
            </w:r>
          </w:p>
          <w:p w14:paraId="5D4E1D7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4）支持通过导入课表实现课堂教学分析的自动开启与停止；</w:t>
            </w:r>
          </w:p>
          <w:p w14:paraId="0081E66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5）支持自定义特例课规则，自动对符合规则的课程进行标识；</w:t>
            </w:r>
          </w:p>
          <w:p w14:paraId="1F9C751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6）支持呈现的课堂教学行为包括教师录播主机能自动识别的教师和学生行为,如：讲授、板书、听讲、师生互动等多种行为；</w:t>
            </w:r>
          </w:p>
          <w:p w14:paraId="68DCAE5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7）支持课程结束后自动生成该教师课堂观察分析报告，支持在线预览和导出报告；</w:t>
            </w:r>
          </w:p>
          <w:p w14:paraId="175253B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8）支持教师查看每节课课堂实录，支持根据师生行为分析数据生成教学行为时序图，并基于教学行为时序图进行智能打点切片，可自动定位到课堂实录特定时刻，方便进行快速回顾教学环节；</w:t>
            </w:r>
          </w:p>
          <w:p w14:paraId="58A4023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9）支持视频检索功能，满足教师依据关键词查找所需的视频文件；</w:t>
            </w:r>
          </w:p>
          <w:p w14:paraId="452E11A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10）支持教师查看每节课教与学课堂行为的占比，方便教师了解课堂中个人教学行为分布情况；</w:t>
            </w:r>
          </w:p>
          <w:p w14:paraId="1096625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11）★支持基于结构化课堂观察方法，自动进行S-T分析，分析每节课教学模式；如：讲授型、练习型、对话型、混合型；提供CNAS认证检测报告并加盖厂家公章； </w:t>
            </w:r>
          </w:p>
          <w:p w14:paraId="474390D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12）支持教师按照时间维度查看全班学生课堂表现情况、关注度及参与度情况，以便调整自己的课堂节奏和教学设计；13）支持教师自定义预约课程；</w:t>
            </w:r>
          </w:p>
          <w:p w14:paraId="39920A2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14）支持教师视频自动归档，对教师模型照片与实际抓拍照片进行对比，将课程自动推送到实际上课的教师名下，方便资源管理；</w:t>
            </w:r>
          </w:p>
          <w:p w14:paraId="2A61A63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15）支持回溯分析功能，课程结束后启动回溯分析，会修正教学行为分布图、教学行为时序图和教学模式图；</w:t>
            </w:r>
          </w:p>
          <w:p w14:paraId="4A1B1F1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16）支持基于参与度、表现度、关注度曲线及 ST 曲线，点击曲线节点自动跳转至视频对应位置；</w:t>
            </w:r>
          </w:p>
          <w:p w14:paraId="5BDDA3A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17）教师可在AI课堂中对已结束的课进行教学反思，结合课堂实录和AI分析数据，记录反思内容，生成教学反思报告；</w:t>
            </w:r>
          </w:p>
          <w:p w14:paraId="189CAC7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18）教师可在个人中心中查看个人反思记录，包括已反思课程数、未反思课程数和课程列表；</w:t>
            </w:r>
          </w:p>
          <w:p w14:paraId="76FAA34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19）支持推课功能，教师向专家推送个人课程，依据专家评课数据进行有效教学反思；</w:t>
            </w:r>
          </w:p>
          <w:p w14:paraId="241012E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20）支持校教学管理者查看各科教师课堂观察分析报告，支持在线预览和导出报告，为教学管理提供客观数据；21）支持校教学管理者查看各科教师课堂实录、教学模式、S-T行为分析、课堂教学行为占比、课堂表现、课堂参与度、课堂关注度等情况；</w:t>
            </w:r>
          </w:p>
          <w:p w14:paraId="2AD5A80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22）支持校教学管理者任选同学科两位教师的课例进行同课异构对比，可查看两位教师授课过程中的教学行为、S-T、授课类型、学生参与度的对比分析数据，支持导出对比报告；</w:t>
            </w:r>
          </w:p>
          <w:p w14:paraId="71A3EE9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23）支持校教学管理者根据学科、时间等自定义查询导出相应的教师长期数据；</w:t>
            </w:r>
          </w:p>
          <w:p w14:paraId="60DAADD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24）支持专家对教师或管理员推送的课程进行量表评价及主观文本评价；</w:t>
            </w:r>
          </w:p>
          <w:p w14:paraId="7CDCF2A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25）支持专家查看历史评课记录；</w:t>
            </w:r>
          </w:p>
          <w:p w14:paraId="69F94C4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26）支持专家将教师或管理员推送的课程进行对比分析与评价，可查看教师在授课过程中的教学行为、S-T、授课类型、学生参与度的对比分析数据，支持导出对比报告。</w:t>
            </w:r>
          </w:p>
          <w:p w14:paraId="5F55BA1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27）支持按时间、站点、年级、学段进行课例筛选，也可通过搜索课例名称、授课教师进行课例查找；</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931B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AAD6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r w14:paraId="3F313BAF">
        <w:tblPrEx>
          <w:tblCellMar>
            <w:top w:w="0" w:type="dxa"/>
            <w:left w:w="108" w:type="dxa"/>
            <w:bottom w:w="0" w:type="dxa"/>
            <w:right w:w="108" w:type="dxa"/>
          </w:tblCellMar>
        </w:tblPrEx>
        <w:trPr>
          <w:trHeight w:val="2322"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84202">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56ED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平台应用主机</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10F55AD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1、≤1U机架式设计，Linux操作系统；</w:t>
            </w:r>
          </w:p>
          <w:p w14:paraId="0B2C8CD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2、内置高性能低功耗处理器，内存容量≥32GB；</w:t>
            </w:r>
          </w:p>
          <w:p w14:paraId="11ECDD6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3、采用双硬盘设计，内置≥500GB SSD系统盘及≥4TB数据盘，内置≥2个数据盘接口，支持硬盘容量扩展；</w:t>
            </w:r>
          </w:p>
          <w:p w14:paraId="0738287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4、内置≥2路USB接口，≥1路 HDMI接口，</w:t>
            </w:r>
          </w:p>
          <w:p w14:paraId="7C280D3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5、内置≥4路 2.5G网络接口；</w:t>
            </w:r>
          </w:p>
          <w:p w14:paraId="4A9C1195">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6、支持教室端录播工作站的接入，支持集群部署。</w:t>
            </w:r>
          </w:p>
          <w:p w14:paraId="0D9CF51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7、支持流媒体转发、直播、点播功能。与录播同一品牌。</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9BEB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F5D4F">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044A4FF3">
        <w:tblPrEx>
          <w:tblCellMar>
            <w:top w:w="0" w:type="dxa"/>
            <w:left w:w="108" w:type="dxa"/>
            <w:bottom w:w="0" w:type="dxa"/>
            <w:right w:w="108" w:type="dxa"/>
          </w:tblCellMar>
        </w:tblPrEx>
        <w:trPr>
          <w:trHeight w:val="881"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7FEA4">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D6DC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智慧黑板</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3CF4EE1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一、 整体设计要求</w:t>
            </w:r>
          </w:p>
          <w:p w14:paraId="0535785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 xml:space="preserve">1、 要求智慧黑板采用无推拉式结构，由三块拼接而成的纯平面黑板，一体化设计，无任何外露连接线；整机尺寸：不小于4200mm×1200mm，厚度≤85mm。 </w:t>
            </w:r>
          </w:p>
          <w:p w14:paraId="3C306B8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屏幕显示尺寸：≥86英寸，直下式LED背光源，显示比例：16:9，分辨率：3840×2160，屏体亮度≥500cd/㎡，对比度：5000：1。</w:t>
            </w:r>
          </w:p>
          <w:p w14:paraId="335B423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产品采用电容全贴合技术，消除屏幕间的空气，减少显示面板与玻璃之间的反光。</w:t>
            </w:r>
          </w:p>
          <w:p w14:paraId="11054D3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支持任意信号通道下不低于20点的书写体验，且具备抗强光干扰性能，在450K LUX照度的光照下保证书写功能正常。</w:t>
            </w:r>
          </w:p>
          <w:p w14:paraId="3D6638A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整机内置前朝向：2×15W扬声器。</w:t>
            </w:r>
          </w:p>
          <w:p w14:paraId="0514FF5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整机提供前置按键：前面板具备不少于7个按键设计，至少包含电源、护眼、音量±；</w:t>
            </w:r>
          </w:p>
          <w:p w14:paraId="753189D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7、 整机显示区域下方具备通体笔槽，内凹设计避免灰尘落入接口，方便放置书写笔。</w:t>
            </w:r>
          </w:p>
          <w:p w14:paraId="53794A89">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8、 整机接口：HDMI in（1路前置）≥4，USB（支持双系统识别读取）≥4，TOUCH Out≥3（一路前置），LAN≥1。</w:t>
            </w:r>
          </w:p>
          <w:p w14:paraId="7DC96D4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9、 前置红外接收器，遥控器可一键切换内置电脑模式或外接电脑设备模式；具备电视遥控功能和电脑键盘常用的F1—F12功能键及Alt+F4、Alt+Tab、Space、windows等快捷按键，PPT上下翻页、一键锁定。</w:t>
            </w:r>
          </w:p>
          <w:p w14:paraId="6E37D76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10、 整机需配备Android和Windows双系统，可通过多种方式进行双系统的切换。</w:t>
            </w:r>
          </w:p>
          <w:p w14:paraId="54ED7B2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11、 内置Android系统版本Android8.0或以上，内存≥3GB，存储空间≥16GB。</w:t>
            </w:r>
          </w:p>
          <w:p w14:paraId="579F35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12、 采用OPS电脑方案，抽拉式且采用intel标准80pin接口，采用手转螺丝锁固定，无需工具即可快速拆卸OPS电脑模块；</w:t>
            </w:r>
          </w:p>
          <w:p w14:paraId="572F25A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13、 整机OPS电脑接口位置设计必须方便插拔，无需拆卸整机任何结构，即可快速取出。</w:t>
            </w:r>
          </w:p>
          <w:p w14:paraId="5A4C5A2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14、 整机采用左右双侧边菜单虚拟按键设计，开机即显，通过侧边菜单可实现一键主页、全通道放大、一键绿板、信源切换、批注、工具箱、音量调节、中控菜单调取，二维码分享等功能。</w:t>
            </w:r>
          </w:p>
          <w:p w14:paraId="1F0D0CA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15、 为满足用户的个性化需求，前置物理按键需包含一个自定义按键，可方便自定义为：锁屏、录屏、自检、信源切换、调用展台等多项功能。</w:t>
            </w:r>
          </w:p>
          <w:p w14:paraId="59098DF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 健康护眼，通过前置物理按键一键启动减滤蓝光功能，同时也可通过触控调节蓝光滤值的大小，保护师生视觉健康。</w:t>
            </w:r>
          </w:p>
          <w:p w14:paraId="6012749E">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 采用DC调光背光技术，有效消除频闪，提搞师生用眼舒适度；使用录像设备录制时，屏幕无‘斜条纹’。</w:t>
            </w:r>
          </w:p>
          <w:p w14:paraId="13972751">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18、 为保证维护便捷，整机具备前置针孔式电脑还原按键。</w:t>
            </w:r>
          </w:p>
          <w:p w14:paraId="1084F97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19、 前置USB接口全部支持双系统读取，将U 盘插入任意前置USB接口，均能被Windows 及Android 系统识别，无需区分接口对应系统，减少误操作。</w:t>
            </w:r>
          </w:p>
          <w:p w14:paraId="4C4F7C4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20、 外接电脑设备连接整机且触摸信号连通时，外接电脑设备可直接读取整机前置USB接口的移动存储设备数据，连接整机前置USB接口的翻页笔、无线键鼠等外接设备可直接使用于外接电脑，无需重复部署。</w:t>
            </w:r>
          </w:p>
          <w:p w14:paraId="516F07C2">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21、 整机支持多种功能禁用开关，方便不同场景，支持触控禁用、按键禁用、遥控器禁用、网络禁用、应用安装/卸载应用等。</w:t>
            </w:r>
          </w:p>
          <w:p w14:paraId="5212C2A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22、 屏幕两侧具有软件形态的电子黑板系统快捷菜单，可便捷隐藏，此系统无需借助Windows系统软件即可正常教学，且在任意通道下均可实现以下内容：</w:t>
            </w:r>
          </w:p>
          <w:p w14:paraId="4F03D4D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 书写：为用户提供模拟粉笔的书写批注功能，笔支持无限色盘得色彩选择及线性粗细选择。</w:t>
            </w:r>
          </w:p>
          <w:p w14:paraId="7B9A2B9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 板面：为用户提供常见的黑、白、绿背景板面供选择；</w:t>
            </w:r>
          </w:p>
          <w:p w14:paraId="65802E3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 对象编辑：用户可对屏幕内容进行拖动、截图、缩放、旋转等操作；</w:t>
            </w:r>
          </w:p>
          <w:p w14:paraId="70DD0CD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 内容回顾：书写内容占满屏幕后，可切换至下一页，需要时，教师可回切至相应的页面，对过往内容进行回顾；</w:t>
            </w:r>
          </w:p>
          <w:p w14:paraId="1D28933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 保存与分享：批注笔迹和背景层的快速保存，并可通过生成二维码的方式分享，亦可对分享内容加密，保护隐私。</w:t>
            </w:r>
          </w:p>
          <w:p w14:paraId="1CDDBC98">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6) 便捷切换：支持一键切换批注与触控状态，支持一键切换电子黑板与信源界面。</w:t>
            </w:r>
          </w:p>
          <w:p w14:paraId="5CB03CC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23、 支持在任意通道下将画面冻结并双击画面任一部分进行放大，放大后的屏幕画面可进行任意拖拽等操作。</w:t>
            </w:r>
          </w:p>
          <w:p w14:paraId="7AFB54DF">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24、 支持在任意通道下调取幕布、聚光灯、截屏、秒表、倒计时、倒计日、 随机数、自检等小工具。</w:t>
            </w:r>
          </w:p>
          <w:p w14:paraId="1665AAF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25、 窗口下移：通过四指下滑手势快捷实现液晶屏显示窗口下移，并可进行触控操作。</w:t>
            </w:r>
          </w:p>
          <w:p w14:paraId="78A8151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26、 主页具备信源预览窗口，点击窗口可一键切换信源，具备5个常用应用程序。</w:t>
            </w:r>
          </w:p>
          <w:p w14:paraId="3071C8A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27、 安卓白板软件支持基本教学工具，至少包含直尺、三角板、量角器、圆规等；支持分屏书写功能，可实现二/三分屏幕，各区域书写擦除互不干扰；支持快速绘制平面及立体图形。</w:t>
            </w:r>
          </w:p>
          <w:p w14:paraId="3278F8A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28、 智能手势：支持五指息屏和唤醒；支持任意通道下手势调取板擦工具擦除批注内容，且智能识别手与屏幕接触面积自动调整板擦工具的大小。</w:t>
            </w:r>
          </w:p>
          <w:p w14:paraId="197E6AE3">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二、 OPS电脑配置要求</w:t>
            </w:r>
          </w:p>
          <w:p w14:paraId="2460FD87">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29、 采用Intel 酷睿系列i5八代或以上CPU；内存：8GB DDR4笔记本内存或以上配置。硬盘：256GB或以上SSD固态硬盘。</w:t>
            </w:r>
          </w:p>
          <w:p w14:paraId="120644BA">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30、 具有独立非外扩展的电脑USB接口：电脑上至少具备3个USB3.0接口。</w:t>
            </w:r>
          </w:p>
          <w:p w14:paraId="29E0F7FC">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31、 具有独立非外扩展的视频输出接口：≥1路HDMI 。</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3E0C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DAEB5">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台</w:t>
            </w:r>
          </w:p>
        </w:tc>
      </w:tr>
      <w:tr w14:paraId="41B402B2">
        <w:tblPrEx>
          <w:tblCellMar>
            <w:top w:w="0" w:type="dxa"/>
            <w:left w:w="108" w:type="dxa"/>
            <w:bottom w:w="0" w:type="dxa"/>
            <w:right w:w="108" w:type="dxa"/>
          </w:tblCellMar>
        </w:tblPrEx>
        <w:trPr>
          <w:trHeight w:val="3187"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E78E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16</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C131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多媒体讲桌</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76C1E98D">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1.尺寸：长*宽*高（mm）整体闭合不低于：1100*670*975 ；整体展开不低于：1540*1660*975 （允许正负5mm偏离）。</w:t>
            </w:r>
          </w:p>
          <w:p w14:paraId="5E3013AB">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2.桌面采用木黄色高密度纤维板，边缘采用单面封边工艺，采用冷压工艺三聚氰胺贴面，防划、防泼水。</w:t>
            </w:r>
          </w:p>
          <w:p w14:paraId="69FD2640">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3.主体采用≥1.5mm冷轧钢板，钣金全部通过酸洗磷化喷涂后再进行高温烘烤，防锈，喷涂工艺符合GB22374-2008 涂装材料标准，桌面两侧采用高档橡木扶手，正面可根据需求丝印学校LOGO。</w:t>
            </w:r>
          </w:p>
          <w:p w14:paraId="3D2B0616">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4.设计：分体式设计，桌面和桌体自成一体，内置固定螺丝孔位。桌体拐角采用圆弧设计，倒角R18。讲桌内部可扩充IC卡系统，可扩充四只轮子，方便移动。</w:t>
            </w:r>
          </w:p>
          <w:p w14:paraId="38B829E4">
            <w:pPr>
              <w:jc w:val="left"/>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5.具有翻转显示器安装位，安装显示器尺寸不低于21.5英寸，显示器翻转到最大角度和挡边平齐，无凸出。采用不锈钢可调阻尼转轴，显示器支持在0-130°中任意停留，不允许出现反扣现象。显示器右侧需预留至少2个USB2.0的扩展孔，方便引线到桌面。讲台内需自带固定线孔位。</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930A0">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64E8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个</w:t>
            </w:r>
          </w:p>
        </w:tc>
      </w:tr>
      <w:tr w14:paraId="361C36FC">
        <w:tblPrEx>
          <w:tblCellMar>
            <w:top w:w="0" w:type="dxa"/>
            <w:left w:w="108" w:type="dxa"/>
            <w:bottom w:w="0" w:type="dxa"/>
            <w:right w:w="108" w:type="dxa"/>
          </w:tblCellMar>
        </w:tblPrEx>
        <w:trPr>
          <w:trHeight w:val="4628"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8A667">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17</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F30C3">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装修</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26D84105">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1、要求整体装修环境应美观大方协调。</w:t>
            </w:r>
          </w:p>
          <w:p w14:paraId="33ED00B5">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2、Pvc塑胶地板:耐磨、易清理、保养容易、施工容易且快速、更换容易、防水性佳的PVC地板。</w:t>
            </w:r>
          </w:p>
          <w:p w14:paraId="53C5942A">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3、地面自流平处理:能更好的让地板达到最佳效果，地板的寿命更长。</w:t>
            </w:r>
          </w:p>
          <w:p w14:paraId="2034A462">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墙面高聚酯纤维吸音板+木制吸音板墙裙:100%聚酯纤维制作，在125-4000HZ噪声范围内吸音系数达到0.94，具有出色阻燃防火性能;甲醛释放量为0.05㎎/1，达到国家标准要求，应做到耐磨、抗冲击、耐撕裂、不易划破。</w:t>
            </w:r>
          </w:p>
          <w:p w14:paraId="15BE2A17">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LED灯:选用优质的电感、电子镇流器色温4000k，平均照度2000lx，光效高，寿命长。提高7%以上的光效，比普通灯更加省电。光源更换，轻松简便：人性化结构设计，轻松替换盖表面经过静电喷涂处理，防腐蚀。灯具采用纯铝，且表面进行氧化处理形成保护膜，具有散热性强、不易氧化、反射系数高的特点。</w:t>
            </w:r>
          </w:p>
          <w:p w14:paraId="11351C2D">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 踢脚线:实木踢脚线与整体装修风格一致</w:t>
            </w:r>
          </w:p>
          <w:p w14:paraId="720A76F2">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 包窗口:高密度生态免漆板，防腐蚀•防水•防火</w:t>
            </w:r>
          </w:p>
          <w:p w14:paraId="0D9C9A93">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线路改造:配电箱配备3路供电系统，一路教室照明专用供电采用≥国标4平方铜线；一路提供整个教室多媒体设备及控制机柜内的设备供电采用≥国标4平方铜线，一路空调专用供电采用≥国标6平方铜线。五孔插座及电源开关以及对老电路的撤除。</w:t>
            </w:r>
          </w:p>
          <w:p w14:paraId="164BF37D">
            <w:pPr>
              <w:widowControl/>
              <w:jc w:val="left"/>
              <w:textAlignment w:val="center"/>
              <w:rPr>
                <w:rFonts w:hint="eastAsia" w:ascii="宋体" w:hAnsi="宋体" w:eastAsia="宋体"/>
                <w:color w:val="000000"/>
                <w:sz w:val="20"/>
                <w:szCs w:val="20"/>
                <w:highlight w:val="none"/>
              </w:rPr>
            </w:pPr>
            <w:r>
              <w:rPr>
                <w:rFonts w:hint="eastAsia" w:ascii="宋体" w:hAnsi="宋体" w:eastAsia="宋体" w:cs="宋体"/>
                <w:color w:val="000000"/>
                <w:kern w:val="0"/>
                <w:sz w:val="20"/>
                <w:szCs w:val="20"/>
                <w:highlight w:val="none"/>
              </w:rPr>
              <w:t>9、以上尺寸和数量可根据教室实际情况调整。</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77F46">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29F6C">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r w14:paraId="27B29B81">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7200F">
            <w:pPr>
              <w:jc w:val="center"/>
              <w:rPr>
                <w:rFonts w:hint="default" w:ascii="宋体" w:hAnsi="宋体" w:eastAsia="宋体"/>
                <w:color w:val="FF0000"/>
                <w:sz w:val="20"/>
                <w:szCs w:val="20"/>
                <w:highlight w:val="none"/>
                <w:lang w:val="en-US" w:eastAsia="zh-CN"/>
              </w:rPr>
            </w:pPr>
            <w:r>
              <w:rPr>
                <w:rFonts w:hint="eastAsia" w:ascii="宋体" w:hAnsi="宋体" w:eastAsia="宋体"/>
                <w:color w:val="auto"/>
                <w:sz w:val="20"/>
                <w:szCs w:val="20"/>
                <w:highlight w:val="none"/>
                <w:lang w:val="en-US" w:eastAsia="zh-CN"/>
              </w:rPr>
              <w:t>18</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3F890">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操作台</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3A94B6DF">
            <w:pPr>
              <w:widowControl/>
              <w:spacing w:line="480" w:lineRule="auto"/>
              <w:jc w:val="left"/>
              <w:textAlignment w:val="center"/>
              <w:rPr>
                <w:rFonts w:hint="default" w:ascii="宋体" w:hAnsi="宋体" w:eastAsia="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不低于1.5米操作台，配两把椅子</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474F7">
            <w:pPr>
              <w:jc w:val="center"/>
              <w:rPr>
                <w:rFonts w:hint="eastAsia" w:ascii="宋体" w:hAnsi="宋体" w:eastAsia="宋体"/>
                <w:color w:val="auto"/>
                <w:sz w:val="20"/>
                <w:szCs w:val="20"/>
                <w:highlight w:val="none"/>
                <w:lang w:val="en-US" w:eastAsia="zh-CN"/>
              </w:rPr>
            </w:pPr>
            <w:r>
              <w:rPr>
                <w:rFonts w:hint="eastAsia" w:ascii="宋体" w:hAnsi="宋体" w:eastAsia="宋体"/>
                <w:color w:val="auto"/>
                <w:sz w:val="20"/>
                <w:szCs w:val="20"/>
                <w:highlight w:val="none"/>
                <w:lang w:val="en-US" w:eastAsia="zh-CN"/>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C0939">
            <w:pPr>
              <w:jc w:val="center"/>
              <w:rPr>
                <w:rFonts w:hint="eastAsia" w:ascii="宋体" w:hAnsi="宋体" w:eastAsia="宋体"/>
                <w:color w:val="auto"/>
                <w:sz w:val="20"/>
                <w:szCs w:val="20"/>
                <w:highlight w:val="none"/>
                <w:lang w:val="en-US" w:eastAsia="zh-CN"/>
              </w:rPr>
            </w:pPr>
            <w:r>
              <w:rPr>
                <w:rFonts w:hint="eastAsia" w:ascii="宋体" w:hAnsi="宋体" w:eastAsia="宋体"/>
                <w:color w:val="auto"/>
                <w:sz w:val="20"/>
                <w:szCs w:val="20"/>
                <w:highlight w:val="none"/>
                <w:lang w:val="en-US" w:eastAsia="zh-CN"/>
              </w:rPr>
              <w:t>套</w:t>
            </w:r>
          </w:p>
        </w:tc>
      </w:tr>
      <w:tr w14:paraId="3A0F1308">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F2B2C">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19</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37304">
            <w:pPr>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eastAsia="宋体"/>
                <w:color w:val="000000"/>
                <w:sz w:val="20"/>
                <w:szCs w:val="20"/>
                <w:highlight w:val="none"/>
              </w:rPr>
              <w:t>显示器</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6C2E74EC">
            <w:pPr>
              <w:widowControl/>
              <w:spacing w:line="480" w:lineRule="auto"/>
              <w:jc w:val="left"/>
              <w:textAlignment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21.5寸液晶显示器</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0B792">
            <w:pPr>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E8680">
            <w:pPr>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eastAsia="宋体"/>
                <w:color w:val="000000"/>
                <w:sz w:val="20"/>
                <w:szCs w:val="20"/>
                <w:highlight w:val="none"/>
              </w:rPr>
              <w:t>台</w:t>
            </w:r>
          </w:p>
        </w:tc>
      </w:tr>
      <w:tr w14:paraId="4F218F8E">
        <w:tblPrEx>
          <w:tblCellMar>
            <w:top w:w="0" w:type="dxa"/>
            <w:left w:w="108" w:type="dxa"/>
            <w:bottom w:w="0" w:type="dxa"/>
            <w:right w:w="108" w:type="dxa"/>
          </w:tblCellMar>
        </w:tblPrEx>
        <w:trPr>
          <w:trHeight w:val="68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76E5E">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20</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56C3D">
            <w:pPr>
              <w:jc w:val="center"/>
              <w:rPr>
                <w:rFonts w:hint="eastAsia"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液晶电视</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0C56EAD2">
            <w:pPr>
              <w:widowControl/>
              <w:spacing w:line="480" w:lineRule="auto"/>
              <w:jc w:val="left"/>
              <w:textAlignment w:val="center"/>
              <w:rPr>
                <w:rFonts w:hint="default" w:ascii="宋体" w:hAnsi="宋体" w:eastAsia="宋体"/>
                <w:color w:val="000000"/>
                <w:sz w:val="20"/>
                <w:szCs w:val="20"/>
                <w:highlight w:val="none"/>
                <w:lang w:val="en-US" w:eastAsia="zh-CN"/>
              </w:rPr>
            </w:pPr>
            <w:r>
              <w:rPr>
                <w:rFonts w:hint="eastAsia" w:ascii="宋体" w:hAnsi="宋体" w:eastAsia="宋体" w:cs="宋体"/>
                <w:color w:val="auto"/>
                <w:kern w:val="0"/>
                <w:sz w:val="20"/>
                <w:szCs w:val="20"/>
                <w:highlight w:val="none"/>
                <w:lang w:val="en-US" w:eastAsia="zh-CN"/>
              </w:rPr>
              <w:t>55寸液晶电视</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BA48C">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FB0C4">
            <w:pPr>
              <w:jc w:val="center"/>
              <w:rPr>
                <w:rFonts w:hint="default" w:ascii="宋体" w:hAnsi="宋体" w:eastAsia="宋体"/>
                <w:color w:val="000000"/>
                <w:sz w:val="20"/>
                <w:szCs w:val="20"/>
                <w:highlight w:val="none"/>
                <w:lang w:val="en-US" w:eastAsia="zh-CN"/>
              </w:rPr>
            </w:pPr>
            <w:r>
              <w:rPr>
                <w:rFonts w:hint="eastAsia" w:ascii="宋体" w:hAnsi="宋体" w:eastAsia="宋体"/>
                <w:color w:val="000000"/>
                <w:sz w:val="20"/>
                <w:szCs w:val="20"/>
                <w:highlight w:val="none"/>
                <w:lang w:val="en-US" w:eastAsia="zh-CN"/>
              </w:rPr>
              <w:t>台</w:t>
            </w:r>
          </w:p>
        </w:tc>
      </w:tr>
      <w:tr w14:paraId="4577E38C">
        <w:tblPrEx>
          <w:tblCellMar>
            <w:top w:w="0" w:type="dxa"/>
            <w:left w:w="108" w:type="dxa"/>
            <w:bottom w:w="0" w:type="dxa"/>
            <w:right w:w="108" w:type="dxa"/>
          </w:tblCellMar>
        </w:tblPrEx>
        <w:trPr>
          <w:trHeight w:val="3763"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CBC37">
            <w:pPr>
              <w:jc w:val="center"/>
              <w:rPr>
                <w:rFonts w:hint="default" w:ascii="宋体" w:hAnsi="宋体" w:eastAsia="宋体"/>
                <w:color w:val="auto"/>
                <w:sz w:val="20"/>
                <w:szCs w:val="20"/>
                <w:highlight w:val="none"/>
                <w:lang w:val="en-US" w:eastAsia="zh-CN"/>
              </w:rPr>
            </w:pPr>
            <w:r>
              <w:rPr>
                <w:rFonts w:hint="eastAsia" w:ascii="宋体" w:hAnsi="宋体" w:eastAsia="宋体"/>
                <w:color w:val="auto"/>
                <w:sz w:val="20"/>
                <w:szCs w:val="20"/>
                <w:highlight w:val="none"/>
                <w:lang w:val="en-US" w:eastAsia="zh-CN"/>
              </w:rPr>
              <w:t>21</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9FCFB">
            <w:pPr>
              <w:jc w:val="center"/>
              <w:rPr>
                <w:rFonts w:hint="default" w:ascii="宋体" w:hAnsi="宋体" w:eastAsia="宋体"/>
                <w:color w:val="auto"/>
                <w:sz w:val="20"/>
                <w:szCs w:val="20"/>
                <w:highlight w:val="none"/>
                <w:lang w:val="en-US" w:eastAsia="zh-CN"/>
              </w:rPr>
            </w:pPr>
            <w:r>
              <w:rPr>
                <w:rFonts w:hint="eastAsia" w:ascii="宋体" w:hAnsi="宋体" w:eastAsia="宋体"/>
                <w:color w:val="auto"/>
                <w:sz w:val="20"/>
                <w:szCs w:val="20"/>
                <w:highlight w:val="none"/>
                <w:lang w:val="en-US" w:eastAsia="zh-CN"/>
              </w:rPr>
              <w:t>学生桌椅</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7DEF2595">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课桌：整体规格 660mm（长）×450mm（宽）×670mm至760mm（高）,钢塑结构、可升降,共4档。</w:t>
            </w:r>
          </w:p>
          <w:p w14:paraId="29102A92">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 xml:space="preserve">桌面规格：660mm（长）×450mm（宽）×25mm（厚），壁厚≥3mm。采用模具成型环保材料全新蓝色ABS一次性注塑成型，桌面前沿及两端三分之一处有U型凸起挡笔条。正面内凹20mm，增加使用舒适度。桌面下合理布局壁厚≥2mm加强筋，另加两根30×15×1.2mm钢管加强。 </w:t>
            </w:r>
          </w:p>
          <w:p w14:paraId="33CED324">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桌斗规格：容积≥490mm×300mm×140mm。采用厚度0.6mm的钢板一次冲压成型，边沿卷有圆形加强筋，上沿宽度≥20mm，桌斗下增设20mm×20mm×1.0mm的钢管作为下撑。</w:t>
            </w:r>
          </w:p>
          <w:p w14:paraId="5769EE56">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桌架：桌腿和底管采用60mm×30mm×1.5mm的椭圆钢管；升降管及桌撑采用50mm×20mm×1.2mm的椭圆钢管，升降管采用拉伸攻丝螺母连接，管材外径误差±1mm，各焊接处光滑平整无虚焊现象。</w:t>
            </w:r>
          </w:p>
          <w:p w14:paraId="5C599FFB">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托铁及挂钩：托铁采用≥2.0mm的钢板冲压成型，长度≥280mm。两侧安装全新ABS工程塑料一次注塑成型挂钩，承重量大于10千克，不得超出桌面外沿。</w:t>
            </w:r>
          </w:p>
          <w:p w14:paraId="260FE947">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升降：升降接口采用内塞式全新PP工程塑料一次注塑成型封头，长度≥90mm，接口结合紧密，无摇晃。升降管采用拉伸攻丝技术，配合高强度圆头螺栓调节高度。</w:t>
            </w:r>
          </w:p>
          <w:p w14:paraId="14F4BDB5">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脚套：采用全新PE工程塑料一次注塑成型，规格：≥60mm×70mm厚度≥2mm，采用卡扣固定，牢固耐磨。</w:t>
            </w:r>
          </w:p>
          <w:p w14:paraId="58978436">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工艺：钢材采用焊接机器人CO</w:t>
            </w:r>
            <w:r>
              <w:rPr>
                <w:rFonts w:ascii="Cambria Math" w:hAnsi="Cambria Math" w:eastAsia="宋体" w:cs="Cambria Math"/>
                <w:color w:val="auto"/>
                <w:sz w:val="20"/>
                <w:szCs w:val="20"/>
                <w:highlight w:val="none"/>
              </w:rPr>
              <w:t>₂</w:t>
            </w:r>
            <w:r>
              <w:rPr>
                <w:rFonts w:hint="eastAsia" w:ascii="宋体" w:hAnsi="宋体" w:eastAsia="宋体" w:cs="宋体"/>
                <w:color w:val="auto"/>
                <w:sz w:val="20"/>
                <w:szCs w:val="20"/>
                <w:highlight w:val="none"/>
              </w:rPr>
              <w:t>保护焊焊接，表层采用去油、除锈、喷塑工艺处理，防止生锈，各焊接处光滑平整无突出。</w:t>
            </w:r>
          </w:p>
          <w:p w14:paraId="381B60B2">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外观：钢材表面涂层均匀牢固，无流挂、气泡等缺陷。塑料件表面平整、色彩均匀、有光泽。整体着色采用亮色搭配，美观大方，符合青少年身心发展特点。塑料件颜色一致无色差。桌架内侧无螺丝外露，防止刮蹭。</w:t>
            </w:r>
          </w:p>
          <w:p w14:paraId="1498FCD3">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课椅 整体规格 420mm（宽）×390mm（深）×（380-440）mm（椅面高），塑钢结构、可升降,共4档。</w:t>
            </w:r>
          </w:p>
          <w:p w14:paraId="11F2DF31">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椅面规格：420mm（宽）×390mm（深），依据人体工程学原理，采用曲面弧形设计，壁厚≥3mm。椅面设计有透气缝，及时排走久坐产生的热量，前沿波浪形流线设计，增加使用舒适度。</w:t>
            </w:r>
          </w:p>
          <w:p w14:paraId="717A5B7C">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靠背规格 420mm（宽）×350mm（高），依据人体工程学原理，采用曲面弧形设计，壁厚≥3mm。设计有透气缝，及时排走久坐产生的热量。上部设有横向椭圆孔方便提起、挪动。</w:t>
            </w:r>
          </w:p>
          <w:p w14:paraId="095EBF4C">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椅面靠背材质 采用全新PP工程塑料一次注塑成型，舒适有弹性。</w:t>
            </w:r>
          </w:p>
          <w:p w14:paraId="1BCB66AE">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椅架、椅腿和底管采用60mm×30mm×1.5mm的椭圆钢管立式焊接。升降管及椅撑采用50mm×20mm×1.2mm的椭圆钢管，管材外径误差±1mm，采用焊接连接。</w:t>
            </w:r>
          </w:p>
          <w:p w14:paraId="7FEC3DBD">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托管及靠背管 托管及靠背管采用20mm×40mm×1.2mm的椭圆钢管，管材外径误差±1mm，经数控弯管设备加工一次成形设计；</w:t>
            </w:r>
          </w:p>
          <w:p w14:paraId="5E612B89">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椅面和椅架托管连接处有塑质U型卡槽，槽深度和宽度与托管紧密配合,采用≥Ф4mm自攻丝固定。</w:t>
            </w:r>
          </w:p>
          <w:p w14:paraId="1D9BA8BC">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靠背和椅架采用插接式连接,并用≥Ф4mm自攻丝固定。</w:t>
            </w:r>
          </w:p>
          <w:p w14:paraId="3FDB39CD">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升降 升降接口采用内塞式全新PP工程塑料一次注塑成型封头，长度≥90mm，接口结合紧密，无摇晃。升降管规格：≥60mm×70mm,厚度≥2mm,采用卡扣固定，牢固</w:t>
            </w:r>
          </w:p>
          <w:p w14:paraId="53DCAD2A">
            <w:pPr>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 xml:space="preserve">外观 钢材表面涂层均匀牢固，无流挂、气泡等缺陷。塑料件表面平整、色彩均匀、光泽。整体着色采用亮色搭配，美观大方，符合青少年身心发展特点。塑料件颜色一致无色差。椅架内侧无螺丝外露，防止刮蹭。 </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B7260">
            <w:pPr>
              <w:jc w:val="center"/>
              <w:rPr>
                <w:rFonts w:hint="default" w:ascii="宋体" w:hAnsi="宋体" w:eastAsia="宋体"/>
                <w:color w:val="FF0000"/>
                <w:sz w:val="20"/>
                <w:szCs w:val="20"/>
                <w:highlight w:val="none"/>
                <w:lang w:val="en-US" w:eastAsia="zh-CN"/>
              </w:rPr>
            </w:pPr>
            <w:r>
              <w:rPr>
                <w:rFonts w:hint="eastAsia" w:ascii="宋体" w:hAnsi="宋体" w:eastAsia="宋体"/>
                <w:color w:val="FF0000"/>
                <w:sz w:val="20"/>
                <w:szCs w:val="20"/>
                <w:highlight w:val="none"/>
                <w:lang w:val="en-US" w:eastAsia="zh-CN"/>
              </w:rPr>
              <w:t>50</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4A108">
            <w:pPr>
              <w:jc w:val="center"/>
              <w:rPr>
                <w:rFonts w:hint="eastAsia" w:ascii="宋体" w:hAnsi="宋体" w:eastAsia="宋体"/>
                <w:color w:val="FF0000"/>
                <w:sz w:val="20"/>
                <w:szCs w:val="20"/>
                <w:highlight w:val="none"/>
                <w:lang w:val="en-US" w:eastAsia="zh-CN"/>
              </w:rPr>
            </w:pPr>
            <w:r>
              <w:rPr>
                <w:rFonts w:hint="eastAsia" w:ascii="宋体" w:hAnsi="宋体" w:eastAsia="宋体"/>
                <w:color w:val="FF0000"/>
                <w:sz w:val="20"/>
                <w:szCs w:val="20"/>
                <w:highlight w:val="none"/>
                <w:lang w:val="en-US" w:eastAsia="zh-CN"/>
              </w:rPr>
              <w:t>套</w:t>
            </w:r>
          </w:p>
        </w:tc>
      </w:tr>
      <w:tr w14:paraId="2AEBBA99">
        <w:tblPrEx>
          <w:tblCellMar>
            <w:top w:w="0" w:type="dxa"/>
            <w:left w:w="108" w:type="dxa"/>
            <w:bottom w:w="0" w:type="dxa"/>
            <w:right w:w="108" w:type="dxa"/>
          </w:tblCellMar>
        </w:tblPrEx>
        <w:trPr>
          <w:trHeight w:val="700" w:hRule="atLeast"/>
        </w:trPr>
        <w:tc>
          <w:tcPr>
            <w:tcW w:w="4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A9383">
            <w:pPr>
              <w:jc w:val="center"/>
              <w:rPr>
                <w:rFonts w:hint="eastAsia" w:ascii="宋体" w:hAnsi="宋体" w:eastAsia="宋体"/>
                <w:color w:val="000000"/>
                <w:sz w:val="20"/>
                <w:szCs w:val="20"/>
                <w:highlight w:val="none"/>
                <w:lang w:val="en-US" w:eastAsia="zh-CN"/>
              </w:rPr>
            </w:pPr>
            <w:r>
              <w:rPr>
                <w:rFonts w:hint="eastAsia" w:ascii="宋体" w:hAnsi="宋体" w:eastAsia="宋体"/>
                <w:color w:val="000000"/>
                <w:sz w:val="20"/>
                <w:szCs w:val="20"/>
                <w:highlight w:val="none"/>
              </w:rPr>
              <w:t>2</w:t>
            </w:r>
            <w:r>
              <w:rPr>
                <w:rFonts w:hint="eastAsia" w:ascii="宋体" w:hAnsi="宋体" w:eastAsia="宋体"/>
                <w:color w:val="000000"/>
                <w:sz w:val="20"/>
                <w:szCs w:val="20"/>
                <w:highlight w:val="none"/>
                <w:lang w:val="en-US" w:eastAsia="zh-CN"/>
              </w:rPr>
              <w:t>2</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B91DD">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系统集成</w:t>
            </w:r>
          </w:p>
        </w:tc>
        <w:tc>
          <w:tcPr>
            <w:tcW w:w="6348" w:type="dxa"/>
            <w:tcBorders>
              <w:top w:val="single" w:color="auto" w:sz="6" w:space="0"/>
              <w:left w:val="single" w:color="auto" w:sz="6" w:space="0"/>
              <w:bottom w:val="single" w:color="auto" w:sz="6" w:space="0"/>
              <w:right w:val="single" w:color="auto" w:sz="6" w:space="0"/>
              <w:tl2br w:val="nil"/>
              <w:tr2bl w:val="nil"/>
            </w:tcBorders>
            <w:noWrap w:val="0"/>
            <w:vAlign w:val="top"/>
          </w:tcPr>
          <w:p w14:paraId="7F75208A">
            <w:pPr>
              <w:widowControl/>
              <w:spacing w:line="480" w:lineRule="auto"/>
              <w:jc w:val="left"/>
              <w:textAlignment w:val="center"/>
              <w:rPr>
                <w:rFonts w:hint="default" w:ascii="宋体" w:hAnsi="宋体" w:eastAsia="宋体"/>
                <w:color w:val="000000"/>
                <w:sz w:val="20"/>
                <w:szCs w:val="20"/>
                <w:highlight w:val="none"/>
                <w:lang w:val="en-US"/>
              </w:rPr>
            </w:pPr>
            <w:r>
              <w:rPr>
                <w:rFonts w:hint="eastAsia" w:ascii="宋体" w:hAnsi="宋体" w:eastAsia="宋体" w:cs="宋体"/>
                <w:color w:val="auto"/>
                <w:kern w:val="0"/>
                <w:sz w:val="20"/>
                <w:szCs w:val="20"/>
                <w:highlight w:val="none"/>
                <w:lang w:val="en-US" w:eastAsia="zh-CN"/>
              </w:rPr>
              <w:t>系统所需各类线材及施工，电源线，网线，音视频线等</w:t>
            </w:r>
          </w:p>
        </w:tc>
        <w:tc>
          <w:tcPr>
            <w:tcW w:w="5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FA191">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1</w:t>
            </w:r>
          </w:p>
        </w:tc>
        <w:tc>
          <w:tcPr>
            <w:tcW w:w="7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A4798">
            <w:pPr>
              <w:jc w:val="center"/>
              <w:rPr>
                <w:rFonts w:hint="eastAsia" w:ascii="宋体" w:hAnsi="宋体" w:eastAsia="宋体"/>
                <w:color w:val="000000"/>
                <w:sz w:val="20"/>
                <w:szCs w:val="20"/>
                <w:highlight w:val="none"/>
              </w:rPr>
            </w:pPr>
            <w:r>
              <w:rPr>
                <w:rFonts w:hint="eastAsia" w:ascii="宋体" w:hAnsi="宋体" w:eastAsia="宋体"/>
                <w:color w:val="000000"/>
                <w:sz w:val="20"/>
                <w:szCs w:val="20"/>
                <w:highlight w:val="none"/>
              </w:rPr>
              <w:t>套</w:t>
            </w:r>
          </w:p>
        </w:tc>
      </w:tr>
    </w:tbl>
    <w:p w14:paraId="367B1E6D">
      <w:pPr>
        <w:pStyle w:val="30"/>
        <w:rPr>
          <w:rFonts w:hint="default"/>
          <w:highlight w:val="none"/>
          <w:lang w:val="en-US"/>
        </w:rPr>
      </w:pPr>
    </w:p>
    <w:p w14:paraId="07D58601">
      <w:pPr>
        <w:pStyle w:val="30"/>
        <w:rPr>
          <w:rFonts w:hint="eastAsia" w:ascii="微软雅黑" w:hAnsi="微软雅黑" w:eastAsia="微软雅黑" w:cs="微软雅黑"/>
          <w:color w:val="auto"/>
          <w:sz w:val="24"/>
          <w:szCs w:val="28"/>
          <w:highlight w:val="none"/>
        </w:rPr>
      </w:pPr>
    </w:p>
    <w:p w14:paraId="77B3BF62">
      <w:pPr>
        <w:pStyle w:val="3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注：投标人应如实描述所投产品的技术参数和性能，不得完全复制粘贴上表技术参数和性能描述。因完全复制粘贴上表技术参数和性能描述而产生的不利于投标人的评审风险由投标人自行承担。</w:t>
      </w:r>
    </w:p>
    <w:p w14:paraId="67302EE1">
      <w:pPr>
        <w:pStyle w:val="4"/>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bookmarkStart w:id="218" w:name="_Toc29011"/>
      <w:r>
        <w:rPr>
          <w:rFonts w:hint="eastAsia" w:ascii="微软雅黑" w:hAnsi="微软雅黑" w:eastAsia="微软雅黑" w:cs="微软雅黑"/>
          <w:highlight w:val="none"/>
        </w:rPr>
        <w:t>第</w:t>
      </w:r>
      <w:r>
        <w:rPr>
          <w:rFonts w:hint="eastAsia" w:ascii="微软雅黑" w:hAnsi="微软雅黑" w:eastAsia="微软雅黑" w:cs="微软雅黑"/>
          <w:highlight w:val="none"/>
          <w:lang w:eastAsia="zh-CN"/>
        </w:rPr>
        <w:t>五</w:t>
      </w:r>
      <w:r>
        <w:rPr>
          <w:rFonts w:hint="eastAsia" w:ascii="微软雅黑" w:hAnsi="微软雅黑" w:eastAsia="微软雅黑" w:cs="微软雅黑"/>
          <w:highlight w:val="none"/>
        </w:rPr>
        <w:t>章 合同</w:t>
      </w:r>
      <w:bookmarkEnd w:id="218"/>
    </w:p>
    <w:p w14:paraId="767C4945">
      <w:pPr>
        <w:keepNext w:val="0"/>
        <w:keepLines w:val="0"/>
        <w:pageBreakBefore w:val="0"/>
        <w:widowControl/>
        <w:kinsoku/>
        <w:wordWrap/>
        <w:overflowPunct/>
        <w:topLinePunct w:val="0"/>
        <w:autoSpaceDE/>
        <w:autoSpaceDN/>
        <w:bidi w:val="0"/>
        <w:adjustRightInd/>
        <w:snapToGrid/>
        <w:spacing w:line="400" w:lineRule="exact"/>
        <w:ind w:firstLine="3139" w:firstLineChars="1495"/>
        <w:textAlignment w:val="auto"/>
        <w:rPr>
          <w:rFonts w:hint="eastAsia" w:ascii="微软雅黑" w:hAnsi="微软雅黑" w:eastAsia="微软雅黑" w:cs="微软雅黑"/>
          <w:bCs/>
          <w:color w:val="000000"/>
          <w:kern w:val="0"/>
          <w:szCs w:val="21"/>
          <w:highlight w:val="none"/>
        </w:rPr>
      </w:pPr>
      <w:r>
        <w:rPr>
          <w:rFonts w:hint="eastAsia" w:ascii="微软雅黑" w:hAnsi="微软雅黑" w:eastAsia="微软雅黑" w:cs="微软雅黑"/>
          <w:bCs/>
          <w:color w:val="000000"/>
          <w:kern w:val="0"/>
          <w:szCs w:val="21"/>
          <w:highlight w:val="none"/>
        </w:rPr>
        <w:t>政府采购合同（参考文本）</w:t>
      </w:r>
    </w:p>
    <w:tbl>
      <w:tblPr>
        <w:tblStyle w:val="18"/>
        <w:tblW w:w="9690" w:type="dxa"/>
        <w:tblInd w:w="-34" w:type="dxa"/>
        <w:tblLayout w:type="fixed"/>
        <w:tblCellMar>
          <w:top w:w="0" w:type="dxa"/>
          <w:left w:w="108" w:type="dxa"/>
          <w:bottom w:w="0" w:type="dxa"/>
          <w:right w:w="108" w:type="dxa"/>
        </w:tblCellMar>
      </w:tblPr>
      <w:tblGrid>
        <w:gridCol w:w="9690"/>
      </w:tblGrid>
      <w:tr w14:paraId="2E650CE9">
        <w:tblPrEx>
          <w:tblCellMar>
            <w:top w:w="0" w:type="dxa"/>
            <w:left w:w="108" w:type="dxa"/>
            <w:bottom w:w="0" w:type="dxa"/>
            <w:right w:w="108" w:type="dxa"/>
          </w:tblCellMar>
        </w:tblPrEx>
        <w:trPr>
          <w:trHeight w:val="1127" w:hRule="atLeast"/>
        </w:trPr>
        <w:tc>
          <w:tcPr>
            <w:tcW w:w="9697" w:type="dxa"/>
            <w:tcBorders>
              <w:top w:val="single" w:color="000000" w:sz="4" w:space="0"/>
              <w:left w:val="single" w:color="000000" w:sz="4" w:space="0"/>
              <w:bottom w:val="single" w:color="000000" w:sz="4" w:space="0"/>
              <w:right w:val="single" w:color="000000" w:sz="4" w:space="0"/>
            </w:tcBorders>
            <w:noWrap w:val="0"/>
            <w:vAlign w:val="top"/>
          </w:tcPr>
          <w:p w14:paraId="187224B0">
            <w:pPr>
              <w:keepNext w:val="0"/>
              <w:keepLines w:val="0"/>
              <w:pageBreakBefore w:val="0"/>
              <w:widowControl/>
              <w:kinsoku/>
              <w:wordWrap/>
              <w:overflowPunct/>
              <w:topLinePunct w:val="0"/>
              <w:autoSpaceDE/>
              <w:autoSpaceDN/>
              <w:bidi w:val="0"/>
              <w:adjustRightInd/>
              <w:snapToGrid/>
              <w:spacing w:line="400" w:lineRule="exact"/>
              <w:ind w:left="105"/>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注释： </w:t>
            </w:r>
          </w:p>
          <w:p w14:paraId="56B6CF24">
            <w:pPr>
              <w:keepNext w:val="0"/>
              <w:keepLines w:val="0"/>
              <w:pageBreakBefore w:val="0"/>
              <w:widowControl/>
              <w:kinsoku/>
              <w:wordWrap/>
              <w:overflowPunct/>
              <w:topLinePunct w:val="0"/>
              <w:autoSpaceDE/>
              <w:autoSpaceDN/>
              <w:bidi w:val="0"/>
              <w:adjustRightInd/>
              <w:snapToGrid/>
              <w:spacing w:line="400" w:lineRule="exact"/>
              <w:ind w:firstLine="720"/>
              <w:textAlignment w:val="auto"/>
              <w:rPr>
                <w:rFonts w:hint="eastAsia" w:ascii="微软雅黑" w:hAnsi="微软雅黑" w:eastAsia="微软雅黑" w:cs="微软雅黑"/>
                <w:b/>
                <w:bCs/>
                <w:color w:val="000000"/>
                <w:spacing w:val="20"/>
                <w:kern w:val="0"/>
                <w:szCs w:val="21"/>
                <w:highlight w:val="none"/>
              </w:rPr>
            </w:pPr>
            <w:r>
              <w:rPr>
                <w:rFonts w:hint="eastAsia" w:ascii="微软雅黑" w:hAnsi="微软雅黑" w:eastAsia="微软雅黑" w:cs="微软雅黑"/>
                <w:color w:val="000000"/>
                <w:kern w:val="0"/>
                <w:szCs w:val="21"/>
                <w:highlight w:val="none"/>
              </w:rPr>
              <w:t>本《政府采购合同》格式条款仅作为双方签订合同的参考，为阐明各方的权利和义务，经协商可增加新的条款。 但不得与招标文件、投标文件的实质性内容相背离。</w:t>
            </w:r>
          </w:p>
        </w:tc>
      </w:tr>
    </w:tbl>
    <w:p w14:paraId="6BCA1BF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合同编号：</w:t>
      </w:r>
    </w:p>
    <w:p w14:paraId="3F0EE5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甲方(采购人)：                   住所地：                                             </w:t>
      </w:r>
    </w:p>
    <w:p w14:paraId="319E05B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乙方（中标人）：                 住所地：</w:t>
      </w:r>
    </w:p>
    <w:p w14:paraId="170BC14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合同签订地点：　　　　  　签订日期：    年   月   日</w:t>
      </w:r>
    </w:p>
    <w:p w14:paraId="5CB75333">
      <w:pPr>
        <w:keepNext w:val="0"/>
        <w:keepLines w:val="0"/>
        <w:pageBreakBefore w:val="0"/>
        <w:widowControl/>
        <w:kinsoku/>
        <w:wordWrap/>
        <w:overflowPunct/>
        <w:topLinePunct w:val="0"/>
        <w:autoSpaceDE/>
        <w:autoSpaceDN/>
        <w:bidi w:val="0"/>
        <w:adjustRightInd/>
        <w:snapToGrid/>
        <w:spacing w:line="400" w:lineRule="exact"/>
        <w:ind w:firstLine="56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根据《中华人民共和国政府采购法》、《中华人民共和国合同法》等法律法规的规定，甲乙双方招标结果（项目名称：</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，项目编号：</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）签订本合同。</w:t>
      </w:r>
    </w:p>
    <w:p w14:paraId="7CD1491E">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b/>
          <w:bCs/>
          <w:color w:val="000000"/>
          <w:kern w:val="0"/>
          <w:szCs w:val="21"/>
          <w:highlight w:val="none"/>
        </w:rPr>
        <w:t xml:space="preserve">第一条：合同标的   </w:t>
      </w:r>
      <w:r>
        <w:rPr>
          <w:rFonts w:hint="eastAsia" w:ascii="微软雅黑" w:hAnsi="微软雅黑" w:eastAsia="微软雅黑" w:cs="微软雅黑"/>
          <w:color w:val="000000"/>
          <w:kern w:val="0"/>
          <w:szCs w:val="21"/>
          <w:highlight w:val="none"/>
        </w:rPr>
        <w:t>乙方应根据本项目要求按下列清单提供货物（或服务项目的服务范围与内容），包括产品主机、随机备品备件及专用工具等：</w:t>
      </w:r>
    </w:p>
    <w:tbl>
      <w:tblPr>
        <w:tblStyle w:val="18"/>
        <w:tblW w:w="9660" w:type="dxa"/>
        <w:tblInd w:w="108" w:type="dxa"/>
        <w:tblLayout w:type="fixed"/>
        <w:tblCellMar>
          <w:top w:w="0" w:type="dxa"/>
          <w:left w:w="108" w:type="dxa"/>
          <w:bottom w:w="0" w:type="dxa"/>
          <w:right w:w="108" w:type="dxa"/>
        </w:tblCellMar>
      </w:tblPr>
      <w:tblGrid>
        <w:gridCol w:w="1260"/>
        <w:gridCol w:w="1365"/>
        <w:gridCol w:w="1260"/>
        <w:gridCol w:w="1155"/>
        <w:gridCol w:w="1365"/>
        <w:gridCol w:w="1050"/>
        <w:gridCol w:w="945"/>
        <w:gridCol w:w="1260"/>
      </w:tblGrid>
      <w:tr w14:paraId="69F7A04D">
        <w:tblPrEx>
          <w:tblCellMar>
            <w:top w:w="0" w:type="dxa"/>
            <w:left w:w="108" w:type="dxa"/>
            <w:bottom w:w="0" w:type="dxa"/>
            <w:right w:w="108" w:type="dxa"/>
          </w:tblCellMar>
        </w:tblPrEx>
        <w:trPr>
          <w:trHeight w:val="646"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0A94D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产品名称</w:t>
            </w:r>
          </w:p>
        </w:tc>
        <w:tc>
          <w:tcPr>
            <w:tcW w:w="1365" w:type="dxa"/>
            <w:tcBorders>
              <w:top w:val="single" w:color="000000" w:sz="4" w:space="0"/>
              <w:left w:val="nil"/>
              <w:bottom w:val="single" w:color="000000" w:sz="4" w:space="0"/>
              <w:right w:val="single" w:color="000000" w:sz="4" w:space="0"/>
            </w:tcBorders>
            <w:noWrap w:val="0"/>
            <w:vAlign w:val="center"/>
          </w:tcPr>
          <w:p w14:paraId="0C303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规格型号</w:t>
            </w:r>
          </w:p>
        </w:tc>
        <w:tc>
          <w:tcPr>
            <w:tcW w:w="1260" w:type="dxa"/>
            <w:tcBorders>
              <w:top w:val="single" w:color="000000" w:sz="4" w:space="0"/>
              <w:left w:val="nil"/>
              <w:bottom w:val="single" w:color="000000" w:sz="4" w:space="0"/>
              <w:right w:val="single" w:color="000000" w:sz="4" w:space="0"/>
            </w:tcBorders>
            <w:noWrap w:val="0"/>
            <w:vAlign w:val="center"/>
          </w:tcPr>
          <w:p w14:paraId="0174DA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生产厂家</w:t>
            </w:r>
          </w:p>
        </w:tc>
        <w:tc>
          <w:tcPr>
            <w:tcW w:w="1155" w:type="dxa"/>
            <w:tcBorders>
              <w:top w:val="single" w:color="000000" w:sz="4" w:space="0"/>
              <w:left w:val="nil"/>
              <w:bottom w:val="single" w:color="000000" w:sz="4" w:space="0"/>
              <w:right w:val="single" w:color="000000" w:sz="4" w:space="0"/>
            </w:tcBorders>
            <w:noWrap w:val="0"/>
            <w:vAlign w:val="center"/>
          </w:tcPr>
          <w:p w14:paraId="768E0D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数量</w:t>
            </w:r>
          </w:p>
        </w:tc>
        <w:tc>
          <w:tcPr>
            <w:tcW w:w="1365" w:type="dxa"/>
            <w:tcBorders>
              <w:top w:val="single" w:color="000000" w:sz="4" w:space="0"/>
              <w:left w:val="nil"/>
              <w:bottom w:val="single" w:color="000000" w:sz="4" w:space="0"/>
              <w:right w:val="single" w:color="000000" w:sz="4" w:space="0"/>
            </w:tcBorders>
            <w:noWrap w:val="0"/>
            <w:vAlign w:val="center"/>
          </w:tcPr>
          <w:p w14:paraId="18A917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数 量</w:t>
            </w:r>
          </w:p>
          <w:p w14:paraId="38897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单 位</w:t>
            </w:r>
          </w:p>
        </w:tc>
        <w:tc>
          <w:tcPr>
            <w:tcW w:w="1050" w:type="dxa"/>
            <w:tcBorders>
              <w:top w:val="single" w:color="000000" w:sz="4" w:space="0"/>
              <w:left w:val="nil"/>
              <w:bottom w:val="single" w:color="000000" w:sz="4" w:space="0"/>
              <w:right w:val="single" w:color="000000" w:sz="4" w:space="0"/>
            </w:tcBorders>
            <w:noWrap w:val="0"/>
            <w:vAlign w:val="center"/>
          </w:tcPr>
          <w:p w14:paraId="108DF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单 价</w:t>
            </w:r>
          </w:p>
        </w:tc>
        <w:tc>
          <w:tcPr>
            <w:tcW w:w="945" w:type="dxa"/>
            <w:tcBorders>
              <w:top w:val="single" w:color="000000" w:sz="4" w:space="0"/>
              <w:left w:val="nil"/>
              <w:bottom w:val="single" w:color="000000" w:sz="4" w:space="0"/>
              <w:right w:val="single" w:color="000000" w:sz="4" w:space="0"/>
            </w:tcBorders>
            <w:noWrap w:val="0"/>
            <w:vAlign w:val="center"/>
          </w:tcPr>
          <w:p w14:paraId="2324A6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总 价</w:t>
            </w:r>
          </w:p>
        </w:tc>
        <w:tc>
          <w:tcPr>
            <w:tcW w:w="1260" w:type="dxa"/>
            <w:tcBorders>
              <w:top w:val="single" w:color="000000" w:sz="4" w:space="0"/>
              <w:left w:val="nil"/>
              <w:bottom w:val="single" w:color="000000" w:sz="4" w:space="0"/>
              <w:right w:val="single" w:color="000000" w:sz="4" w:space="0"/>
            </w:tcBorders>
            <w:noWrap w:val="0"/>
            <w:vAlign w:val="center"/>
          </w:tcPr>
          <w:p w14:paraId="3DF9A0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服务期限</w:t>
            </w:r>
          </w:p>
        </w:tc>
      </w:tr>
      <w:tr w14:paraId="75F3882C">
        <w:tblPrEx>
          <w:tblCellMar>
            <w:top w:w="0" w:type="dxa"/>
            <w:left w:w="108" w:type="dxa"/>
            <w:bottom w:w="0" w:type="dxa"/>
            <w:right w:w="108" w:type="dxa"/>
          </w:tblCellMar>
        </w:tblPrEx>
        <w:trPr>
          <w:trHeight w:val="319" w:hRule="exact"/>
        </w:trPr>
        <w:tc>
          <w:tcPr>
            <w:tcW w:w="1260" w:type="dxa"/>
            <w:tcBorders>
              <w:top w:val="single" w:color="000000" w:sz="4" w:space="0"/>
              <w:left w:val="single" w:color="000000" w:sz="4" w:space="0"/>
              <w:bottom w:val="single" w:color="000000" w:sz="4" w:space="0"/>
              <w:right w:val="single" w:color="000000" w:sz="4" w:space="0"/>
            </w:tcBorders>
            <w:noWrap w:val="0"/>
            <w:vAlign w:val="top"/>
          </w:tcPr>
          <w:p w14:paraId="58E5A5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2B3C23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71744D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155" w:type="dxa"/>
            <w:tcBorders>
              <w:top w:val="single" w:color="000000" w:sz="4" w:space="0"/>
              <w:left w:val="nil"/>
              <w:bottom w:val="single" w:color="000000" w:sz="4" w:space="0"/>
              <w:right w:val="single" w:color="000000" w:sz="4" w:space="0"/>
            </w:tcBorders>
            <w:noWrap w:val="0"/>
            <w:vAlign w:val="top"/>
          </w:tcPr>
          <w:p w14:paraId="0EE85C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136BB43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top"/>
          </w:tcPr>
          <w:p w14:paraId="75DEA9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945" w:type="dxa"/>
            <w:tcBorders>
              <w:top w:val="single" w:color="000000" w:sz="4" w:space="0"/>
              <w:left w:val="nil"/>
              <w:bottom w:val="single" w:color="000000" w:sz="4" w:space="0"/>
              <w:right w:val="single" w:color="000000" w:sz="4" w:space="0"/>
            </w:tcBorders>
            <w:noWrap w:val="0"/>
            <w:vAlign w:val="top"/>
          </w:tcPr>
          <w:p w14:paraId="2278695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2A8E3CE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r>
      <w:tr w14:paraId="09867E18">
        <w:tblPrEx>
          <w:tblCellMar>
            <w:top w:w="0" w:type="dxa"/>
            <w:left w:w="108" w:type="dxa"/>
            <w:bottom w:w="0" w:type="dxa"/>
            <w:right w:w="108" w:type="dxa"/>
          </w:tblCellMar>
        </w:tblPrEx>
        <w:trPr>
          <w:trHeight w:val="308" w:hRule="exact"/>
        </w:trPr>
        <w:tc>
          <w:tcPr>
            <w:tcW w:w="1260" w:type="dxa"/>
            <w:tcBorders>
              <w:top w:val="single" w:color="000000" w:sz="4" w:space="0"/>
              <w:left w:val="single" w:color="000000" w:sz="4" w:space="0"/>
              <w:bottom w:val="single" w:color="000000" w:sz="4" w:space="0"/>
              <w:right w:val="single" w:color="000000" w:sz="4" w:space="0"/>
            </w:tcBorders>
            <w:noWrap w:val="0"/>
            <w:vAlign w:val="top"/>
          </w:tcPr>
          <w:p w14:paraId="70F8D3C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708FDC8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1166C96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155" w:type="dxa"/>
            <w:tcBorders>
              <w:top w:val="single" w:color="000000" w:sz="4" w:space="0"/>
              <w:left w:val="nil"/>
              <w:bottom w:val="single" w:color="000000" w:sz="4" w:space="0"/>
              <w:right w:val="single" w:color="000000" w:sz="4" w:space="0"/>
            </w:tcBorders>
            <w:noWrap w:val="0"/>
            <w:vAlign w:val="top"/>
          </w:tcPr>
          <w:p w14:paraId="4FB87F1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4131964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top"/>
          </w:tcPr>
          <w:p w14:paraId="606BE90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945" w:type="dxa"/>
            <w:tcBorders>
              <w:top w:val="single" w:color="000000" w:sz="4" w:space="0"/>
              <w:left w:val="nil"/>
              <w:bottom w:val="single" w:color="000000" w:sz="4" w:space="0"/>
              <w:right w:val="single" w:color="000000" w:sz="4" w:space="0"/>
            </w:tcBorders>
            <w:noWrap w:val="0"/>
            <w:vAlign w:val="top"/>
          </w:tcPr>
          <w:p w14:paraId="537C3CE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7D74822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r>
      <w:tr w14:paraId="5C1A6441">
        <w:tblPrEx>
          <w:tblCellMar>
            <w:top w:w="0" w:type="dxa"/>
            <w:left w:w="108" w:type="dxa"/>
            <w:bottom w:w="0" w:type="dxa"/>
            <w:right w:w="108" w:type="dxa"/>
          </w:tblCellMar>
        </w:tblPrEx>
        <w:trPr>
          <w:trHeight w:val="329" w:hRule="exact"/>
        </w:trPr>
        <w:tc>
          <w:tcPr>
            <w:tcW w:w="1260" w:type="dxa"/>
            <w:tcBorders>
              <w:top w:val="single" w:color="000000" w:sz="4" w:space="0"/>
              <w:left w:val="single" w:color="000000" w:sz="4" w:space="0"/>
              <w:bottom w:val="single" w:color="000000" w:sz="4" w:space="0"/>
              <w:right w:val="single" w:color="000000" w:sz="4" w:space="0"/>
            </w:tcBorders>
            <w:noWrap w:val="0"/>
            <w:vAlign w:val="top"/>
          </w:tcPr>
          <w:p w14:paraId="1B68F0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490C72E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1080E27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155" w:type="dxa"/>
            <w:tcBorders>
              <w:top w:val="single" w:color="000000" w:sz="4" w:space="0"/>
              <w:left w:val="nil"/>
              <w:bottom w:val="single" w:color="000000" w:sz="4" w:space="0"/>
              <w:right w:val="single" w:color="000000" w:sz="4" w:space="0"/>
            </w:tcBorders>
            <w:noWrap w:val="0"/>
            <w:vAlign w:val="top"/>
          </w:tcPr>
          <w:p w14:paraId="697331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7C4FE4F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top"/>
          </w:tcPr>
          <w:p w14:paraId="4D3BA77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945" w:type="dxa"/>
            <w:tcBorders>
              <w:top w:val="single" w:color="000000" w:sz="4" w:space="0"/>
              <w:left w:val="nil"/>
              <w:bottom w:val="single" w:color="000000" w:sz="4" w:space="0"/>
              <w:right w:val="single" w:color="000000" w:sz="4" w:space="0"/>
            </w:tcBorders>
            <w:noWrap w:val="0"/>
            <w:vAlign w:val="top"/>
          </w:tcPr>
          <w:p w14:paraId="17C31D6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1F3457D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r>
      <w:tr w14:paraId="311D21B4">
        <w:tblPrEx>
          <w:tblCellMar>
            <w:top w:w="0" w:type="dxa"/>
            <w:left w:w="108" w:type="dxa"/>
            <w:bottom w:w="0" w:type="dxa"/>
            <w:right w:w="108" w:type="dxa"/>
          </w:tblCellMar>
        </w:tblPrEx>
        <w:trPr>
          <w:trHeight w:val="349" w:hRule="exact"/>
        </w:trPr>
        <w:tc>
          <w:tcPr>
            <w:tcW w:w="1260" w:type="dxa"/>
            <w:tcBorders>
              <w:top w:val="single" w:color="000000" w:sz="4" w:space="0"/>
              <w:left w:val="single" w:color="000000" w:sz="4" w:space="0"/>
              <w:bottom w:val="single" w:color="000000" w:sz="4" w:space="0"/>
              <w:right w:val="single" w:color="000000" w:sz="4" w:space="0"/>
            </w:tcBorders>
            <w:noWrap w:val="0"/>
            <w:vAlign w:val="top"/>
          </w:tcPr>
          <w:p w14:paraId="288C69B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682C9F7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313109D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155" w:type="dxa"/>
            <w:tcBorders>
              <w:top w:val="single" w:color="000000" w:sz="4" w:space="0"/>
              <w:left w:val="nil"/>
              <w:bottom w:val="single" w:color="000000" w:sz="4" w:space="0"/>
              <w:right w:val="single" w:color="000000" w:sz="4" w:space="0"/>
            </w:tcBorders>
            <w:noWrap w:val="0"/>
            <w:vAlign w:val="top"/>
          </w:tcPr>
          <w:p w14:paraId="568905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top"/>
          </w:tcPr>
          <w:p w14:paraId="3045091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top"/>
          </w:tcPr>
          <w:p w14:paraId="45C9DDF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945" w:type="dxa"/>
            <w:tcBorders>
              <w:top w:val="single" w:color="000000" w:sz="4" w:space="0"/>
              <w:left w:val="nil"/>
              <w:bottom w:val="single" w:color="000000" w:sz="4" w:space="0"/>
              <w:right w:val="single" w:color="000000" w:sz="4" w:space="0"/>
            </w:tcBorders>
            <w:noWrap w:val="0"/>
            <w:vAlign w:val="top"/>
          </w:tcPr>
          <w:p w14:paraId="547CF41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14:paraId="56875CB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p>
        </w:tc>
      </w:tr>
      <w:tr w14:paraId="06F1EC3B">
        <w:tblPrEx>
          <w:tblCellMar>
            <w:top w:w="0" w:type="dxa"/>
            <w:left w:w="108" w:type="dxa"/>
            <w:bottom w:w="0" w:type="dxa"/>
            <w:right w:w="108" w:type="dxa"/>
          </w:tblCellMar>
        </w:tblPrEx>
        <w:trPr>
          <w:trHeight w:val="599" w:hRule="atLeast"/>
        </w:trPr>
        <w:tc>
          <w:tcPr>
            <w:tcW w:w="9660" w:type="dxa"/>
            <w:gridSpan w:val="8"/>
            <w:tcBorders>
              <w:top w:val="single" w:color="000000" w:sz="4" w:space="0"/>
              <w:left w:val="single" w:color="000000" w:sz="4" w:space="0"/>
              <w:bottom w:val="single" w:color="000000" w:sz="4" w:space="0"/>
              <w:right w:val="single" w:color="000000" w:sz="4" w:space="0"/>
            </w:tcBorders>
            <w:noWrap w:val="0"/>
            <w:vAlign w:val="top"/>
          </w:tcPr>
          <w:p w14:paraId="27FD1D7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合同总金额（大写）人民币（¥：）</w:t>
            </w:r>
          </w:p>
        </w:tc>
      </w:tr>
    </w:tbl>
    <w:p w14:paraId="63E1115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b/>
          <w:bCs/>
          <w:color w:val="000000"/>
          <w:kern w:val="0"/>
          <w:szCs w:val="21"/>
          <w:highlight w:val="none"/>
        </w:rPr>
        <w:t xml:space="preserve">第二条：合同总价款    </w:t>
      </w:r>
      <w:r>
        <w:rPr>
          <w:rFonts w:hint="eastAsia" w:ascii="微软雅黑" w:hAnsi="微软雅黑" w:eastAsia="微软雅黑" w:cs="微软雅黑"/>
          <w:color w:val="000000"/>
          <w:kern w:val="0"/>
          <w:szCs w:val="21"/>
          <w:highlight w:val="none"/>
        </w:rPr>
        <w:t>本合同项下货物（服务）的总价款为人民币（大写）：</w:t>
      </w:r>
      <w:r>
        <w:rPr>
          <w:rFonts w:hint="eastAsia" w:ascii="微软雅黑" w:hAnsi="微软雅黑" w:eastAsia="微软雅黑" w:cs="微软雅黑"/>
          <w:bCs/>
          <w:color w:val="000000"/>
          <w:kern w:val="0"/>
          <w:szCs w:val="21"/>
          <w:highlight w:val="none"/>
        </w:rPr>
        <w:t>（</w:t>
      </w:r>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）。合同总价款中包含：本招标采购对象，及与之相关的</w:t>
      </w:r>
      <w:r>
        <w:rPr>
          <w:rFonts w:hint="eastAsia" w:ascii="微软雅黑" w:hAnsi="微软雅黑" w:eastAsia="微软雅黑" w:cs="微软雅黑"/>
          <w:color w:val="000000"/>
          <w:szCs w:val="21"/>
          <w:highlight w:val="none"/>
        </w:rPr>
        <w:t>货物设计、制造、包装、运输、装卸、</w:t>
      </w:r>
      <w:r>
        <w:rPr>
          <w:rFonts w:hint="eastAsia" w:ascii="微软雅黑" w:hAnsi="微软雅黑" w:eastAsia="微软雅黑" w:cs="微软雅黑"/>
          <w:color w:val="000000"/>
          <w:kern w:val="0"/>
          <w:szCs w:val="21"/>
          <w:highlight w:val="none"/>
        </w:rPr>
        <w:t>安装、调试、</w:t>
      </w:r>
      <w:r>
        <w:rPr>
          <w:rFonts w:hint="eastAsia" w:ascii="微软雅黑" w:hAnsi="微软雅黑" w:eastAsia="微软雅黑" w:cs="微软雅黑"/>
          <w:color w:val="000000"/>
          <w:szCs w:val="21"/>
          <w:highlight w:val="none"/>
        </w:rPr>
        <w:t>质量检验、各项税费、保险费、意外事故、等</w:t>
      </w:r>
      <w:r>
        <w:rPr>
          <w:rFonts w:hint="eastAsia" w:ascii="微软雅黑" w:hAnsi="微软雅黑" w:eastAsia="微软雅黑" w:cs="微软雅黑"/>
          <w:color w:val="000000"/>
          <w:kern w:val="0"/>
          <w:szCs w:val="21"/>
          <w:highlight w:val="none"/>
        </w:rPr>
        <w:t>验收合格前全部</w:t>
      </w:r>
      <w:r>
        <w:rPr>
          <w:rFonts w:hint="eastAsia" w:ascii="微软雅黑" w:hAnsi="微软雅黑" w:eastAsia="微软雅黑" w:cs="微软雅黑"/>
          <w:color w:val="000000"/>
          <w:szCs w:val="21"/>
          <w:highlight w:val="none"/>
        </w:rPr>
        <w:t>费用</w:t>
      </w:r>
      <w:r>
        <w:rPr>
          <w:rFonts w:hint="eastAsia" w:ascii="微软雅黑" w:hAnsi="微软雅黑" w:eastAsia="微软雅黑" w:cs="微软雅黑"/>
          <w:color w:val="000000"/>
          <w:kern w:val="0"/>
          <w:szCs w:val="21"/>
          <w:highlight w:val="none"/>
        </w:rPr>
        <w:t>，以及备品备件、专用工具、技术培训、技术资料、保修期内的各项保修和系统维护费用、相应的伴随服务和售后服务费用等。</w:t>
      </w:r>
    </w:p>
    <w:p w14:paraId="0CE791C2">
      <w:pPr>
        <w:pStyle w:val="10"/>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微软雅黑" w:hAnsi="微软雅黑" w:eastAsia="微软雅黑" w:cs="微软雅黑"/>
          <w:color w:val="000000"/>
          <w:highlight w:val="none"/>
        </w:rPr>
      </w:pPr>
      <w:r>
        <w:rPr>
          <w:rFonts w:hint="eastAsia" w:ascii="微软雅黑" w:hAnsi="微软雅黑" w:eastAsia="微软雅黑" w:cs="微软雅黑"/>
          <w:b/>
          <w:bCs/>
          <w:color w:val="000000"/>
          <w:highlight w:val="none"/>
        </w:rPr>
        <w:t>第三条：组成本合同的有关文件　　</w:t>
      </w:r>
      <w:r>
        <w:rPr>
          <w:rFonts w:hint="eastAsia" w:ascii="微软雅黑" w:hAnsi="微软雅黑" w:eastAsia="微软雅黑" w:cs="微软雅黑"/>
          <w:color w:val="000000"/>
          <w:highlight w:val="none"/>
        </w:rPr>
        <w:t>本项目的招标文件及补充文件、乙方投标文件、中标通知书、经双方和有关监督部门同意的相关变更、补充协议、澄清确认函（如果有的话）及与本次采购活动相关的文件及附件是本合同不可分割的组成部分，与本合同具有同等法律效力。构成本合同组成部分的洽商、变更等书面协议或文件，其优先顺序应视其内容与本合同及其他文件的关系而定。</w:t>
      </w:r>
    </w:p>
    <w:p w14:paraId="42FA7545">
      <w:pPr>
        <w:pStyle w:val="10"/>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微软雅黑" w:hAnsi="微软雅黑" w:eastAsia="微软雅黑" w:cs="微软雅黑"/>
          <w:b/>
          <w:bCs/>
          <w:color w:val="000000"/>
          <w:highlight w:val="none"/>
        </w:rPr>
      </w:pPr>
      <w:r>
        <w:rPr>
          <w:rFonts w:hint="eastAsia" w:ascii="微软雅黑" w:hAnsi="微软雅黑" w:eastAsia="微软雅黑" w:cs="微软雅黑"/>
          <w:b/>
          <w:bCs/>
          <w:color w:val="000000"/>
          <w:highlight w:val="none"/>
        </w:rPr>
        <w:t>第四条  权利保证　　</w:t>
      </w:r>
      <w:r>
        <w:rPr>
          <w:rFonts w:hint="eastAsia" w:ascii="微软雅黑" w:hAnsi="微软雅黑" w:eastAsia="微软雅黑" w:cs="微软雅黑"/>
          <w:color w:val="000000"/>
          <w:highlight w:val="none"/>
        </w:rPr>
        <w:t>乙方应保证甲方在使用该货物（服务）或其任何一部分时不受第三方提出侵犯其专利权、版权、商标权或其他权利的起诉。一旦出现侵权，乙方应承担全部责任。</w:t>
      </w:r>
    </w:p>
    <w:p w14:paraId="6112EDB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第五条  质量保证</w:t>
      </w:r>
    </w:p>
    <w:p w14:paraId="771FC30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color w:val="000000"/>
          <w:kern w:val="0"/>
          <w:szCs w:val="21"/>
          <w:highlight w:val="none"/>
        </w:rPr>
        <w:t>1、乙方所提供的货物（服务）的技术规格标准应与招标文件规定的技术规格标准相一致；若技术性能标准无特殊说明，则按国家有关部门最新颁布的标准及规范为准。</w:t>
      </w:r>
    </w:p>
    <w:p w14:paraId="10A3B89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乙方应保证货物是全新、未使用过的原装合格正品，并完全符合本项目规定的质量、规格和性能的要求。乙方应保证其提供的货物在正确安装、正常使用和保养条件下，在其使用寿命期限内具有良好的性能。货物验收后，在质保期内，乙方应对由于设计、工艺或材料的缺陷所发生的任何不足或故障负责，所需费用由乙方承担。</w:t>
      </w:r>
    </w:p>
    <w:p w14:paraId="7F2F3E2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第六条  包装要求</w:t>
      </w:r>
    </w:p>
    <w:p w14:paraId="2475679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31C8B79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2、每一包装单元内应附详细的装箱单和质量合格凭证。</w:t>
      </w:r>
    </w:p>
    <w:p w14:paraId="138886B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第七条  交货和验收</w:t>
      </w:r>
    </w:p>
    <w:p w14:paraId="780B8032">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1、交货（服务）地点：</w:t>
      </w:r>
    </w:p>
    <w:p w14:paraId="5A9CEE00">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2、交货（服务）期限：</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天，从</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计算。</w:t>
      </w:r>
    </w:p>
    <w:p w14:paraId="7C2F918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3、乙方交付的货物（服务）应当完全符合本合同、招标文件及投标文件所规定的货物、数量和规格要求，不符要求的，甲方有权拒收货物，由此引起的风险，由乙方承担。</w:t>
      </w:r>
    </w:p>
    <w:p w14:paraId="5665ECE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4、货物的到货验收包括：型号、规格、数量、外观质量、及货物包装是否完好。</w:t>
      </w:r>
    </w:p>
    <w:p w14:paraId="5C50197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80891D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6、甲方应当在到货后的</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日内对货物进行验收；需要乙方对货物或系统进行安装调试的，甲方应在货物安装调试完毕后的</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日内进行质量验收。验收合格的，由甲方签署验收单并加盖单位公章。招标文件对检验期限另有规定的，从其规定。</w:t>
      </w:r>
    </w:p>
    <w:p w14:paraId="13C0A9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7、货物和系统调试验收的标准：按行业通行标准、厂方出厂标准和乙方投标文件的承诺（详细标准可在合同附件载明，且不得低于国家相关标准）。</w:t>
      </w:r>
    </w:p>
    <w:p w14:paraId="1366FF2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第八条  伴随服务及售后服务</w:t>
      </w:r>
    </w:p>
    <w:p w14:paraId="144720E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1、乙方应按照国家有关法律法规规定和“三包”规定以及乙方对本项目的“服务承诺”提供服务。</w:t>
      </w:r>
    </w:p>
    <w:p w14:paraId="50D7FCC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2、除前款规定外，乙方还应提供下列服务：</w:t>
      </w:r>
    </w:p>
    <w:p w14:paraId="2CFD3AE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（1）货物的现场安装、调试及启动监督；</w:t>
      </w:r>
    </w:p>
    <w:p w14:paraId="2707A72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（2）就货物的安装、启动、运行及维护等对甲方人员进行免费培训。</w:t>
      </w:r>
    </w:p>
    <w:p w14:paraId="2D9DAF0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3、若招标文件中不包含有关伴随服务或售后服务的承诺，双方作如下约定：</w:t>
      </w:r>
    </w:p>
    <w:p w14:paraId="32B549F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12E9C7C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3.2、 货物中若包含电脑产品则由乙方提供至少年的整机保修和系统维护；若为其他货物则按生产厂家的标准执行，但不得少于 </w:t>
      </w:r>
      <w:r>
        <w:rPr>
          <w:rFonts w:hint="eastAsia" w:ascii="微软雅黑" w:hAnsi="微软雅黑" w:eastAsia="微软雅黑" w:cs="微软雅黑"/>
          <w:color w:val="000000"/>
          <w:kern w:val="0"/>
          <w:szCs w:val="21"/>
          <w:highlight w:val="none"/>
          <w:u w:val="single"/>
        </w:rPr>
        <w:t>1</w:t>
      </w:r>
      <w:r>
        <w:rPr>
          <w:rFonts w:hint="eastAsia" w:ascii="微软雅黑" w:hAnsi="微软雅黑" w:eastAsia="微软雅黑" w:cs="微软雅黑"/>
          <w:color w:val="000000"/>
          <w:kern w:val="0"/>
          <w:szCs w:val="21"/>
          <w:highlight w:val="none"/>
        </w:rPr>
        <w:t>年（请分别列出：）；保修期自甲方在货物质量验收单上签字之日起计算，保修费用包含在合同总价中。</w:t>
      </w:r>
    </w:p>
    <w:p w14:paraId="6B98CFF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3.3、 免费保修期：</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，保修期内，乙方负责对其提供的货物整机进行维修和系统维护，不再收取任何费用。</w:t>
      </w:r>
    </w:p>
    <w:p w14:paraId="5ACEC6B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3.4、 货物故障报修的响应时间为：</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小时。</w:t>
      </w:r>
    </w:p>
    <w:p w14:paraId="6977A37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3.5、若货物故障在检修小时后仍无法排除，乙方应在48小时内免费提供不低于故障货物规格型号档次的备用货物供甲方使用，直至故障货物修复。</w:t>
      </w:r>
    </w:p>
    <w:p w14:paraId="1B48D42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3.6、 所有货物保修服务方式均为乙方上门保修，即由乙方派人到货物使用现场维修，由此产生的一切费用均由乙方承担。</w:t>
      </w:r>
    </w:p>
    <w:p w14:paraId="4966E93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3.7、 保修期以后的维修维护由双方协商再定。</w:t>
      </w:r>
    </w:p>
    <w:p w14:paraId="1CAA234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第九条   履约保证金</w:t>
      </w:r>
    </w:p>
    <w:p w14:paraId="47F52AC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本合同签订生效以前乙方应按招标文件规定的金额向甲方或甲方指定的机构提交履约保证金。如乙方未能履行合同规定的义务，甲方有权扣除其履约保证金。</w:t>
      </w:r>
    </w:p>
    <w:p w14:paraId="02FE9A4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第十条   货款支付</w:t>
      </w:r>
    </w:p>
    <w:p w14:paraId="4A6CABA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1、付款方式（方式）。本合同项下所有款项均以人民币支付。</w:t>
      </w:r>
    </w:p>
    <w:p w14:paraId="010FE2D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如本合同项下的采购资金系甲方自行支付，乙方向甲方开具发票，甲方在签署验收单后按付款方式约定付款。如合同项下的采购资金系财政拨款，则出具经甲方盖章确认的发票复印件、经甲方签署的验收单、合同副本等材料，按付款方式约定申请拨付款项。</w:t>
      </w:r>
    </w:p>
    <w:p w14:paraId="4ABFD2A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第十一条 违约责任</w:t>
      </w:r>
    </w:p>
    <w:p w14:paraId="1F0D794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1、甲方无正当理由拒绝接收货物（服务）、拒付货物（服务）款的，由甲方向乙方偿付合同总价的5%违约金。</w:t>
      </w:r>
    </w:p>
    <w:p w14:paraId="70A14B6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2、甲方未按合同规定的期限向乙方支付货款的，每逾期1天甲方向乙方偿付</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滞纳金，但累计滞纳金总额不超过欠款总额的5% 。</w:t>
      </w:r>
    </w:p>
    <w:p w14:paraId="70BA2F1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3、如乙方不能按约定交付货物（服务），或交付的货物（服务）质量、品种、型号、规格等不符合合同规定或有关标准，甲方有权拒收，并扣除其履约保证金；同时乙方应向甲方支付合同总价５％的违约金。</w:t>
      </w:r>
    </w:p>
    <w:p w14:paraId="01F84B9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 乙方逾期交付货物的，每逾期1天，乙方向甲方偿付</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滞纳金。如乙方逾期交货达</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天，甲方有权解除合同，解除合同的通知自到达乙方时生效。</w:t>
      </w:r>
    </w:p>
    <w:p w14:paraId="46ACA42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5、在乙方承诺的或国家规定的质保期内（取两者中最长的期限），如经乙方两次维修或更换，货物仍不能达到合同约定的质量标准，甲方有权退货，乙方应退回全部货款，并扣除乙方质量保证金，同时，乙方还须赔偿甲方因此遭受的损失。</w:t>
      </w:r>
    </w:p>
    <w:p w14:paraId="292933C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6、乙方违反本合同有关约定或未按“服务承诺”提供伴随服务/售后服务的，每次扣除乙方违约金</w:t>
      </w:r>
      <w:r>
        <w:rPr>
          <w:rFonts w:hint="eastAsia" w:ascii="微软雅黑" w:hAnsi="微软雅黑" w:eastAsia="微软雅黑" w:cs="微软雅黑"/>
          <w:color w:val="000000"/>
          <w:kern w:val="0"/>
          <w:szCs w:val="21"/>
          <w:highlight w:val="none"/>
          <w:u w:val="single"/>
        </w:rPr>
        <w:t>　　　　　</w:t>
      </w:r>
      <w:r>
        <w:rPr>
          <w:rFonts w:hint="eastAsia" w:ascii="微软雅黑" w:hAnsi="微软雅黑" w:eastAsia="微软雅黑" w:cs="微软雅黑"/>
          <w:color w:val="000000"/>
          <w:kern w:val="0"/>
          <w:szCs w:val="21"/>
          <w:highlight w:val="none"/>
        </w:rPr>
        <w:t>元（合同另有约定的从其约定）。</w:t>
      </w:r>
    </w:p>
    <w:p w14:paraId="013407B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7、乙方在承担上述一项或多项违约责任后，仍应继续履行合同规定的义务（甲方解除合同的除外）。甲方未及时追究乙方的任何一项违约责任并不表明甲方放弃追究乙方该项或其他违约责任。</w:t>
      </w:r>
    </w:p>
    <w:p w14:paraId="0CA0800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第十二条 合同的变更补充，终止及转让　　</w:t>
      </w:r>
      <w:r>
        <w:rPr>
          <w:rFonts w:hint="eastAsia" w:ascii="微软雅黑" w:hAnsi="微软雅黑" w:eastAsia="微软雅黑" w:cs="微软雅黑"/>
          <w:color w:val="000000"/>
          <w:kern w:val="0"/>
          <w:szCs w:val="21"/>
          <w:highlight w:val="none"/>
        </w:rPr>
        <w:t>除《政府采购法》第49条、第50条第二款规定的情形外，本合同一经签订，甲乙双方不得擅自变更、中止或终止合同。合同的变更和补充追加需经开封市政府采购监督管理办公室审核备案后生效。乙方不得擅自部分或全部转让其应履行的合同义务。</w:t>
      </w:r>
    </w:p>
    <w:p w14:paraId="3949E49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第十三条 　不可抗力　　</w:t>
      </w:r>
    </w:p>
    <w:p w14:paraId="2AED3F1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1、</w:t>
      </w:r>
      <w:r>
        <w:rPr>
          <w:rFonts w:hint="eastAsia" w:ascii="微软雅黑" w:hAnsi="微软雅黑" w:eastAsia="微软雅黑" w:cs="微软雅黑"/>
          <w:color w:val="000000"/>
          <w:kern w:val="0"/>
          <w:szCs w:val="21"/>
          <w:highlight w:val="none"/>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14:paraId="335CC6C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本合同中的不可抗力指不能预见、不能避免并不能克服的客观情况。包括但不限于：自然灾害如地震、台风、洪水、火灾；政府行为、法律规定或其适用的其他任何无法预见、避免或者控制的事件（市场价格波动风险不在此列）。</w:t>
      </w:r>
    </w:p>
    <w:p w14:paraId="437131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第十四条  争议的解决</w:t>
      </w:r>
    </w:p>
    <w:p w14:paraId="43DCB56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1、因质量问题发生争议的，应当邀请国家认可的质量检测机构进行鉴定。经鉴定符合标准的，鉴定费由甲方承担；不符合质量标准的，鉴定费由乙方承担。</w:t>
      </w:r>
    </w:p>
    <w:p w14:paraId="49EFF02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2、因履行本合同引起的或与本合同有关的争议，甲、乙双方应首先通过友好协商解决，如果协商不能解决争议，任何一方均可以向甲方所在地有管辖权的人民法院提起诉讼。</w:t>
      </w:r>
    </w:p>
    <w:p w14:paraId="6BAD2C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第十五条   合同生效及其他</w:t>
      </w:r>
    </w:p>
    <w:p w14:paraId="1329463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color w:val="000000"/>
          <w:kern w:val="0"/>
          <w:szCs w:val="21"/>
          <w:highlight w:val="none"/>
        </w:rPr>
        <w:t>1、本合同未尽事宜，双方另行补充。</w:t>
      </w:r>
    </w:p>
    <w:p w14:paraId="61BE7F32">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w:t>
      </w:r>
      <w:r>
        <w:rPr>
          <w:rFonts w:hint="eastAsia" w:ascii="微软雅黑" w:hAnsi="微软雅黑" w:eastAsia="微软雅黑" w:cs="微软雅黑"/>
          <w:bCs/>
          <w:color w:val="000000"/>
          <w:kern w:val="0"/>
          <w:szCs w:val="21"/>
          <w:highlight w:val="none"/>
        </w:rPr>
        <w:t>本合同一式陆份，甲、乙双方授权代表签字并盖单位公章后生效。甲方、乙方各执贰份，均具有同等法律效力。</w:t>
      </w:r>
    </w:p>
    <w:p w14:paraId="1678CA5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甲    方：                 　乙    方：</w:t>
      </w:r>
    </w:p>
    <w:p w14:paraId="27E8AF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单位地址：                   单位地址：</w:t>
      </w:r>
    </w:p>
    <w:p w14:paraId="7DD1E55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法定代表人：                 法定代表人：</w:t>
      </w:r>
    </w:p>
    <w:p w14:paraId="7C88FA1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委托代理人：                 委托代理人：</w:t>
      </w:r>
    </w:p>
    <w:p w14:paraId="717F21D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电    话：                   电    话：</w:t>
      </w:r>
    </w:p>
    <w:p w14:paraId="22C875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开户银行：                   开户银行：</w:t>
      </w:r>
    </w:p>
    <w:p w14:paraId="55F2B7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账    号：                   账    号：</w:t>
      </w:r>
    </w:p>
    <w:p w14:paraId="3655288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年月日                        年月日</w:t>
      </w:r>
      <w:bookmarkStart w:id="219" w:name="_Toc12340"/>
    </w:p>
    <w:p w14:paraId="3F1080FE">
      <w:pPr>
        <w:widowControl/>
        <w:spacing w:line="440" w:lineRule="exact"/>
        <w:rPr>
          <w:rFonts w:hint="eastAsia" w:ascii="微软雅黑" w:hAnsi="微软雅黑" w:eastAsia="微软雅黑" w:cs="微软雅黑"/>
          <w:color w:val="000000"/>
          <w:kern w:val="0"/>
          <w:szCs w:val="21"/>
          <w:highlight w:val="none"/>
        </w:rPr>
      </w:pPr>
    </w:p>
    <w:p w14:paraId="5AA1D216">
      <w:pPr>
        <w:widowControl/>
        <w:spacing w:line="440" w:lineRule="exact"/>
        <w:rPr>
          <w:rFonts w:hint="eastAsia" w:ascii="微软雅黑" w:hAnsi="微软雅黑" w:eastAsia="微软雅黑" w:cs="微软雅黑"/>
          <w:color w:val="000000"/>
          <w:kern w:val="0"/>
          <w:szCs w:val="21"/>
          <w:highlight w:val="none"/>
        </w:rPr>
      </w:pPr>
    </w:p>
    <w:p w14:paraId="46EB6936">
      <w:pPr>
        <w:widowControl/>
        <w:spacing w:line="440" w:lineRule="exact"/>
        <w:rPr>
          <w:rFonts w:hint="eastAsia" w:ascii="微软雅黑" w:hAnsi="微软雅黑" w:eastAsia="微软雅黑" w:cs="微软雅黑"/>
          <w:color w:val="000000"/>
          <w:kern w:val="0"/>
          <w:sz w:val="24"/>
          <w:highlight w:val="none"/>
        </w:rPr>
      </w:pPr>
    </w:p>
    <w:p w14:paraId="678B0190">
      <w:pPr>
        <w:widowControl/>
        <w:spacing w:line="440" w:lineRule="exact"/>
        <w:rPr>
          <w:rFonts w:hint="eastAsia" w:ascii="微软雅黑" w:hAnsi="微软雅黑" w:eastAsia="微软雅黑" w:cs="微软雅黑"/>
          <w:color w:val="000000"/>
          <w:kern w:val="0"/>
          <w:sz w:val="24"/>
          <w:highlight w:val="none"/>
        </w:rPr>
      </w:pPr>
    </w:p>
    <w:p w14:paraId="23909EB7">
      <w:pPr>
        <w:pStyle w:val="4"/>
        <w:jc w:val="center"/>
        <w:rPr>
          <w:rFonts w:hint="eastAsia" w:ascii="微软雅黑" w:hAnsi="微软雅黑" w:eastAsia="微软雅黑" w:cs="微软雅黑"/>
          <w:highlight w:val="none"/>
        </w:rPr>
      </w:pPr>
      <w:bookmarkStart w:id="220" w:name="_Toc11653"/>
      <w:r>
        <w:rPr>
          <w:rFonts w:hint="eastAsia" w:ascii="微软雅黑" w:hAnsi="微软雅黑" w:eastAsia="微软雅黑" w:cs="微软雅黑"/>
          <w:highlight w:val="none"/>
        </w:rPr>
        <w:t>第</w:t>
      </w:r>
      <w:r>
        <w:rPr>
          <w:rFonts w:hint="eastAsia" w:ascii="微软雅黑" w:hAnsi="微软雅黑" w:eastAsia="微软雅黑" w:cs="微软雅黑"/>
          <w:highlight w:val="none"/>
          <w:lang w:eastAsia="zh-CN"/>
        </w:rPr>
        <w:t>六</w:t>
      </w:r>
      <w:r>
        <w:rPr>
          <w:rFonts w:hint="eastAsia" w:ascii="微软雅黑" w:hAnsi="微软雅黑" w:eastAsia="微软雅黑" w:cs="微软雅黑"/>
          <w:highlight w:val="none"/>
        </w:rPr>
        <w:t>章 投标文件格式</w:t>
      </w:r>
      <w:bookmarkEnd w:id="219"/>
      <w:bookmarkEnd w:id="220"/>
    </w:p>
    <w:p w14:paraId="5E0690B2">
      <w:pPr>
        <w:spacing w:line="360" w:lineRule="auto"/>
        <w:ind w:firstLine="480" w:firstLineChars="200"/>
        <w:rPr>
          <w:rFonts w:hint="eastAsia" w:ascii="微软雅黑" w:hAnsi="微软雅黑" w:eastAsia="微软雅黑" w:cs="微软雅黑"/>
          <w:b/>
          <w:color w:val="000000"/>
          <w:sz w:val="24"/>
          <w:highlight w:val="none"/>
        </w:rPr>
      </w:pPr>
    </w:p>
    <w:p w14:paraId="72A4E8C1">
      <w:pPr>
        <w:spacing w:line="360" w:lineRule="auto"/>
        <w:ind w:firstLine="480" w:firstLineChars="200"/>
        <w:rPr>
          <w:rFonts w:hint="eastAsia" w:ascii="微软雅黑" w:hAnsi="微软雅黑" w:eastAsia="微软雅黑" w:cs="微软雅黑"/>
          <w:b/>
          <w:color w:val="000000"/>
          <w:sz w:val="24"/>
          <w:highlight w:val="none"/>
        </w:rPr>
      </w:pPr>
    </w:p>
    <w:p w14:paraId="72C87C74">
      <w:pPr>
        <w:spacing w:line="360" w:lineRule="auto"/>
        <w:jc w:val="center"/>
        <w:rPr>
          <w:rFonts w:hint="eastAsia" w:ascii="微软雅黑" w:hAnsi="微软雅黑" w:eastAsia="微软雅黑" w:cs="微软雅黑"/>
          <w:b/>
          <w:sz w:val="32"/>
          <w:szCs w:val="20"/>
          <w:highlight w:val="none"/>
        </w:rPr>
      </w:pPr>
      <w:r>
        <w:rPr>
          <w:rFonts w:hint="eastAsia" w:ascii="微软雅黑" w:hAnsi="微软雅黑" w:eastAsia="微软雅黑" w:cs="微软雅黑"/>
          <w:b/>
          <w:sz w:val="32"/>
          <w:szCs w:val="20"/>
          <w:highlight w:val="none"/>
          <w:u w:val="single"/>
        </w:rPr>
        <w:t xml:space="preserve">                   </w:t>
      </w:r>
      <w:r>
        <w:rPr>
          <w:rFonts w:hint="eastAsia" w:ascii="微软雅黑" w:hAnsi="微软雅黑" w:eastAsia="微软雅黑" w:cs="微软雅黑"/>
          <w:b/>
          <w:sz w:val="32"/>
          <w:szCs w:val="20"/>
          <w:highlight w:val="none"/>
        </w:rPr>
        <w:t>（项目名称）</w:t>
      </w:r>
    </w:p>
    <w:p w14:paraId="0C0A9857">
      <w:pPr>
        <w:spacing w:line="360" w:lineRule="auto"/>
        <w:jc w:val="center"/>
        <w:rPr>
          <w:rFonts w:hint="eastAsia" w:ascii="微软雅黑" w:hAnsi="微软雅黑" w:eastAsia="微软雅黑" w:cs="微软雅黑"/>
          <w:b/>
          <w:sz w:val="32"/>
          <w:szCs w:val="20"/>
          <w:highlight w:val="none"/>
        </w:rPr>
      </w:pPr>
    </w:p>
    <w:p w14:paraId="3C2289B9">
      <w:pPr>
        <w:spacing w:line="360" w:lineRule="auto"/>
        <w:jc w:val="center"/>
        <w:rPr>
          <w:rFonts w:hint="eastAsia" w:ascii="微软雅黑" w:hAnsi="微软雅黑" w:eastAsia="微软雅黑" w:cs="微软雅黑"/>
          <w:b/>
          <w:color w:val="000000"/>
          <w:sz w:val="24"/>
          <w:highlight w:val="none"/>
        </w:rPr>
      </w:pPr>
    </w:p>
    <w:p w14:paraId="303CF8CF">
      <w:pPr>
        <w:spacing w:line="360" w:lineRule="auto"/>
        <w:jc w:val="center"/>
        <w:rPr>
          <w:rFonts w:hint="eastAsia" w:ascii="微软雅黑" w:hAnsi="微软雅黑" w:eastAsia="微软雅黑" w:cs="微软雅黑"/>
          <w:b/>
          <w:color w:val="000000"/>
          <w:sz w:val="52"/>
          <w:szCs w:val="52"/>
          <w:highlight w:val="none"/>
        </w:rPr>
      </w:pPr>
      <w:r>
        <w:rPr>
          <w:rFonts w:hint="eastAsia" w:ascii="微软雅黑" w:hAnsi="微软雅黑" w:eastAsia="微软雅黑" w:cs="微软雅黑"/>
          <w:b/>
          <w:color w:val="000000"/>
          <w:sz w:val="52"/>
          <w:szCs w:val="52"/>
          <w:highlight w:val="none"/>
        </w:rPr>
        <w:t>投标文件</w:t>
      </w:r>
    </w:p>
    <w:p w14:paraId="4DBC5779">
      <w:pPr>
        <w:pStyle w:val="10"/>
        <w:spacing w:line="360" w:lineRule="auto"/>
        <w:rPr>
          <w:rFonts w:hint="eastAsia" w:ascii="微软雅黑" w:hAnsi="微软雅黑" w:eastAsia="微软雅黑" w:cs="微软雅黑"/>
          <w:b/>
          <w:color w:val="000000"/>
          <w:sz w:val="24"/>
          <w:szCs w:val="24"/>
          <w:highlight w:val="none"/>
        </w:rPr>
      </w:pPr>
      <w:r>
        <w:rPr>
          <w:rFonts w:hint="eastAsia" w:ascii="微软雅黑" w:hAnsi="微软雅黑" w:eastAsia="微软雅黑" w:cs="微软雅黑"/>
          <w:b/>
          <w:color w:val="000000"/>
          <w:sz w:val="24"/>
          <w:szCs w:val="24"/>
          <w:highlight w:val="none"/>
        </w:rPr>
        <w:t xml:space="preserve">                                    项目编号：           </w:t>
      </w:r>
    </w:p>
    <w:p w14:paraId="0D103BF7">
      <w:pPr>
        <w:spacing w:line="360" w:lineRule="auto"/>
        <w:jc w:val="center"/>
        <w:rPr>
          <w:rFonts w:hint="eastAsia" w:ascii="微软雅黑" w:hAnsi="微软雅黑" w:eastAsia="微软雅黑" w:cs="微软雅黑"/>
          <w:color w:val="000000"/>
          <w:sz w:val="24"/>
          <w:highlight w:val="none"/>
        </w:rPr>
      </w:pPr>
    </w:p>
    <w:p w14:paraId="4C6C3063">
      <w:pPr>
        <w:spacing w:line="360" w:lineRule="auto"/>
        <w:rPr>
          <w:rFonts w:hint="eastAsia" w:ascii="微软雅黑" w:hAnsi="微软雅黑" w:eastAsia="微软雅黑" w:cs="微软雅黑"/>
          <w:b/>
          <w:color w:val="000000"/>
          <w:sz w:val="24"/>
          <w:highlight w:val="none"/>
        </w:rPr>
      </w:pPr>
    </w:p>
    <w:p w14:paraId="7F9D23F8">
      <w:pPr>
        <w:spacing w:line="360" w:lineRule="auto"/>
        <w:rPr>
          <w:rFonts w:hint="eastAsia" w:ascii="微软雅黑" w:hAnsi="微软雅黑" w:eastAsia="微软雅黑" w:cs="微软雅黑"/>
          <w:color w:val="000000"/>
          <w:sz w:val="24"/>
          <w:highlight w:val="none"/>
        </w:rPr>
      </w:pPr>
    </w:p>
    <w:p w14:paraId="38D49CA7">
      <w:pPr>
        <w:spacing w:line="360" w:lineRule="auto"/>
        <w:rPr>
          <w:rFonts w:hint="eastAsia" w:ascii="微软雅黑" w:hAnsi="微软雅黑" w:eastAsia="微软雅黑" w:cs="微软雅黑"/>
          <w:color w:val="000000"/>
          <w:sz w:val="24"/>
          <w:highlight w:val="none"/>
        </w:rPr>
      </w:pPr>
    </w:p>
    <w:p w14:paraId="1168B1B6">
      <w:pPr>
        <w:spacing w:line="360" w:lineRule="auto"/>
        <w:rPr>
          <w:rFonts w:hint="eastAsia" w:ascii="微软雅黑" w:hAnsi="微软雅黑" w:eastAsia="微软雅黑" w:cs="微软雅黑"/>
          <w:color w:val="000000"/>
          <w:sz w:val="24"/>
          <w:highlight w:val="none"/>
        </w:rPr>
      </w:pPr>
    </w:p>
    <w:p w14:paraId="53CA2469">
      <w:pPr>
        <w:spacing w:line="360" w:lineRule="auto"/>
        <w:rPr>
          <w:rFonts w:hint="eastAsia" w:ascii="微软雅黑" w:hAnsi="微软雅黑" w:eastAsia="微软雅黑" w:cs="微软雅黑"/>
          <w:color w:val="000000"/>
          <w:sz w:val="24"/>
          <w:highlight w:val="none"/>
        </w:rPr>
      </w:pPr>
    </w:p>
    <w:p w14:paraId="10C0D307">
      <w:pPr>
        <w:spacing w:line="480" w:lineRule="auto"/>
        <w:jc w:val="center"/>
        <w:rPr>
          <w:rFonts w:hint="eastAsia" w:ascii="微软雅黑" w:hAnsi="微软雅黑" w:eastAsia="微软雅黑" w:cs="微软雅黑"/>
          <w:b/>
          <w:sz w:val="24"/>
          <w:highlight w:val="none"/>
          <w:u w:val="single"/>
        </w:rPr>
      </w:pPr>
      <w:bookmarkStart w:id="221" w:name="_Toc6892"/>
      <w:r>
        <w:rPr>
          <w:rFonts w:hint="eastAsia" w:ascii="微软雅黑" w:hAnsi="微软雅黑" w:eastAsia="微软雅黑" w:cs="微软雅黑"/>
          <w:b/>
          <w:sz w:val="24"/>
          <w:highlight w:val="none"/>
        </w:rPr>
        <w:t xml:space="preserve">    投标人：</w:t>
      </w:r>
      <w:r>
        <w:rPr>
          <w:rFonts w:hint="eastAsia" w:ascii="微软雅黑" w:hAnsi="微软雅黑" w:eastAsia="微软雅黑" w:cs="微软雅黑"/>
          <w:b/>
          <w:sz w:val="24"/>
          <w:highlight w:val="none"/>
          <w:u w:val="single"/>
        </w:rPr>
        <w:t xml:space="preserve">                             </w:t>
      </w:r>
      <w:r>
        <w:rPr>
          <w:rFonts w:hint="eastAsia" w:ascii="微软雅黑" w:hAnsi="微软雅黑" w:eastAsia="微软雅黑" w:cs="微软雅黑"/>
          <w:b/>
          <w:sz w:val="24"/>
          <w:highlight w:val="none"/>
        </w:rPr>
        <w:t>（电子章）</w:t>
      </w:r>
    </w:p>
    <w:p w14:paraId="4BC1D5A0">
      <w:pPr>
        <w:spacing w:line="480" w:lineRule="auto"/>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 xml:space="preserve">                法定代表人或授权委托人：</w:t>
      </w:r>
      <w:r>
        <w:rPr>
          <w:rFonts w:hint="eastAsia" w:ascii="微软雅黑" w:hAnsi="微软雅黑" w:eastAsia="微软雅黑" w:cs="微软雅黑"/>
          <w:b/>
          <w:sz w:val="24"/>
          <w:highlight w:val="none"/>
          <w:u w:val="single"/>
        </w:rPr>
        <w:t xml:space="preserve">                </w:t>
      </w:r>
      <w:r>
        <w:rPr>
          <w:rFonts w:hint="eastAsia" w:ascii="微软雅黑" w:hAnsi="微软雅黑" w:eastAsia="微软雅黑" w:cs="微软雅黑"/>
          <w:b/>
          <w:sz w:val="24"/>
          <w:highlight w:val="none"/>
        </w:rPr>
        <w:t>（签字或盖章）</w:t>
      </w:r>
    </w:p>
    <w:p w14:paraId="47A22EB1">
      <w:pPr>
        <w:spacing w:line="480" w:lineRule="auto"/>
        <w:jc w:val="center"/>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u w:val="single"/>
        </w:rPr>
        <w:t xml:space="preserve">        </w:t>
      </w:r>
      <w:r>
        <w:rPr>
          <w:rFonts w:hint="eastAsia" w:ascii="微软雅黑" w:hAnsi="微软雅黑" w:eastAsia="微软雅黑" w:cs="微软雅黑"/>
          <w:b/>
          <w:sz w:val="24"/>
          <w:highlight w:val="none"/>
        </w:rPr>
        <w:t>年</w:t>
      </w:r>
      <w:r>
        <w:rPr>
          <w:rFonts w:hint="eastAsia" w:ascii="微软雅黑" w:hAnsi="微软雅黑" w:eastAsia="微软雅黑" w:cs="微软雅黑"/>
          <w:b/>
          <w:sz w:val="24"/>
          <w:highlight w:val="none"/>
          <w:u w:val="single"/>
        </w:rPr>
        <w:t xml:space="preserve">        </w:t>
      </w:r>
      <w:r>
        <w:rPr>
          <w:rFonts w:hint="eastAsia" w:ascii="微软雅黑" w:hAnsi="微软雅黑" w:eastAsia="微软雅黑" w:cs="微软雅黑"/>
          <w:b/>
          <w:sz w:val="24"/>
          <w:highlight w:val="none"/>
        </w:rPr>
        <w:t>月</w:t>
      </w:r>
      <w:r>
        <w:rPr>
          <w:rFonts w:hint="eastAsia" w:ascii="微软雅黑" w:hAnsi="微软雅黑" w:eastAsia="微软雅黑" w:cs="微软雅黑"/>
          <w:b/>
          <w:sz w:val="24"/>
          <w:highlight w:val="none"/>
          <w:u w:val="single"/>
        </w:rPr>
        <w:t xml:space="preserve">        </w:t>
      </w:r>
      <w:r>
        <w:rPr>
          <w:rFonts w:hint="eastAsia" w:ascii="微软雅黑" w:hAnsi="微软雅黑" w:eastAsia="微软雅黑" w:cs="微软雅黑"/>
          <w:b/>
          <w:sz w:val="24"/>
          <w:highlight w:val="none"/>
        </w:rPr>
        <w:t>日</w:t>
      </w:r>
    </w:p>
    <w:p w14:paraId="3CD2F378">
      <w:pPr>
        <w:spacing w:line="360" w:lineRule="auto"/>
        <w:jc w:val="center"/>
        <w:outlineLvl w:val="1"/>
        <w:rPr>
          <w:rFonts w:hint="eastAsia" w:ascii="微软雅黑" w:hAnsi="微软雅黑" w:eastAsia="微软雅黑" w:cs="微软雅黑"/>
          <w:b/>
          <w:bCs/>
          <w:color w:val="000000"/>
          <w:sz w:val="24"/>
          <w:highlight w:val="none"/>
        </w:rPr>
        <w:sectPr>
          <w:headerReference r:id="rId9" w:type="first"/>
          <w:footerReference r:id="rId11" w:type="first"/>
          <w:headerReference r:id="rId8" w:type="default"/>
          <w:footerReference r:id="rId10" w:type="default"/>
          <w:pgSz w:w="11900" w:h="16821"/>
          <w:pgMar w:top="1417" w:right="1134" w:bottom="1417" w:left="1134" w:header="720" w:footer="720" w:gutter="0"/>
          <w:cols w:space="720" w:num="1"/>
          <w:rtlGutter w:val="0"/>
          <w:docGrid w:linePitch="312" w:charSpace="0"/>
        </w:sectPr>
      </w:pPr>
      <w:bookmarkStart w:id="222" w:name="_Toc40365319"/>
    </w:p>
    <w:p w14:paraId="1457FF39">
      <w:pPr>
        <w:spacing w:line="360" w:lineRule="auto"/>
        <w:jc w:val="center"/>
        <w:outlineLvl w:val="1"/>
        <w:rPr>
          <w:rFonts w:hint="eastAsia" w:ascii="微软雅黑" w:hAnsi="微软雅黑" w:eastAsia="微软雅黑" w:cs="微软雅黑"/>
          <w:b/>
          <w:bCs/>
          <w:color w:val="000000"/>
          <w:szCs w:val="21"/>
          <w:highlight w:val="none"/>
        </w:rPr>
      </w:pPr>
      <w:bookmarkStart w:id="223" w:name="_Toc1776"/>
      <w:r>
        <w:rPr>
          <w:rFonts w:hint="eastAsia" w:ascii="微软雅黑" w:hAnsi="微软雅黑" w:eastAsia="微软雅黑" w:cs="微软雅黑"/>
          <w:b/>
          <w:bCs/>
          <w:color w:val="000000"/>
          <w:sz w:val="24"/>
          <w:highlight w:val="none"/>
        </w:rPr>
        <w:t>目  录</w:t>
      </w:r>
      <w:bookmarkEnd w:id="222"/>
      <w:bookmarkEnd w:id="223"/>
    </w:p>
    <w:p w14:paraId="009EFE66">
      <w:pPr>
        <w:spacing w:line="360" w:lineRule="auto"/>
        <w:ind w:left="1690" w:leftChars="255" w:hanging="1155" w:hangingChars="550"/>
        <w:rPr>
          <w:rFonts w:hint="eastAsia" w:ascii="微软雅黑" w:hAnsi="微软雅黑" w:eastAsia="微软雅黑" w:cs="微软雅黑"/>
          <w:color w:val="000000"/>
          <w:szCs w:val="21"/>
          <w:highlight w:val="none"/>
        </w:rPr>
      </w:pPr>
    </w:p>
    <w:p w14:paraId="4A4F1BD8">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一、投标函</w:t>
      </w:r>
    </w:p>
    <w:p w14:paraId="47AB4330">
      <w:pPr>
        <w:spacing w:line="360" w:lineRule="auto"/>
        <w:ind w:left="1690" w:leftChars="255" w:hanging="1155" w:hangingChars="550"/>
        <w:rPr>
          <w:rFonts w:hint="eastAsia" w:ascii="微软雅黑" w:hAnsi="微软雅黑" w:eastAsia="微软雅黑" w:cs="微软雅黑"/>
          <w:color w:val="000000"/>
          <w:szCs w:val="21"/>
          <w:highlight w:val="none"/>
        </w:rPr>
      </w:pPr>
      <w:bookmarkStart w:id="224" w:name="OLE_LINK11"/>
      <w:r>
        <w:rPr>
          <w:rFonts w:hint="eastAsia" w:ascii="微软雅黑" w:hAnsi="微软雅黑" w:eastAsia="微软雅黑" w:cs="微软雅黑"/>
          <w:color w:val="000000"/>
          <w:szCs w:val="21"/>
          <w:highlight w:val="none"/>
        </w:rPr>
        <w:t>二、投标函附录</w:t>
      </w:r>
    </w:p>
    <w:bookmarkEnd w:id="224"/>
    <w:p w14:paraId="186F6DD7">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三、法定代表人资格证明书 </w:t>
      </w:r>
    </w:p>
    <w:p w14:paraId="4F421A09">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四、法定代表人授权委托书</w:t>
      </w:r>
    </w:p>
    <w:p w14:paraId="565F307C">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五、投标人资格审查资料</w:t>
      </w:r>
    </w:p>
    <w:p w14:paraId="44A6B3E6">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六、所投产品报价明细表</w:t>
      </w:r>
    </w:p>
    <w:p w14:paraId="2FFC13D6">
      <w:pPr>
        <w:spacing w:line="360" w:lineRule="auto"/>
        <w:ind w:left="1690" w:leftChars="255" w:hanging="1155" w:hangingChars="550"/>
        <w:rPr>
          <w:rFonts w:hint="eastAsia" w:ascii="微软雅黑" w:hAnsi="微软雅黑" w:eastAsia="微软雅黑" w:cs="微软雅黑"/>
          <w:highlight w:val="none"/>
        </w:rPr>
      </w:pPr>
      <w:r>
        <w:rPr>
          <w:rFonts w:hint="eastAsia" w:ascii="微软雅黑" w:hAnsi="微软雅黑" w:eastAsia="微软雅黑" w:cs="微软雅黑"/>
          <w:color w:val="000000"/>
          <w:szCs w:val="21"/>
          <w:highlight w:val="none"/>
        </w:rPr>
        <w:t>七、技术条款偏离表</w:t>
      </w:r>
    </w:p>
    <w:p w14:paraId="73DF3635">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八、项目采购承诺书 </w:t>
      </w:r>
    </w:p>
    <w:p w14:paraId="0F03D4EC">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九、反商业贿赂承诺书</w:t>
      </w:r>
    </w:p>
    <w:p w14:paraId="2D263647">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十、服务承诺</w:t>
      </w:r>
    </w:p>
    <w:p w14:paraId="4DFAB29D">
      <w:pPr>
        <w:spacing w:line="360" w:lineRule="auto"/>
        <w:ind w:left="1690" w:leftChars="255" w:hanging="1155" w:hangingChars="55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十一、招标文件要求的其它材料及投标人认为有必要提供的材料 </w:t>
      </w:r>
    </w:p>
    <w:p w14:paraId="17AC5CF9">
      <w:pPr>
        <w:spacing w:line="360" w:lineRule="auto"/>
        <w:jc w:val="center"/>
        <w:outlineLvl w:val="1"/>
        <w:rPr>
          <w:rFonts w:hint="eastAsia" w:ascii="微软雅黑" w:hAnsi="微软雅黑" w:eastAsia="微软雅黑" w:cs="微软雅黑"/>
          <w:b/>
          <w:bCs/>
          <w:color w:val="000000"/>
          <w:szCs w:val="21"/>
          <w:highlight w:val="none"/>
        </w:rPr>
        <w:sectPr>
          <w:pgSz w:w="11900" w:h="16821"/>
          <w:pgMar w:top="1417" w:right="1134" w:bottom="1417" w:left="1134" w:header="720" w:footer="720" w:gutter="0"/>
          <w:cols w:space="720" w:num="1"/>
          <w:rtlGutter w:val="0"/>
          <w:docGrid w:linePitch="312" w:charSpace="0"/>
        </w:sectPr>
      </w:pPr>
      <w:bookmarkStart w:id="225" w:name="_Toc40365320"/>
    </w:p>
    <w:p w14:paraId="253BC838">
      <w:pPr>
        <w:spacing w:line="360" w:lineRule="auto"/>
        <w:jc w:val="center"/>
        <w:outlineLvl w:val="1"/>
        <w:rPr>
          <w:rFonts w:hint="eastAsia" w:ascii="微软雅黑" w:hAnsi="微软雅黑" w:eastAsia="微软雅黑" w:cs="微软雅黑"/>
          <w:b/>
          <w:bCs/>
          <w:color w:val="000000"/>
          <w:szCs w:val="21"/>
          <w:highlight w:val="none"/>
        </w:rPr>
      </w:pPr>
      <w:bookmarkStart w:id="226" w:name="_Toc10006"/>
      <w:bookmarkStart w:id="227" w:name="OLE_LINK9"/>
      <w:bookmarkStart w:id="228" w:name="OLE_LINK25"/>
      <w:r>
        <w:rPr>
          <w:rFonts w:hint="eastAsia" w:ascii="微软雅黑" w:hAnsi="微软雅黑" w:eastAsia="微软雅黑" w:cs="微软雅黑"/>
          <w:b/>
          <w:bCs/>
          <w:color w:val="000000"/>
          <w:szCs w:val="21"/>
          <w:highlight w:val="none"/>
        </w:rPr>
        <w:t>一、投标函</w:t>
      </w:r>
      <w:bookmarkEnd w:id="221"/>
      <w:bookmarkEnd w:id="225"/>
      <w:bookmarkEnd w:id="226"/>
    </w:p>
    <w:bookmarkEnd w:id="227"/>
    <w:p w14:paraId="5D60147D">
      <w:pPr>
        <w:autoSpaceDE w:val="0"/>
        <w:autoSpaceDN w:val="0"/>
        <w:adjustRightInd w:val="0"/>
        <w:spacing w:line="360" w:lineRule="auto"/>
        <w:jc w:val="left"/>
        <w:rPr>
          <w:rFonts w:hint="eastAsia" w:ascii="微软雅黑" w:hAnsi="微软雅黑" w:eastAsia="微软雅黑" w:cs="微软雅黑"/>
          <w:b/>
          <w:bCs/>
          <w:color w:val="000000"/>
          <w:szCs w:val="21"/>
          <w:highlight w:val="none"/>
        </w:rPr>
      </w:pP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（采购人名称）：</w:t>
      </w:r>
    </w:p>
    <w:p w14:paraId="3EE10DC1">
      <w:pPr>
        <w:autoSpaceDE w:val="0"/>
        <w:autoSpaceDN w:val="0"/>
        <w:adjustRightInd w:val="0"/>
        <w:spacing w:line="360" w:lineRule="auto"/>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1．我方已仔细研究了</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（项目名称）招标文件的全部内容，</w:t>
      </w:r>
      <w:r>
        <w:rPr>
          <w:rFonts w:hint="eastAsia" w:ascii="微软雅黑" w:hAnsi="微软雅黑" w:eastAsia="微软雅黑" w:cs="微软雅黑"/>
          <w:color w:val="000000"/>
          <w:szCs w:val="21"/>
          <w:highlight w:val="none"/>
        </w:rPr>
        <w:t>以总报价为人民币大写：</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小写：</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元的投标报价， 按合同约定完成本项目。</w:t>
      </w:r>
    </w:p>
    <w:p w14:paraId="16DA7B46">
      <w:pPr>
        <w:autoSpaceDE w:val="0"/>
        <w:autoSpaceDN w:val="0"/>
        <w:adjustRightInd w:val="0"/>
        <w:spacing w:line="360" w:lineRule="auto"/>
        <w:ind w:firstLine="480"/>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2．如我方中标： </w:t>
      </w:r>
    </w:p>
    <w:p w14:paraId="078505C4">
      <w:pPr>
        <w:autoSpaceDE w:val="0"/>
        <w:autoSpaceDN w:val="0"/>
        <w:adjustRightInd w:val="0"/>
        <w:spacing w:line="360" w:lineRule="auto"/>
        <w:ind w:firstLine="420" w:firstLineChars="200"/>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（1）我方承诺在收到中标通知书后，在中标通知书规定的期限内与你方签订合同。</w:t>
      </w:r>
    </w:p>
    <w:p w14:paraId="28F83536">
      <w:pPr>
        <w:autoSpaceDE w:val="0"/>
        <w:autoSpaceDN w:val="0"/>
        <w:adjustRightInd w:val="0"/>
        <w:spacing w:line="360" w:lineRule="auto"/>
        <w:ind w:firstLine="420" w:firstLineChars="200"/>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（2）随同本投标函递交的投标函附录属于合同文件的组成部分。</w:t>
      </w:r>
    </w:p>
    <w:p w14:paraId="056BF97D">
      <w:pPr>
        <w:autoSpaceDE w:val="0"/>
        <w:autoSpaceDN w:val="0"/>
        <w:adjustRightInd w:val="0"/>
        <w:spacing w:line="360" w:lineRule="auto"/>
        <w:ind w:firstLine="420" w:firstLineChars="200"/>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（3）我方承诺在合同约定的期限内完成并移交全部合同项目。</w:t>
      </w:r>
    </w:p>
    <w:p w14:paraId="7490CE36">
      <w:pPr>
        <w:autoSpaceDE w:val="0"/>
        <w:autoSpaceDN w:val="0"/>
        <w:adjustRightInd w:val="0"/>
        <w:spacing w:line="360" w:lineRule="auto"/>
        <w:ind w:firstLine="420" w:firstLineChars="200"/>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（4）我们愿按《中华人民共和国政府采购法实施条例》、《中华人民共和国政府采购法》、《中华人民共和国合同法》履行我方的全部责任。</w:t>
      </w:r>
    </w:p>
    <w:p w14:paraId="0DEDC48D">
      <w:pPr>
        <w:autoSpaceDE w:val="0"/>
        <w:autoSpaceDN w:val="0"/>
        <w:adjustRightInd w:val="0"/>
        <w:spacing w:line="360" w:lineRule="auto"/>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   3．我方在此声明，所递交的投标文件及有关资料内容完整、真实和准确。 </w:t>
      </w:r>
    </w:p>
    <w:p w14:paraId="58AD0CFF">
      <w:pPr>
        <w:autoSpaceDE w:val="0"/>
        <w:autoSpaceDN w:val="0"/>
        <w:adjustRightInd w:val="0"/>
        <w:spacing w:line="360" w:lineRule="auto"/>
        <w:ind w:firstLine="315" w:firstLineChars="150"/>
        <w:jc w:val="lef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 xml:space="preserve">4. </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（其他补充说明）</w:t>
      </w:r>
    </w:p>
    <w:p w14:paraId="1C7DE424">
      <w:pPr>
        <w:autoSpaceDE w:val="0"/>
        <w:autoSpaceDN w:val="0"/>
        <w:adjustRightInd w:val="0"/>
        <w:spacing w:line="360" w:lineRule="auto"/>
        <w:ind w:firstLine="315" w:firstLineChars="150"/>
        <w:jc w:val="left"/>
        <w:rPr>
          <w:rFonts w:hint="eastAsia" w:ascii="微软雅黑" w:hAnsi="微软雅黑" w:eastAsia="微软雅黑" w:cs="微软雅黑"/>
          <w:color w:val="000000"/>
          <w:kern w:val="0"/>
          <w:szCs w:val="21"/>
          <w:highlight w:val="none"/>
        </w:rPr>
      </w:pPr>
    </w:p>
    <w:p w14:paraId="53254880">
      <w:pPr>
        <w:autoSpaceDE w:val="0"/>
        <w:autoSpaceDN w:val="0"/>
        <w:adjustRightInd w:val="0"/>
        <w:spacing w:line="360" w:lineRule="auto"/>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bookmarkStart w:id="229" w:name="OLE_LINK26"/>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bCs/>
          <w:szCs w:val="21"/>
          <w:highlight w:val="none"/>
        </w:rPr>
        <w:t>电子章</w:t>
      </w:r>
      <w:r>
        <w:rPr>
          <w:rFonts w:hint="eastAsia" w:ascii="微软雅黑" w:hAnsi="微软雅黑" w:eastAsia="微软雅黑" w:cs="微软雅黑"/>
          <w:color w:val="000000"/>
          <w:kern w:val="0"/>
          <w:szCs w:val="21"/>
          <w:highlight w:val="none"/>
        </w:rPr>
        <w:t>）</w:t>
      </w:r>
      <w:bookmarkEnd w:id="229"/>
    </w:p>
    <w:p w14:paraId="2B4021C4">
      <w:pPr>
        <w:autoSpaceDE w:val="0"/>
        <w:autoSpaceDN w:val="0"/>
        <w:adjustRightInd w:val="0"/>
        <w:spacing w:line="360" w:lineRule="auto"/>
        <w:jc w:val="lef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bookmarkStart w:id="230" w:name="OLE_LINK27"/>
      <w:r>
        <w:rPr>
          <w:rFonts w:hint="eastAsia" w:ascii="微软雅黑" w:hAnsi="微软雅黑" w:eastAsia="微软雅黑" w:cs="微软雅黑"/>
          <w:color w:val="000000"/>
          <w:kern w:val="0"/>
          <w:szCs w:val="21"/>
          <w:highlight w:val="none"/>
        </w:rPr>
        <w:t>（签字或盖章）</w:t>
      </w:r>
      <w:bookmarkEnd w:id="230"/>
    </w:p>
    <w:p w14:paraId="23435E0F">
      <w:pPr>
        <w:autoSpaceDE w:val="0"/>
        <w:autoSpaceDN w:val="0"/>
        <w:adjustRightInd w:val="0"/>
        <w:spacing w:line="360" w:lineRule="auto"/>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年</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月</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日</w:t>
      </w:r>
    </w:p>
    <w:bookmarkEnd w:id="228"/>
    <w:p w14:paraId="20F89144">
      <w:pPr>
        <w:tabs>
          <w:tab w:val="center" w:pos="4499"/>
        </w:tabs>
        <w:spacing w:line="400" w:lineRule="exact"/>
        <w:jc w:val="center"/>
        <w:rPr>
          <w:rFonts w:hint="eastAsia" w:ascii="微软雅黑" w:hAnsi="微软雅黑" w:eastAsia="微软雅黑" w:cs="微软雅黑"/>
          <w:b/>
          <w:bCs/>
          <w:color w:val="000000"/>
          <w:szCs w:val="21"/>
          <w:highlight w:val="none"/>
        </w:rPr>
      </w:pPr>
    </w:p>
    <w:p w14:paraId="5E82D8AA">
      <w:pPr>
        <w:tabs>
          <w:tab w:val="center" w:pos="4499"/>
        </w:tabs>
        <w:spacing w:line="400" w:lineRule="exact"/>
        <w:rPr>
          <w:rFonts w:hint="eastAsia" w:ascii="微软雅黑" w:hAnsi="微软雅黑" w:eastAsia="微软雅黑" w:cs="微软雅黑"/>
          <w:b/>
          <w:bCs/>
          <w:color w:val="000000"/>
          <w:szCs w:val="21"/>
          <w:highlight w:val="none"/>
        </w:rPr>
      </w:pPr>
    </w:p>
    <w:p w14:paraId="5AC73CBA">
      <w:pPr>
        <w:tabs>
          <w:tab w:val="center" w:pos="4499"/>
        </w:tabs>
        <w:spacing w:line="400" w:lineRule="exact"/>
        <w:rPr>
          <w:rFonts w:hint="eastAsia" w:ascii="微软雅黑" w:hAnsi="微软雅黑" w:eastAsia="微软雅黑" w:cs="微软雅黑"/>
          <w:b/>
          <w:bCs/>
          <w:color w:val="000000"/>
          <w:szCs w:val="21"/>
          <w:highlight w:val="none"/>
        </w:rPr>
      </w:pPr>
    </w:p>
    <w:p w14:paraId="6AAFE5BD">
      <w:pPr>
        <w:tabs>
          <w:tab w:val="center" w:pos="4499"/>
        </w:tabs>
        <w:spacing w:line="400" w:lineRule="exact"/>
        <w:rPr>
          <w:rFonts w:hint="eastAsia" w:ascii="微软雅黑" w:hAnsi="微软雅黑" w:eastAsia="微软雅黑" w:cs="微软雅黑"/>
          <w:b/>
          <w:bCs/>
          <w:color w:val="000000"/>
          <w:szCs w:val="21"/>
          <w:highlight w:val="none"/>
        </w:rPr>
      </w:pPr>
    </w:p>
    <w:p w14:paraId="54A31E75">
      <w:pPr>
        <w:tabs>
          <w:tab w:val="center" w:pos="4499"/>
        </w:tabs>
        <w:spacing w:line="400" w:lineRule="exact"/>
        <w:rPr>
          <w:rFonts w:hint="eastAsia" w:ascii="微软雅黑" w:hAnsi="微软雅黑" w:eastAsia="微软雅黑" w:cs="微软雅黑"/>
          <w:b/>
          <w:bCs/>
          <w:color w:val="000000"/>
          <w:szCs w:val="21"/>
          <w:highlight w:val="none"/>
        </w:rPr>
      </w:pPr>
    </w:p>
    <w:p w14:paraId="225052BB">
      <w:pPr>
        <w:tabs>
          <w:tab w:val="center" w:pos="4499"/>
        </w:tabs>
        <w:spacing w:line="400" w:lineRule="exact"/>
        <w:rPr>
          <w:rFonts w:hint="eastAsia" w:ascii="微软雅黑" w:hAnsi="微软雅黑" w:eastAsia="微软雅黑" w:cs="微软雅黑"/>
          <w:b/>
          <w:bCs/>
          <w:color w:val="000000"/>
          <w:szCs w:val="21"/>
          <w:highlight w:val="none"/>
        </w:rPr>
      </w:pPr>
    </w:p>
    <w:p w14:paraId="213507A6">
      <w:pPr>
        <w:tabs>
          <w:tab w:val="center" w:pos="4499"/>
        </w:tabs>
        <w:spacing w:line="400" w:lineRule="exact"/>
        <w:jc w:val="center"/>
        <w:rPr>
          <w:rFonts w:hint="eastAsia" w:ascii="微软雅黑" w:hAnsi="微软雅黑" w:eastAsia="微软雅黑" w:cs="微软雅黑"/>
          <w:b/>
          <w:bCs/>
          <w:color w:val="000000"/>
          <w:szCs w:val="21"/>
          <w:highlight w:val="none"/>
        </w:rPr>
      </w:pPr>
      <w:bookmarkStart w:id="231" w:name="_Hlk528843467"/>
    </w:p>
    <w:p w14:paraId="7EB23C94">
      <w:pPr>
        <w:tabs>
          <w:tab w:val="center" w:pos="4499"/>
        </w:tabs>
        <w:spacing w:line="400" w:lineRule="exact"/>
        <w:jc w:val="center"/>
        <w:rPr>
          <w:rFonts w:hint="eastAsia" w:ascii="微软雅黑" w:hAnsi="微软雅黑" w:eastAsia="微软雅黑" w:cs="微软雅黑"/>
          <w:b/>
          <w:bCs/>
          <w:color w:val="000000"/>
          <w:szCs w:val="21"/>
          <w:highlight w:val="none"/>
        </w:rPr>
      </w:pPr>
    </w:p>
    <w:p w14:paraId="680F7460">
      <w:pPr>
        <w:pStyle w:val="25"/>
        <w:rPr>
          <w:rFonts w:hint="eastAsia" w:ascii="微软雅黑" w:hAnsi="微软雅黑" w:eastAsia="微软雅黑" w:cs="微软雅黑"/>
          <w:highlight w:val="none"/>
        </w:rPr>
      </w:pPr>
    </w:p>
    <w:p w14:paraId="55D946CE">
      <w:pPr>
        <w:tabs>
          <w:tab w:val="center" w:pos="4499"/>
        </w:tabs>
        <w:spacing w:line="400" w:lineRule="exact"/>
        <w:jc w:val="center"/>
        <w:rPr>
          <w:rFonts w:hint="eastAsia" w:ascii="微软雅黑" w:hAnsi="微软雅黑" w:eastAsia="微软雅黑" w:cs="微软雅黑"/>
          <w:b/>
          <w:bCs/>
          <w:color w:val="000000"/>
          <w:szCs w:val="21"/>
          <w:highlight w:val="none"/>
        </w:rPr>
      </w:pPr>
    </w:p>
    <w:p w14:paraId="49FE20AF">
      <w:pPr>
        <w:tabs>
          <w:tab w:val="center" w:pos="4499"/>
        </w:tabs>
        <w:spacing w:line="400" w:lineRule="exact"/>
        <w:jc w:val="center"/>
        <w:rPr>
          <w:rFonts w:hint="eastAsia" w:ascii="微软雅黑" w:hAnsi="微软雅黑" w:eastAsia="微软雅黑" w:cs="微软雅黑"/>
          <w:b/>
          <w:bCs/>
          <w:color w:val="000000"/>
          <w:szCs w:val="21"/>
          <w:highlight w:val="none"/>
        </w:rPr>
        <w:sectPr>
          <w:pgSz w:w="11900" w:h="16821"/>
          <w:pgMar w:top="1417" w:right="1134" w:bottom="1417" w:left="1134" w:header="720" w:footer="720" w:gutter="0"/>
          <w:cols w:space="720" w:num="1"/>
          <w:rtlGutter w:val="0"/>
          <w:docGrid w:linePitch="312" w:charSpace="0"/>
        </w:sectPr>
      </w:pPr>
      <w:r>
        <w:rPr>
          <w:rFonts w:hint="eastAsia" w:ascii="微软雅黑" w:hAnsi="微软雅黑" w:eastAsia="微软雅黑" w:cs="微软雅黑"/>
          <w:b/>
          <w:bCs/>
          <w:color w:val="000000"/>
          <w:szCs w:val="21"/>
          <w:highlight w:val="none"/>
        </w:rPr>
        <w:t xml:space="preserve"> </w:t>
      </w:r>
    </w:p>
    <w:p w14:paraId="7251BBE6">
      <w:pPr>
        <w:tabs>
          <w:tab w:val="center" w:pos="4499"/>
        </w:tabs>
        <w:spacing w:line="400" w:lineRule="exact"/>
        <w:jc w:val="center"/>
        <w:rPr>
          <w:rFonts w:hint="eastAsia" w:ascii="微软雅黑" w:hAnsi="微软雅黑" w:eastAsia="微软雅黑" w:cs="微软雅黑"/>
          <w:b/>
          <w:bCs/>
          <w:color w:val="000000"/>
          <w:szCs w:val="21"/>
          <w:highlight w:val="none"/>
        </w:rPr>
      </w:pPr>
      <w:r>
        <w:rPr>
          <w:rFonts w:hint="eastAsia" w:ascii="微软雅黑" w:hAnsi="微软雅黑" w:eastAsia="微软雅黑" w:cs="微软雅黑"/>
          <w:b/>
          <w:bCs/>
          <w:color w:val="000000"/>
          <w:szCs w:val="21"/>
          <w:highlight w:val="none"/>
        </w:rPr>
        <w:t>二、投标函附录</w:t>
      </w:r>
    </w:p>
    <w:p w14:paraId="11D9B3A1">
      <w:pPr>
        <w:tabs>
          <w:tab w:val="center" w:pos="4499"/>
        </w:tabs>
        <w:spacing w:line="400" w:lineRule="exact"/>
        <w:jc w:val="center"/>
        <w:rPr>
          <w:rFonts w:hint="eastAsia" w:ascii="微软雅黑" w:hAnsi="微软雅黑" w:eastAsia="微软雅黑" w:cs="微软雅黑"/>
          <w:b/>
          <w:bCs/>
          <w:color w:val="000000"/>
          <w:szCs w:val="21"/>
          <w:highlight w:val="none"/>
        </w:rPr>
      </w:pPr>
    </w:p>
    <w:tbl>
      <w:tblPr>
        <w:tblStyle w:val="1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6138"/>
      </w:tblGrid>
      <w:tr w14:paraId="079A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6E0A6E65">
            <w:pPr>
              <w:spacing w:line="360" w:lineRule="auto"/>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项目名称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6C9658A6">
            <w:pPr>
              <w:spacing w:line="360" w:lineRule="auto"/>
              <w:rPr>
                <w:rFonts w:hint="eastAsia" w:ascii="微软雅黑" w:hAnsi="微软雅黑" w:eastAsia="微软雅黑" w:cs="微软雅黑"/>
                <w:color w:val="000000"/>
                <w:szCs w:val="21"/>
                <w:highlight w:val="none"/>
              </w:rPr>
            </w:pPr>
          </w:p>
        </w:tc>
      </w:tr>
      <w:tr w14:paraId="09FC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76E412A0">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投标人名称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FBAF390">
            <w:pPr>
              <w:spacing w:line="360" w:lineRule="auto"/>
              <w:rPr>
                <w:rFonts w:hint="eastAsia" w:ascii="微软雅黑" w:hAnsi="微软雅黑" w:eastAsia="微软雅黑" w:cs="微软雅黑"/>
                <w:color w:val="000000"/>
                <w:szCs w:val="21"/>
                <w:highlight w:val="none"/>
              </w:rPr>
            </w:pPr>
          </w:p>
        </w:tc>
      </w:tr>
      <w:tr w14:paraId="6435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2967" w:type="dxa"/>
            <w:tcBorders>
              <w:top w:val="single" w:color="auto" w:sz="4" w:space="0"/>
              <w:left w:val="single" w:color="auto" w:sz="4" w:space="0"/>
              <w:right w:val="single" w:color="auto" w:sz="4" w:space="0"/>
            </w:tcBorders>
            <w:noWrap w:val="0"/>
            <w:vAlign w:val="center"/>
          </w:tcPr>
          <w:p w14:paraId="5B7A8B1A">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投标报价</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15C43EEF">
            <w:pPr>
              <w:spacing w:line="360" w:lineRule="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大写：</w:t>
            </w:r>
          </w:p>
          <w:p w14:paraId="5137825D">
            <w:pPr>
              <w:spacing w:line="360" w:lineRule="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小写：</w:t>
            </w:r>
          </w:p>
        </w:tc>
      </w:tr>
      <w:tr w14:paraId="7F1C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42B46C50">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采购内容</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2AF5B372">
            <w:pPr>
              <w:spacing w:line="360" w:lineRule="auto"/>
              <w:rPr>
                <w:rFonts w:hint="eastAsia" w:ascii="微软雅黑" w:hAnsi="微软雅黑" w:eastAsia="微软雅黑" w:cs="微软雅黑"/>
                <w:color w:val="000000"/>
                <w:szCs w:val="21"/>
                <w:highlight w:val="none"/>
              </w:rPr>
            </w:pPr>
          </w:p>
        </w:tc>
      </w:tr>
      <w:tr w14:paraId="493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17E9CFB3">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质量</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0ED6CC65">
            <w:pPr>
              <w:spacing w:line="360" w:lineRule="auto"/>
              <w:rPr>
                <w:rFonts w:hint="eastAsia" w:ascii="微软雅黑" w:hAnsi="微软雅黑" w:eastAsia="微软雅黑" w:cs="微软雅黑"/>
                <w:color w:val="000000"/>
                <w:szCs w:val="21"/>
                <w:highlight w:val="none"/>
              </w:rPr>
            </w:pPr>
          </w:p>
        </w:tc>
      </w:tr>
      <w:tr w14:paraId="5930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472ECD6B">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highlight w:val="none"/>
              </w:rPr>
              <w:t>供货及安装期限</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C4494F5">
            <w:pPr>
              <w:spacing w:line="360" w:lineRule="auto"/>
              <w:rPr>
                <w:rFonts w:hint="eastAsia" w:ascii="微软雅黑" w:hAnsi="微软雅黑" w:eastAsia="微软雅黑" w:cs="微软雅黑"/>
                <w:color w:val="000000"/>
                <w:szCs w:val="21"/>
                <w:highlight w:val="none"/>
              </w:rPr>
            </w:pPr>
          </w:p>
        </w:tc>
      </w:tr>
      <w:tr w14:paraId="69AA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18A5A558">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质保期</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3449FA64">
            <w:pPr>
              <w:spacing w:line="360" w:lineRule="auto"/>
              <w:rPr>
                <w:rFonts w:hint="eastAsia" w:ascii="微软雅黑" w:hAnsi="微软雅黑" w:eastAsia="微软雅黑" w:cs="微软雅黑"/>
                <w:color w:val="000000"/>
                <w:szCs w:val="21"/>
                <w:highlight w:val="none"/>
                <w:u w:val="single"/>
              </w:rPr>
            </w:pPr>
          </w:p>
        </w:tc>
      </w:tr>
      <w:tr w14:paraId="656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2967" w:type="dxa"/>
            <w:tcBorders>
              <w:top w:val="single" w:color="auto" w:sz="4" w:space="0"/>
              <w:left w:val="single" w:color="auto" w:sz="4" w:space="0"/>
              <w:bottom w:val="single" w:color="auto" w:sz="4" w:space="0"/>
              <w:right w:val="single" w:color="auto" w:sz="4" w:space="0"/>
            </w:tcBorders>
            <w:noWrap w:val="0"/>
            <w:vAlign w:val="center"/>
          </w:tcPr>
          <w:p w14:paraId="0165F791">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其它补充说明</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7DFC0D99">
            <w:pPr>
              <w:spacing w:line="360" w:lineRule="auto"/>
              <w:rPr>
                <w:rFonts w:hint="eastAsia" w:ascii="微软雅黑" w:hAnsi="微软雅黑" w:eastAsia="微软雅黑" w:cs="微软雅黑"/>
                <w:color w:val="000000"/>
                <w:szCs w:val="21"/>
                <w:highlight w:val="none"/>
                <w:u w:val="single"/>
              </w:rPr>
            </w:pPr>
          </w:p>
        </w:tc>
      </w:tr>
    </w:tbl>
    <w:p w14:paraId="12BAF3D3">
      <w:pPr>
        <w:spacing w:line="360" w:lineRule="auto"/>
        <w:jc w:val="left"/>
        <w:rPr>
          <w:rFonts w:hint="eastAsia" w:ascii="微软雅黑" w:hAnsi="微软雅黑" w:eastAsia="微软雅黑" w:cs="微软雅黑"/>
          <w:bCs/>
          <w:color w:val="000000"/>
          <w:szCs w:val="21"/>
          <w:highlight w:val="none"/>
        </w:rPr>
      </w:pPr>
    </w:p>
    <w:p w14:paraId="0EAC02C4">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w:t>
      </w:r>
    </w:p>
    <w:p w14:paraId="627B35C4">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bCs/>
          <w:szCs w:val="21"/>
          <w:highlight w:val="none"/>
        </w:rPr>
        <w:t>电子章</w:t>
      </w:r>
      <w:r>
        <w:rPr>
          <w:rFonts w:hint="eastAsia" w:ascii="微软雅黑" w:hAnsi="微软雅黑" w:eastAsia="微软雅黑" w:cs="微软雅黑"/>
          <w:color w:val="000000"/>
          <w:kern w:val="0"/>
          <w:szCs w:val="21"/>
          <w:highlight w:val="none"/>
        </w:rPr>
        <w:t>）</w:t>
      </w:r>
    </w:p>
    <w:p w14:paraId="43DA60A7">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63F3E0C0">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年</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月</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日</w:t>
      </w:r>
    </w:p>
    <w:bookmarkEnd w:id="231"/>
    <w:p w14:paraId="48DD86F5">
      <w:pPr>
        <w:spacing w:line="360" w:lineRule="auto"/>
        <w:jc w:val="center"/>
        <w:outlineLvl w:val="1"/>
        <w:rPr>
          <w:rFonts w:hint="eastAsia" w:ascii="微软雅黑" w:hAnsi="微软雅黑" w:eastAsia="微软雅黑" w:cs="微软雅黑"/>
          <w:b/>
          <w:bCs/>
          <w:color w:val="000000"/>
          <w:szCs w:val="21"/>
          <w:highlight w:val="none"/>
        </w:rPr>
        <w:sectPr>
          <w:pgSz w:w="11900" w:h="16821"/>
          <w:pgMar w:top="1417" w:right="1134" w:bottom="1417" w:left="1134" w:header="720" w:footer="720" w:gutter="0"/>
          <w:cols w:space="720" w:num="1"/>
          <w:rtlGutter w:val="0"/>
          <w:docGrid w:linePitch="312" w:charSpace="0"/>
        </w:sectPr>
      </w:pPr>
      <w:bookmarkStart w:id="232" w:name="_Toc31072"/>
      <w:bookmarkStart w:id="233" w:name="_Toc40365321"/>
      <w:bookmarkStart w:id="234" w:name="_Hlk528843486"/>
    </w:p>
    <w:p w14:paraId="5D3E80D4">
      <w:pPr>
        <w:spacing w:line="360" w:lineRule="auto"/>
        <w:jc w:val="center"/>
        <w:outlineLvl w:val="1"/>
        <w:rPr>
          <w:rFonts w:hint="eastAsia" w:ascii="微软雅黑" w:hAnsi="微软雅黑" w:eastAsia="微软雅黑" w:cs="微软雅黑"/>
          <w:b/>
          <w:bCs/>
          <w:color w:val="000000"/>
          <w:szCs w:val="21"/>
          <w:highlight w:val="none"/>
        </w:rPr>
      </w:pPr>
      <w:bookmarkStart w:id="235" w:name="_Toc32287"/>
      <w:bookmarkStart w:id="236" w:name="OLE_LINK12"/>
      <w:r>
        <w:rPr>
          <w:rFonts w:hint="eastAsia" w:ascii="微软雅黑" w:hAnsi="微软雅黑" w:eastAsia="微软雅黑" w:cs="微软雅黑"/>
          <w:b/>
          <w:bCs/>
          <w:color w:val="000000"/>
          <w:szCs w:val="21"/>
          <w:highlight w:val="none"/>
        </w:rPr>
        <w:t>三、法定代表人资格证明书</w:t>
      </w:r>
      <w:bookmarkEnd w:id="232"/>
      <w:bookmarkEnd w:id="233"/>
      <w:bookmarkEnd w:id="235"/>
    </w:p>
    <w:bookmarkEnd w:id="236"/>
    <w:p w14:paraId="3F038DF0">
      <w:pPr>
        <w:spacing w:line="360" w:lineRule="auto"/>
        <w:rPr>
          <w:rFonts w:hint="eastAsia" w:ascii="微软雅黑" w:hAnsi="微软雅黑" w:eastAsia="微软雅黑" w:cs="微软雅黑"/>
          <w:b/>
          <w:bCs/>
          <w:color w:val="000000"/>
          <w:szCs w:val="21"/>
          <w:highlight w:val="none"/>
        </w:rPr>
      </w:pPr>
    </w:p>
    <w:p w14:paraId="60E0CAD8">
      <w:pPr>
        <w:spacing w:line="360" w:lineRule="auto"/>
        <w:jc w:val="center"/>
        <w:rPr>
          <w:rFonts w:hint="eastAsia" w:ascii="微软雅黑" w:hAnsi="微软雅黑" w:eastAsia="微软雅黑" w:cs="微软雅黑"/>
          <w:color w:val="000000"/>
          <w:szCs w:val="21"/>
          <w:highlight w:val="none"/>
        </w:rPr>
      </w:pPr>
    </w:p>
    <w:p w14:paraId="22A08FC0">
      <w:pPr>
        <w:spacing w:line="360" w:lineRule="auto"/>
        <w:ind w:firstLine="430" w:firstLineChars="205"/>
        <w:jc w:val="left"/>
        <w:rPr>
          <w:rFonts w:hint="eastAsia" w:ascii="微软雅黑" w:hAnsi="微软雅黑" w:eastAsia="微软雅黑" w:cs="微软雅黑"/>
          <w:color w:val="000000"/>
          <w:szCs w:val="21"/>
          <w:highlight w:val="none"/>
          <w:u w:val="single"/>
        </w:rPr>
      </w:pPr>
      <w:r>
        <w:rPr>
          <w:rFonts w:hint="eastAsia" w:ascii="微软雅黑" w:hAnsi="微软雅黑" w:eastAsia="微软雅黑" w:cs="微软雅黑"/>
          <w:color w:val="000000"/>
          <w:szCs w:val="21"/>
          <w:highlight w:val="none"/>
        </w:rPr>
        <w:t>单位名称：</w:t>
      </w:r>
      <w:r>
        <w:rPr>
          <w:rFonts w:hint="eastAsia" w:ascii="微软雅黑" w:hAnsi="微软雅黑" w:eastAsia="微软雅黑" w:cs="微软雅黑"/>
          <w:color w:val="000000"/>
          <w:kern w:val="0"/>
          <w:szCs w:val="21"/>
          <w:highlight w:val="none"/>
          <w:u w:val="single"/>
        </w:rPr>
        <w:t xml:space="preserve">           </w:t>
      </w:r>
    </w:p>
    <w:p w14:paraId="282BB9B1">
      <w:pPr>
        <w:spacing w:line="360" w:lineRule="auto"/>
        <w:ind w:firstLine="430" w:firstLineChars="20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地    址：</w:t>
      </w:r>
      <w:r>
        <w:rPr>
          <w:rFonts w:hint="eastAsia" w:ascii="微软雅黑" w:hAnsi="微软雅黑" w:eastAsia="微软雅黑" w:cs="微软雅黑"/>
          <w:color w:val="000000"/>
          <w:kern w:val="0"/>
          <w:szCs w:val="21"/>
          <w:highlight w:val="none"/>
          <w:u w:val="single"/>
        </w:rPr>
        <w:t xml:space="preserve">           </w:t>
      </w:r>
    </w:p>
    <w:p w14:paraId="6CEB70D3">
      <w:pPr>
        <w:spacing w:line="360" w:lineRule="auto"/>
        <w:ind w:firstLine="430" w:firstLineChars="20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姓名：</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（签字）性别：</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年龄：</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 xml:space="preserve"> 职务：</w:t>
      </w:r>
      <w:r>
        <w:rPr>
          <w:rFonts w:hint="eastAsia" w:ascii="微软雅黑" w:hAnsi="微软雅黑" w:eastAsia="微软雅黑" w:cs="微软雅黑"/>
          <w:color w:val="000000"/>
          <w:kern w:val="0"/>
          <w:szCs w:val="21"/>
          <w:highlight w:val="none"/>
          <w:u w:val="single"/>
        </w:rPr>
        <w:t xml:space="preserve">           </w:t>
      </w:r>
    </w:p>
    <w:p w14:paraId="3359BCC5">
      <w:pPr>
        <w:spacing w:line="360" w:lineRule="auto"/>
        <w:ind w:firstLine="430" w:firstLineChars="20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系 </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（投标单位）的法定代表人。为签署此投标文件、进行合同谈判、签署合同和处理与之有关的一切事物。</w:t>
      </w:r>
    </w:p>
    <w:p w14:paraId="0C1E7D43">
      <w:pPr>
        <w:spacing w:line="360" w:lineRule="auto"/>
        <w:ind w:firstLine="430" w:firstLineChars="20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特此证明。</w:t>
      </w:r>
    </w:p>
    <w:p w14:paraId="3FD0ED9E">
      <w:pPr>
        <w:spacing w:line="360" w:lineRule="auto"/>
        <w:ind w:firstLine="431" w:firstLineChars="205"/>
        <w:jc w:val="left"/>
        <w:rPr>
          <w:rFonts w:hint="eastAsia" w:ascii="微软雅黑" w:hAnsi="微软雅黑" w:eastAsia="微软雅黑" w:cs="微软雅黑"/>
          <w:b/>
          <w:color w:val="000000"/>
          <w:szCs w:val="21"/>
          <w:highlight w:val="none"/>
          <w:u w:val="single"/>
        </w:rPr>
      </w:pPr>
      <w:r>
        <w:rPr>
          <w:rFonts w:hint="eastAsia" w:ascii="微软雅黑" w:hAnsi="微软雅黑" w:eastAsia="微软雅黑" w:cs="微软雅黑"/>
          <w:b/>
          <w:color w:val="000000"/>
          <w:szCs w:val="21"/>
          <w:highlight w:val="none"/>
          <w:u w:val="single"/>
        </w:rPr>
        <w:t>此处附：法定代表人身份证并加盖公章</w:t>
      </w:r>
    </w:p>
    <w:p w14:paraId="34163508">
      <w:pPr>
        <w:spacing w:line="360" w:lineRule="auto"/>
        <w:ind w:firstLine="430" w:firstLineChars="205"/>
        <w:jc w:val="left"/>
        <w:rPr>
          <w:rFonts w:hint="eastAsia" w:ascii="微软雅黑" w:hAnsi="微软雅黑" w:eastAsia="微软雅黑" w:cs="微软雅黑"/>
          <w:color w:val="000000"/>
          <w:szCs w:val="21"/>
          <w:highlight w:val="none"/>
        </w:rPr>
      </w:pPr>
    </w:p>
    <w:p w14:paraId="79B162E0">
      <w:pPr>
        <w:spacing w:line="360" w:lineRule="auto"/>
        <w:ind w:firstLine="430" w:firstLineChars="205"/>
        <w:jc w:val="left"/>
        <w:rPr>
          <w:rFonts w:hint="eastAsia" w:ascii="微软雅黑" w:hAnsi="微软雅黑" w:eastAsia="微软雅黑" w:cs="微软雅黑"/>
          <w:color w:val="000000"/>
          <w:szCs w:val="21"/>
          <w:highlight w:val="none"/>
        </w:rPr>
      </w:pPr>
    </w:p>
    <w:p w14:paraId="416CE95A">
      <w:pPr>
        <w:spacing w:line="360" w:lineRule="auto"/>
        <w:ind w:firstLine="430" w:firstLineChars="205"/>
        <w:jc w:val="left"/>
        <w:rPr>
          <w:rFonts w:hint="eastAsia" w:ascii="微软雅黑" w:hAnsi="微软雅黑" w:eastAsia="微软雅黑" w:cs="微软雅黑"/>
          <w:color w:val="000000"/>
          <w:szCs w:val="21"/>
          <w:highlight w:val="none"/>
        </w:rPr>
      </w:pPr>
    </w:p>
    <w:p w14:paraId="044ECEBB">
      <w:pPr>
        <w:spacing w:line="360" w:lineRule="auto"/>
        <w:ind w:firstLine="430" w:firstLineChars="205"/>
        <w:jc w:val="left"/>
        <w:rPr>
          <w:rFonts w:hint="eastAsia" w:ascii="微软雅黑" w:hAnsi="微软雅黑" w:eastAsia="微软雅黑" w:cs="微软雅黑"/>
          <w:color w:val="000000"/>
          <w:szCs w:val="21"/>
          <w:highlight w:val="none"/>
        </w:rPr>
      </w:pPr>
    </w:p>
    <w:p w14:paraId="06F71C3C">
      <w:pPr>
        <w:spacing w:line="360" w:lineRule="auto"/>
        <w:ind w:firstLine="430" w:firstLineChars="205"/>
        <w:jc w:val="left"/>
        <w:rPr>
          <w:rFonts w:hint="eastAsia" w:ascii="微软雅黑" w:hAnsi="微软雅黑" w:eastAsia="微软雅黑" w:cs="微软雅黑"/>
          <w:color w:val="000000"/>
          <w:szCs w:val="21"/>
          <w:highlight w:val="none"/>
        </w:rPr>
      </w:pPr>
    </w:p>
    <w:bookmarkEnd w:id="234"/>
    <w:p w14:paraId="15CBCEB4">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0AE0D923">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2BF6F516">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rPr>
        <w:t>____年_____ 月_____ 日</w:t>
      </w:r>
    </w:p>
    <w:p w14:paraId="2AB24A26">
      <w:pPr>
        <w:spacing w:line="400" w:lineRule="exact"/>
        <w:ind w:left="420"/>
        <w:jc w:val="center"/>
        <w:rPr>
          <w:rFonts w:hint="eastAsia" w:ascii="微软雅黑" w:hAnsi="微软雅黑" w:eastAsia="微软雅黑" w:cs="微软雅黑"/>
          <w:b/>
          <w:bCs/>
          <w:color w:val="000000"/>
          <w:szCs w:val="21"/>
          <w:highlight w:val="none"/>
        </w:rPr>
      </w:pPr>
      <w:r>
        <w:rPr>
          <w:rFonts w:hint="eastAsia" w:ascii="微软雅黑" w:hAnsi="微软雅黑" w:eastAsia="微软雅黑" w:cs="微软雅黑"/>
          <w:b/>
          <w:bCs/>
          <w:color w:val="000000"/>
          <w:szCs w:val="21"/>
          <w:highlight w:val="none"/>
        </w:rPr>
        <w:br w:type="page"/>
      </w:r>
    </w:p>
    <w:p w14:paraId="1551CFB0">
      <w:pPr>
        <w:spacing w:line="400" w:lineRule="exact"/>
        <w:ind w:left="420"/>
        <w:jc w:val="center"/>
        <w:outlineLvl w:val="1"/>
        <w:rPr>
          <w:rFonts w:hint="eastAsia" w:ascii="微软雅黑" w:hAnsi="微软雅黑" w:eastAsia="微软雅黑" w:cs="微软雅黑"/>
          <w:b/>
          <w:bCs/>
          <w:color w:val="000000"/>
          <w:szCs w:val="21"/>
          <w:highlight w:val="none"/>
        </w:rPr>
      </w:pPr>
      <w:bookmarkStart w:id="237" w:name="_Toc40365322"/>
      <w:bookmarkStart w:id="238" w:name="_Toc30314"/>
      <w:bookmarkStart w:id="239" w:name="_Toc23688"/>
      <w:bookmarkStart w:id="240" w:name="OLE_LINK15"/>
      <w:bookmarkStart w:id="241" w:name="_Hlk528843573"/>
      <w:r>
        <w:rPr>
          <w:rFonts w:hint="eastAsia" w:ascii="微软雅黑" w:hAnsi="微软雅黑" w:eastAsia="微软雅黑" w:cs="微软雅黑"/>
          <w:b/>
          <w:bCs/>
          <w:color w:val="000000"/>
          <w:szCs w:val="21"/>
          <w:highlight w:val="none"/>
        </w:rPr>
        <w:t>四、法定代表人授权委托书</w:t>
      </w:r>
      <w:bookmarkEnd w:id="237"/>
      <w:bookmarkEnd w:id="238"/>
      <w:bookmarkEnd w:id="239"/>
    </w:p>
    <w:bookmarkEnd w:id="240"/>
    <w:p w14:paraId="753C4282">
      <w:pPr>
        <w:spacing w:line="400" w:lineRule="exact"/>
        <w:jc w:val="center"/>
        <w:rPr>
          <w:rFonts w:hint="eastAsia" w:ascii="微软雅黑" w:hAnsi="微软雅黑" w:eastAsia="微软雅黑" w:cs="微软雅黑"/>
          <w:color w:val="000000"/>
          <w:szCs w:val="21"/>
          <w:highlight w:val="none"/>
        </w:rPr>
      </w:pPr>
    </w:p>
    <w:p w14:paraId="59776D21">
      <w:pPr>
        <w:spacing w:line="360" w:lineRule="auto"/>
        <w:ind w:left="105" w:leftChars="50" w:firstLine="336" w:firstLineChars="16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本授权委托书声明：我</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签名</w:t>
      </w:r>
      <w:r>
        <w:rPr>
          <w:rFonts w:hint="eastAsia" w:ascii="微软雅黑" w:hAnsi="微软雅黑" w:eastAsia="微软雅黑" w:cs="微软雅黑"/>
          <w:color w:val="000000"/>
          <w:szCs w:val="21"/>
          <w:highlight w:val="none"/>
        </w:rPr>
        <w:t>）系</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（投标人名称）的法定代表人，现授权委托</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(单位名称) 的</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（姓名）为我公司签署此已递交的</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（项目名称）</w:t>
      </w:r>
      <w:r>
        <w:rPr>
          <w:rFonts w:hint="eastAsia" w:ascii="微软雅黑" w:hAnsi="微软雅黑" w:eastAsia="微软雅黑" w:cs="微软雅黑"/>
          <w:color w:val="000000"/>
          <w:kern w:val="0"/>
          <w:szCs w:val="21"/>
          <w:highlight w:val="none"/>
          <w:lang w:val="en-US" w:eastAsia="zh-CN"/>
        </w:rPr>
        <w:t>第</w:t>
      </w:r>
      <w:r>
        <w:rPr>
          <w:rFonts w:hint="eastAsia" w:ascii="微软雅黑" w:hAnsi="微软雅黑" w:eastAsia="微软雅黑" w:cs="微软雅黑"/>
          <w:color w:val="000000"/>
          <w:kern w:val="0"/>
          <w:szCs w:val="21"/>
          <w:highlight w:val="none"/>
          <w:u w:val="single"/>
          <w:lang w:val="en-US" w:eastAsia="zh-CN"/>
        </w:rPr>
        <w:t xml:space="preserve">   </w:t>
      </w:r>
      <w:r>
        <w:rPr>
          <w:rFonts w:hint="eastAsia" w:ascii="微软雅黑" w:hAnsi="微软雅黑" w:eastAsia="微软雅黑" w:cs="微软雅黑"/>
          <w:color w:val="000000"/>
          <w:kern w:val="0"/>
          <w:szCs w:val="21"/>
          <w:highlight w:val="none"/>
          <w:lang w:val="en-US" w:eastAsia="zh-CN"/>
        </w:rPr>
        <w:t>标段</w:t>
      </w:r>
      <w:r>
        <w:rPr>
          <w:rFonts w:hint="eastAsia" w:ascii="微软雅黑" w:hAnsi="微软雅黑" w:eastAsia="微软雅黑" w:cs="微软雅黑"/>
          <w:color w:val="000000"/>
          <w:szCs w:val="21"/>
          <w:highlight w:val="none"/>
        </w:rPr>
        <w:t xml:space="preserve">投标文件的法定代表人的授权委托代理人，代理人全权代表我所签署的此已递交的投标文件内容我均承认。 </w:t>
      </w:r>
    </w:p>
    <w:p w14:paraId="4A4F1EB3">
      <w:pPr>
        <w:spacing w:line="360" w:lineRule="auto"/>
        <w:ind w:firstLine="441" w:firstLineChars="21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委托期限：</w:t>
      </w:r>
      <w:r>
        <w:rPr>
          <w:rFonts w:hint="eastAsia" w:ascii="微软雅黑" w:hAnsi="微软雅黑" w:eastAsia="微软雅黑" w:cs="微软雅黑"/>
          <w:color w:val="000000"/>
          <w:kern w:val="0"/>
          <w:szCs w:val="21"/>
          <w:highlight w:val="none"/>
          <w:u w:val="single"/>
        </w:rPr>
        <w:t xml:space="preserve">            </w:t>
      </w:r>
    </w:p>
    <w:p w14:paraId="4BDE719F">
      <w:pPr>
        <w:spacing w:line="360" w:lineRule="auto"/>
        <w:ind w:firstLine="472" w:firstLineChars="22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代理人无转委托权，特此委托。</w:t>
      </w:r>
    </w:p>
    <w:p w14:paraId="0150F36C">
      <w:pPr>
        <w:spacing w:line="360" w:lineRule="auto"/>
        <w:ind w:firstLine="473" w:firstLineChars="225"/>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b/>
          <w:color w:val="000000"/>
          <w:szCs w:val="21"/>
          <w:highlight w:val="none"/>
          <w:u w:val="single"/>
        </w:rPr>
        <w:t>此处附：法定代表人和授权委托人身份证并加盖公章</w:t>
      </w:r>
    </w:p>
    <w:p w14:paraId="338E4744">
      <w:pPr>
        <w:spacing w:line="360" w:lineRule="auto"/>
        <w:ind w:firstLine="472" w:firstLineChars="225"/>
        <w:jc w:val="left"/>
        <w:rPr>
          <w:rFonts w:hint="eastAsia" w:ascii="微软雅黑" w:hAnsi="微软雅黑" w:eastAsia="微软雅黑" w:cs="微软雅黑"/>
          <w:color w:val="000000"/>
          <w:szCs w:val="21"/>
          <w:highlight w:val="none"/>
        </w:rPr>
      </w:pPr>
    </w:p>
    <w:p w14:paraId="61D912A8">
      <w:pPr>
        <w:spacing w:line="360" w:lineRule="auto"/>
        <w:ind w:firstLine="472" w:firstLineChars="225"/>
        <w:jc w:val="left"/>
        <w:rPr>
          <w:rFonts w:hint="eastAsia" w:ascii="微软雅黑" w:hAnsi="微软雅黑" w:eastAsia="微软雅黑" w:cs="微软雅黑"/>
          <w:color w:val="000000"/>
          <w:szCs w:val="21"/>
          <w:highlight w:val="none"/>
        </w:rPr>
      </w:pPr>
    </w:p>
    <w:p w14:paraId="227A20D0">
      <w:pPr>
        <w:spacing w:line="360" w:lineRule="auto"/>
        <w:rPr>
          <w:rFonts w:hint="eastAsia" w:ascii="微软雅黑" w:hAnsi="微软雅黑" w:eastAsia="微软雅黑" w:cs="微软雅黑"/>
          <w:color w:val="000000"/>
          <w:szCs w:val="21"/>
          <w:highlight w:val="none"/>
        </w:rPr>
      </w:pPr>
    </w:p>
    <w:p w14:paraId="599352C1">
      <w:pPr>
        <w:spacing w:line="360" w:lineRule="auto"/>
        <w:rPr>
          <w:rFonts w:hint="eastAsia" w:ascii="微软雅黑" w:hAnsi="微软雅黑" w:eastAsia="微软雅黑" w:cs="微软雅黑"/>
          <w:color w:val="000000"/>
          <w:szCs w:val="21"/>
          <w:highlight w:val="none"/>
        </w:rPr>
      </w:pPr>
    </w:p>
    <w:p w14:paraId="60E8C736">
      <w:pPr>
        <w:spacing w:line="360" w:lineRule="auto"/>
        <w:rPr>
          <w:rFonts w:hint="eastAsia" w:ascii="微软雅黑" w:hAnsi="微软雅黑" w:eastAsia="微软雅黑" w:cs="微软雅黑"/>
          <w:color w:val="000000"/>
          <w:szCs w:val="21"/>
          <w:highlight w:val="none"/>
        </w:rPr>
      </w:pPr>
    </w:p>
    <w:p w14:paraId="6B94E5EE">
      <w:pPr>
        <w:spacing w:line="360" w:lineRule="auto"/>
        <w:rPr>
          <w:rFonts w:hint="eastAsia" w:ascii="微软雅黑" w:hAnsi="微软雅黑" w:eastAsia="微软雅黑" w:cs="微软雅黑"/>
          <w:color w:val="000000"/>
          <w:szCs w:val="21"/>
          <w:highlight w:val="none"/>
        </w:rPr>
      </w:pPr>
    </w:p>
    <w:p w14:paraId="0DC7A964">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2F1018D6">
      <w:pPr>
        <w:spacing w:line="500" w:lineRule="exact"/>
        <w:ind w:firstLine="540"/>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法定代表人</w:t>
      </w:r>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（签字或盖章）</w:t>
      </w:r>
    </w:p>
    <w:p w14:paraId="1D32B7A8">
      <w:pPr>
        <w:spacing w:line="500" w:lineRule="exact"/>
        <w:ind w:firstLine="4109" w:firstLineChars="1957"/>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委托代理人</w:t>
      </w:r>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（签字或盖章）</w:t>
      </w:r>
    </w:p>
    <w:p w14:paraId="2CE85FDF">
      <w:pPr>
        <w:spacing w:line="500" w:lineRule="exact"/>
        <w:ind w:firstLine="4319" w:firstLineChars="2057"/>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委托人联系电话</w:t>
      </w:r>
      <w:r>
        <w:rPr>
          <w:rFonts w:hint="eastAsia" w:ascii="微软雅黑" w:hAnsi="微软雅黑" w:eastAsia="微软雅黑" w:cs="微软雅黑"/>
          <w:color w:val="000000"/>
          <w:kern w:val="0"/>
          <w:szCs w:val="21"/>
          <w:highlight w:val="none"/>
        </w:rPr>
        <w:t>：</w:t>
      </w:r>
      <w:r>
        <w:rPr>
          <w:rFonts w:hint="eastAsia" w:ascii="微软雅黑" w:hAnsi="微软雅黑" w:eastAsia="微软雅黑" w:cs="微软雅黑"/>
          <w:color w:val="000000"/>
          <w:kern w:val="0"/>
          <w:szCs w:val="21"/>
          <w:highlight w:val="none"/>
          <w:u w:val="single"/>
        </w:rPr>
        <w:t xml:space="preserve">           </w:t>
      </w:r>
    </w:p>
    <w:p w14:paraId="64871B78">
      <w:pPr>
        <w:spacing w:line="500" w:lineRule="exact"/>
        <w:ind w:firstLine="411" w:firstLineChars="196"/>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年</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月</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日</w:t>
      </w:r>
    </w:p>
    <w:bookmarkEnd w:id="241"/>
    <w:p w14:paraId="23809120">
      <w:pPr>
        <w:spacing w:line="500" w:lineRule="exact"/>
        <w:rPr>
          <w:rFonts w:hint="eastAsia" w:ascii="微软雅黑" w:hAnsi="微软雅黑" w:eastAsia="微软雅黑" w:cs="微软雅黑"/>
          <w:color w:val="000000"/>
          <w:szCs w:val="21"/>
          <w:highlight w:val="none"/>
        </w:rPr>
      </w:pPr>
    </w:p>
    <w:p w14:paraId="3CBCD537">
      <w:pPr>
        <w:spacing w:line="440" w:lineRule="exact"/>
        <w:jc w:val="center"/>
        <w:rPr>
          <w:rFonts w:hint="eastAsia" w:ascii="微软雅黑" w:hAnsi="微软雅黑" w:eastAsia="微软雅黑" w:cs="微软雅黑"/>
          <w:b/>
          <w:color w:val="000000"/>
          <w:szCs w:val="21"/>
          <w:highlight w:val="none"/>
        </w:rPr>
      </w:pPr>
    </w:p>
    <w:p w14:paraId="347D40FF">
      <w:pPr>
        <w:spacing w:line="400" w:lineRule="exact"/>
        <w:jc w:val="center"/>
        <w:rPr>
          <w:rFonts w:hint="eastAsia" w:ascii="微软雅黑" w:hAnsi="微软雅黑" w:eastAsia="微软雅黑" w:cs="微软雅黑"/>
          <w:b/>
          <w:bCs/>
          <w:color w:val="000000"/>
          <w:szCs w:val="21"/>
          <w:highlight w:val="none"/>
        </w:rPr>
      </w:pPr>
    </w:p>
    <w:p w14:paraId="5E0DF8C1">
      <w:pPr>
        <w:spacing w:line="400" w:lineRule="exact"/>
        <w:jc w:val="center"/>
        <w:rPr>
          <w:rFonts w:hint="eastAsia" w:ascii="微软雅黑" w:hAnsi="微软雅黑" w:eastAsia="微软雅黑" w:cs="微软雅黑"/>
          <w:b/>
          <w:bCs/>
          <w:color w:val="000000"/>
          <w:szCs w:val="21"/>
          <w:highlight w:val="none"/>
        </w:rPr>
      </w:pPr>
    </w:p>
    <w:p w14:paraId="30DE922D">
      <w:pPr>
        <w:spacing w:line="400" w:lineRule="exact"/>
        <w:jc w:val="center"/>
        <w:rPr>
          <w:rFonts w:hint="eastAsia" w:ascii="微软雅黑" w:hAnsi="微软雅黑" w:eastAsia="微软雅黑" w:cs="微软雅黑"/>
          <w:b/>
          <w:bCs/>
          <w:color w:val="000000"/>
          <w:szCs w:val="21"/>
          <w:highlight w:val="none"/>
        </w:rPr>
      </w:pPr>
    </w:p>
    <w:p w14:paraId="203B5191">
      <w:pPr>
        <w:spacing w:line="400" w:lineRule="exact"/>
        <w:jc w:val="center"/>
        <w:rPr>
          <w:rFonts w:hint="eastAsia" w:ascii="微软雅黑" w:hAnsi="微软雅黑" w:eastAsia="微软雅黑" w:cs="微软雅黑"/>
          <w:b/>
          <w:bCs/>
          <w:color w:val="000000"/>
          <w:szCs w:val="21"/>
          <w:highlight w:val="none"/>
        </w:rPr>
      </w:pPr>
    </w:p>
    <w:p w14:paraId="67857638">
      <w:pPr>
        <w:spacing w:line="400" w:lineRule="exact"/>
        <w:jc w:val="center"/>
        <w:rPr>
          <w:rFonts w:hint="eastAsia" w:ascii="微软雅黑" w:hAnsi="微软雅黑" w:eastAsia="微软雅黑" w:cs="微软雅黑"/>
          <w:b/>
          <w:bCs/>
          <w:color w:val="000000"/>
          <w:szCs w:val="21"/>
          <w:highlight w:val="none"/>
        </w:rPr>
      </w:pPr>
    </w:p>
    <w:p w14:paraId="0A1B081C">
      <w:pPr>
        <w:spacing w:line="400" w:lineRule="exact"/>
        <w:jc w:val="center"/>
        <w:outlineLvl w:val="1"/>
        <w:rPr>
          <w:rFonts w:hint="eastAsia" w:ascii="微软雅黑" w:hAnsi="微软雅黑" w:eastAsia="微软雅黑" w:cs="微软雅黑"/>
          <w:b/>
          <w:color w:val="000000"/>
          <w:szCs w:val="21"/>
          <w:highlight w:val="none"/>
        </w:rPr>
      </w:pPr>
      <w:bookmarkStart w:id="242" w:name="_Toc23147"/>
      <w:bookmarkStart w:id="243" w:name="_Toc14580"/>
      <w:bookmarkStart w:id="244" w:name="_Toc40365323"/>
      <w:bookmarkStart w:id="245" w:name="OLE_LINK16"/>
      <w:bookmarkStart w:id="246" w:name="_Hlk528843612"/>
      <w:r>
        <w:rPr>
          <w:rFonts w:hint="eastAsia" w:ascii="微软雅黑" w:hAnsi="微软雅黑" w:eastAsia="微软雅黑" w:cs="微软雅黑"/>
          <w:b/>
          <w:color w:val="000000"/>
          <w:szCs w:val="21"/>
          <w:highlight w:val="none"/>
        </w:rPr>
        <w:t>五、投标人资格</w:t>
      </w:r>
      <w:bookmarkEnd w:id="242"/>
      <w:r>
        <w:rPr>
          <w:rFonts w:hint="eastAsia" w:ascii="微软雅黑" w:hAnsi="微软雅黑" w:eastAsia="微软雅黑" w:cs="微软雅黑"/>
          <w:b/>
          <w:color w:val="000000"/>
          <w:szCs w:val="21"/>
          <w:highlight w:val="none"/>
        </w:rPr>
        <w:t>审查资料</w:t>
      </w:r>
      <w:bookmarkEnd w:id="243"/>
      <w:bookmarkEnd w:id="244"/>
      <w:bookmarkEnd w:id="245"/>
    </w:p>
    <w:p w14:paraId="6FAA373E">
      <w:pPr>
        <w:spacing w:line="400" w:lineRule="exact"/>
        <w:rPr>
          <w:rFonts w:hint="eastAsia" w:ascii="微软雅黑" w:hAnsi="微软雅黑" w:eastAsia="微软雅黑" w:cs="微软雅黑"/>
          <w:color w:val="000000"/>
          <w:szCs w:val="21"/>
          <w:highlight w:val="none"/>
        </w:rPr>
      </w:pPr>
    </w:p>
    <w:tbl>
      <w:tblPr>
        <w:tblStyle w:val="18"/>
        <w:tblW w:w="95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076"/>
        <w:gridCol w:w="2516"/>
        <w:gridCol w:w="1626"/>
        <w:gridCol w:w="2328"/>
      </w:tblGrid>
      <w:tr w14:paraId="70B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4327EE2C">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投标人名称</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349EB471">
            <w:pPr>
              <w:spacing w:line="360" w:lineRule="auto"/>
              <w:jc w:val="center"/>
              <w:rPr>
                <w:rFonts w:hint="eastAsia" w:ascii="微软雅黑" w:hAnsi="微软雅黑" w:eastAsia="微软雅黑" w:cs="微软雅黑"/>
                <w:color w:val="000000"/>
                <w:szCs w:val="21"/>
                <w:highlight w:val="none"/>
              </w:rPr>
            </w:pPr>
          </w:p>
        </w:tc>
      </w:tr>
      <w:tr w14:paraId="615D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23C3C0EA">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注册地址</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14:paraId="1F7D9216">
            <w:pPr>
              <w:spacing w:line="360" w:lineRule="auto"/>
              <w:jc w:val="center"/>
              <w:rPr>
                <w:rFonts w:hint="eastAsia" w:ascii="微软雅黑" w:hAnsi="微软雅黑" w:eastAsia="微软雅黑" w:cs="微软雅黑"/>
                <w:color w:val="000000"/>
                <w:szCs w:val="21"/>
                <w:highlight w:val="none"/>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FEEBDC5">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邮政编码</w:t>
            </w:r>
          </w:p>
        </w:tc>
        <w:tc>
          <w:tcPr>
            <w:tcW w:w="2328" w:type="dxa"/>
            <w:tcBorders>
              <w:top w:val="single" w:color="auto" w:sz="4" w:space="0"/>
              <w:left w:val="single" w:color="auto" w:sz="4" w:space="0"/>
              <w:bottom w:val="single" w:color="auto" w:sz="4" w:space="0"/>
              <w:right w:val="single" w:color="auto" w:sz="4" w:space="0"/>
            </w:tcBorders>
            <w:noWrap w:val="0"/>
            <w:vAlign w:val="center"/>
          </w:tcPr>
          <w:p w14:paraId="1261FFDD">
            <w:pPr>
              <w:spacing w:line="360" w:lineRule="auto"/>
              <w:jc w:val="center"/>
              <w:rPr>
                <w:rFonts w:hint="eastAsia" w:ascii="微软雅黑" w:hAnsi="微软雅黑" w:eastAsia="微软雅黑" w:cs="微软雅黑"/>
                <w:color w:val="000000"/>
                <w:szCs w:val="21"/>
                <w:highlight w:val="none"/>
              </w:rPr>
            </w:pPr>
          </w:p>
        </w:tc>
      </w:tr>
      <w:tr w14:paraId="531C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9" w:type="dxa"/>
            <w:vMerge w:val="restart"/>
            <w:tcBorders>
              <w:top w:val="single" w:color="auto" w:sz="4" w:space="0"/>
              <w:left w:val="single" w:color="auto" w:sz="4" w:space="0"/>
              <w:bottom w:val="single" w:color="auto" w:sz="4" w:space="0"/>
              <w:right w:val="single" w:color="auto" w:sz="4" w:space="0"/>
            </w:tcBorders>
            <w:noWrap w:val="0"/>
            <w:vAlign w:val="center"/>
          </w:tcPr>
          <w:p w14:paraId="4E480288">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联系方式</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64A5EC0">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联系人</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2D92B33A">
            <w:pPr>
              <w:spacing w:line="360" w:lineRule="auto"/>
              <w:jc w:val="center"/>
              <w:rPr>
                <w:rFonts w:hint="eastAsia" w:ascii="微软雅黑" w:hAnsi="微软雅黑" w:eastAsia="微软雅黑" w:cs="微软雅黑"/>
                <w:color w:val="000000"/>
                <w:szCs w:val="21"/>
                <w:highlight w:val="none"/>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41E848AC">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电话</w:t>
            </w:r>
          </w:p>
        </w:tc>
        <w:tc>
          <w:tcPr>
            <w:tcW w:w="2328" w:type="dxa"/>
            <w:tcBorders>
              <w:top w:val="single" w:color="auto" w:sz="4" w:space="0"/>
              <w:left w:val="single" w:color="auto" w:sz="4" w:space="0"/>
              <w:bottom w:val="single" w:color="auto" w:sz="4" w:space="0"/>
              <w:right w:val="single" w:color="auto" w:sz="4" w:space="0"/>
            </w:tcBorders>
            <w:noWrap w:val="0"/>
            <w:vAlign w:val="center"/>
          </w:tcPr>
          <w:p w14:paraId="2AA250E2">
            <w:pPr>
              <w:spacing w:line="360" w:lineRule="auto"/>
              <w:jc w:val="center"/>
              <w:rPr>
                <w:rFonts w:hint="eastAsia" w:ascii="微软雅黑" w:hAnsi="微软雅黑" w:eastAsia="微软雅黑" w:cs="微软雅黑"/>
                <w:color w:val="000000"/>
                <w:szCs w:val="21"/>
                <w:highlight w:val="none"/>
              </w:rPr>
            </w:pPr>
          </w:p>
        </w:tc>
      </w:tr>
      <w:tr w14:paraId="3D7A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9" w:type="dxa"/>
            <w:vMerge w:val="continue"/>
            <w:tcBorders>
              <w:top w:val="single" w:color="auto" w:sz="4" w:space="0"/>
              <w:left w:val="single" w:color="auto" w:sz="4" w:space="0"/>
              <w:bottom w:val="single" w:color="auto" w:sz="4" w:space="0"/>
              <w:right w:val="single" w:color="auto" w:sz="4" w:space="0"/>
            </w:tcBorders>
            <w:noWrap w:val="0"/>
            <w:vAlign w:val="center"/>
          </w:tcPr>
          <w:p w14:paraId="57C2A433">
            <w:pPr>
              <w:widowControl/>
              <w:jc w:val="left"/>
              <w:rPr>
                <w:rFonts w:hint="eastAsia" w:ascii="微软雅黑" w:hAnsi="微软雅黑" w:eastAsia="微软雅黑" w:cs="微软雅黑"/>
                <w:color w:val="000000"/>
                <w:szCs w:val="21"/>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F6D5871">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传真</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222C2CB4">
            <w:pPr>
              <w:spacing w:line="360" w:lineRule="auto"/>
              <w:jc w:val="center"/>
              <w:rPr>
                <w:rFonts w:hint="eastAsia" w:ascii="微软雅黑" w:hAnsi="微软雅黑" w:eastAsia="微软雅黑" w:cs="微软雅黑"/>
                <w:color w:val="000000"/>
                <w:szCs w:val="21"/>
                <w:highlight w:val="none"/>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51654F6">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网址</w:t>
            </w:r>
          </w:p>
        </w:tc>
        <w:tc>
          <w:tcPr>
            <w:tcW w:w="2328" w:type="dxa"/>
            <w:tcBorders>
              <w:top w:val="single" w:color="auto" w:sz="4" w:space="0"/>
              <w:left w:val="single" w:color="auto" w:sz="4" w:space="0"/>
              <w:bottom w:val="single" w:color="auto" w:sz="4" w:space="0"/>
              <w:right w:val="single" w:color="auto" w:sz="4" w:space="0"/>
            </w:tcBorders>
            <w:noWrap w:val="0"/>
            <w:vAlign w:val="center"/>
          </w:tcPr>
          <w:p w14:paraId="16EA5158">
            <w:pPr>
              <w:spacing w:line="360" w:lineRule="auto"/>
              <w:jc w:val="center"/>
              <w:rPr>
                <w:rFonts w:hint="eastAsia" w:ascii="微软雅黑" w:hAnsi="微软雅黑" w:eastAsia="微软雅黑" w:cs="微软雅黑"/>
                <w:color w:val="000000"/>
                <w:szCs w:val="21"/>
                <w:highlight w:val="none"/>
              </w:rPr>
            </w:pPr>
          </w:p>
        </w:tc>
      </w:tr>
      <w:tr w14:paraId="3ECB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512087E9">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组织结构</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7E64B984">
            <w:pPr>
              <w:spacing w:line="360" w:lineRule="auto"/>
              <w:jc w:val="center"/>
              <w:rPr>
                <w:rFonts w:hint="eastAsia" w:ascii="微软雅黑" w:hAnsi="微软雅黑" w:eastAsia="微软雅黑" w:cs="微软雅黑"/>
                <w:color w:val="000000"/>
                <w:szCs w:val="21"/>
                <w:highlight w:val="none"/>
              </w:rPr>
            </w:pPr>
          </w:p>
        </w:tc>
      </w:tr>
      <w:tr w14:paraId="7501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8F38F5C">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3701743">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姓名</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1DD0E1C0">
            <w:pPr>
              <w:spacing w:line="360" w:lineRule="auto"/>
              <w:jc w:val="center"/>
              <w:rPr>
                <w:rFonts w:hint="eastAsia" w:ascii="微软雅黑" w:hAnsi="微软雅黑" w:eastAsia="微软雅黑" w:cs="微软雅黑"/>
                <w:color w:val="000000"/>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3E0CD76D">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电话</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0B61C7CE">
            <w:pPr>
              <w:spacing w:line="360" w:lineRule="auto"/>
              <w:jc w:val="center"/>
              <w:rPr>
                <w:rFonts w:hint="eastAsia" w:ascii="微软雅黑" w:hAnsi="微软雅黑" w:eastAsia="微软雅黑" w:cs="微软雅黑"/>
                <w:color w:val="000000"/>
                <w:szCs w:val="21"/>
                <w:highlight w:val="none"/>
              </w:rPr>
            </w:pPr>
          </w:p>
        </w:tc>
      </w:tr>
      <w:tr w14:paraId="15FE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C731144">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131692">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姓名</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16F50EAF">
            <w:pPr>
              <w:spacing w:line="360" w:lineRule="auto"/>
              <w:jc w:val="center"/>
              <w:rPr>
                <w:rFonts w:hint="eastAsia" w:ascii="微软雅黑" w:hAnsi="微软雅黑" w:eastAsia="微软雅黑" w:cs="微软雅黑"/>
                <w:color w:val="000000"/>
                <w:szCs w:val="21"/>
                <w:highlight w:val="none"/>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2C7BE4A4">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电话</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9E55D7C">
            <w:pPr>
              <w:spacing w:line="360" w:lineRule="auto"/>
              <w:jc w:val="center"/>
              <w:rPr>
                <w:rFonts w:hint="eastAsia" w:ascii="微软雅黑" w:hAnsi="微软雅黑" w:eastAsia="微软雅黑" w:cs="微软雅黑"/>
                <w:color w:val="000000"/>
                <w:szCs w:val="21"/>
                <w:highlight w:val="none"/>
              </w:rPr>
            </w:pPr>
          </w:p>
        </w:tc>
      </w:tr>
      <w:tr w14:paraId="724A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28222B7">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成立时间</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3D318480">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员工总人数：</w:t>
            </w:r>
          </w:p>
        </w:tc>
      </w:tr>
      <w:tr w14:paraId="6F24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51C7214C">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营业执照号</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07034A6E">
            <w:pPr>
              <w:spacing w:line="360" w:lineRule="auto"/>
              <w:jc w:val="center"/>
              <w:rPr>
                <w:rFonts w:hint="eastAsia" w:ascii="微软雅黑" w:hAnsi="微软雅黑" w:eastAsia="微软雅黑" w:cs="微软雅黑"/>
                <w:color w:val="000000"/>
                <w:szCs w:val="21"/>
                <w:highlight w:val="none"/>
              </w:rPr>
            </w:pPr>
          </w:p>
        </w:tc>
      </w:tr>
      <w:tr w14:paraId="79CF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1147C451">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注册资金</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7EDD977E">
            <w:pPr>
              <w:spacing w:line="360" w:lineRule="auto"/>
              <w:jc w:val="center"/>
              <w:rPr>
                <w:rFonts w:hint="eastAsia" w:ascii="微软雅黑" w:hAnsi="微软雅黑" w:eastAsia="微软雅黑" w:cs="微软雅黑"/>
                <w:color w:val="000000"/>
                <w:szCs w:val="21"/>
                <w:highlight w:val="none"/>
              </w:rPr>
            </w:pPr>
          </w:p>
        </w:tc>
      </w:tr>
      <w:tr w14:paraId="6C50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7F53436A">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开户银行</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24321784">
            <w:pPr>
              <w:spacing w:line="360" w:lineRule="auto"/>
              <w:jc w:val="center"/>
              <w:rPr>
                <w:rFonts w:hint="eastAsia" w:ascii="微软雅黑" w:hAnsi="微软雅黑" w:eastAsia="微软雅黑" w:cs="微软雅黑"/>
                <w:color w:val="000000"/>
                <w:szCs w:val="21"/>
                <w:highlight w:val="none"/>
              </w:rPr>
            </w:pPr>
          </w:p>
        </w:tc>
      </w:tr>
      <w:tr w14:paraId="009C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0CF94A33">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账号</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23BE1E8A">
            <w:pPr>
              <w:spacing w:line="360" w:lineRule="auto"/>
              <w:jc w:val="center"/>
              <w:rPr>
                <w:rFonts w:hint="eastAsia" w:ascii="微软雅黑" w:hAnsi="微软雅黑" w:eastAsia="微软雅黑" w:cs="微软雅黑"/>
                <w:color w:val="000000"/>
                <w:szCs w:val="21"/>
                <w:highlight w:val="none"/>
              </w:rPr>
            </w:pPr>
          </w:p>
        </w:tc>
      </w:tr>
      <w:tr w14:paraId="5556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79" w:type="dxa"/>
            <w:tcBorders>
              <w:top w:val="single" w:color="auto" w:sz="4" w:space="0"/>
              <w:left w:val="single" w:color="auto" w:sz="4" w:space="0"/>
              <w:bottom w:val="single" w:color="auto" w:sz="4" w:space="0"/>
              <w:right w:val="single" w:color="auto" w:sz="4" w:space="0"/>
            </w:tcBorders>
            <w:noWrap w:val="0"/>
            <w:vAlign w:val="center"/>
          </w:tcPr>
          <w:p w14:paraId="56FD0E4D">
            <w:pPr>
              <w:spacing w:line="360" w:lineRule="auto"/>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经营范围备注</w:t>
            </w:r>
          </w:p>
        </w:tc>
        <w:tc>
          <w:tcPr>
            <w:tcW w:w="7546" w:type="dxa"/>
            <w:gridSpan w:val="4"/>
            <w:tcBorders>
              <w:top w:val="single" w:color="auto" w:sz="4" w:space="0"/>
              <w:left w:val="single" w:color="auto" w:sz="4" w:space="0"/>
              <w:bottom w:val="single" w:color="auto" w:sz="4" w:space="0"/>
              <w:right w:val="single" w:color="auto" w:sz="4" w:space="0"/>
            </w:tcBorders>
            <w:noWrap w:val="0"/>
            <w:vAlign w:val="center"/>
          </w:tcPr>
          <w:p w14:paraId="47D09620">
            <w:pPr>
              <w:spacing w:line="360" w:lineRule="auto"/>
              <w:ind w:firstLine="420" w:firstLineChars="200"/>
              <w:jc w:val="center"/>
              <w:rPr>
                <w:rFonts w:hint="eastAsia" w:ascii="微软雅黑" w:hAnsi="微软雅黑" w:eastAsia="微软雅黑" w:cs="微软雅黑"/>
                <w:color w:val="000000"/>
                <w:szCs w:val="21"/>
                <w:highlight w:val="none"/>
              </w:rPr>
            </w:pPr>
          </w:p>
        </w:tc>
      </w:tr>
    </w:tbl>
    <w:p w14:paraId="52D02642">
      <w:pPr>
        <w:spacing w:line="400" w:lineRule="exact"/>
        <w:rPr>
          <w:rFonts w:hint="eastAsia" w:ascii="微软雅黑" w:hAnsi="微软雅黑" w:eastAsia="微软雅黑" w:cs="微软雅黑"/>
          <w:color w:val="000000"/>
          <w:szCs w:val="21"/>
          <w:highlight w:val="none"/>
        </w:rPr>
      </w:pPr>
    </w:p>
    <w:p w14:paraId="6B503D87">
      <w:pPr>
        <w:spacing w:line="400" w:lineRule="exact"/>
        <w:rPr>
          <w:rFonts w:hint="eastAsia" w:ascii="微软雅黑" w:hAnsi="微软雅黑" w:eastAsia="微软雅黑" w:cs="微软雅黑"/>
          <w:color w:val="000000"/>
          <w:szCs w:val="21"/>
          <w:highlight w:val="none"/>
        </w:rPr>
      </w:pPr>
      <w:r>
        <w:rPr>
          <w:rFonts w:hint="eastAsia" w:ascii="微软雅黑" w:hAnsi="微软雅黑" w:eastAsia="微软雅黑" w:cs="微软雅黑"/>
          <w:bCs/>
          <w:color w:val="000000"/>
          <w:szCs w:val="21"/>
          <w:highlight w:val="none"/>
        </w:rPr>
        <w:t>附企业营业执照等相关证件</w:t>
      </w:r>
    </w:p>
    <w:bookmarkEnd w:id="246"/>
    <w:p w14:paraId="12D4A103">
      <w:pPr>
        <w:spacing w:line="400" w:lineRule="exact"/>
        <w:rPr>
          <w:rFonts w:hint="eastAsia" w:ascii="微软雅黑" w:hAnsi="微软雅黑" w:eastAsia="微软雅黑" w:cs="微软雅黑"/>
          <w:color w:val="000000"/>
          <w:szCs w:val="21"/>
          <w:highlight w:val="none"/>
        </w:rPr>
      </w:pPr>
    </w:p>
    <w:p w14:paraId="4DCE6086">
      <w:pPr>
        <w:spacing w:line="360" w:lineRule="auto"/>
        <w:jc w:val="center"/>
        <w:outlineLvl w:val="1"/>
        <w:rPr>
          <w:rStyle w:val="28"/>
          <w:rFonts w:hint="eastAsia" w:ascii="微软雅黑" w:hAnsi="微软雅黑" w:eastAsia="微软雅黑" w:cs="微软雅黑"/>
          <w:color w:val="000000"/>
          <w:highlight w:val="none"/>
        </w:rPr>
        <w:sectPr>
          <w:pgSz w:w="11900" w:h="16821"/>
          <w:pgMar w:top="1417" w:right="1134" w:bottom="1417" w:left="1134" w:header="720" w:footer="720" w:gutter="0"/>
          <w:cols w:space="720" w:num="1"/>
          <w:rtlGutter w:val="0"/>
          <w:docGrid w:linePitch="312" w:charSpace="0"/>
        </w:sectPr>
      </w:pPr>
      <w:bookmarkStart w:id="247" w:name="_Toc40365324"/>
      <w:bookmarkStart w:id="248" w:name="_Toc12343"/>
    </w:p>
    <w:p w14:paraId="397CE697">
      <w:pPr>
        <w:numPr>
          <w:ilvl w:val="0"/>
          <w:numId w:val="0"/>
        </w:numPr>
        <w:spacing w:line="400" w:lineRule="exact"/>
        <w:jc w:val="center"/>
        <w:outlineLvl w:val="1"/>
        <w:rPr>
          <w:rFonts w:hint="eastAsia" w:ascii="微软雅黑" w:hAnsi="微软雅黑" w:eastAsia="微软雅黑" w:cs="微软雅黑"/>
          <w:b/>
          <w:color w:val="000000"/>
          <w:szCs w:val="21"/>
          <w:highlight w:val="none"/>
        </w:rPr>
      </w:pPr>
      <w:bookmarkStart w:id="249" w:name="_Toc5673"/>
      <w:bookmarkStart w:id="250" w:name="OLE_LINK17"/>
      <w:r>
        <w:rPr>
          <w:rFonts w:hint="eastAsia" w:ascii="微软雅黑" w:hAnsi="微软雅黑" w:eastAsia="微软雅黑" w:cs="微软雅黑"/>
          <w:b/>
          <w:color w:val="000000"/>
          <w:szCs w:val="21"/>
          <w:highlight w:val="none"/>
          <w:lang w:eastAsia="zh-CN"/>
        </w:rPr>
        <w:t>六、</w:t>
      </w:r>
      <w:r>
        <w:rPr>
          <w:rFonts w:hint="eastAsia" w:ascii="微软雅黑" w:hAnsi="微软雅黑" w:eastAsia="微软雅黑" w:cs="微软雅黑"/>
          <w:b/>
          <w:color w:val="000000"/>
          <w:szCs w:val="21"/>
          <w:highlight w:val="none"/>
        </w:rPr>
        <w:t>所投产品报价明细表</w:t>
      </w:r>
      <w:bookmarkEnd w:id="247"/>
      <w:bookmarkEnd w:id="248"/>
      <w:bookmarkEnd w:id="249"/>
    </w:p>
    <w:bookmarkEnd w:id="250"/>
    <w:p w14:paraId="4AB03D56">
      <w:pPr>
        <w:pStyle w:val="17"/>
        <w:ind w:firstLine="0" w:firstLineChars="0"/>
        <w:rPr>
          <w:rFonts w:hint="eastAsia" w:ascii="微软雅黑" w:hAnsi="微软雅黑" w:eastAsia="微软雅黑" w:cs="微软雅黑"/>
          <w:highlight w:val="none"/>
        </w:rPr>
      </w:pPr>
    </w:p>
    <w:p w14:paraId="588642CA">
      <w:pPr>
        <w:spacing w:line="440" w:lineRule="exact"/>
        <w:ind w:right="420" w:firstLine="1050" w:firstLineChars="50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投标人名称：</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szCs w:val="21"/>
          <w:highlight w:val="none"/>
        </w:rPr>
        <w:t xml:space="preserve">                          项目编号：</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szCs w:val="21"/>
          <w:highlight w:val="none"/>
        </w:rPr>
        <w:t xml:space="preserve"> </w:t>
      </w:r>
    </w:p>
    <w:p w14:paraId="504574CF">
      <w:pPr>
        <w:spacing w:line="440" w:lineRule="exact"/>
        <w:ind w:right="420" w:firstLine="2310" w:firstLineChars="1100"/>
        <w:jc w:val="righ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单位： 元                                               </w:t>
      </w:r>
    </w:p>
    <w:tbl>
      <w:tblPr>
        <w:tblStyle w:val="18"/>
        <w:tblpPr w:leftFromText="180" w:rightFromText="180" w:vertAnchor="text" w:horzAnchor="page" w:tblpX="1393" w:tblpY="91"/>
        <w:tblOverlap w:val="never"/>
        <w:tblW w:w="10015" w:type="dxa"/>
        <w:tblInd w:w="0" w:type="dxa"/>
        <w:tblLayout w:type="fixed"/>
        <w:tblCellMar>
          <w:top w:w="0" w:type="dxa"/>
          <w:left w:w="108" w:type="dxa"/>
          <w:bottom w:w="0" w:type="dxa"/>
          <w:right w:w="108" w:type="dxa"/>
        </w:tblCellMar>
      </w:tblPr>
      <w:tblGrid>
        <w:gridCol w:w="945"/>
        <w:gridCol w:w="35"/>
        <w:gridCol w:w="1242"/>
        <w:gridCol w:w="1180"/>
        <w:gridCol w:w="1527"/>
        <w:gridCol w:w="671"/>
        <w:gridCol w:w="980"/>
        <w:gridCol w:w="980"/>
        <w:gridCol w:w="1453"/>
        <w:gridCol w:w="1002"/>
      </w:tblGrid>
      <w:tr w14:paraId="1941D736">
        <w:tblPrEx>
          <w:tblCellMar>
            <w:top w:w="0" w:type="dxa"/>
            <w:left w:w="108" w:type="dxa"/>
            <w:bottom w:w="0" w:type="dxa"/>
            <w:right w:w="108" w:type="dxa"/>
          </w:tblCellMar>
        </w:tblPrEx>
        <w:trPr>
          <w:trHeight w:val="547"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20908014">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044A1C9F">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名称</w:t>
            </w:r>
          </w:p>
        </w:tc>
        <w:tc>
          <w:tcPr>
            <w:tcW w:w="1180" w:type="dxa"/>
            <w:tcBorders>
              <w:top w:val="single" w:color="auto" w:sz="4" w:space="0"/>
              <w:left w:val="nil"/>
              <w:bottom w:val="single" w:color="auto" w:sz="4" w:space="0"/>
              <w:right w:val="single" w:color="auto" w:sz="4" w:space="0"/>
            </w:tcBorders>
            <w:noWrap/>
            <w:vAlign w:val="center"/>
          </w:tcPr>
          <w:p w14:paraId="255D31A9">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品牌</w:t>
            </w:r>
          </w:p>
        </w:tc>
        <w:tc>
          <w:tcPr>
            <w:tcW w:w="1527" w:type="dxa"/>
            <w:tcBorders>
              <w:top w:val="single" w:color="auto" w:sz="4" w:space="0"/>
              <w:left w:val="nil"/>
              <w:bottom w:val="single" w:color="auto" w:sz="4" w:space="0"/>
              <w:right w:val="single" w:color="auto" w:sz="4" w:space="0"/>
            </w:tcBorders>
            <w:noWrap/>
            <w:vAlign w:val="center"/>
          </w:tcPr>
          <w:p w14:paraId="03239E7E">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规格型号</w:t>
            </w:r>
          </w:p>
        </w:tc>
        <w:tc>
          <w:tcPr>
            <w:tcW w:w="671" w:type="dxa"/>
            <w:tcBorders>
              <w:top w:val="single" w:color="auto" w:sz="4" w:space="0"/>
              <w:left w:val="nil"/>
              <w:bottom w:val="single" w:color="auto" w:sz="4" w:space="0"/>
              <w:right w:val="single" w:color="auto" w:sz="4" w:space="0"/>
            </w:tcBorders>
            <w:noWrap/>
            <w:vAlign w:val="center"/>
          </w:tcPr>
          <w:p w14:paraId="51703A70">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数量</w:t>
            </w:r>
          </w:p>
        </w:tc>
        <w:tc>
          <w:tcPr>
            <w:tcW w:w="980" w:type="dxa"/>
            <w:tcBorders>
              <w:top w:val="single" w:color="auto" w:sz="4" w:space="0"/>
              <w:left w:val="nil"/>
              <w:bottom w:val="single" w:color="auto" w:sz="4" w:space="0"/>
              <w:right w:val="single" w:color="auto" w:sz="4" w:space="0"/>
            </w:tcBorders>
            <w:noWrap/>
            <w:vAlign w:val="center"/>
          </w:tcPr>
          <w:p w14:paraId="312E1DD0">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单位</w:t>
            </w:r>
          </w:p>
        </w:tc>
        <w:tc>
          <w:tcPr>
            <w:tcW w:w="980" w:type="dxa"/>
            <w:tcBorders>
              <w:top w:val="single" w:color="auto" w:sz="4" w:space="0"/>
              <w:left w:val="nil"/>
              <w:bottom w:val="single" w:color="auto" w:sz="4" w:space="0"/>
              <w:right w:val="single" w:color="auto" w:sz="4" w:space="0"/>
            </w:tcBorders>
            <w:noWrap/>
            <w:vAlign w:val="center"/>
          </w:tcPr>
          <w:p w14:paraId="595E5623">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单价</w:t>
            </w:r>
          </w:p>
        </w:tc>
        <w:tc>
          <w:tcPr>
            <w:tcW w:w="1453" w:type="dxa"/>
            <w:tcBorders>
              <w:top w:val="single" w:color="auto" w:sz="4" w:space="0"/>
              <w:left w:val="nil"/>
              <w:bottom w:val="single" w:color="auto" w:sz="4" w:space="0"/>
              <w:right w:val="single" w:color="auto" w:sz="4" w:space="0"/>
            </w:tcBorders>
            <w:noWrap/>
            <w:vAlign w:val="center"/>
          </w:tcPr>
          <w:p w14:paraId="53A1D295">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总价</w:t>
            </w:r>
          </w:p>
        </w:tc>
        <w:tc>
          <w:tcPr>
            <w:tcW w:w="1002" w:type="dxa"/>
            <w:tcBorders>
              <w:top w:val="single" w:color="auto" w:sz="4" w:space="0"/>
              <w:left w:val="nil"/>
              <w:bottom w:val="single" w:color="auto" w:sz="4" w:space="0"/>
              <w:right w:val="single" w:color="auto" w:sz="4" w:space="0"/>
            </w:tcBorders>
            <w:noWrap/>
            <w:vAlign w:val="center"/>
          </w:tcPr>
          <w:p w14:paraId="17ED8268">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备注</w:t>
            </w:r>
          </w:p>
        </w:tc>
      </w:tr>
      <w:tr w14:paraId="5BC0028A">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0D9F8EA7">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7E74BC41">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3FDD9468">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0E7D5D3E">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6D611E5C">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1F3FFC20">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402CB6C3">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5C448881">
            <w:pPr>
              <w:spacing w:line="440" w:lineRule="exact"/>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32831E33">
            <w:pPr>
              <w:spacing w:line="440" w:lineRule="exact"/>
              <w:jc w:val="center"/>
              <w:rPr>
                <w:rFonts w:hint="eastAsia" w:ascii="微软雅黑" w:hAnsi="微软雅黑" w:eastAsia="微软雅黑" w:cs="微软雅黑"/>
                <w:szCs w:val="21"/>
                <w:highlight w:val="none"/>
              </w:rPr>
            </w:pPr>
          </w:p>
        </w:tc>
      </w:tr>
      <w:tr w14:paraId="5EB6426D">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5E6C3095">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08645BE2">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4B087E03">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7BF8C194">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219912D5">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3B6787D2">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449DA6B8">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1523DA4D">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4B060B3E">
            <w:pPr>
              <w:spacing w:line="440" w:lineRule="exact"/>
              <w:jc w:val="center"/>
              <w:rPr>
                <w:rFonts w:hint="eastAsia" w:ascii="微软雅黑" w:hAnsi="微软雅黑" w:eastAsia="微软雅黑" w:cs="微软雅黑"/>
                <w:szCs w:val="21"/>
                <w:highlight w:val="none"/>
              </w:rPr>
            </w:pPr>
          </w:p>
        </w:tc>
      </w:tr>
      <w:tr w14:paraId="2CC3BDA9">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6CC5E4A8">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43871F2C">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4790FE00">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6B6724BF">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59AABF1E">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0B912C4B">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7DF6AA72">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3195D933">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655FCD8E">
            <w:pPr>
              <w:spacing w:line="440" w:lineRule="exact"/>
              <w:jc w:val="center"/>
              <w:rPr>
                <w:rFonts w:hint="eastAsia" w:ascii="微软雅黑" w:hAnsi="微软雅黑" w:eastAsia="微软雅黑" w:cs="微软雅黑"/>
                <w:szCs w:val="21"/>
                <w:highlight w:val="none"/>
              </w:rPr>
            </w:pPr>
          </w:p>
        </w:tc>
      </w:tr>
      <w:tr w14:paraId="2484934F">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3E4349C8">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4</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401A6374">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4F9B4B0B">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1EF098B4">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3A904A2E">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1F3CF377">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7B1F00DD">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7D3F0647">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0DD63CCF">
            <w:pPr>
              <w:spacing w:line="440" w:lineRule="exact"/>
              <w:jc w:val="center"/>
              <w:rPr>
                <w:rFonts w:hint="eastAsia" w:ascii="微软雅黑" w:hAnsi="微软雅黑" w:eastAsia="微软雅黑" w:cs="微软雅黑"/>
                <w:szCs w:val="21"/>
                <w:highlight w:val="none"/>
              </w:rPr>
            </w:pPr>
          </w:p>
        </w:tc>
      </w:tr>
      <w:tr w14:paraId="783CB90E">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62BD45ED">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5</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4FCCEAB2">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357B947A">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22D06DC5">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top"/>
          </w:tcPr>
          <w:p w14:paraId="6E940B99">
            <w:pPr>
              <w:rPr>
                <w:rFonts w:hint="eastAsia" w:ascii="微软雅黑" w:hAnsi="微软雅黑" w:eastAsia="微软雅黑" w:cs="微软雅黑"/>
                <w:highlight w:val="none"/>
              </w:rPr>
            </w:pPr>
          </w:p>
        </w:tc>
        <w:tc>
          <w:tcPr>
            <w:tcW w:w="980" w:type="dxa"/>
            <w:tcBorders>
              <w:top w:val="single" w:color="auto" w:sz="4" w:space="0"/>
              <w:left w:val="nil"/>
              <w:bottom w:val="single" w:color="auto" w:sz="4" w:space="0"/>
              <w:right w:val="single" w:color="auto" w:sz="4" w:space="0"/>
            </w:tcBorders>
            <w:noWrap/>
            <w:vAlign w:val="center"/>
          </w:tcPr>
          <w:p w14:paraId="5630B36D">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61D563EF">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60561C6F">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0FD916ED">
            <w:pPr>
              <w:spacing w:line="440" w:lineRule="exact"/>
              <w:jc w:val="center"/>
              <w:rPr>
                <w:rFonts w:hint="eastAsia" w:ascii="微软雅黑" w:hAnsi="微软雅黑" w:eastAsia="微软雅黑" w:cs="微软雅黑"/>
                <w:szCs w:val="21"/>
                <w:highlight w:val="none"/>
              </w:rPr>
            </w:pPr>
          </w:p>
        </w:tc>
      </w:tr>
      <w:tr w14:paraId="7CF0C27F">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0D160304">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6</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6CA24EC4">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2E8CE650">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42054107">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top"/>
          </w:tcPr>
          <w:p w14:paraId="772F0A86">
            <w:pPr>
              <w:rPr>
                <w:rFonts w:hint="eastAsia" w:ascii="微软雅黑" w:hAnsi="微软雅黑" w:eastAsia="微软雅黑" w:cs="微软雅黑"/>
                <w:highlight w:val="none"/>
              </w:rPr>
            </w:pPr>
          </w:p>
        </w:tc>
        <w:tc>
          <w:tcPr>
            <w:tcW w:w="980" w:type="dxa"/>
            <w:tcBorders>
              <w:top w:val="single" w:color="auto" w:sz="4" w:space="0"/>
              <w:left w:val="nil"/>
              <w:bottom w:val="single" w:color="auto" w:sz="4" w:space="0"/>
              <w:right w:val="single" w:color="auto" w:sz="4" w:space="0"/>
            </w:tcBorders>
            <w:noWrap/>
            <w:vAlign w:val="center"/>
          </w:tcPr>
          <w:p w14:paraId="4ADD18CE">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29ACD709">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026B1E63">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34307A2A">
            <w:pPr>
              <w:spacing w:line="440" w:lineRule="exact"/>
              <w:jc w:val="center"/>
              <w:rPr>
                <w:rFonts w:hint="eastAsia" w:ascii="微软雅黑" w:hAnsi="微软雅黑" w:eastAsia="微软雅黑" w:cs="微软雅黑"/>
                <w:szCs w:val="21"/>
                <w:highlight w:val="none"/>
              </w:rPr>
            </w:pPr>
          </w:p>
        </w:tc>
      </w:tr>
      <w:tr w14:paraId="347744FA">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0E337C48">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7</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551EC3FF">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207C1493">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475B69B2">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1FD6AD6E">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60AA2CF7">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0551EAFF">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00914133">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430742D4">
            <w:pPr>
              <w:spacing w:line="440" w:lineRule="exact"/>
              <w:jc w:val="center"/>
              <w:rPr>
                <w:rFonts w:hint="eastAsia" w:ascii="微软雅黑" w:hAnsi="微软雅黑" w:eastAsia="微软雅黑" w:cs="微软雅黑"/>
                <w:szCs w:val="21"/>
                <w:highlight w:val="none"/>
              </w:rPr>
            </w:pPr>
          </w:p>
        </w:tc>
      </w:tr>
      <w:tr w14:paraId="7470722C">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736B2C97">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8</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14E4CEE1">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566929A8">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10AF50D8">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34BACD22">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184DE354">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7A8D260A">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18E010B5">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4C16FE1F">
            <w:pPr>
              <w:spacing w:line="440" w:lineRule="exact"/>
              <w:jc w:val="center"/>
              <w:rPr>
                <w:rFonts w:hint="eastAsia" w:ascii="微软雅黑" w:hAnsi="微软雅黑" w:eastAsia="微软雅黑" w:cs="微软雅黑"/>
                <w:szCs w:val="21"/>
                <w:highlight w:val="none"/>
              </w:rPr>
            </w:pPr>
          </w:p>
        </w:tc>
      </w:tr>
      <w:tr w14:paraId="7B8CDF31">
        <w:tblPrEx>
          <w:tblCellMar>
            <w:top w:w="0" w:type="dxa"/>
            <w:left w:w="108" w:type="dxa"/>
            <w:bottom w:w="0" w:type="dxa"/>
            <w:right w:w="108" w:type="dxa"/>
          </w:tblCellMar>
        </w:tblPrEx>
        <w:trPr>
          <w:trHeight w:val="613"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4F3BDF28">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1277" w:type="dxa"/>
            <w:gridSpan w:val="2"/>
            <w:tcBorders>
              <w:top w:val="single" w:color="auto" w:sz="4" w:space="0"/>
              <w:left w:val="single" w:color="auto" w:sz="4" w:space="0"/>
              <w:bottom w:val="single" w:color="auto" w:sz="4" w:space="0"/>
              <w:right w:val="single" w:color="auto" w:sz="4" w:space="0"/>
            </w:tcBorders>
            <w:noWrap/>
            <w:vAlign w:val="center"/>
          </w:tcPr>
          <w:p w14:paraId="3825DF41">
            <w:pPr>
              <w:spacing w:line="440" w:lineRule="exact"/>
              <w:jc w:val="center"/>
              <w:rPr>
                <w:rFonts w:hint="eastAsia" w:ascii="微软雅黑" w:hAnsi="微软雅黑" w:eastAsia="微软雅黑" w:cs="微软雅黑"/>
                <w:szCs w:val="21"/>
                <w:highlight w:val="none"/>
              </w:rPr>
            </w:pPr>
          </w:p>
        </w:tc>
        <w:tc>
          <w:tcPr>
            <w:tcW w:w="1180" w:type="dxa"/>
            <w:tcBorders>
              <w:top w:val="single" w:color="auto" w:sz="4" w:space="0"/>
              <w:left w:val="nil"/>
              <w:bottom w:val="single" w:color="auto" w:sz="4" w:space="0"/>
              <w:right w:val="single" w:color="auto" w:sz="4" w:space="0"/>
            </w:tcBorders>
            <w:noWrap/>
            <w:vAlign w:val="center"/>
          </w:tcPr>
          <w:p w14:paraId="326C69AE">
            <w:pPr>
              <w:spacing w:line="440" w:lineRule="exact"/>
              <w:jc w:val="center"/>
              <w:rPr>
                <w:rFonts w:hint="eastAsia" w:ascii="微软雅黑" w:hAnsi="微软雅黑" w:eastAsia="微软雅黑" w:cs="微软雅黑"/>
                <w:szCs w:val="21"/>
                <w:highlight w:val="none"/>
              </w:rPr>
            </w:pPr>
          </w:p>
        </w:tc>
        <w:tc>
          <w:tcPr>
            <w:tcW w:w="1527" w:type="dxa"/>
            <w:tcBorders>
              <w:top w:val="single" w:color="auto" w:sz="4" w:space="0"/>
              <w:left w:val="nil"/>
              <w:bottom w:val="single" w:color="auto" w:sz="4" w:space="0"/>
              <w:right w:val="single" w:color="auto" w:sz="4" w:space="0"/>
            </w:tcBorders>
            <w:noWrap/>
            <w:vAlign w:val="center"/>
          </w:tcPr>
          <w:p w14:paraId="3553B434">
            <w:pPr>
              <w:spacing w:line="440" w:lineRule="exact"/>
              <w:jc w:val="center"/>
              <w:rPr>
                <w:rFonts w:hint="eastAsia" w:ascii="微软雅黑" w:hAnsi="微软雅黑" w:eastAsia="微软雅黑" w:cs="微软雅黑"/>
                <w:szCs w:val="21"/>
                <w:highlight w:val="none"/>
              </w:rPr>
            </w:pPr>
          </w:p>
        </w:tc>
        <w:tc>
          <w:tcPr>
            <w:tcW w:w="671" w:type="dxa"/>
            <w:tcBorders>
              <w:top w:val="single" w:color="auto" w:sz="4" w:space="0"/>
              <w:left w:val="nil"/>
              <w:bottom w:val="single" w:color="auto" w:sz="4" w:space="0"/>
              <w:right w:val="single" w:color="auto" w:sz="4" w:space="0"/>
            </w:tcBorders>
            <w:noWrap/>
            <w:vAlign w:val="center"/>
          </w:tcPr>
          <w:p w14:paraId="3245F3DB">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147642DF">
            <w:pPr>
              <w:spacing w:line="440" w:lineRule="exact"/>
              <w:jc w:val="center"/>
              <w:rPr>
                <w:rFonts w:hint="eastAsia" w:ascii="微软雅黑" w:hAnsi="微软雅黑" w:eastAsia="微软雅黑" w:cs="微软雅黑"/>
                <w:szCs w:val="21"/>
                <w:highlight w:val="none"/>
              </w:rPr>
            </w:pPr>
          </w:p>
        </w:tc>
        <w:tc>
          <w:tcPr>
            <w:tcW w:w="980" w:type="dxa"/>
            <w:tcBorders>
              <w:top w:val="single" w:color="auto" w:sz="4" w:space="0"/>
              <w:left w:val="nil"/>
              <w:bottom w:val="single" w:color="auto" w:sz="4" w:space="0"/>
              <w:right w:val="single" w:color="auto" w:sz="4" w:space="0"/>
            </w:tcBorders>
            <w:noWrap/>
            <w:vAlign w:val="center"/>
          </w:tcPr>
          <w:p w14:paraId="448B8952">
            <w:pPr>
              <w:spacing w:line="440" w:lineRule="exact"/>
              <w:jc w:val="center"/>
              <w:rPr>
                <w:rFonts w:hint="eastAsia" w:ascii="微软雅黑" w:hAnsi="微软雅黑" w:eastAsia="微软雅黑" w:cs="微软雅黑"/>
                <w:szCs w:val="21"/>
                <w:highlight w:val="none"/>
              </w:rPr>
            </w:pPr>
          </w:p>
        </w:tc>
        <w:tc>
          <w:tcPr>
            <w:tcW w:w="1453" w:type="dxa"/>
            <w:tcBorders>
              <w:top w:val="single" w:color="auto" w:sz="4" w:space="0"/>
              <w:left w:val="nil"/>
              <w:bottom w:val="single" w:color="auto" w:sz="4" w:space="0"/>
              <w:right w:val="single" w:color="auto" w:sz="4" w:space="0"/>
            </w:tcBorders>
            <w:noWrap/>
            <w:vAlign w:val="center"/>
          </w:tcPr>
          <w:p w14:paraId="7523F6A1">
            <w:pPr>
              <w:spacing w:line="440" w:lineRule="exact"/>
              <w:jc w:val="center"/>
              <w:rPr>
                <w:rFonts w:hint="eastAsia" w:ascii="微软雅黑" w:hAnsi="微软雅黑" w:eastAsia="微软雅黑" w:cs="微软雅黑"/>
                <w:szCs w:val="21"/>
                <w:highlight w:val="none"/>
              </w:rPr>
            </w:pPr>
          </w:p>
        </w:tc>
        <w:tc>
          <w:tcPr>
            <w:tcW w:w="1002" w:type="dxa"/>
            <w:tcBorders>
              <w:top w:val="single" w:color="auto" w:sz="4" w:space="0"/>
              <w:left w:val="nil"/>
              <w:bottom w:val="single" w:color="auto" w:sz="4" w:space="0"/>
              <w:right w:val="single" w:color="auto" w:sz="4" w:space="0"/>
            </w:tcBorders>
            <w:noWrap/>
            <w:vAlign w:val="center"/>
          </w:tcPr>
          <w:p w14:paraId="0919D018">
            <w:pPr>
              <w:spacing w:line="440" w:lineRule="exact"/>
              <w:jc w:val="center"/>
              <w:rPr>
                <w:rFonts w:hint="eastAsia" w:ascii="微软雅黑" w:hAnsi="微软雅黑" w:eastAsia="微软雅黑" w:cs="微软雅黑"/>
                <w:szCs w:val="21"/>
                <w:highlight w:val="none"/>
              </w:rPr>
            </w:pPr>
          </w:p>
        </w:tc>
      </w:tr>
      <w:tr w14:paraId="46C35168">
        <w:tblPrEx>
          <w:tblCellMar>
            <w:top w:w="0" w:type="dxa"/>
            <w:left w:w="108" w:type="dxa"/>
            <w:bottom w:w="0" w:type="dxa"/>
            <w:right w:w="108" w:type="dxa"/>
          </w:tblCellMar>
        </w:tblPrEx>
        <w:trPr>
          <w:trHeight w:val="531" w:hRule="atLeast"/>
        </w:trPr>
        <w:tc>
          <w:tcPr>
            <w:tcW w:w="980" w:type="dxa"/>
            <w:gridSpan w:val="2"/>
            <w:tcBorders>
              <w:top w:val="single" w:color="auto" w:sz="4" w:space="0"/>
              <w:left w:val="single" w:color="auto" w:sz="4" w:space="0"/>
              <w:bottom w:val="single" w:color="auto" w:sz="4" w:space="0"/>
              <w:right w:val="single" w:color="auto" w:sz="4" w:space="0"/>
            </w:tcBorders>
            <w:noWrap/>
            <w:vAlign w:val="center"/>
          </w:tcPr>
          <w:p w14:paraId="4C0C1E46">
            <w:pPr>
              <w:spacing w:line="440" w:lineRule="exact"/>
              <w:jc w:val="center"/>
              <w:rPr>
                <w:rFonts w:hint="eastAsia" w:ascii="微软雅黑" w:hAnsi="微软雅黑" w:eastAsia="微软雅黑" w:cs="微软雅黑"/>
                <w:szCs w:val="21"/>
                <w:highlight w:val="none"/>
              </w:rPr>
            </w:pPr>
          </w:p>
        </w:tc>
        <w:tc>
          <w:tcPr>
            <w:tcW w:w="9035" w:type="dxa"/>
            <w:gridSpan w:val="8"/>
            <w:tcBorders>
              <w:top w:val="single" w:color="auto" w:sz="4" w:space="0"/>
              <w:left w:val="single" w:color="auto" w:sz="4" w:space="0"/>
              <w:bottom w:val="single" w:color="auto" w:sz="4" w:space="0"/>
              <w:right w:val="single" w:color="auto" w:sz="4" w:space="0"/>
            </w:tcBorders>
            <w:noWrap/>
            <w:vAlign w:val="center"/>
          </w:tcPr>
          <w:p w14:paraId="76FCC3D7">
            <w:pPr>
              <w:spacing w:line="44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合计（人民币大写：                 ）  小写：       元</w:t>
            </w:r>
          </w:p>
        </w:tc>
      </w:tr>
    </w:tbl>
    <w:p w14:paraId="0233F308">
      <w:pPr>
        <w:pStyle w:val="25"/>
        <w:rPr>
          <w:rFonts w:hint="eastAsia" w:ascii="微软雅黑" w:hAnsi="微软雅黑" w:eastAsia="微软雅黑" w:cs="微软雅黑"/>
          <w:highlight w:val="none"/>
        </w:rPr>
      </w:pPr>
    </w:p>
    <w:p w14:paraId="605D8250">
      <w:pPr>
        <w:spacing w:line="440" w:lineRule="exact"/>
        <w:ind w:right="420" w:firstLine="1470" w:firstLineChars="70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注： 表格可以自行增加或删除，若未提供格式的地方可以自行编制。</w:t>
      </w:r>
    </w:p>
    <w:p w14:paraId="2F292EC7">
      <w:pPr>
        <w:spacing w:line="440" w:lineRule="exact"/>
        <w:ind w:right="420" w:firstLine="420" w:firstLineChars="200"/>
        <w:jc w:val="left"/>
        <w:rPr>
          <w:rFonts w:hint="eastAsia" w:ascii="微软雅黑" w:hAnsi="微软雅黑" w:eastAsia="微软雅黑" w:cs="微软雅黑"/>
          <w:szCs w:val="21"/>
          <w:highlight w:val="none"/>
        </w:rPr>
      </w:pPr>
    </w:p>
    <w:p w14:paraId="50C0D3D9">
      <w:pPr>
        <w:spacing w:line="440" w:lineRule="exact"/>
        <w:ind w:right="420"/>
        <w:jc w:val="left"/>
        <w:rPr>
          <w:rFonts w:hint="eastAsia" w:ascii="微软雅黑" w:hAnsi="微软雅黑" w:eastAsia="微软雅黑" w:cs="微软雅黑"/>
          <w:szCs w:val="21"/>
          <w:highlight w:val="none"/>
        </w:rPr>
      </w:pPr>
    </w:p>
    <w:p w14:paraId="7D54ACB0">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bookmarkStart w:id="251" w:name="_Toc2719"/>
      <w:bookmarkStart w:id="252" w:name="_Toc22065"/>
      <w:bookmarkStart w:id="253" w:name="_Toc40365325"/>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50EECCD1">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69F514DA">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rPr>
        <w:t>____年_____ 月_____ 日</w:t>
      </w:r>
    </w:p>
    <w:p w14:paraId="59516ECF">
      <w:pPr>
        <w:spacing w:line="400" w:lineRule="exact"/>
        <w:ind w:firstLine="3883" w:firstLineChars="1617"/>
        <w:outlineLvl w:val="1"/>
        <w:rPr>
          <w:rFonts w:hint="eastAsia" w:ascii="微软雅黑" w:hAnsi="微软雅黑" w:eastAsia="微软雅黑" w:cs="微软雅黑"/>
          <w:b/>
          <w:color w:val="000000"/>
          <w:sz w:val="24"/>
          <w:highlight w:val="none"/>
        </w:rPr>
        <w:sectPr>
          <w:pgSz w:w="11900" w:h="16821"/>
          <w:pgMar w:top="1417" w:right="1134" w:bottom="1417" w:left="1134" w:header="720" w:footer="720" w:gutter="0"/>
          <w:cols w:space="720" w:num="1"/>
          <w:rtlGutter w:val="0"/>
          <w:docGrid w:linePitch="312" w:charSpace="0"/>
        </w:sectPr>
      </w:pPr>
    </w:p>
    <w:p w14:paraId="436715D6">
      <w:pPr>
        <w:spacing w:line="400" w:lineRule="exact"/>
        <w:ind w:firstLine="3883" w:firstLineChars="1617"/>
        <w:outlineLvl w:val="1"/>
        <w:rPr>
          <w:rFonts w:hint="eastAsia" w:ascii="微软雅黑" w:hAnsi="微软雅黑" w:eastAsia="微软雅黑" w:cs="微软雅黑"/>
          <w:b/>
          <w:color w:val="000000"/>
          <w:sz w:val="24"/>
          <w:highlight w:val="none"/>
        </w:rPr>
      </w:pPr>
      <w:bookmarkStart w:id="254" w:name="_Toc23247"/>
      <w:bookmarkStart w:id="255" w:name="OLE_LINK18"/>
      <w:r>
        <w:rPr>
          <w:rFonts w:hint="eastAsia" w:ascii="微软雅黑" w:hAnsi="微软雅黑" w:eastAsia="微软雅黑" w:cs="微软雅黑"/>
          <w:b/>
          <w:color w:val="000000"/>
          <w:sz w:val="24"/>
          <w:highlight w:val="none"/>
        </w:rPr>
        <w:t>七、技术条款偏离表</w:t>
      </w:r>
      <w:bookmarkEnd w:id="251"/>
      <w:bookmarkEnd w:id="252"/>
      <w:bookmarkEnd w:id="253"/>
      <w:bookmarkEnd w:id="254"/>
    </w:p>
    <w:bookmarkEnd w:id="255"/>
    <w:p w14:paraId="04ED40E4">
      <w:pPr>
        <w:pStyle w:val="25"/>
        <w:rPr>
          <w:rFonts w:hint="eastAsia" w:ascii="微软雅黑" w:hAnsi="微软雅黑" w:eastAsia="微软雅黑" w:cs="微软雅黑"/>
          <w:highlight w:val="none"/>
        </w:rPr>
      </w:pPr>
    </w:p>
    <w:tbl>
      <w:tblPr>
        <w:tblStyle w:val="18"/>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63"/>
        <w:gridCol w:w="3402"/>
        <w:gridCol w:w="2835"/>
        <w:gridCol w:w="1437"/>
      </w:tblGrid>
      <w:tr w14:paraId="409F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B09D419">
            <w:pPr>
              <w:spacing w:line="48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1463" w:type="dxa"/>
            <w:noWrap/>
            <w:vAlign w:val="center"/>
          </w:tcPr>
          <w:p w14:paraId="76121EA0">
            <w:pPr>
              <w:spacing w:line="48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货物名称</w:t>
            </w:r>
          </w:p>
        </w:tc>
        <w:tc>
          <w:tcPr>
            <w:tcW w:w="3402" w:type="dxa"/>
            <w:noWrap/>
            <w:vAlign w:val="center"/>
          </w:tcPr>
          <w:p w14:paraId="7E2991B0">
            <w:pPr>
              <w:spacing w:line="48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招标文件的技术规格要求</w:t>
            </w:r>
          </w:p>
        </w:tc>
        <w:tc>
          <w:tcPr>
            <w:tcW w:w="2835" w:type="dxa"/>
            <w:noWrap/>
            <w:vAlign w:val="center"/>
          </w:tcPr>
          <w:p w14:paraId="7E293F92">
            <w:pPr>
              <w:spacing w:line="48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投标文件货物实际技术规格</w:t>
            </w:r>
          </w:p>
        </w:tc>
        <w:tc>
          <w:tcPr>
            <w:tcW w:w="1437" w:type="dxa"/>
            <w:noWrap/>
            <w:vAlign w:val="center"/>
          </w:tcPr>
          <w:p w14:paraId="3A2F9A3A">
            <w:pPr>
              <w:spacing w:line="48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偏离说明</w:t>
            </w:r>
          </w:p>
        </w:tc>
      </w:tr>
      <w:tr w14:paraId="40FC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21E33B54">
            <w:pPr>
              <w:jc w:val="center"/>
              <w:rPr>
                <w:rFonts w:hint="eastAsia" w:ascii="微软雅黑" w:hAnsi="微软雅黑" w:eastAsia="微软雅黑" w:cs="微软雅黑"/>
                <w:szCs w:val="21"/>
                <w:highlight w:val="none"/>
              </w:rPr>
            </w:pPr>
          </w:p>
          <w:p w14:paraId="30519C1F">
            <w:pPr>
              <w:pStyle w:val="16"/>
              <w:ind w:firstLine="0" w:firstLineChars="0"/>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p>
        </w:tc>
        <w:tc>
          <w:tcPr>
            <w:tcW w:w="1463" w:type="dxa"/>
            <w:noWrap/>
            <w:vAlign w:val="center"/>
          </w:tcPr>
          <w:p w14:paraId="338C1ECE">
            <w:pPr>
              <w:jc w:val="center"/>
              <w:rPr>
                <w:rFonts w:hint="eastAsia" w:ascii="微软雅黑" w:hAnsi="微软雅黑" w:eastAsia="微软雅黑" w:cs="微软雅黑"/>
                <w:szCs w:val="21"/>
                <w:highlight w:val="none"/>
              </w:rPr>
            </w:pPr>
          </w:p>
        </w:tc>
        <w:tc>
          <w:tcPr>
            <w:tcW w:w="3402" w:type="dxa"/>
            <w:noWrap/>
            <w:vAlign w:val="center"/>
          </w:tcPr>
          <w:p w14:paraId="190A0044">
            <w:pPr>
              <w:jc w:val="left"/>
              <w:rPr>
                <w:rFonts w:hint="eastAsia" w:ascii="微软雅黑" w:hAnsi="微软雅黑" w:eastAsia="微软雅黑" w:cs="微软雅黑"/>
                <w:szCs w:val="21"/>
                <w:highlight w:val="none"/>
              </w:rPr>
            </w:pPr>
          </w:p>
        </w:tc>
        <w:tc>
          <w:tcPr>
            <w:tcW w:w="2835" w:type="dxa"/>
            <w:noWrap/>
            <w:vAlign w:val="center"/>
          </w:tcPr>
          <w:p w14:paraId="5EB6D54A">
            <w:pPr>
              <w:jc w:val="center"/>
              <w:rPr>
                <w:rFonts w:hint="eastAsia" w:ascii="微软雅黑" w:hAnsi="微软雅黑" w:eastAsia="微软雅黑" w:cs="微软雅黑"/>
                <w:szCs w:val="21"/>
                <w:highlight w:val="none"/>
              </w:rPr>
            </w:pPr>
          </w:p>
        </w:tc>
        <w:tc>
          <w:tcPr>
            <w:tcW w:w="1437" w:type="dxa"/>
            <w:noWrap/>
            <w:vAlign w:val="center"/>
          </w:tcPr>
          <w:p w14:paraId="0EDDB1BC">
            <w:pPr>
              <w:jc w:val="center"/>
              <w:rPr>
                <w:rFonts w:hint="eastAsia" w:ascii="微软雅黑" w:hAnsi="微软雅黑" w:eastAsia="微软雅黑" w:cs="微软雅黑"/>
                <w:szCs w:val="21"/>
                <w:highlight w:val="none"/>
              </w:rPr>
            </w:pPr>
          </w:p>
        </w:tc>
      </w:tr>
      <w:tr w14:paraId="1628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05DB54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p>
        </w:tc>
        <w:tc>
          <w:tcPr>
            <w:tcW w:w="1463" w:type="dxa"/>
            <w:noWrap/>
            <w:vAlign w:val="center"/>
          </w:tcPr>
          <w:p w14:paraId="696D3FDA">
            <w:pPr>
              <w:jc w:val="center"/>
              <w:rPr>
                <w:rFonts w:hint="eastAsia" w:ascii="微软雅黑" w:hAnsi="微软雅黑" w:eastAsia="微软雅黑" w:cs="微软雅黑"/>
                <w:szCs w:val="21"/>
                <w:highlight w:val="none"/>
              </w:rPr>
            </w:pPr>
          </w:p>
        </w:tc>
        <w:tc>
          <w:tcPr>
            <w:tcW w:w="3402" w:type="dxa"/>
            <w:noWrap/>
            <w:vAlign w:val="center"/>
          </w:tcPr>
          <w:p w14:paraId="1C556289">
            <w:pPr>
              <w:jc w:val="left"/>
              <w:rPr>
                <w:rFonts w:hint="eastAsia" w:ascii="微软雅黑" w:hAnsi="微软雅黑" w:eastAsia="微软雅黑" w:cs="微软雅黑"/>
                <w:szCs w:val="21"/>
                <w:highlight w:val="none"/>
              </w:rPr>
            </w:pPr>
          </w:p>
        </w:tc>
        <w:tc>
          <w:tcPr>
            <w:tcW w:w="2835" w:type="dxa"/>
            <w:noWrap/>
            <w:vAlign w:val="center"/>
          </w:tcPr>
          <w:p w14:paraId="3300CA46">
            <w:pPr>
              <w:jc w:val="center"/>
              <w:rPr>
                <w:rFonts w:hint="eastAsia" w:ascii="微软雅黑" w:hAnsi="微软雅黑" w:eastAsia="微软雅黑" w:cs="微软雅黑"/>
                <w:szCs w:val="21"/>
                <w:highlight w:val="none"/>
              </w:rPr>
            </w:pPr>
          </w:p>
        </w:tc>
        <w:tc>
          <w:tcPr>
            <w:tcW w:w="1437" w:type="dxa"/>
            <w:noWrap/>
            <w:vAlign w:val="center"/>
          </w:tcPr>
          <w:p w14:paraId="2C6969C2">
            <w:pPr>
              <w:jc w:val="center"/>
              <w:rPr>
                <w:rFonts w:hint="eastAsia" w:ascii="微软雅黑" w:hAnsi="微软雅黑" w:eastAsia="微软雅黑" w:cs="微软雅黑"/>
                <w:szCs w:val="21"/>
                <w:highlight w:val="none"/>
              </w:rPr>
            </w:pPr>
          </w:p>
        </w:tc>
      </w:tr>
      <w:tr w14:paraId="6901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13FAE85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p>
        </w:tc>
        <w:tc>
          <w:tcPr>
            <w:tcW w:w="1463" w:type="dxa"/>
            <w:noWrap/>
            <w:vAlign w:val="center"/>
          </w:tcPr>
          <w:p w14:paraId="6002C74A">
            <w:pPr>
              <w:jc w:val="center"/>
              <w:rPr>
                <w:rFonts w:hint="eastAsia" w:ascii="微软雅黑" w:hAnsi="微软雅黑" w:eastAsia="微软雅黑" w:cs="微软雅黑"/>
                <w:szCs w:val="21"/>
                <w:highlight w:val="none"/>
              </w:rPr>
            </w:pPr>
          </w:p>
        </w:tc>
        <w:tc>
          <w:tcPr>
            <w:tcW w:w="3402" w:type="dxa"/>
            <w:noWrap/>
            <w:vAlign w:val="center"/>
          </w:tcPr>
          <w:p w14:paraId="66424F91">
            <w:pPr>
              <w:jc w:val="left"/>
              <w:rPr>
                <w:rFonts w:hint="eastAsia" w:ascii="微软雅黑" w:hAnsi="微软雅黑" w:eastAsia="微软雅黑" w:cs="微软雅黑"/>
                <w:szCs w:val="21"/>
                <w:highlight w:val="none"/>
              </w:rPr>
            </w:pPr>
          </w:p>
        </w:tc>
        <w:tc>
          <w:tcPr>
            <w:tcW w:w="2835" w:type="dxa"/>
            <w:noWrap/>
            <w:vAlign w:val="center"/>
          </w:tcPr>
          <w:p w14:paraId="261DA1E1">
            <w:pPr>
              <w:jc w:val="center"/>
              <w:rPr>
                <w:rFonts w:hint="eastAsia" w:ascii="微软雅黑" w:hAnsi="微软雅黑" w:eastAsia="微软雅黑" w:cs="微软雅黑"/>
                <w:szCs w:val="21"/>
                <w:highlight w:val="none"/>
              </w:rPr>
            </w:pPr>
          </w:p>
        </w:tc>
        <w:tc>
          <w:tcPr>
            <w:tcW w:w="1437" w:type="dxa"/>
            <w:noWrap/>
            <w:vAlign w:val="center"/>
          </w:tcPr>
          <w:p w14:paraId="51B9AF11">
            <w:pPr>
              <w:jc w:val="center"/>
              <w:rPr>
                <w:rFonts w:hint="eastAsia" w:ascii="微软雅黑" w:hAnsi="微软雅黑" w:eastAsia="微软雅黑" w:cs="微软雅黑"/>
                <w:szCs w:val="21"/>
                <w:highlight w:val="none"/>
              </w:rPr>
            </w:pPr>
          </w:p>
        </w:tc>
      </w:tr>
      <w:tr w14:paraId="3D86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CF58CC2">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4</w:t>
            </w:r>
          </w:p>
        </w:tc>
        <w:tc>
          <w:tcPr>
            <w:tcW w:w="1463" w:type="dxa"/>
            <w:noWrap/>
            <w:vAlign w:val="center"/>
          </w:tcPr>
          <w:p w14:paraId="1E10EDC1">
            <w:pPr>
              <w:jc w:val="center"/>
              <w:rPr>
                <w:rFonts w:hint="eastAsia" w:ascii="微软雅黑" w:hAnsi="微软雅黑" w:eastAsia="微软雅黑" w:cs="微软雅黑"/>
                <w:szCs w:val="21"/>
                <w:highlight w:val="none"/>
              </w:rPr>
            </w:pPr>
          </w:p>
        </w:tc>
        <w:tc>
          <w:tcPr>
            <w:tcW w:w="3402" w:type="dxa"/>
            <w:noWrap/>
            <w:vAlign w:val="center"/>
          </w:tcPr>
          <w:p w14:paraId="32FF2F84">
            <w:pPr>
              <w:jc w:val="left"/>
              <w:rPr>
                <w:rFonts w:hint="eastAsia" w:ascii="微软雅黑" w:hAnsi="微软雅黑" w:eastAsia="微软雅黑" w:cs="微软雅黑"/>
                <w:szCs w:val="21"/>
                <w:highlight w:val="none"/>
              </w:rPr>
            </w:pPr>
          </w:p>
        </w:tc>
        <w:tc>
          <w:tcPr>
            <w:tcW w:w="2835" w:type="dxa"/>
            <w:noWrap/>
            <w:vAlign w:val="center"/>
          </w:tcPr>
          <w:p w14:paraId="42795A63">
            <w:pPr>
              <w:jc w:val="center"/>
              <w:rPr>
                <w:rFonts w:hint="eastAsia" w:ascii="微软雅黑" w:hAnsi="微软雅黑" w:eastAsia="微软雅黑" w:cs="微软雅黑"/>
                <w:szCs w:val="21"/>
                <w:highlight w:val="none"/>
              </w:rPr>
            </w:pPr>
          </w:p>
        </w:tc>
        <w:tc>
          <w:tcPr>
            <w:tcW w:w="1437" w:type="dxa"/>
            <w:noWrap/>
            <w:vAlign w:val="center"/>
          </w:tcPr>
          <w:p w14:paraId="15616165">
            <w:pPr>
              <w:jc w:val="center"/>
              <w:rPr>
                <w:rFonts w:hint="eastAsia" w:ascii="微软雅黑" w:hAnsi="微软雅黑" w:eastAsia="微软雅黑" w:cs="微软雅黑"/>
                <w:szCs w:val="21"/>
                <w:highlight w:val="none"/>
              </w:rPr>
            </w:pPr>
          </w:p>
        </w:tc>
      </w:tr>
      <w:tr w14:paraId="3763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298E777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5</w:t>
            </w:r>
          </w:p>
        </w:tc>
        <w:tc>
          <w:tcPr>
            <w:tcW w:w="1463" w:type="dxa"/>
            <w:noWrap/>
            <w:vAlign w:val="center"/>
          </w:tcPr>
          <w:p w14:paraId="2E8579C8">
            <w:pPr>
              <w:jc w:val="center"/>
              <w:rPr>
                <w:rFonts w:hint="eastAsia" w:ascii="微软雅黑" w:hAnsi="微软雅黑" w:eastAsia="微软雅黑" w:cs="微软雅黑"/>
                <w:szCs w:val="21"/>
                <w:highlight w:val="none"/>
              </w:rPr>
            </w:pPr>
          </w:p>
        </w:tc>
        <w:tc>
          <w:tcPr>
            <w:tcW w:w="3402" w:type="dxa"/>
            <w:noWrap/>
            <w:vAlign w:val="center"/>
          </w:tcPr>
          <w:p w14:paraId="21913588">
            <w:pPr>
              <w:jc w:val="left"/>
              <w:rPr>
                <w:rFonts w:hint="eastAsia" w:ascii="微软雅黑" w:hAnsi="微软雅黑" w:eastAsia="微软雅黑" w:cs="微软雅黑"/>
                <w:szCs w:val="21"/>
                <w:highlight w:val="none"/>
              </w:rPr>
            </w:pPr>
          </w:p>
        </w:tc>
        <w:tc>
          <w:tcPr>
            <w:tcW w:w="2835" w:type="dxa"/>
            <w:noWrap/>
            <w:vAlign w:val="center"/>
          </w:tcPr>
          <w:p w14:paraId="2F4BE4D4">
            <w:pPr>
              <w:jc w:val="center"/>
              <w:rPr>
                <w:rFonts w:hint="eastAsia" w:ascii="微软雅黑" w:hAnsi="微软雅黑" w:eastAsia="微软雅黑" w:cs="微软雅黑"/>
                <w:szCs w:val="21"/>
                <w:highlight w:val="none"/>
              </w:rPr>
            </w:pPr>
          </w:p>
        </w:tc>
        <w:tc>
          <w:tcPr>
            <w:tcW w:w="1437" w:type="dxa"/>
            <w:noWrap/>
            <w:vAlign w:val="center"/>
          </w:tcPr>
          <w:p w14:paraId="781C955B">
            <w:pPr>
              <w:jc w:val="center"/>
              <w:rPr>
                <w:rFonts w:hint="eastAsia" w:ascii="微软雅黑" w:hAnsi="微软雅黑" w:eastAsia="微软雅黑" w:cs="微软雅黑"/>
                <w:szCs w:val="21"/>
                <w:highlight w:val="none"/>
              </w:rPr>
            </w:pPr>
          </w:p>
        </w:tc>
      </w:tr>
      <w:tr w14:paraId="4DF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DCFFDD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6</w:t>
            </w:r>
          </w:p>
        </w:tc>
        <w:tc>
          <w:tcPr>
            <w:tcW w:w="1463" w:type="dxa"/>
            <w:noWrap/>
            <w:vAlign w:val="center"/>
          </w:tcPr>
          <w:p w14:paraId="4FBD1BDD">
            <w:pPr>
              <w:jc w:val="center"/>
              <w:rPr>
                <w:rFonts w:hint="eastAsia" w:ascii="微软雅黑" w:hAnsi="微软雅黑" w:eastAsia="微软雅黑" w:cs="微软雅黑"/>
                <w:szCs w:val="21"/>
                <w:highlight w:val="none"/>
              </w:rPr>
            </w:pPr>
          </w:p>
        </w:tc>
        <w:tc>
          <w:tcPr>
            <w:tcW w:w="3402" w:type="dxa"/>
            <w:noWrap/>
            <w:vAlign w:val="center"/>
          </w:tcPr>
          <w:p w14:paraId="2E2E7E53">
            <w:pPr>
              <w:jc w:val="left"/>
              <w:rPr>
                <w:rFonts w:hint="eastAsia" w:ascii="微软雅黑" w:hAnsi="微软雅黑" w:eastAsia="微软雅黑" w:cs="微软雅黑"/>
                <w:szCs w:val="21"/>
                <w:highlight w:val="none"/>
              </w:rPr>
            </w:pPr>
          </w:p>
        </w:tc>
        <w:tc>
          <w:tcPr>
            <w:tcW w:w="2835" w:type="dxa"/>
            <w:noWrap/>
            <w:vAlign w:val="center"/>
          </w:tcPr>
          <w:p w14:paraId="072492A1">
            <w:pPr>
              <w:jc w:val="center"/>
              <w:rPr>
                <w:rFonts w:hint="eastAsia" w:ascii="微软雅黑" w:hAnsi="微软雅黑" w:eastAsia="微软雅黑" w:cs="微软雅黑"/>
                <w:szCs w:val="21"/>
                <w:highlight w:val="none"/>
              </w:rPr>
            </w:pPr>
          </w:p>
        </w:tc>
        <w:tc>
          <w:tcPr>
            <w:tcW w:w="1437" w:type="dxa"/>
            <w:noWrap/>
            <w:vAlign w:val="center"/>
          </w:tcPr>
          <w:p w14:paraId="16460588">
            <w:pPr>
              <w:jc w:val="center"/>
              <w:rPr>
                <w:rFonts w:hint="eastAsia" w:ascii="微软雅黑" w:hAnsi="微软雅黑" w:eastAsia="微软雅黑" w:cs="微软雅黑"/>
                <w:szCs w:val="21"/>
                <w:highlight w:val="none"/>
              </w:rPr>
            </w:pPr>
          </w:p>
        </w:tc>
      </w:tr>
      <w:tr w14:paraId="5A6B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1EB440B">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7</w:t>
            </w:r>
          </w:p>
        </w:tc>
        <w:tc>
          <w:tcPr>
            <w:tcW w:w="1463" w:type="dxa"/>
            <w:noWrap/>
            <w:vAlign w:val="center"/>
          </w:tcPr>
          <w:p w14:paraId="7681F486">
            <w:pPr>
              <w:jc w:val="center"/>
              <w:rPr>
                <w:rFonts w:hint="eastAsia" w:ascii="微软雅黑" w:hAnsi="微软雅黑" w:eastAsia="微软雅黑" w:cs="微软雅黑"/>
                <w:szCs w:val="21"/>
                <w:highlight w:val="none"/>
              </w:rPr>
            </w:pPr>
          </w:p>
        </w:tc>
        <w:tc>
          <w:tcPr>
            <w:tcW w:w="3402" w:type="dxa"/>
            <w:noWrap/>
            <w:vAlign w:val="center"/>
          </w:tcPr>
          <w:p w14:paraId="0D6AF32C">
            <w:pPr>
              <w:jc w:val="left"/>
              <w:rPr>
                <w:rFonts w:hint="eastAsia" w:ascii="微软雅黑" w:hAnsi="微软雅黑" w:eastAsia="微软雅黑" w:cs="微软雅黑"/>
                <w:szCs w:val="21"/>
                <w:highlight w:val="none"/>
              </w:rPr>
            </w:pPr>
          </w:p>
        </w:tc>
        <w:tc>
          <w:tcPr>
            <w:tcW w:w="2835" w:type="dxa"/>
            <w:noWrap/>
            <w:vAlign w:val="center"/>
          </w:tcPr>
          <w:p w14:paraId="2E57DBC2">
            <w:pPr>
              <w:jc w:val="center"/>
              <w:rPr>
                <w:rFonts w:hint="eastAsia" w:ascii="微软雅黑" w:hAnsi="微软雅黑" w:eastAsia="微软雅黑" w:cs="微软雅黑"/>
                <w:szCs w:val="21"/>
                <w:highlight w:val="none"/>
              </w:rPr>
            </w:pPr>
          </w:p>
        </w:tc>
        <w:tc>
          <w:tcPr>
            <w:tcW w:w="1437" w:type="dxa"/>
            <w:noWrap/>
            <w:vAlign w:val="center"/>
          </w:tcPr>
          <w:p w14:paraId="5FB34062">
            <w:pPr>
              <w:jc w:val="center"/>
              <w:rPr>
                <w:rFonts w:hint="eastAsia" w:ascii="微软雅黑" w:hAnsi="微软雅黑" w:eastAsia="微软雅黑" w:cs="微软雅黑"/>
                <w:szCs w:val="21"/>
                <w:highlight w:val="none"/>
              </w:rPr>
            </w:pPr>
          </w:p>
        </w:tc>
      </w:tr>
      <w:tr w14:paraId="435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9061D73">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8</w:t>
            </w:r>
          </w:p>
        </w:tc>
        <w:tc>
          <w:tcPr>
            <w:tcW w:w="1463" w:type="dxa"/>
            <w:noWrap/>
            <w:vAlign w:val="center"/>
          </w:tcPr>
          <w:p w14:paraId="08A6E945">
            <w:pPr>
              <w:jc w:val="center"/>
              <w:rPr>
                <w:rFonts w:hint="eastAsia" w:ascii="微软雅黑" w:hAnsi="微软雅黑" w:eastAsia="微软雅黑" w:cs="微软雅黑"/>
                <w:szCs w:val="21"/>
                <w:highlight w:val="none"/>
              </w:rPr>
            </w:pPr>
          </w:p>
        </w:tc>
        <w:tc>
          <w:tcPr>
            <w:tcW w:w="3402" w:type="dxa"/>
            <w:noWrap/>
            <w:vAlign w:val="center"/>
          </w:tcPr>
          <w:p w14:paraId="448E87E5">
            <w:pPr>
              <w:jc w:val="left"/>
              <w:rPr>
                <w:rFonts w:hint="eastAsia" w:ascii="微软雅黑" w:hAnsi="微软雅黑" w:eastAsia="微软雅黑" w:cs="微软雅黑"/>
                <w:szCs w:val="21"/>
                <w:highlight w:val="none"/>
              </w:rPr>
            </w:pPr>
          </w:p>
        </w:tc>
        <w:tc>
          <w:tcPr>
            <w:tcW w:w="2835" w:type="dxa"/>
            <w:noWrap/>
            <w:vAlign w:val="center"/>
          </w:tcPr>
          <w:p w14:paraId="18D49123">
            <w:pPr>
              <w:jc w:val="center"/>
              <w:rPr>
                <w:rFonts w:hint="eastAsia" w:ascii="微软雅黑" w:hAnsi="微软雅黑" w:eastAsia="微软雅黑" w:cs="微软雅黑"/>
                <w:szCs w:val="21"/>
                <w:highlight w:val="none"/>
              </w:rPr>
            </w:pPr>
          </w:p>
        </w:tc>
        <w:tc>
          <w:tcPr>
            <w:tcW w:w="1437" w:type="dxa"/>
            <w:noWrap/>
            <w:vAlign w:val="center"/>
          </w:tcPr>
          <w:p w14:paraId="0A0E6A01">
            <w:pPr>
              <w:jc w:val="center"/>
              <w:rPr>
                <w:rFonts w:hint="eastAsia" w:ascii="微软雅黑" w:hAnsi="微软雅黑" w:eastAsia="微软雅黑" w:cs="微软雅黑"/>
                <w:szCs w:val="21"/>
                <w:highlight w:val="none"/>
              </w:rPr>
            </w:pPr>
          </w:p>
        </w:tc>
      </w:tr>
      <w:tr w14:paraId="6BC8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24B7E6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 </w:t>
            </w:r>
          </w:p>
        </w:tc>
        <w:tc>
          <w:tcPr>
            <w:tcW w:w="1463" w:type="dxa"/>
            <w:noWrap/>
            <w:vAlign w:val="center"/>
          </w:tcPr>
          <w:p w14:paraId="1E21AEBB">
            <w:pPr>
              <w:jc w:val="center"/>
              <w:rPr>
                <w:rFonts w:hint="eastAsia" w:ascii="微软雅黑" w:hAnsi="微软雅黑" w:eastAsia="微软雅黑" w:cs="微软雅黑"/>
                <w:szCs w:val="21"/>
                <w:highlight w:val="none"/>
              </w:rPr>
            </w:pPr>
          </w:p>
        </w:tc>
        <w:tc>
          <w:tcPr>
            <w:tcW w:w="3402" w:type="dxa"/>
            <w:noWrap/>
            <w:vAlign w:val="center"/>
          </w:tcPr>
          <w:p w14:paraId="24D8C60A">
            <w:pPr>
              <w:jc w:val="left"/>
              <w:rPr>
                <w:rFonts w:hint="eastAsia" w:ascii="微软雅黑" w:hAnsi="微软雅黑" w:eastAsia="微软雅黑" w:cs="微软雅黑"/>
                <w:szCs w:val="21"/>
                <w:highlight w:val="none"/>
              </w:rPr>
            </w:pPr>
          </w:p>
        </w:tc>
        <w:tc>
          <w:tcPr>
            <w:tcW w:w="2835" w:type="dxa"/>
            <w:noWrap/>
            <w:vAlign w:val="center"/>
          </w:tcPr>
          <w:p w14:paraId="62815325">
            <w:pPr>
              <w:jc w:val="center"/>
              <w:rPr>
                <w:rFonts w:hint="eastAsia" w:ascii="微软雅黑" w:hAnsi="微软雅黑" w:eastAsia="微软雅黑" w:cs="微软雅黑"/>
                <w:szCs w:val="21"/>
                <w:highlight w:val="none"/>
              </w:rPr>
            </w:pPr>
          </w:p>
        </w:tc>
        <w:tc>
          <w:tcPr>
            <w:tcW w:w="1437" w:type="dxa"/>
            <w:noWrap/>
            <w:vAlign w:val="center"/>
          </w:tcPr>
          <w:p w14:paraId="33EC3315">
            <w:pPr>
              <w:jc w:val="center"/>
              <w:rPr>
                <w:rFonts w:hint="eastAsia" w:ascii="微软雅黑" w:hAnsi="微软雅黑" w:eastAsia="微软雅黑" w:cs="微软雅黑"/>
                <w:szCs w:val="21"/>
                <w:highlight w:val="none"/>
              </w:rPr>
            </w:pPr>
          </w:p>
        </w:tc>
      </w:tr>
    </w:tbl>
    <w:p w14:paraId="7589BC06">
      <w:pPr>
        <w:autoSpaceDE w:val="0"/>
        <w:autoSpaceDN w:val="0"/>
        <w:rPr>
          <w:rFonts w:hint="eastAsia" w:ascii="微软雅黑" w:hAnsi="微软雅黑" w:eastAsia="微软雅黑" w:cs="微软雅黑"/>
          <w:color w:val="000000"/>
          <w:highlight w:val="none"/>
        </w:rPr>
      </w:pPr>
    </w:p>
    <w:p w14:paraId="5C005CDF">
      <w:pPr>
        <w:autoSpaceDE w:val="0"/>
        <w:autoSpaceDN w:val="0"/>
        <w:rPr>
          <w:rFonts w:hint="eastAsia" w:ascii="微软雅黑" w:hAnsi="微软雅黑" w:eastAsia="微软雅黑" w:cs="微软雅黑"/>
          <w:color w:val="000000"/>
          <w:highlight w:val="none"/>
        </w:rPr>
      </w:pPr>
    </w:p>
    <w:p w14:paraId="30F1D438">
      <w:pPr>
        <w:spacing w:line="440" w:lineRule="exact"/>
        <w:ind w:right="420" w:firstLine="105" w:firstLineChars="5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注： 表格可以自行增加或删除，若未提供格式的地方可以自行编制。</w:t>
      </w:r>
    </w:p>
    <w:p w14:paraId="3B2EAA81">
      <w:pPr>
        <w:autoSpaceDE w:val="0"/>
        <w:autoSpaceDN w:val="0"/>
        <w:rPr>
          <w:rFonts w:hint="eastAsia" w:ascii="微软雅黑" w:hAnsi="微软雅黑" w:eastAsia="微软雅黑" w:cs="微软雅黑"/>
          <w:color w:val="000000"/>
          <w:highlight w:val="none"/>
        </w:rPr>
      </w:pPr>
    </w:p>
    <w:p w14:paraId="65C9A7E1">
      <w:pPr>
        <w:spacing w:line="400" w:lineRule="exact"/>
        <w:ind w:right="420" w:firstLine="3704" w:firstLineChars="1764"/>
        <w:rPr>
          <w:rFonts w:hint="eastAsia" w:ascii="微软雅黑" w:hAnsi="微软雅黑" w:eastAsia="微软雅黑" w:cs="微软雅黑"/>
          <w:szCs w:val="21"/>
          <w:highlight w:val="none"/>
        </w:rPr>
      </w:pPr>
    </w:p>
    <w:p w14:paraId="49678F17">
      <w:pPr>
        <w:spacing w:line="400" w:lineRule="exact"/>
        <w:ind w:right="420" w:firstLine="3704" w:firstLineChars="1764"/>
        <w:rPr>
          <w:rFonts w:hint="eastAsia" w:ascii="微软雅黑" w:hAnsi="微软雅黑" w:eastAsia="微软雅黑" w:cs="微软雅黑"/>
          <w:szCs w:val="21"/>
          <w:highlight w:val="none"/>
        </w:rPr>
      </w:pPr>
    </w:p>
    <w:p w14:paraId="5CAE17A2">
      <w:pPr>
        <w:spacing w:line="400" w:lineRule="exact"/>
        <w:ind w:right="420" w:firstLine="3704" w:firstLineChars="1764"/>
        <w:rPr>
          <w:rFonts w:hint="eastAsia" w:ascii="微软雅黑" w:hAnsi="微软雅黑" w:eastAsia="微软雅黑" w:cs="微软雅黑"/>
          <w:szCs w:val="21"/>
          <w:highlight w:val="none"/>
        </w:rPr>
      </w:pPr>
    </w:p>
    <w:p w14:paraId="5C8452C2">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2E58862D">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0A87D959">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rPr>
        <w:t>____年_____ 月_____ 日</w:t>
      </w:r>
    </w:p>
    <w:p w14:paraId="6AFFA85E">
      <w:pPr>
        <w:spacing w:line="480" w:lineRule="auto"/>
        <w:jc w:val="center"/>
        <w:rPr>
          <w:rFonts w:hint="eastAsia" w:ascii="微软雅黑" w:hAnsi="微软雅黑" w:eastAsia="微软雅黑" w:cs="微软雅黑"/>
          <w:b/>
          <w:bCs/>
          <w:color w:val="000000"/>
          <w:sz w:val="24"/>
          <w:highlight w:val="none"/>
        </w:rPr>
      </w:pPr>
    </w:p>
    <w:p w14:paraId="50D52BF9">
      <w:pPr>
        <w:spacing w:line="400" w:lineRule="exact"/>
        <w:rPr>
          <w:rFonts w:hint="eastAsia" w:ascii="微软雅黑" w:hAnsi="微软雅黑" w:eastAsia="微软雅黑" w:cs="微软雅黑"/>
          <w:color w:val="000000"/>
          <w:szCs w:val="21"/>
          <w:highlight w:val="none"/>
        </w:rPr>
      </w:pPr>
    </w:p>
    <w:p w14:paraId="68AAF252">
      <w:pPr>
        <w:spacing w:line="400" w:lineRule="exact"/>
        <w:rPr>
          <w:rFonts w:hint="eastAsia" w:ascii="微软雅黑" w:hAnsi="微软雅黑" w:eastAsia="微软雅黑" w:cs="微软雅黑"/>
          <w:b/>
          <w:color w:val="000000"/>
          <w:szCs w:val="21"/>
          <w:highlight w:val="none"/>
        </w:rPr>
      </w:pPr>
    </w:p>
    <w:p w14:paraId="23ADFE96">
      <w:pPr>
        <w:spacing w:line="400" w:lineRule="exact"/>
        <w:ind w:left="420" w:leftChars="200" w:firstLine="3832" w:firstLineChars="1824"/>
        <w:outlineLvl w:val="1"/>
        <w:rPr>
          <w:rFonts w:hint="eastAsia" w:ascii="微软雅黑" w:hAnsi="微软雅黑" w:eastAsia="微软雅黑" w:cs="微软雅黑"/>
          <w:b/>
          <w:color w:val="000000"/>
          <w:szCs w:val="21"/>
          <w:highlight w:val="none"/>
        </w:rPr>
        <w:sectPr>
          <w:pgSz w:w="11900" w:h="16821"/>
          <w:pgMar w:top="1417" w:right="1134" w:bottom="1417" w:left="1134" w:header="720" w:footer="720" w:gutter="0"/>
          <w:cols w:space="720" w:num="1"/>
          <w:rtlGutter w:val="0"/>
          <w:docGrid w:linePitch="312" w:charSpace="0"/>
        </w:sectPr>
      </w:pPr>
      <w:bookmarkStart w:id="256" w:name="_Toc31113"/>
      <w:bookmarkStart w:id="257" w:name="_Toc40365326"/>
      <w:bookmarkStart w:id="258" w:name="_Hlk528843632"/>
    </w:p>
    <w:p w14:paraId="67CFC374">
      <w:pPr>
        <w:spacing w:line="400" w:lineRule="exact"/>
        <w:ind w:left="420" w:leftChars="200" w:firstLine="3832" w:firstLineChars="1824"/>
        <w:outlineLvl w:val="1"/>
        <w:rPr>
          <w:rFonts w:hint="eastAsia" w:ascii="微软雅黑" w:hAnsi="微软雅黑" w:eastAsia="微软雅黑" w:cs="微软雅黑"/>
          <w:b/>
          <w:color w:val="000000"/>
          <w:szCs w:val="21"/>
          <w:highlight w:val="none"/>
        </w:rPr>
      </w:pPr>
      <w:bookmarkStart w:id="259" w:name="_Toc7424"/>
      <w:bookmarkStart w:id="260" w:name="OLE_LINK20"/>
      <w:r>
        <w:rPr>
          <w:rFonts w:hint="eastAsia" w:ascii="微软雅黑" w:hAnsi="微软雅黑" w:eastAsia="微软雅黑" w:cs="微软雅黑"/>
          <w:b/>
          <w:color w:val="000000"/>
          <w:szCs w:val="21"/>
          <w:highlight w:val="none"/>
        </w:rPr>
        <w:t>八、项目采购承诺书</w:t>
      </w:r>
      <w:bookmarkEnd w:id="256"/>
      <w:bookmarkEnd w:id="257"/>
      <w:bookmarkEnd w:id="259"/>
    </w:p>
    <w:bookmarkEnd w:id="260"/>
    <w:p w14:paraId="063A432E">
      <w:pPr>
        <w:spacing w:line="360" w:lineRule="auto"/>
        <w:ind w:left="420" w:leftChars="200"/>
        <w:rPr>
          <w:rFonts w:hint="eastAsia" w:ascii="微软雅黑" w:hAnsi="微软雅黑" w:eastAsia="微软雅黑" w:cs="微软雅黑"/>
          <w:color w:val="000000"/>
          <w:szCs w:val="21"/>
          <w:highlight w:val="none"/>
        </w:rPr>
      </w:pPr>
    </w:p>
    <w:p w14:paraId="4ABA003F">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致：</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（采购人名称）</w:t>
      </w:r>
    </w:p>
    <w:p w14:paraId="05393F63">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本承诺书作为我公司</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（投标单位全称）参加</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szCs w:val="21"/>
          <w:highlight w:val="none"/>
        </w:rPr>
        <w:t>（项目名称）投标文件不可分割的一部分。我公司做为参加本次项目的投标供应商，郑重作如下承诺：</w:t>
      </w:r>
    </w:p>
    <w:p w14:paraId="409B15C6">
      <w:pPr>
        <w:spacing w:line="360" w:lineRule="auto"/>
        <w:ind w:left="420" w:leftChars="200" w:firstLine="420" w:firstLineChars="200"/>
        <w:rPr>
          <w:rFonts w:hint="eastAsia" w:ascii="微软雅黑" w:hAnsi="微软雅黑" w:eastAsia="微软雅黑" w:cs="微软雅黑"/>
          <w:bCs/>
          <w:color w:val="000000"/>
          <w:kern w:val="0"/>
          <w:szCs w:val="21"/>
          <w:highlight w:val="none"/>
        </w:rPr>
      </w:pPr>
      <w:r>
        <w:rPr>
          <w:rFonts w:hint="eastAsia" w:ascii="微软雅黑" w:hAnsi="微软雅黑" w:eastAsia="微软雅黑" w:cs="微软雅黑"/>
          <w:bCs/>
          <w:color w:val="000000"/>
          <w:kern w:val="0"/>
          <w:szCs w:val="21"/>
          <w:highlight w:val="none"/>
        </w:rPr>
        <w:t>1、我方已经过详细市场调查，本次所投报产品货源充足，保证不会出现无货、断货现象。</w:t>
      </w:r>
    </w:p>
    <w:p w14:paraId="0C2F9D1B">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2、我方将严格履行招标文件中规定的每一项要求，按所投产品的品牌、型号及约定的服务期限和相关服务，保证所提供的所有产品均符合国家相关标准规范或强制性规定，所供产品均为原厂生产的合格产品、符合招标文件各项技术参数要求的规定，绝不提供假冒伪劣产品，如需要我方可以提供相关出厂合格证明或测试报告；</w:t>
      </w:r>
    </w:p>
    <w:p w14:paraId="1478D6D0">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3、采购人验收时如发现我方所供产品与投标文件中所承诺的产品型号、规格、技术参数要求不符的，我方将立即无条件更换。如因此造成服务期限超出我方承诺期限的，同时愿承担合同约定的违约责任；</w:t>
      </w:r>
    </w:p>
    <w:p w14:paraId="390F454A">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4、我方提供的产品如不能满足招标文件要求的，采购人有权拒绝接收；</w:t>
      </w:r>
    </w:p>
    <w:p w14:paraId="0F60EF80">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5、如评标委员会确定我方为本项目的中标人，在公示期内或领取中标（成交）通知书后，我方无正当理由（如自身报价失误、无法组织及时供货、资金不到位、帐户无法正常使用等）不得放弃中标资格；</w:t>
      </w:r>
    </w:p>
    <w:p w14:paraId="45F3493F">
      <w:pPr>
        <w:spacing w:line="360" w:lineRule="auto"/>
        <w:ind w:left="420" w:left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6、我方已详细阅读了本招标文件，保证可以完全响应招标文件中所有要求，并理解你方或评标委员会对我方进行资格审查的权利，如在资格审查中发现我方存在有违规行为愿承担相应法律责任。</w:t>
      </w:r>
    </w:p>
    <w:p w14:paraId="1D347C93">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 xml:space="preserve">                        </w:t>
      </w:r>
    </w:p>
    <w:p w14:paraId="60866E3D">
      <w:pPr>
        <w:autoSpaceDE w:val="0"/>
        <w:autoSpaceDN w:val="0"/>
        <w:adjustRightInd w:val="0"/>
        <w:spacing w:line="360" w:lineRule="auto"/>
        <w:jc w:val="right"/>
        <w:rPr>
          <w:rFonts w:hint="eastAsia" w:ascii="微软雅黑" w:hAnsi="微软雅黑" w:eastAsia="微软雅黑" w:cs="微软雅黑"/>
          <w:color w:val="000000"/>
          <w:szCs w:val="21"/>
          <w:highlight w:val="none"/>
        </w:rPr>
      </w:pPr>
    </w:p>
    <w:p w14:paraId="46386211">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3322D057">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1A3E9567">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rPr>
        <w:t>____年_____ 月_____ 日</w:t>
      </w:r>
    </w:p>
    <w:bookmarkEnd w:id="258"/>
    <w:p w14:paraId="4B040412">
      <w:pPr>
        <w:pStyle w:val="25"/>
        <w:rPr>
          <w:rFonts w:hint="eastAsia" w:ascii="微软雅黑" w:hAnsi="微软雅黑" w:eastAsia="微软雅黑" w:cs="微软雅黑"/>
          <w:highlight w:val="none"/>
        </w:rPr>
      </w:pPr>
    </w:p>
    <w:p w14:paraId="375A9B24">
      <w:pPr>
        <w:tabs>
          <w:tab w:val="left" w:pos="2878"/>
          <w:tab w:val="center" w:pos="4846"/>
        </w:tabs>
        <w:jc w:val="center"/>
        <w:rPr>
          <w:rFonts w:hint="eastAsia" w:ascii="微软雅黑" w:hAnsi="微软雅黑" w:eastAsia="微软雅黑" w:cs="微软雅黑"/>
          <w:b/>
          <w:color w:val="000000"/>
          <w:szCs w:val="21"/>
          <w:highlight w:val="none"/>
        </w:rPr>
        <w:sectPr>
          <w:pgSz w:w="11900" w:h="16821"/>
          <w:pgMar w:top="1417" w:right="1134" w:bottom="1417" w:left="1134" w:header="720" w:footer="720" w:gutter="0"/>
          <w:cols w:space="720" w:num="1"/>
          <w:rtlGutter w:val="0"/>
          <w:docGrid w:linePitch="312" w:charSpace="0"/>
        </w:sectPr>
      </w:pPr>
      <w:bookmarkStart w:id="261" w:name="_Toc8867"/>
      <w:bookmarkStart w:id="262" w:name="_Hlk528843719"/>
      <w:bookmarkStart w:id="263" w:name="_Toc11735"/>
      <w:bookmarkStart w:id="264" w:name="_Toc23170"/>
      <w:bookmarkStart w:id="265" w:name="_Toc10759"/>
      <w:bookmarkStart w:id="266" w:name="_Toc389205881"/>
    </w:p>
    <w:p w14:paraId="798D9DA8">
      <w:pPr>
        <w:spacing w:line="400" w:lineRule="exact"/>
        <w:jc w:val="center"/>
        <w:outlineLvl w:val="1"/>
        <w:rPr>
          <w:rFonts w:hint="eastAsia" w:ascii="微软雅黑" w:hAnsi="微软雅黑" w:eastAsia="微软雅黑" w:cs="微软雅黑"/>
          <w:b/>
          <w:bCs/>
          <w:color w:val="000000"/>
          <w:szCs w:val="21"/>
          <w:highlight w:val="none"/>
        </w:rPr>
      </w:pPr>
      <w:bookmarkStart w:id="267" w:name="_Toc30516"/>
      <w:bookmarkStart w:id="268" w:name="OLE_LINK21"/>
      <w:r>
        <w:rPr>
          <w:rFonts w:hint="eastAsia" w:ascii="微软雅黑" w:hAnsi="微软雅黑" w:eastAsia="微软雅黑" w:cs="微软雅黑"/>
          <w:b/>
          <w:bCs/>
          <w:color w:val="000000"/>
          <w:szCs w:val="21"/>
          <w:highlight w:val="none"/>
        </w:rPr>
        <w:t>九、反商业贿赂承诺书</w:t>
      </w:r>
      <w:bookmarkEnd w:id="261"/>
      <w:bookmarkEnd w:id="267"/>
    </w:p>
    <w:bookmarkEnd w:id="268"/>
    <w:p w14:paraId="0E7345CA">
      <w:pPr>
        <w:rPr>
          <w:rFonts w:hint="eastAsia" w:ascii="微软雅黑" w:hAnsi="微软雅黑" w:eastAsia="微软雅黑" w:cs="微软雅黑"/>
          <w:b/>
          <w:color w:val="000000"/>
          <w:szCs w:val="21"/>
          <w:highlight w:val="none"/>
        </w:rPr>
      </w:pPr>
    </w:p>
    <w:p w14:paraId="11790A4F">
      <w:pPr>
        <w:pStyle w:val="94"/>
        <w:spacing w:line="360" w:lineRule="auto"/>
        <w:rPr>
          <w:rFonts w:hint="eastAsia" w:ascii="微软雅黑" w:hAnsi="微软雅黑" w:eastAsia="微软雅黑" w:cs="微软雅黑"/>
          <w:color w:val="000000"/>
          <w:kern w:val="2"/>
          <w:sz w:val="21"/>
          <w:szCs w:val="21"/>
          <w:highlight w:val="none"/>
        </w:rPr>
      </w:pPr>
      <w:r>
        <w:rPr>
          <w:rFonts w:hint="eastAsia" w:ascii="微软雅黑" w:hAnsi="微软雅黑" w:eastAsia="微软雅黑" w:cs="微软雅黑"/>
          <w:color w:val="000000"/>
          <w:kern w:val="2"/>
          <w:sz w:val="21"/>
          <w:szCs w:val="21"/>
          <w:highlight w:val="none"/>
        </w:rPr>
        <w:t>我公司承诺：</w:t>
      </w:r>
    </w:p>
    <w:p w14:paraId="6AA6DD5B">
      <w:pPr>
        <w:pStyle w:val="94"/>
        <w:spacing w:line="360" w:lineRule="auto"/>
        <w:rPr>
          <w:rFonts w:hint="eastAsia" w:ascii="微软雅黑" w:hAnsi="微软雅黑" w:eastAsia="微软雅黑" w:cs="微软雅黑"/>
          <w:color w:val="000000"/>
          <w:kern w:val="2"/>
          <w:sz w:val="21"/>
          <w:szCs w:val="21"/>
          <w:highlight w:val="none"/>
        </w:rPr>
      </w:pPr>
      <w:r>
        <w:rPr>
          <w:rFonts w:hint="eastAsia" w:ascii="微软雅黑" w:hAnsi="微软雅黑" w:eastAsia="微软雅黑" w:cs="微软雅黑"/>
          <w:color w:val="000000"/>
          <w:kern w:val="2"/>
          <w:sz w:val="21"/>
          <w:szCs w:val="21"/>
          <w:highlight w:val="none"/>
        </w:rPr>
        <w:t xml:space="preserve">在 </w:t>
      </w:r>
      <w:r>
        <w:rPr>
          <w:rFonts w:hint="eastAsia" w:ascii="微软雅黑" w:hAnsi="微软雅黑" w:eastAsia="微软雅黑" w:cs="微软雅黑"/>
          <w:color w:val="000000"/>
          <w:kern w:val="2"/>
          <w:sz w:val="21"/>
          <w:szCs w:val="21"/>
          <w:highlight w:val="none"/>
          <w:u w:val="single"/>
        </w:rPr>
        <w:t xml:space="preserve">       </w:t>
      </w:r>
      <w:r>
        <w:rPr>
          <w:rFonts w:hint="eastAsia" w:ascii="微软雅黑" w:hAnsi="微软雅黑" w:eastAsia="微软雅黑" w:cs="微软雅黑"/>
          <w:color w:val="000000"/>
          <w:kern w:val="2"/>
          <w:sz w:val="21"/>
          <w:szCs w:val="21"/>
          <w:highlight w:val="none"/>
        </w:rPr>
        <w:t>（投标项目名称）招标活动中，我公司保证做到：</w:t>
      </w:r>
    </w:p>
    <w:p w14:paraId="77D1A200">
      <w:pPr>
        <w:pStyle w:val="94"/>
        <w:spacing w:line="360" w:lineRule="auto"/>
        <w:rPr>
          <w:rFonts w:hint="eastAsia" w:ascii="微软雅黑" w:hAnsi="微软雅黑" w:eastAsia="微软雅黑" w:cs="微软雅黑"/>
          <w:color w:val="000000"/>
          <w:kern w:val="2"/>
          <w:sz w:val="21"/>
          <w:szCs w:val="21"/>
          <w:highlight w:val="none"/>
        </w:rPr>
      </w:pPr>
      <w:r>
        <w:rPr>
          <w:rFonts w:hint="eastAsia" w:ascii="微软雅黑" w:hAnsi="微软雅黑" w:eastAsia="微软雅黑" w:cs="微软雅黑"/>
          <w:color w:val="000000"/>
          <w:kern w:val="2"/>
          <w:sz w:val="21"/>
          <w:szCs w:val="21"/>
          <w:highlight w:val="none"/>
        </w:rPr>
        <w:t>一、公平竞争参加本次招标活动。</w:t>
      </w:r>
    </w:p>
    <w:p w14:paraId="6561BEE1">
      <w:pPr>
        <w:pStyle w:val="94"/>
        <w:spacing w:line="360" w:lineRule="auto"/>
        <w:rPr>
          <w:rFonts w:hint="eastAsia" w:ascii="微软雅黑" w:hAnsi="微软雅黑" w:eastAsia="微软雅黑" w:cs="微软雅黑"/>
          <w:color w:val="000000"/>
          <w:kern w:val="2"/>
          <w:sz w:val="21"/>
          <w:szCs w:val="21"/>
          <w:highlight w:val="none"/>
        </w:rPr>
      </w:pPr>
      <w:r>
        <w:rPr>
          <w:rFonts w:hint="eastAsia" w:ascii="微软雅黑" w:hAnsi="微软雅黑" w:eastAsia="微软雅黑" w:cs="微软雅黑"/>
          <w:color w:val="000000"/>
          <w:kern w:val="2"/>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6870F3B">
      <w:pPr>
        <w:pStyle w:val="94"/>
        <w:spacing w:line="360" w:lineRule="auto"/>
        <w:rPr>
          <w:rFonts w:hint="eastAsia" w:ascii="微软雅黑" w:hAnsi="微软雅黑" w:eastAsia="微软雅黑" w:cs="微软雅黑"/>
          <w:color w:val="000000"/>
          <w:kern w:val="2"/>
          <w:sz w:val="21"/>
          <w:szCs w:val="21"/>
          <w:highlight w:val="none"/>
        </w:rPr>
      </w:pPr>
      <w:r>
        <w:rPr>
          <w:rFonts w:hint="eastAsia" w:ascii="微软雅黑" w:hAnsi="微软雅黑" w:eastAsia="微软雅黑" w:cs="微软雅黑"/>
          <w:color w:val="000000"/>
          <w:kern w:val="2"/>
          <w:sz w:val="21"/>
          <w:szCs w:val="21"/>
          <w:highlight w:val="none"/>
        </w:rPr>
        <w:t>三、若出现上述行为，我公司及参与投标的工作人员愿意接受按照国家法律法规等有关规定给予的处罚。</w:t>
      </w:r>
    </w:p>
    <w:p w14:paraId="3A007E21">
      <w:pPr>
        <w:pStyle w:val="94"/>
        <w:spacing w:line="360" w:lineRule="auto"/>
        <w:rPr>
          <w:rFonts w:hint="eastAsia" w:ascii="微软雅黑" w:hAnsi="微软雅黑" w:eastAsia="微软雅黑" w:cs="微软雅黑"/>
          <w:color w:val="000000"/>
          <w:kern w:val="2"/>
          <w:sz w:val="21"/>
          <w:szCs w:val="21"/>
          <w:highlight w:val="none"/>
        </w:rPr>
      </w:pPr>
    </w:p>
    <w:p w14:paraId="3A53BDC5">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6D74C921">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13180075">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rPr>
        <w:t>____年_____ 月_____ 日</w:t>
      </w:r>
    </w:p>
    <w:p w14:paraId="0FEE8E53">
      <w:pPr>
        <w:spacing w:line="500" w:lineRule="exact"/>
        <w:ind w:firstLine="411" w:firstLineChars="196"/>
        <w:jc w:val="center"/>
        <w:rPr>
          <w:rFonts w:hint="eastAsia" w:ascii="微软雅黑" w:hAnsi="微软雅黑" w:eastAsia="微软雅黑" w:cs="微软雅黑"/>
          <w:color w:val="000000"/>
          <w:szCs w:val="21"/>
          <w:highlight w:val="none"/>
        </w:rPr>
      </w:pPr>
    </w:p>
    <w:bookmarkEnd w:id="262"/>
    <w:bookmarkEnd w:id="263"/>
    <w:bookmarkEnd w:id="264"/>
    <w:p w14:paraId="10F5B1D6">
      <w:pPr>
        <w:spacing w:line="480" w:lineRule="auto"/>
        <w:jc w:val="center"/>
        <w:rPr>
          <w:rFonts w:hint="eastAsia" w:ascii="微软雅黑" w:hAnsi="微软雅黑" w:eastAsia="微软雅黑" w:cs="微软雅黑"/>
          <w:b/>
          <w:bCs/>
          <w:color w:val="000000"/>
          <w:sz w:val="24"/>
          <w:highlight w:val="none"/>
        </w:rPr>
        <w:sectPr>
          <w:pgSz w:w="11900" w:h="16821"/>
          <w:pgMar w:top="1417" w:right="1134" w:bottom="1417" w:left="1134" w:header="720" w:footer="720" w:gutter="0"/>
          <w:cols w:space="720" w:num="1"/>
          <w:rtlGutter w:val="0"/>
          <w:docGrid w:linePitch="312" w:charSpace="0"/>
        </w:sectPr>
      </w:pPr>
      <w:bookmarkStart w:id="269" w:name="_Toc10095"/>
      <w:bookmarkStart w:id="270" w:name="_Hlk528843734"/>
    </w:p>
    <w:p w14:paraId="66D87786">
      <w:pPr>
        <w:spacing w:line="400" w:lineRule="exact"/>
        <w:jc w:val="center"/>
        <w:outlineLvl w:val="1"/>
        <w:rPr>
          <w:rFonts w:hint="eastAsia" w:ascii="微软雅黑" w:hAnsi="微软雅黑" w:eastAsia="微软雅黑" w:cs="微软雅黑"/>
          <w:b/>
          <w:bCs/>
          <w:color w:val="000000"/>
          <w:szCs w:val="21"/>
          <w:highlight w:val="none"/>
        </w:rPr>
      </w:pPr>
      <w:bookmarkStart w:id="271" w:name="_Toc21167"/>
      <w:bookmarkStart w:id="272" w:name="OLE_LINK22"/>
      <w:r>
        <w:rPr>
          <w:rFonts w:hint="eastAsia" w:ascii="微软雅黑" w:hAnsi="微软雅黑" w:eastAsia="微软雅黑" w:cs="微软雅黑"/>
          <w:b/>
          <w:bCs/>
          <w:color w:val="000000"/>
          <w:szCs w:val="21"/>
          <w:highlight w:val="none"/>
        </w:rPr>
        <w:t>十、服务承诺</w:t>
      </w:r>
      <w:bookmarkEnd w:id="271"/>
    </w:p>
    <w:bookmarkEnd w:id="272"/>
    <w:p w14:paraId="3C2429E2">
      <w:pPr>
        <w:spacing w:line="480" w:lineRule="auto"/>
        <w:jc w:val="center"/>
        <w:rPr>
          <w:rFonts w:hint="eastAsia" w:ascii="微软雅黑" w:hAnsi="微软雅黑" w:eastAsia="微软雅黑" w:cs="微软雅黑"/>
          <w:b/>
          <w:bCs/>
          <w:color w:val="000000"/>
          <w:sz w:val="24"/>
          <w:highlight w:val="none"/>
        </w:rPr>
      </w:pPr>
      <w:r>
        <w:rPr>
          <w:rFonts w:hint="eastAsia" w:ascii="微软雅黑" w:hAnsi="微软雅黑" w:eastAsia="微软雅黑" w:cs="微软雅黑"/>
          <w:b/>
          <w:bCs/>
          <w:color w:val="000000"/>
          <w:sz w:val="24"/>
          <w:highlight w:val="none"/>
        </w:rPr>
        <w:t>（格式自拟）</w:t>
      </w:r>
    </w:p>
    <w:p w14:paraId="03CA2DE5">
      <w:pPr>
        <w:spacing w:line="360" w:lineRule="auto"/>
        <w:rPr>
          <w:rFonts w:hint="eastAsia" w:ascii="微软雅黑" w:hAnsi="微软雅黑" w:eastAsia="微软雅黑" w:cs="微软雅黑"/>
          <w:color w:val="000000"/>
          <w:sz w:val="24"/>
          <w:highlight w:val="none"/>
        </w:rPr>
      </w:pPr>
    </w:p>
    <w:p w14:paraId="4C3132A4">
      <w:pPr>
        <w:spacing w:line="400" w:lineRule="exact"/>
        <w:jc w:val="center"/>
        <w:outlineLvl w:val="1"/>
        <w:rPr>
          <w:rFonts w:hint="eastAsia" w:ascii="微软雅黑" w:hAnsi="微软雅黑" w:eastAsia="微软雅黑" w:cs="微软雅黑"/>
          <w:b/>
          <w:bCs/>
          <w:color w:val="000000"/>
          <w:szCs w:val="21"/>
          <w:highlight w:val="none"/>
        </w:rPr>
        <w:sectPr>
          <w:pgSz w:w="11900" w:h="16821"/>
          <w:pgMar w:top="1417" w:right="1134" w:bottom="1417" w:left="1134" w:header="720" w:footer="720" w:gutter="0"/>
          <w:cols w:space="720" w:num="1"/>
          <w:rtlGutter w:val="0"/>
          <w:docGrid w:linePitch="312" w:charSpace="0"/>
        </w:sectPr>
      </w:pPr>
      <w:bookmarkStart w:id="273" w:name="_Toc40365327"/>
    </w:p>
    <w:p w14:paraId="35E280E5">
      <w:pPr>
        <w:spacing w:line="400" w:lineRule="exact"/>
        <w:jc w:val="center"/>
        <w:outlineLvl w:val="1"/>
        <w:rPr>
          <w:rFonts w:hint="eastAsia" w:ascii="微软雅黑" w:hAnsi="微软雅黑" w:eastAsia="微软雅黑" w:cs="微软雅黑"/>
          <w:b/>
          <w:bCs/>
          <w:color w:val="000000"/>
          <w:szCs w:val="21"/>
          <w:highlight w:val="none"/>
        </w:rPr>
      </w:pPr>
      <w:bookmarkStart w:id="274" w:name="_Toc23721"/>
      <w:bookmarkStart w:id="275" w:name="OLE_LINK23"/>
      <w:r>
        <w:rPr>
          <w:rFonts w:hint="eastAsia" w:ascii="微软雅黑" w:hAnsi="微软雅黑" w:eastAsia="微软雅黑" w:cs="微软雅黑"/>
          <w:b/>
          <w:bCs/>
          <w:color w:val="000000"/>
          <w:szCs w:val="21"/>
          <w:highlight w:val="none"/>
        </w:rPr>
        <w:t>十一、招标文件要求的其它材料及投标人认为有必要提供的材料</w:t>
      </w:r>
      <w:bookmarkEnd w:id="265"/>
      <w:bookmarkEnd w:id="266"/>
      <w:bookmarkEnd w:id="269"/>
      <w:bookmarkEnd w:id="273"/>
      <w:bookmarkEnd w:id="274"/>
    </w:p>
    <w:bookmarkEnd w:id="270"/>
    <w:bookmarkEnd w:id="275"/>
    <w:p w14:paraId="7B9CD39C">
      <w:pPr>
        <w:spacing w:line="400" w:lineRule="exact"/>
        <w:jc w:val="center"/>
        <w:rPr>
          <w:rFonts w:hint="eastAsia" w:ascii="微软雅黑" w:hAnsi="微软雅黑" w:eastAsia="微软雅黑" w:cs="微软雅黑"/>
          <w:b/>
          <w:bCs/>
          <w:color w:val="000000"/>
          <w:szCs w:val="21"/>
          <w:highlight w:val="none"/>
        </w:rPr>
      </w:pPr>
    </w:p>
    <w:p w14:paraId="7EC6C53B">
      <w:pPr>
        <w:pStyle w:val="16"/>
        <w:tabs>
          <w:tab w:val="left" w:pos="5250"/>
        </w:tabs>
        <w:ind w:firstLine="201"/>
        <w:jc w:val="center"/>
        <w:rPr>
          <w:rFonts w:hint="eastAsia" w:ascii="微软雅黑" w:hAnsi="微软雅黑" w:eastAsia="微软雅黑" w:cs="微软雅黑"/>
          <w:b/>
          <w:bCs/>
          <w:highlight w:val="none"/>
          <w:lang w:val="zh-CN"/>
        </w:rPr>
      </w:pPr>
      <w:r>
        <w:rPr>
          <w:rFonts w:hint="eastAsia" w:ascii="微软雅黑" w:hAnsi="微软雅黑" w:eastAsia="微软雅黑" w:cs="微软雅黑"/>
          <w:b/>
          <w:bCs/>
          <w:highlight w:val="none"/>
        </w:rPr>
        <w:t xml:space="preserve">1. </w:t>
      </w:r>
      <w:r>
        <w:rPr>
          <w:rFonts w:hint="eastAsia" w:ascii="微软雅黑" w:hAnsi="微软雅黑" w:eastAsia="微软雅黑" w:cs="微软雅黑"/>
          <w:b/>
          <w:bCs/>
          <w:highlight w:val="none"/>
          <w:lang w:val="zh-CN"/>
        </w:rPr>
        <w:t>承诺书</w:t>
      </w:r>
    </w:p>
    <w:p w14:paraId="5EDC26E4">
      <w:pPr>
        <w:pStyle w:val="16"/>
        <w:tabs>
          <w:tab w:val="left" w:pos="5250"/>
        </w:tabs>
        <w:ind w:firstLine="211"/>
        <w:jc w:val="center"/>
        <w:rPr>
          <w:rFonts w:hint="eastAsia" w:ascii="微软雅黑" w:hAnsi="微软雅黑" w:eastAsia="微软雅黑" w:cs="微软雅黑"/>
          <w:b/>
          <w:bCs/>
          <w:sz w:val="21"/>
          <w:szCs w:val="21"/>
          <w:highlight w:val="none"/>
          <w:lang w:val="zh-CN"/>
        </w:rPr>
      </w:pPr>
    </w:p>
    <w:p w14:paraId="3B492D9A">
      <w:pPr>
        <w:autoSpaceDE w:val="0"/>
        <w:autoSpaceDN w:val="0"/>
        <w:adjustRightInd w:val="0"/>
        <w:spacing w:line="360" w:lineRule="auto"/>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我公司承诺：我公司独立制作、修改和上传投标文件，并承担因“硬件特征码一致”所造成的不良后果。</w:t>
      </w:r>
    </w:p>
    <w:p w14:paraId="3121CF27">
      <w:pPr>
        <w:pStyle w:val="16"/>
        <w:tabs>
          <w:tab w:val="left" w:pos="5250"/>
        </w:tabs>
        <w:ind w:firstLine="210"/>
        <w:rPr>
          <w:rFonts w:hint="eastAsia" w:ascii="微软雅黑" w:hAnsi="微软雅黑" w:eastAsia="微软雅黑" w:cs="微软雅黑"/>
          <w:sz w:val="21"/>
          <w:szCs w:val="21"/>
          <w:highlight w:val="none"/>
        </w:rPr>
      </w:pPr>
    </w:p>
    <w:p w14:paraId="104E5DE9">
      <w:pPr>
        <w:pStyle w:val="16"/>
        <w:tabs>
          <w:tab w:val="left" w:pos="5250"/>
        </w:tabs>
        <w:ind w:firstLine="210"/>
        <w:rPr>
          <w:rFonts w:hint="eastAsia" w:ascii="微软雅黑" w:hAnsi="微软雅黑" w:eastAsia="微软雅黑" w:cs="微软雅黑"/>
          <w:sz w:val="21"/>
          <w:szCs w:val="21"/>
          <w:highlight w:val="none"/>
        </w:rPr>
      </w:pPr>
    </w:p>
    <w:p w14:paraId="363A558A">
      <w:pPr>
        <w:pStyle w:val="16"/>
        <w:tabs>
          <w:tab w:val="left" w:pos="5250"/>
        </w:tabs>
        <w:ind w:firstLine="210"/>
        <w:rPr>
          <w:rFonts w:hint="eastAsia" w:ascii="微软雅黑" w:hAnsi="微软雅黑" w:eastAsia="微软雅黑" w:cs="微软雅黑"/>
          <w:sz w:val="21"/>
          <w:szCs w:val="21"/>
          <w:highlight w:val="none"/>
        </w:rPr>
      </w:pPr>
    </w:p>
    <w:p w14:paraId="1EC1AB5D">
      <w:pPr>
        <w:pStyle w:val="16"/>
        <w:tabs>
          <w:tab w:val="left" w:pos="5250"/>
        </w:tabs>
        <w:ind w:firstLine="210"/>
        <w:rPr>
          <w:rFonts w:hint="eastAsia" w:ascii="微软雅黑" w:hAnsi="微软雅黑" w:eastAsia="微软雅黑" w:cs="微软雅黑"/>
          <w:sz w:val="21"/>
          <w:szCs w:val="21"/>
          <w:highlight w:val="none"/>
        </w:rPr>
      </w:pPr>
    </w:p>
    <w:p w14:paraId="7D1BBF30">
      <w:pPr>
        <w:pStyle w:val="16"/>
        <w:tabs>
          <w:tab w:val="left" w:pos="5250"/>
        </w:tabs>
        <w:ind w:firstLine="210"/>
        <w:rPr>
          <w:rFonts w:hint="eastAsia" w:ascii="微软雅黑" w:hAnsi="微软雅黑" w:eastAsia="微软雅黑" w:cs="微软雅黑"/>
          <w:sz w:val="21"/>
          <w:szCs w:val="21"/>
          <w:highlight w:val="none"/>
        </w:rPr>
      </w:pPr>
    </w:p>
    <w:p w14:paraId="68665D10">
      <w:pPr>
        <w:pStyle w:val="16"/>
        <w:tabs>
          <w:tab w:val="left" w:pos="5250"/>
        </w:tabs>
        <w:ind w:firstLine="0" w:firstLineChars="0"/>
        <w:rPr>
          <w:rFonts w:hint="eastAsia" w:ascii="微软雅黑" w:hAnsi="微软雅黑" w:eastAsia="微软雅黑" w:cs="微软雅黑"/>
          <w:sz w:val="21"/>
          <w:szCs w:val="21"/>
          <w:highlight w:val="none"/>
        </w:rPr>
      </w:pPr>
    </w:p>
    <w:p w14:paraId="4941A060">
      <w:pPr>
        <w:autoSpaceDE w:val="0"/>
        <w:autoSpaceDN w:val="0"/>
        <w:adjustRightInd w:val="0"/>
        <w:spacing w:line="380" w:lineRule="exact"/>
        <w:ind w:firstLine="420"/>
        <w:jc w:val="center"/>
        <w:rPr>
          <w:rFonts w:hint="eastAsia" w:ascii="微软雅黑" w:hAnsi="微软雅黑" w:eastAsia="微软雅黑" w:cs="微软雅黑"/>
          <w:b/>
          <w:bCs/>
          <w:szCs w:val="21"/>
          <w:highlight w:val="none"/>
          <w:lang w:val="zh-CN"/>
        </w:rPr>
      </w:pPr>
    </w:p>
    <w:p w14:paraId="0E49FEFD">
      <w:pPr>
        <w:autoSpaceDE w:val="0"/>
        <w:autoSpaceDN w:val="0"/>
        <w:adjustRightInd w:val="0"/>
        <w:spacing w:line="360" w:lineRule="auto"/>
        <w:jc w:val="right"/>
        <w:rPr>
          <w:rFonts w:hint="eastAsia"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投 标 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（电子章）</w:t>
      </w:r>
    </w:p>
    <w:p w14:paraId="17F3BADE">
      <w:pPr>
        <w:autoSpaceDE w:val="0"/>
        <w:autoSpaceDN w:val="0"/>
        <w:adjustRightInd w:val="0"/>
        <w:spacing w:line="360" w:lineRule="auto"/>
        <w:jc w:val="right"/>
        <w:rPr>
          <w:rFonts w:hint="eastAsia" w:ascii="微软雅黑" w:hAnsi="微软雅黑" w:eastAsia="微软雅黑" w:cs="微软雅黑"/>
          <w:color w:val="000000"/>
          <w:kern w:val="0"/>
          <w:szCs w:val="21"/>
          <w:highlight w:val="none"/>
          <w:u w:val="single"/>
        </w:rPr>
      </w:pPr>
      <w:r>
        <w:rPr>
          <w:rFonts w:hint="eastAsia" w:ascii="微软雅黑" w:hAnsi="微软雅黑" w:eastAsia="微软雅黑" w:cs="微软雅黑"/>
          <w:color w:val="000000"/>
          <w:kern w:val="0"/>
          <w:szCs w:val="21"/>
          <w:highlight w:val="none"/>
        </w:rPr>
        <w:t>法定代表人或其委托代理人：</w:t>
      </w:r>
      <w:r>
        <w:rPr>
          <w:rFonts w:hint="eastAsia" w:ascii="微软雅黑" w:hAnsi="微软雅黑" w:eastAsia="微软雅黑" w:cs="微软雅黑"/>
          <w:color w:val="000000"/>
          <w:kern w:val="0"/>
          <w:szCs w:val="21"/>
          <w:highlight w:val="none"/>
          <w:u w:val="single"/>
        </w:rPr>
        <w:t xml:space="preserve">           </w:t>
      </w:r>
      <w:r>
        <w:rPr>
          <w:rFonts w:hint="eastAsia" w:ascii="微软雅黑" w:hAnsi="微软雅黑" w:eastAsia="微软雅黑" w:cs="微软雅黑"/>
          <w:color w:val="000000"/>
          <w:kern w:val="0"/>
          <w:szCs w:val="21"/>
          <w:highlight w:val="none"/>
        </w:rPr>
        <w:t>（签字或盖章）</w:t>
      </w:r>
      <w:r>
        <w:rPr>
          <w:rFonts w:hint="eastAsia" w:ascii="微软雅黑" w:hAnsi="微软雅黑" w:eastAsia="微软雅黑" w:cs="微软雅黑"/>
          <w:color w:val="000000"/>
          <w:kern w:val="0"/>
          <w:szCs w:val="21"/>
          <w:highlight w:val="none"/>
          <w:u w:val="single"/>
        </w:rPr>
        <w:t xml:space="preserve">          </w:t>
      </w:r>
    </w:p>
    <w:p w14:paraId="2E510AB9">
      <w:pPr>
        <w:autoSpaceDE w:val="0"/>
        <w:autoSpaceDN w:val="0"/>
        <w:adjustRightInd w:val="0"/>
        <w:spacing w:line="360" w:lineRule="auto"/>
        <w:jc w:val="right"/>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u w:val="none"/>
        </w:rPr>
        <w:t>____</w:t>
      </w:r>
      <w:r>
        <w:rPr>
          <w:rFonts w:hint="eastAsia" w:ascii="微软雅黑" w:hAnsi="微软雅黑" w:eastAsia="微软雅黑" w:cs="微软雅黑"/>
          <w:color w:val="000000"/>
          <w:kern w:val="0"/>
          <w:szCs w:val="21"/>
          <w:highlight w:val="none"/>
        </w:rPr>
        <w:t>年_____ 月_____ 日</w:t>
      </w:r>
    </w:p>
    <w:p w14:paraId="5F27C77F">
      <w:pPr>
        <w:spacing w:line="400" w:lineRule="exact"/>
        <w:jc w:val="center"/>
        <w:rPr>
          <w:rFonts w:hint="eastAsia" w:ascii="微软雅黑" w:hAnsi="微软雅黑" w:eastAsia="微软雅黑" w:cs="微软雅黑"/>
          <w:b/>
          <w:bCs/>
          <w:color w:val="000000"/>
          <w:sz w:val="30"/>
          <w:highlight w:val="none"/>
        </w:rPr>
      </w:pPr>
    </w:p>
    <w:p w14:paraId="41F8F1D9">
      <w:pPr>
        <w:spacing w:line="360" w:lineRule="auto"/>
        <w:ind w:left="420"/>
        <w:rPr>
          <w:rFonts w:hint="eastAsia" w:ascii="微软雅黑" w:hAnsi="微软雅黑" w:eastAsia="微软雅黑" w:cs="微软雅黑"/>
          <w:color w:val="000000"/>
          <w:highlight w:val="none"/>
        </w:rPr>
      </w:pPr>
    </w:p>
    <w:p w14:paraId="43305F4A">
      <w:pPr>
        <w:spacing w:line="400" w:lineRule="exact"/>
        <w:jc w:val="center"/>
        <w:rPr>
          <w:rFonts w:hint="eastAsia" w:ascii="微软雅黑" w:hAnsi="微软雅黑" w:eastAsia="微软雅黑" w:cs="微软雅黑"/>
          <w:b/>
          <w:bCs/>
          <w:color w:val="000000"/>
          <w:sz w:val="30"/>
          <w:highlight w:val="none"/>
        </w:rPr>
      </w:pPr>
    </w:p>
    <w:p w14:paraId="2D4CEB7E">
      <w:pPr>
        <w:bidi w:val="0"/>
        <w:rPr>
          <w:rFonts w:hint="eastAsia" w:ascii="微软雅黑" w:hAnsi="微软雅黑" w:eastAsia="微软雅黑" w:cs="微软雅黑"/>
          <w:highlight w:val="none"/>
        </w:rPr>
      </w:pPr>
    </w:p>
    <w:p w14:paraId="0937BA56">
      <w:pPr>
        <w:bidi w:val="0"/>
        <w:rPr>
          <w:rFonts w:hint="eastAsia" w:ascii="微软雅黑" w:hAnsi="微软雅黑" w:eastAsia="微软雅黑" w:cs="微软雅黑"/>
          <w:highlight w:val="none"/>
        </w:rPr>
      </w:pPr>
    </w:p>
    <w:p w14:paraId="50AB5990">
      <w:pPr>
        <w:bidi w:val="0"/>
        <w:rPr>
          <w:rFonts w:hint="eastAsia" w:ascii="微软雅黑" w:hAnsi="微软雅黑" w:eastAsia="微软雅黑" w:cs="微软雅黑"/>
          <w:highlight w:val="none"/>
        </w:rPr>
      </w:pPr>
    </w:p>
    <w:p w14:paraId="7BDE1C88">
      <w:pPr>
        <w:spacing w:line="400" w:lineRule="exact"/>
        <w:jc w:val="center"/>
        <w:outlineLvl w:val="1"/>
        <w:rPr>
          <w:rFonts w:hint="eastAsia" w:ascii="微软雅黑" w:hAnsi="微软雅黑" w:eastAsia="微软雅黑" w:cs="微软雅黑"/>
          <w:b/>
          <w:bCs/>
          <w:color w:val="000000"/>
          <w:szCs w:val="21"/>
          <w:highlight w:val="none"/>
        </w:rPr>
      </w:pPr>
      <w:bookmarkStart w:id="276" w:name="_Toc6507"/>
      <w:bookmarkStart w:id="277" w:name="_Toc40365328"/>
      <w:r>
        <w:rPr>
          <w:rFonts w:hint="eastAsia" w:ascii="微软雅黑" w:hAnsi="微软雅黑" w:eastAsia="微软雅黑" w:cs="微软雅黑"/>
          <w:b/>
          <w:bCs/>
          <w:color w:val="000000"/>
          <w:szCs w:val="21"/>
          <w:highlight w:val="none"/>
        </w:rPr>
        <w:t>2、投标人认为有必要提供的材料</w:t>
      </w:r>
      <w:bookmarkEnd w:id="276"/>
      <w:bookmarkEnd w:id="277"/>
    </w:p>
    <w:p w14:paraId="3FABE258">
      <w:pPr>
        <w:pStyle w:val="15"/>
        <w:rPr>
          <w:rFonts w:hint="eastAsia" w:ascii="微软雅黑" w:hAnsi="微软雅黑" w:eastAsia="微软雅黑" w:cs="微软雅黑"/>
          <w:color w:val="000000"/>
          <w:highlight w:val="none"/>
        </w:rPr>
      </w:pPr>
      <w:bookmarkStart w:id="278" w:name="_Toc9622"/>
    </w:p>
    <w:bookmarkEnd w:id="278"/>
    <w:p w14:paraId="3D97F6E9">
      <w:pPr>
        <w:rPr>
          <w:rFonts w:hint="eastAsia" w:ascii="微软雅黑" w:hAnsi="微软雅黑" w:eastAsia="微软雅黑" w:cs="微软雅黑"/>
          <w:color w:val="000000"/>
          <w:highlight w:val="none"/>
        </w:rPr>
      </w:pPr>
    </w:p>
    <w:p w14:paraId="188EA525">
      <w:pPr>
        <w:rPr>
          <w:rFonts w:hint="eastAsia" w:ascii="微软雅黑" w:hAnsi="微软雅黑" w:eastAsia="微软雅黑" w:cs="微软雅黑"/>
          <w:highlight w:val="none"/>
        </w:rPr>
      </w:pPr>
    </w:p>
    <w:p w14:paraId="330A5F97">
      <w:pPr>
        <w:rPr>
          <w:rFonts w:hint="eastAsia" w:ascii="微软雅黑" w:hAnsi="微软雅黑" w:eastAsia="微软雅黑" w:cs="微软雅黑"/>
          <w:highlight w:val="none"/>
        </w:rPr>
      </w:pPr>
    </w:p>
    <w:p w14:paraId="410B7757">
      <w:pPr>
        <w:spacing w:line="360" w:lineRule="auto"/>
        <w:jc w:val="left"/>
        <w:rPr>
          <w:rFonts w:hint="eastAsia" w:ascii="微软雅黑" w:hAnsi="微软雅黑" w:eastAsia="微软雅黑" w:cs="微软雅黑"/>
          <w:highlight w:val="none"/>
        </w:rPr>
      </w:pPr>
    </w:p>
    <w:bookmarkEnd w:id="0"/>
    <w:p w14:paraId="547AFB4B">
      <w:pPr>
        <w:rPr>
          <w:rFonts w:hint="eastAsia" w:ascii="微软雅黑" w:hAnsi="微软雅黑" w:eastAsia="微软雅黑" w:cs="微软雅黑"/>
          <w:highlight w:val="none"/>
        </w:rPr>
      </w:pPr>
    </w:p>
    <w:p w14:paraId="6A196D3E">
      <w:pPr>
        <w:rPr>
          <w:highlight w:val="none"/>
        </w:rPr>
      </w:pPr>
    </w:p>
    <w:p w14:paraId="51040B96">
      <w:pPr>
        <w:rPr>
          <w:highlight w:val="none"/>
        </w:rPr>
      </w:pPr>
    </w:p>
    <w:p w14:paraId="578AE2E3">
      <w:pPr>
        <w:rPr>
          <w:rFonts w:hint="eastAsia" w:eastAsiaTheme="minorEastAsia"/>
          <w:lang w:eastAsia="zh-CN"/>
        </w:rPr>
      </w:pPr>
    </w:p>
    <w:sectPr>
      <w:headerReference r:id="rId12" w:type="default"/>
      <w:footerReference r:id="rId13" w:type="default"/>
      <w:pgSz w:w="11900" w:h="16821"/>
      <w:pgMar w:top="1417" w:right="1134" w:bottom="1417" w:left="1134" w:header="720" w:footer="72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2283">
    <w:pPr>
      <w:pStyle w:val="11"/>
    </w:pPr>
  </w:p>
  <w:p w14:paraId="50BDD29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1216">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68A88C">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B68A88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95E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BB80D3">
                          <w:pPr>
                            <w:pStyle w:val="11"/>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64BB80D3">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6BC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A9BB3C">
                          <w:pPr>
                            <w:pStyle w:val="11"/>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7A9BB3C">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47B1">
    <w:pPr>
      <w:pStyle w:val="11"/>
      <w:ind w:right="359" w:rightChars="171" w:firstLine="90" w:firstLineChars="50"/>
      <w:rPr>
        <w:rFonts w:ascii="楷体_GB2312" w:eastAsia="楷体_GB2312" w:cs="楷体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1F204C">
                          <w:pPr>
                            <w:pStyle w:val="11"/>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4F1F204C">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4043">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FD62A4">
                          <w:pPr>
                            <w:pStyle w:val="11"/>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62FD62A4">
                    <w:pPr>
                      <w:pStyle w:val="11"/>
                    </w:pPr>
                    <w:r>
                      <w:fldChar w:fldCharType="begin"/>
                    </w:r>
                    <w:r>
                      <w:instrText xml:space="preserve"> PAGE  \* MERGEFORMAT </w:instrText>
                    </w:r>
                    <w:r>
                      <w:fldChar w:fldCharType="separate"/>
                    </w:r>
                    <w:r>
                      <w:t>39</w:t>
                    </w:r>
                    <w:r>
                      <w:fldChar w:fldCharType="end"/>
                    </w:r>
                  </w:p>
                </w:txbxContent>
              </v:textbox>
            </v:shape>
          </w:pict>
        </mc:Fallback>
      </mc:AlternateContent>
    </w:r>
  </w:p>
  <w:p w14:paraId="2A03B203">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6E1B">
    <w:pPr>
      <w:pStyle w:val="11"/>
      <w:ind w:right="359" w:rightChars="171" w:firstLine="90" w:firstLineChars="50"/>
      <w:rPr>
        <w:rFonts w:ascii="楷体_GB2312" w:eastAsia="楷体_GB2312" w:cs="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876FE2">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22876FE2">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88C0">
    <w:pPr>
      <w:pStyle w:val="12"/>
      <w:pBdr>
        <w:bottom w:val="none" w:color="auto" w:sz="0" w:space="1"/>
      </w:pBdr>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9BEC">
    <w:pPr>
      <w:pStyle w:val="12"/>
      <w:pBdr>
        <w:bottom w:val="none" w:color="auto" w:sz="0" w:space="1"/>
      </w:pBdr>
      <w:ind w:right="420"/>
      <w:jc w:val="both"/>
      <w:rPr>
        <w:rFonts w:ascii="楷体_GB2312" w:hAnsi="宋体" w:eastAsia="楷体_GB2312" w:cs="楷体_GB2312"/>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B0C44">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9E53">
    <w:pPr>
      <w:pStyle w:val="12"/>
      <w:pBdr>
        <w:bottom w:val="none" w:color="auto" w:sz="0" w:space="1"/>
      </w:pBdr>
      <w:ind w:right="420"/>
      <w:jc w:val="both"/>
      <w:rPr>
        <w:rFonts w:ascii="楷体_GB2312" w:hAnsi="宋体" w:eastAsia="楷体_GB2312" w:cs="楷体_GB2312"/>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41675"/>
    <w:multiLevelType w:val="singleLevel"/>
    <w:tmpl w:val="B3741675"/>
    <w:lvl w:ilvl="0" w:tentative="0">
      <w:start w:val="2"/>
      <w:numFmt w:val="decimal"/>
      <w:suff w:val="nothing"/>
      <w:lvlText w:val="%1、"/>
      <w:lvlJc w:val="left"/>
    </w:lvl>
  </w:abstractNum>
  <w:abstractNum w:abstractNumId="1">
    <w:nsid w:val="E8F70447"/>
    <w:multiLevelType w:val="singleLevel"/>
    <w:tmpl w:val="E8F70447"/>
    <w:lvl w:ilvl="0" w:tentative="0">
      <w:start w:val="4"/>
      <w:numFmt w:val="chineseCounting"/>
      <w:suff w:val="nothing"/>
      <w:lvlText w:val="（%1）"/>
      <w:lvlJc w:val="left"/>
      <w:rPr>
        <w:rFonts w:hint="eastAsia"/>
      </w:rPr>
    </w:lvl>
  </w:abstractNum>
  <w:abstractNum w:abstractNumId="2">
    <w:nsid w:val="11B4F82F"/>
    <w:multiLevelType w:val="singleLevel"/>
    <w:tmpl w:val="11B4F82F"/>
    <w:lvl w:ilvl="0" w:tentative="0">
      <w:start w:val="1"/>
      <w:numFmt w:val="decimal"/>
      <w:lvlText w:val="%1."/>
      <w:lvlJc w:val="left"/>
      <w:pPr>
        <w:tabs>
          <w:tab w:val="left" w:pos="312"/>
        </w:tabs>
      </w:pPr>
    </w:lvl>
  </w:abstractNum>
  <w:abstractNum w:abstractNumId="3">
    <w:nsid w:val="326ADB7B"/>
    <w:multiLevelType w:val="singleLevel"/>
    <w:tmpl w:val="326ADB7B"/>
    <w:lvl w:ilvl="0" w:tentative="0">
      <w:start w:val="1"/>
      <w:numFmt w:val="decimal"/>
      <w:lvlText w:val="%1."/>
      <w:lvlJc w:val="left"/>
      <w:pPr>
        <w:tabs>
          <w:tab w:val="left" w:pos="312"/>
        </w:tabs>
      </w:pPr>
    </w:lvl>
  </w:abstractNum>
  <w:abstractNum w:abstractNumId="4">
    <w:nsid w:val="616E4E3E"/>
    <w:multiLevelType w:val="singleLevel"/>
    <w:tmpl w:val="616E4E3E"/>
    <w:lvl w:ilvl="0" w:tentative="0">
      <w:start w:val="4"/>
      <w:numFmt w:val="chineseCounting"/>
      <w:suff w:val="space"/>
      <w:lvlText w:val="第%1章"/>
      <w:lvlJc w:val="left"/>
      <w:rPr>
        <w:rFonts w:hint="eastAsia"/>
      </w:rPr>
    </w:lvl>
  </w:abstractNum>
  <w:abstractNum w:abstractNumId="5">
    <w:nsid w:val="6A71BC1E"/>
    <w:multiLevelType w:val="singleLevel"/>
    <w:tmpl w:val="6A71BC1E"/>
    <w:lvl w:ilvl="0" w:tentative="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C1BD9"/>
    <w:rsid w:val="11F3144D"/>
    <w:rsid w:val="14CE4FD7"/>
    <w:rsid w:val="14F84A95"/>
    <w:rsid w:val="200224D8"/>
    <w:rsid w:val="29B175E9"/>
    <w:rsid w:val="3E9E5F37"/>
    <w:rsid w:val="41D34149"/>
    <w:rsid w:val="4F6E54B1"/>
    <w:rsid w:val="5F6F6A29"/>
    <w:rsid w:val="66B75538"/>
    <w:rsid w:val="7AA31C03"/>
    <w:rsid w:val="7BDD1298"/>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bCs/>
      <w:kern w:val="44"/>
      <w:sz w:val="32"/>
      <w:szCs w:val="44"/>
    </w:rPr>
  </w:style>
  <w:style w:type="paragraph" w:styleId="3">
    <w:name w:val="heading 2"/>
    <w:basedOn w:val="1"/>
    <w:next w:val="1"/>
    <w:link w:val="28"/>
    <w:qFormat/>
    <w:uiPriority w:val="0"/>
    <w:pPr>
      <w:keepNext/>
      <w:keepLines/>
      <w:spacing w:line="360" w:lineRule="auto"/>
      <w:jc w:val="center"/>
      <w:outlineLvl w:val="1"/>
    </w:pPr>
    <w:rPr>
      <w:rFonts w:ascii="Arial" w:hAnsi="Arial" w:eastAsia="宋体"/>
      <w:b/>
      <w:bCs/>
      <w:kern w:val="0"/>
      <w:sz w:val="30"/>
      <w:szCs w:val="32"/>
    </w:rPr>
  </w:style>
  <w:style w:type="paragraph" w:styleId="4">
    <w:name w:val="heading 3"/>
    <w:basedOn w:val="1"/>
    <w:next w:val="1"/>
    <w:qFormat/>
    <w:uiPriority w:val="0"/>
    <w:pPr>
      <w:keepNext/>
      <w:keepLines/>
      <w:spacing w:line="413" w:lineRule="auto"/>
      <w:outlineLvl w:val="2"/>
    </w:pPr>
    <w:rPr>
      <w:b/>
      <w:kern w:val="0"/>
      <w:sz w:val="32"/>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kern w:val="0"/>
      <w:sz w:val="20"/>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ascii="宋体" w:hAnsi="Courier New"/>
      <w:kern w:val="0"/>
      <w:sz w:val="20"/>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Body Text 2"/>
    <w:basedOn w:val="1"/>
    <w:qFormat/>
    <w:uiPriority w:val="0"/>
    <w:pPr>
      <w:suppressAutoHyphens/>
    </w:pPr>
    <w:rPr>
      <w:color w:val="000000"/>
      <w:kern w:val="1"/>
      <w:sz w:val="28"/>
    </w:rPr>
  </w:style>
  <w:style w:type="paragraph" w:styleId="15">
    <w:name w:val="Title"/>
    <w:basedOn w:val="1"/>
    <w:next w:val="1"/>
    <w:qFormat/>
    <w:uiPriority w:val="0"/>
    <w:pPr>
      <w:spacing w:line="360" w:lineRule="auto"/>
      <w:outlineLvl w:val="1"/>
    </w:pPr>
    <w:rPr>
      <w:rFonts w:ascii="??" w:hAnsi="宋体" w:eastAsia="等线"/>
      <w:bCs/>
      <w:kern w:val="0"/>
      <w:sz w:val="28"/>
      <w:szCs w:val="28"/>
    </w:rPr>
  </w:style>
  <w:style w:type="paragraph" w:styleId="16">
    <w:name w:val="Body Text First Indent"/>
    <w:basedOn w:val="6"/>
    <w:next w:val="1"/>
    <w:unhideWhenUsed/>
    <w:qFormat/>
    <w:uiPriority w:val="99"/>
    <w:pPr>
      <w:ind w:firstLine="420" w:firstLineChars="100"/>
    </w:pPr>
  </w:style>
  <w:style w:type="paragraph" w:styleId="17">
    <w:name w:val="Body Text First Indent 2"/>
    <w:basedOn w:val="7"/>
    <w:next w:val="1"/>
    <w:qFormat/>
    <w:uiPriority w:val="0"/>
    <w:pPr>
      <w:snapToGrid w:val="0"/>
      <w:spacing w:after="0" w:line="317" w:lineRule="auto"/>
      <w:ind w:left="0" w:leftChars="0" w:firstLine="420" w:firstLineChars="200"/>
    </w:pPr>
    <w:rPr>
      <w:rFonts w:ascii="方正书宋简体" w:eastAsia="方正书宋简体"/>
      <w:sz w:val="30"/>
    </w:rPr>
  </w:style>
  <w:style w:type="table" w:styleId="19">
    <w:name w:val="Table Grid"/>
    <w:basedOn w:val="18"/>
    <w:qFormat/>
    <w:uiPriority w:val="59"/>
    <w:rPr>
      <w:rFonts w:eastAsia="微软雅黑"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Body Text First Indent1"/>
    <w:basedOn w:val="6"/>
    <w:qFormat/>
    <w:uiPriority w:val="99"/>
    <w:pPr>
      <w:ind w:firstLine="420"/>
    </w:pPr>
    <w:rPr>
      <w:rFonts w:ascii="Calibri" w:hAnsi="Calibri"/>
      <w:kern w:val="2"/>
      <w:sz w:val="32"/>
    </w:rPr>
  </w:style>
  <w:style w:type="paragraph" w:customStyle="1" w:styleId="22">
    <w:name w:val="1"/>
    <w:basedOn w:val="1"/>
    <w:next w:val="23"/>
    <w:qFormat/>
    <w:uiPriority w:val="0"/>
    <w:pPr>
      <w:ind w:firstLine="420" w:firstLineChars="200"/>
    </w:pPr>
    <w:rPr>
      <w:rFonts w:ascii="Calibri" w:hAnsi="Calibri"/>
      <w:szCs w:val="22"/>
    </w:rPr>
  </w:style>
  <w:style w:type="paragraph" w:styleId="23">
    <w:name w:val="List Paragraph"/>
    <w:basedOn w:val="1"/>
    <w:qFormat/>
    <w:uiPriority w:val="99"/>
    <w:pPr>
      <w:ind w:firstLine="420" w:firstLineChars="200"/>
    </w:pPr>
  </w:style>
  <w:style w:type="paragraph" w:customStyle="1" w:styleId="24">
    <w:name w:val="0"/>
    <w:basedOn w:val="1"/>
    <w:qFormat/>
    <w:uiPriority w:val="0"/>
    <w:pPr>
      <w:widowControl/>
      <w:snapToGrid w:val="0"/>
    </w:pPr>
    <w:rPr>
      <w:szCs w:val="20"/>
    </w:rPr>
  </w:style>
  <w:style w:type="paragraph" w:customStyle="1" w:styleId="25">
    <w:name w:val="Default"/>
    <w:basedOn w:val="10"/>
    <w:next w:val="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大标题"/>
    <w:basedOn w:val="1"/>
    <w:next w:val="17"/>
    <w:qFormat/>
    <w:uiPriority w:val="0"/>
    <w:pPr>
      <w:jc w:val="center"/>
    </w:pPr>
    <w:rPr>
      <w:rFonts w:ascii="Arial" w:hAnsi="Arial"/>
      <w:b/>
      <w:sz w:val="28"/>
    </w:rPr>
  </w:style>
  <w:style w:type="paragraph" w:customStyle="1" w:styleId="27">
    <w:name w:val="Table Paragraph"/>
    <w:basedOn w:val="1"/>
    <w:qFormat/>
    <w:uiPriority w:val="1"/>
  </w:style>
  <w:style w:type="character" w:customStyle="1" w:styleId="28">
    <w:name w:val="标题 2 Char"/>
    <w:basedOn w:val="20"/>
    <w:link w:val="3"/>
    <w:qFormat/>
    <w:uiPriority w:val="0"/>
    <w:rPr>
      <w:rFonts w:ascii="Arial" w:hAnsi="Arial" w:eastAsia="宋体"/>
      <w:b/>
      <w:bCs/>
      <w:kern w:val="0"/>
      <w:sz w:val="30"/>
      <w:szCs w:val="32"/>
    </w:rPr>
  </w:style>
  <w:style w:type="paragraph" w:customStyle="1" w:styleId="29">
    <w:name w:val="无间隔1"/>
    <w:basedOn w:val="1"/>
    <w:qFormat/>
    <w:uiPriority w:val="1"/>
    <w:pPr>
      <w:autoSpaceDE/>
      <w:autoSpaceDN/>
      <w:spacing w:line="400" w:lineRule="exact"/>
      <w:jc w:val="both"/>
    </w:pPr>
    <w:rPr>
      <w:rFonts w:ascii="Times New Roman" w:hAnsi="Times New Roman" w:cs="Times New Roman"/>
      <w:kern w:val="2"/>
      <w:sz w:val="24"/>
      <w:lang w:eastAsia="zh-CN"/>
    </w:rPr>
  </w:style>
  <w:style w:type="paragraph" w:customStyle="1" w:styleId="30">
    <w:name w:val="正文_2"/>
    <w:next w:val="31"/>
    <w:qFormat/>
    <w:uiPriority w:val="0"/>
    <w:pPr>
      <w:widowControl w:val="0"/>
      <w:jc w:val="both"/>
    </w:pPr>
    <w:rPr>
      <w:rFonts w:ascii="Calibri" w:hAnsi="Calibri" w:eastAsia="宋体" w:cs="Times New Roman"/>
      <w:kern w:val="2"/>
      <w:sz w:val="21"/>
      <w:szCs w:val="22"/>
    </w:rPr>
  </w:style>
  <w:style w:type="paragraph" w:customStyle="1" w:styleId="31">
    <w:name w:val="标题 2_0"/>
    <w:basedOn w:val="32"/>
    <w:next w:val="30"/>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32">
    <w:name w:val="正文_2_0"/>
    <w:next w:val="33"/>
    <w:unhideWhenUsed/>
    <w:qFormat/>
    <w:uiPriority w:val="0"/>
    <w:pPr>
      <w:widowControl w:val="0"/>
      <w:jc w:val="both"/>
    </w:pPr>
    <w:rPr>
      <w:rFonts w:ascii="Calibri" w:hAnsi="Calibri" w:eastAsia="宋体" w:cs="Arial"/>
      <w:kern w:val="2"/>
      <w:sz w:val="21"/>
      <w:szCs w:val="24"/>
      <w:lang w:eastAsia="en-US"/>
    </w:rPr>
  </w:style>
  <w:style w:type="paragraph" w:customStyle="1" w:styleId="33">
    <w:name w:val="正文文本_1"/>
    <w:basedOn w:val="34"/>
    <w:next w:val="3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4">
    <w:name w:val="正文_1_0_0"/>
    <w:basedOn w:val="35"/>
    <w:next w:val="91"/>
    <w:qFormat/>
    <w:uiPriority w:val="0"/>
  </w:style>
  <w:style w:type="paragraph" w:customStyle="1" w:styleId="35">
    <w:name w:val="正文_2_0_1"/>
    <w:next w:val="36"/>
    <w:qFormat/>
    <w:uiPriority w:val="0"/>
    <w:pPr>
      <w:widowControl w:val="0"/>
      <w:jc w:val="both"/>
    </w:pPr>
    <w:rPr>
      <w:rFonts w:ascii="Calibri" w:hAnsi="Calibri" w:eastAsia="宋体" w:cs="Times New Roman"/>
      <w:kern w:val="2"/>
      <w:sz w:val="21"/>
      <w:szCs w:val="22"/>
    </w:rPr>
  </w:style>
  <w:style w:type="paragraph" w:customStyle="1" w:styleId="36">
    <w:name w:val="正文文本_1_0"/>
    <w:basedOn w:val="37"/>
    <w:next w:val="8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7">
    <w:name w:val="正文_1_0_0_0"/>
    <w:basedOn w:val="38"/>
    <w:next w:val="88"/>
    <w:qFormat/>
    <w:uiPriority w:val="0"/>
  </w:style>
  <w:style w:type="paragraph" w:customStyle="1" w:styleId="38">
    <w:name w:val="正文_2_1_0"/>
    <w:basedOn w:val="39"/>
    <w:next w:val="84"/>
    <w:qFormat/>
    <w:uiPriority w:val="0"/>
  </w:style>
  <w:style w:type="paragraph" w:customStyle="1" w:styleId="39">
    <w:name w:val="正文_3_1_0_0"/>
    <w:next w:val="40"/>
    <w:qFormat/>
    <w:uiPriority w:val="0"/>
    <w:pPr>
      <w:widowControl w:val="0"/>
      <w:jc w:val="both"/>
    </w:pPr>
    <w:rPr>
      <w:rFonts w:ascii="Calibri" w:hAnsi="Calibri" w:eastAsia="宋体" w:cs="Times New Roman"/>
      <w:kern w:val="2"/>
      <w:sz w:val="21"/>
      <w:szCs w:val="22"/>
    </w:rPr>
  </w:style>
  <w:style w:type="paragraph" w:customStyle="1" w:styleId="40">
    <w:name w:val="正文首行缩进_0_1_0"/>
    <w:basedOn w:val="41"/>
    <w:next w:val="82"/>
    <w:qFormat/>
    <w:uiPriority w:val="99"/>
    <w:pPr>
      <w:spacing w:after="120"/>
      <w:ind w:firstLine="420"/>
    </w:pPr>
  </w:style>
  <w:style w:type="paragraph" w:customStyle="1" w:styleId="41">
    <w:name w:val="正文文本_0_1_0"/>
    <w:basedOn w:val="42"/>
    <w:next w:val="79"/>
    <w:qFormat/>
    <w:uiPriority w:val="0"/>
    <w:rPr>
      <w:rFonts w:eastAsia="仿宋_GB2312"/>
      <w:sz w:val="28"/>
      <w:szCs w:val="30"/>
    </w:rPr>
  </w:style>
  <w:style w:type="paragraph" w:customStyle="1" w:styleId="42">
    <w:name w:val="正文_1_2_0"/>
    <w:next w:val="43"/>
    <w:qFormat/>
    <w:uiPriority w:val="0"/>
    <w:pPr>
      <w:widowControl w:val="0"/>
      <w:jc w:val="both"/>
    </w:pPr>
    <w:rPr>
      <w:rFonts w:ascii="Calibri" w:hAnsi="Calibri" w:eastAsia="宋体" w:cs="Times New Roman"/>
      <w:kern w:val="2"/>
      <w:sz w:val="21"/>
      <w:szCs w:val="22"/>
    </w:rPr>
  </w:style>
  <w:style w:type="paragraph" w:customStyle="1" w:styleId="43">
    <w:name w:val="Default_1_1_0"/>
    <w:next w:val="44"/>
    <w:qFormat/>
    <w:uiPriority w:val="0"/>
    <w:pPr>
      <w:widowControl w:val="0"/>
      <w:autoSpaceDE w:val="0"/>
      <w:autoSpaceDN w:val="0"/>
      <w:adjustRightInd w:val="0"/>
    </w:pPr>
    <w:rPr>
      <w:rFonts w:ascii="Calibri" w:hAnsi="Calibri" w:eastAsia="宋体" w:cs="Times New Roman"/>
      <w:color w:val="000000"/>
      <w:sz w:val="24"/>
      <w:szCs w:val="24"/>
    </w:rPr>
  </w:style>
  <w:style w:type="paragraph" w:customStyle="1" w:styleId="44">
    <w:name w:val="正文_1_1_0_1"/>
    <w:next w:val="45"/>
    <w:qFormat/>
    <w:uiPriority w:val="0"/>
    <w:pPr>
      <w:widowControl w:val="0"/>
      <w:jc w:val="both"/>
    </w:pPr>
    <w:rPr>
      <w:rFonts w:ascii="Calibri" w:hAnsi="Calibri" w:eastAsia="宋体" w:cs="Times New Roman"/>
      <w:kern w:val="2"/>
      <w:sz w:val="21"/>
      <w:szCs w:val="22"/>
    </w:rPr>
  </w:style>
  <w:style w:type="paragraph" w:customStyle="1" w:styleId="45">
    <w:name w:val="Default_1_0_2"/>
    <w:next w:val="46"/>
    <w:qFormat/>
    <w:uiPriority w:val="0"/>
    <w:pPr>
      <w:widowControl w:val="0"/>
      <w:autoSpaceDE w:val="0"/>
      <w:autoSpaceDN w:val="0"/>
      <w:adjustRightInd w:val="0"/>
    </w:pPr>
    <w:rPr>
      <w:rFonts w:ascii="Calibri" w:hAnsi="Calibri" w:eastAsia="宋体" w:cs="Times New Roman"/>
      <w:color w:val="000000"/>
      <w:sz w:val="24"/>
      <w:szCs w:val="24"/>
    </w:rPr>
  </w:style>
  <w:style w:type="paragraph" w:customStyle="1" w:styleId="46">
    <w:name w:val="正文_1_1_1"/>
    <w:basedOn w:val="47"/>
    <w:next w:val="45"/>
    <w:qFormat/>
    <w:uiPriority w:val="0"/>
    <w:rPr>
      <w:rFonts w:ascii="Calibri" w:hAnsi="Calibri"/>
    </w:rPr>
  </w:style>
  <w:style w:type="paragraph" w:customStyle="1" w:styleId="47">
    <w:name w:val="正文_2_0_2_0"/>
    <w:basedOn w:val="48"/>
    <w:next w:val="49"/>
    <w:qFormat/>
    <w:uiPriority w:val="0"/>
    <w:rPr>
      <w:rFonts w:ascii="Times New Roman" w:hAnsi="Times New Roman"/>
    </w:rPr>
  </w:style>
  <w:style w:type="paragraph" w:customStyle="1" w:styleId="48">
    <w:name w:val="正文_3_0_1_0"/>
    <w:next w:val="49"/>
    <w:qFormat/>
    <w:uiPriority w:val="0"/>
    <w:pPr>
      <w:widowControl w:val="0"/>
      <w:jc w:val="both"/>
    </w:pPr>
    <w:rPr>
      <w:rFonts w:ascii="Calibri" w:hAnsi="Calibri" w:eastAsia="宋体" w:cs="Times New Roman"/>
      <w:kern w:val="2"/>
      <w:sz w:val="21"/>
      <w:szCs w:val="22"/>
    </w:rPr>
  </w:style>
  <w:style w:type="paragraph" w:customStyle="1" w:styleId="49">
    <w:name w:val="正文文本_1_0_1_0"/>
    <w:basedOn w:val="50"/>
    <w:next w:val="74"/>
    <w:qFormat/>
    <w:uiPriority w:val="0"/>
    <w:rPr>
      <w:rFonts w:eastAsia="仿宋_GB2312"/>
      <w:kern w:val="2"/>
      <w:sz w:val="28"/>
      <w:szCs w:val="28"/>
    </w:rPr>
  </w:style>
  <w:style w:type="paragraph" w:customStyle="1" w:styleId="50">
    <w:name w:val="正文_1_0_2_0"/>
    <w:basedOn w:val="51"/>
    <w:next w:val="67"/>
    <w:qFormat/>
    <w:uiPriority w:val="0"/>
    <w:rPr>
      <w:sz w:val="24"/>
      <w:szCs w:val="24"/>
    </w:rPr>
  </w:style>
  <w:style w:type="paragraph" w:customStyle="1" w:styleId="51">
    <w:name w:val="正文_2_4_0"/>
    <w:next w:val="52"/>
    <w:qFormat/>
    <w:uiPriority w:val="0"/>
    <w:pPr>
      <w:widowControl w:val="0"/>
      <w:jc w:val="both"/>
    </w:pPr>
    <w:rPr>
      <w:rFonts w:ascii="Times New Roman" w:hAnsi="Times New Roman" w:eastAsia="宋体" w:cs="Times New Roman"/>
    </w:rPr>
  </w:style>
  <w:style w:type="paragraph" w:customStyle="1" w:styleId="52">
    <w:name w:val="正文文本_1_2_0"/>
    <w:basedOn w:val="53"/>
    <w:next w:val="66"/>
    <w:qFormat/>
    <w:uiPriority w:val="0"/>
    <w:rPr>
      <w:rFonts w:eastAsia="仿宋_GB2312"/>
      <w:sz w:val="28"/>
      <w:szCs w:val="30"/>
    </w:rPr>
  </w:style>
  <w:style w:type="paragraph" w:customStyle="1" w:styleId="53">
    <w:name w:val="正文_1_0_3_0"/>
    <w:basedOn w:val="54"/>
    <w:next w:val="57"/>
    <w:qFormat/>
    <w:uiPriority w:val="0"/>
  </w:style>
  <w:style w:type="paragraph" w:customStyle="1" w:styleId="54">
    <w:name w:val="正文_2_0_1_0"/>
    <w:next w:val="55"/>
    <w:qFormat/>
    <w:uiPriority w:val="0"/>
    <w:pPr>
      <w:widowControl w:val="0"/>
      <w:jc w:val="both"/>
    </w:pPr>
    <w:rPr>
      <w:rFonts w:ascii="Calibri" w:hAnsi="Calibri" w:eastAsia="宋体" w:cs="Times New Roman"/>
      <w:kern w:val="2"/>
      <w:sz w:val="21"/>
      <w:szCs w:val="22"/>
    </w:rPr>
  </w:style>
  <w:style w:type="paragraph" w:customStyle="1" w:styleId="55">
    <w:name w:val="正文文本_1_0_0"/>
    <w:basedOn w:val="56"/>
    <w:next w:val="5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6">
    <w:name w:val="正文_1_0_4"/>
    <w:basedOn w:val="38"/>
    <w:next w:val="45"/>
    <w:qFormat/>
    <w:uiPriority w:val="0"/>
  </w:style>
  <w:style w:type="paragraph" w:customStyle="1" w:styleId="57">
    <w:name w:val="Default_1_0_0_0"/>
    <w:next w:val="58"/>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58">
    <w:name w:val="大标题_1_0_0_0"/>
    <w:basedOn w:val="59"/>
    <w:next w:val="63"/>
    <w:qFormat/>
    <w:uiPriority w:val="0"/>
    <w:pPr>
      <w:jc w:val="center"/>
    </w:pPr>
    <w:rPr>
      <w:rFonts w:ascii="Arial" w:hAnsi="Arial"/>
      <w:b/>
      <w:sz w:val="28"/>
      <w:szCs w:val="24"/>
    </w:rPr>
  </w:style>
  <w:style w:type="paragraph" w:customStyle="1" w:styleId="59">
    <w:name w:val="正文_1_0_1_0_0"/>
    <w:next w:val="60"/>
    <w:qFormat/>
    <w:uiPriority w:val="0"/>
    <w:pPr>
      <w:widowControl w:val="0"/>
      <w:jc w:val="both"/>
    </w:pPr>
    <w:rPr>
      <w:rFonts w:ascii="Times New Roman" w:hAnsi="Times New Roman" w:eastAsia="宋体" w:cs="Times New Roman"/>
      <w:kern w:val="2"/>
      <w:sz w:val="21"/>
      <w:szCs w:val="22"/>
    </w:rPr>
  </w:style>
  <w:style w:type="paragraph" w:customStyle="1" w:styleId="60">
    <w:name w:val="正文首行缩进 2_1_1_0_0"/>
    <w:basedOn w:val="61"/>
    <w:qFormat/>
    <w:uiPriority w:val="0"/>
    <w:pPr>
      <w:spacing w:after="120" w:line="240" w:lineRule="auto"/>
      <w:ind w:left="200" w:leftChars="200" w:firstLine="200" w:firstLineChars="200"/>
    </w:pPr>
  </w:style>
  <w:style w:type="paragraph" w:customStyle="1" w:styleId="61">
    <w:name w:val="正文文本缩进_1_1_0_0"/>
    <w:basedOn w:val="62"/>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2">
    <w:name w:val="正文_1_1_1_0_0"/>
    <w:next w:val="60"/>
    <w:qFormat/>
    <w:uiPriority w:val="0"/>
    <w:pPr>
      <w:widowControl w:val="0"/>
      <w:jc w:val="both"/>
    </w:pPr>
    <w:rPr>
      <w:rFonts w:ascii="Times New Roman" w:hAnsi="Times New Roman" w:eastAsia="宋体" w:cs="Times New Roman"/>
      <w:kern w:val="2"/>
      <w:sz w:val="21"/>
      <w:szCs w:val="22"/>
    </w:rPr>
  </w:style>
  <w:style w:type="paragraph" w:customStyle="1" w:styleId="63">
    <w:name w:val="正文首行缩进 2_1_0_0_0_0"/>
    <w:basedOn w:val="64"/>
    <w:qFormat/>
    <w:uiPriority w:val="0"/>
    <w:pPr>
      <w:spacing w:after="120" w:line="240" w:lineRule="auto"/>
      <w:ind w:left="200" w:leftChars="200" w:firstLine="200" w:firstLineChars="200"/>
    </w:pPr>
  </w:style>
  <w:style w:type="paragraph" w:customStyle="1" w:styleId="64">
    <w:name w:val="正文文本缩进_1_0_0_0_0"/>
    <w:basedOn w:val="65"/>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5">
    <w:name w:val="正文_1_1_0_0_0_0"/>
    <w:next w:val="63"/>
    <w:qFormat/>
    <w:uiPriority w:val="0"/>
    <w:pPr>
      <w:widowControl w:val="0"/>
      <w:jc w:val="both"/>
    </w:pPr>
    <w:rPr>
      <w:rFonts w:ascii="Times New Roman" w:hAnsi="Times New Roman" w:eastAsia="宋体" w:cs="Times New Roman"/>
      <w:kern w:val="2"/>
      <w:sz w:val="21"/>
      <w:szCs w:val="22"/>
    </w:rPr>
  </w:style>
  <w:style w:type="paragraph" w:customStyle="1" w:styleId="66">
    <w:name w:val="Default_1_2_0"/>
    <w:next w:val="50"/>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67">
    <w:name w:val="Default_1_0_1_0_0"/>
    <w:basedOn w:val="68"/>
    <w:next w:val="73"/>
    <w:qFormat/>
    <w:uiPriority w:val="0"/>
    <w:pPr>
      <w:autoSpaceDE w:val="0"/>
      <w:autoSpaceDN w:val="0"/>
      <w:adjustRightInd w:val="0"/>
    </w:pPr>
    <w:rPr>
      <w:color w:val="000000"/>
      <w:sz w:val="24"/>
      <w:szCs w:val="24"/>
    </w:rPr>
  </w:style>
  <w:style w:type="paragraph" w:customStyle="1" w:styleId="68">
    <w:name w:val="正文_2_0_1_1_0"/>
    <w:next w:val="69"/>
    <w:qFormat/>
    <w:uiPriority w:val="0"/>
    <w:pPr>
      <w:widowControl w:val="0"/>
      <w:jc w:val="both"/>
    </w:pPr>
    <w:rPr>
      <w:rFonts w:ascii="Times New Roman" w:hAnsi="Times New Roman" w:eastAsia="宋体" w:cs="Times New Roman"/>
    </w:rPr>
  </w:style>
  <w:style w:type="paragraph" w:customStyle="1" w:styleId="69">
    <w:name w:val="正文文本_1_0_2_0"/>
    <w:basedOn w:val="70"/>
    <w:next w:val="67"/>
    <w:qFormat/>
    <w:uiPriority w:val="0"/>
    <w:rPr>
      <w:rFonts w:eastAsia="仿宋_GB2312"/>
      <w:sz w:val="28"/>
      <w:szCs w:val="28"/>
    </w:rPr>
  </w:style>
  <w:style w:type="paragraph" w:customStyle="1" w:styleId="70">
    <w:name w:val="正文_1_0_0_1_0"/>
    <w:basedOn w:val="71"/>
    <w:next w:val="72"/>
    <w:qFormat/>
    <w:uiPriority w:val="0"/>
    <w:rPr>
      <w:sz w:val="21"/>
      <w:szCs w:val="22"/>
    </w:rPr>
  </w:style>
  <w:style w:type="paragraph" w:customStyle="1" w:styleId="71">
    <w:name w:val="正文_1_0_1_1"/>
    <w:basedOn w:val="46"/>
    <w:next w:val="72"/>
    <w:qFormat/>
    <w:uiPriority w:val="0"/>
    <w:rPr>
      <w:sz w:val="24"/>
      <w:szCs w:val="24"/>
    </w:rPr>
  </w:style>
  <w:style w:type="paragraph" w:customStyle="1" w:styleId="72">
    <w:name w:val="正文文本_1_1"/>
    <w:basedOn w:val="37"/>
    <w:next w:val="4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73">
    <w:name w:val="正文_3_0_2_0"/>
    <w:next w:val="69"/>
    <w:qFormat/>
    <w:uiPriority w:val="0"/>
    <w:pPr>
      <w:widowControl w:val="0"/>
      <w:jc w:val="both"/>
    </w:pPr>
    <w:rPr>
      <w:rFonts w:ascii="Times New Roman" w:hAnsi="Times New Roman" w:eastAsia="宋体" w:cs="Times New Roman"/>
    </w:rPr>
  </w:style>
  <w:style w:type="paragraph" w:customStyle="1" w:styleId="74">
    <w:name w:val="Default_1_0_1_1"/>
    <w:next w:val="75"/>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75">
    <w:name w:val="大标题_1_0"/>
    <w:basedOn w:val="56"/>
    <w:next w:val="76"/>
    <w:qFormat/>
    <w:uiPriority w:val="0"/>
    <w:pPr>
      <w:jc w:val="center"/>
    </w:pPr>
    <w:rPr>
      <w:rFonts w:ascii="Arial" w:hAnsi="Arial"/>
      <w:b/>
      <w:sz w:val="28"/>
      <w:szCs w:val="24"/>
    </w:rPr>
  </w:style>
  <w:style w:type="paragraph" w:customStyle="1" w:styleId="76">
    <w:name w:val="正文首行缩进 2_1_0_0"/>
    <w:basedOn w:val="77"/>
    <w:qFormat/>
    <w:uiPriority w:val="0"/>
    <w:pPr>
      <w:spacing w:after="120" w:line="240" w:lineRule="auto"/>
      <w:ind w:left="200" w:leftChars="200" w:firstLine="200" w:firstLineChars="200"/>
    </w:pPr>
  </w:style>
  <w:style w:type="paragraph" w:customStyle="1" w:styleId="77">
    <w:name w:val="正文文本缩进_1_0_0"/>
    <w:basedOn w:val="78"/>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8">
    <w:name w:val="正文_1_1_0_0_1"/>
    <w:next w:val="76"/>
    <w:qFormat/>
    <w:uiPriority w:val="0"/>
    <w:pPr>
      <w:widowControl w:val="0"/>
      <w:jc w:val="both"/>
    </w:pPr>
    <w:rPr>
      <w:rFonts w:ascii="Times New Roman" w:hAnsi="Times New Roman" w:eastAsia="宋体" w:cs="Times New Roman"/>
      <w:kern w:val="2"/>
      <w:sz w:val="21"/>
      <w:szCs w:val="22"/>
    </w:rPr>
  </w:style>
  <w:style w:type="paragraph" w:customStyle="1" w:styleId="79">
    <w:name w:val="Default_0_1_0"/>
    <w:basedOn w:val="80"/>
    <w:next w:val="81"/>
    <w:qFormat/>
    <w:uiPriority w:val="0"/>
    <w:pPr>
      <w:autoSpaceDE w:val="0"/>
      <w:autoSpaceDN w:val="0"/>
      <w:adjustRightInd w:val="0"/>
    </w:pPr>
    <w:rPr>
      <w:color w:val="000000"/>
      <w:sz w:val="24"/>
      <w:szCs w:val="24"/>
    </w:rPr>
  </w:style>
  <w:style w:type="paragraph" w:customStyle="1" w:styleId="80">
    <w:name w:val="正文_0_1_0"/>
    <w:qFormat/>
    <w:uiPriority w:val="0"/>
    <w:pPr>
      <w:widowControl w:val="0"/>
      <w:jc w:val="both"/>
    </w:pPr>
    <w:rPr>
      <w:rFonts w:ascii="Times New Roman" w:hAnsi="Times New Roman" w:eastAsia="宋体" w:cs="Times New Roman"/>
      <w:kern w:val="2"/>
      <w:sz w:val="21"/>
      <w:szCs w:val="22"/>
    </w:rPr>
  </w:style>
  <w:style w:type="paragraph" w:customStyle="1" w:styleId="81">
    <w:name w:val="索引 8_1_0"/>
    <w:basedOn w:val="38"/>
    <w:next w:val="38"/>
    <w:qFormat/>
    <w:uiPriority w:val="0"/>
    <w:pPr>
      <w:ind w:left="1400" w:leftChars="1400"/>
    </w:pPr>
  </w:style>
  <w:style w:type="paragraph" w:customStyle="1" w:styleId="82">
    <w:name w:val="正文首行缩进 2_0_1_0"/>
    <w:basedOn w:val="83"/>
    <w:qFormat/>
    <w:uiPriority w:val="99"/>
    <w:pPr>
      <w:spacing w:after="120" w:line="240" w:lineRule="auto"/>
      <w:ind w:left="200" w:leftChars="200" w:firstLine="200" w:firstLineChars="200"/>
    </w:pPr>
  </w:style>
  <w:style w:type="paragraph" w:customStyle="1" w:styleId="83">
    <w:name w:val="正文文本缩进_0_1_0"/>
    <w:basedOn w:val="39"/>
    <w:qFormat/>
    <w:uiPriority w:val="99"/>
    <w:pPr>
      <w:spacing w:line="400" w:lineRule="exact"/>
      <w:ind w:left="630"/>
    </w:pPr>
    <w:rPr>
      <w:rFonts w:ascii="楷体_GB2312" w:eastAsia="仿宋_GB2312"/>
      <w:sz w:val="30"/>
      <w:szCs w:val="30"/>
    </w:rPr>
  </w:style>
  <w:style w:type="paragraph" w:customStyle="1" w:styleId="84">
    <w:name w:val="正文首行缩进_2_1_0"/>
    <w:basedOn w:val="85"/>
    <w:next w:val="86"/>
    <w:qFormat/>
    <w:uiPriority w:val="0"/>
    <w:pPr>
      <w:spacing w:after="120"/>
      <w:ind w:firstLine="420"/>
    </w:pPr>
  </w:style>
  <w:style w:type="paragraph" w:customStyle="1" w:styleId="85">
    <w:name w:val="正文文本_2_1_0"/>
    <w:basedOn w:val="38"/>
    <w:next w:val="79"/>
    <w:qFormat/>
    <w:uiPriority w:val="0"/>
    <w:rPr>
      <w:rFonts w:eastAsia="仿宋_GB2312"/>
      <w:sz w:val="28"/>
      <w:szCs w:val="30"/>
    </w:rPr>
  </w:style>
  <w:style w:type="paragraph" w:customStyle="1" w:styleId="86">
    <w:name w:val="正文首行缩进 2_2_1_0"/>
    <w:basedOn w:val="87"/>
    <w:qFormat/>
    <w:uiPriority w:val="0"/>
    <w:pPr>
      <w:spacing w:after="120" w:line="240" w:lineRule="auto"/>
      <w:ind w:left="200" w:leftChars="200" w:firstLine="200" w:firstLineChars="200"/>
    </w:pPr>
  </w:style>
  <w:style w:type="paragraph" w:customStyle="1" w:styleId="87">
    <w:name w:val="正文文本缩进_2_1_0"/>
    <w:basedOn w:val="38"/>
    <w:qFormat/>
    <w:uiPriority w:val="0"/>
    <w:pPr>
      <w:spacing w:line="400" w:lineRule="exact"/>
      <w:ind w:left="630"/>
    </w:pPr>
    <w:rPr>
      <w:rFonts w:ascii="楷体_GB2312" w:eastAsia="仿宋_GB2312"/>
      <w:sz w:val="30"/>
      <w:szCs w:val="30"/>
    </w:rPr>
  </w:style>
  <w:style w:type="paragraph" w:customStyle="1" w:styleId="88">
    <w:name w:val="正文首行缩进_1_0"/>
    <w:basedOn w:val="36"/>
    <w:qFormat/>
    <w:uiPriority w:val="0"/>
    <w:pPr>
      <w:spacing w:after="120"/>
      <w:ind w:firstLine="420"/>
    </w:pPr>
  </w:style>
  <w:style w:type="paragraph" w:customStyle="1" w:styleId="89">
    <w:name w:val="Default_1"/>
    <w:next w:val="90"/>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90">
    <w:name w:val="正文_1"/>
    <w:next w:val="89"/>
    <w:qFormat/>
    <w:uiPriority w:val="0"/>
    <w:pPr>
      <w:widowControl w:val="0"/>
      <w:jc w:val="both"/>
    </w:pPr>
    <w:rPr>
      <w:rFonts w:ascii="Calibri" w:hAnsi="Calibri" w:eastAsia="宋体" w:cs="Times New Roman"/>
      <w:kern w:val="2"/>
      <w:sz w:val="21"/>
      <w:szCs w:val="22"/>
    </w:rPr>
  </w:style>
  <w:style w:type="paragraph" w:customStyle="1" w:styleId="91">
    <w:name w:val="正文首行缩进_1"/>
    <w:basedOn w:val="36"/>
    <w:qFormat/>
    <w:uiPriority w:val="0"/>
    <w:pPr>
      <w:spacing w:after="120"/>
      <w:ind w:firstLine="420"/>
    </w:pPr>
  </w:style>
  <w:style w:type="character" w:customStyle="1" w:styleId="92">
    <w:name w:val="font31"/>
    <w:basedOn w:val="20"/>
    <w:qFormat/>
    <w:uiPriority w:val="0"/>
    <w:rPr>
      <w:rFonts w:hint="eastAsia" w:ascii="微软雅黑" w:hAnsi="微软雅黑" w:eastAsia="微软雅黑" w:cs="微软雅黑"/>
      <w:color w:val="000000"/>
      <w:sz w:val="16"/>
      <w:szCs w:val="16"/>
      <w:u w:val="none"/>
    </w:rPr>
  </w:style>
  <w:style w:type="character" w:customStyle="1" w:styleId="93">
    <w:name w:val="font61"/>
    <w:basedOn w:val="20"/>
    <w:qFormat/>
    <w:uiPriority w:val="0"/>
    <w:rPr>
      <w:rFonts w:hint="eastAsia" w:ascii="宋体" w:hAnsi="宋体" w:eastAsia="宋体" w:cs="宋体"/>
      <w:color w:val="000000"/>
      <w:sz w:val="16"/>
      <w:szCs w:val="16"/>
      <w:u w:val="none"/>
    </w:rPr>
  </w:style>
  <w:style w:type="paragraph" w:customStyle="1" w:styleId="94">
    <w:name w:val="文档正文"/>
    <w:basedOn w:val="1"/>
    <w:qFormat/>
    <w:uiPriority w:val="0"/>
    <w:pPr>
      <w:adjustRightInd w:val="0"/>
      <w:spacing w:line="480" w:lineRule="atLeast"/>
      <w:ind w:firstLine="567"/>
    </w:pPr>
    <w:rPr>
      <w:rFonts w:ascii="仿宋_GB2312"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7080</Words>
  <Characters>7732</Characters>
  <Lines>0</Lines>
  <Paragraphs>0</Paragraphs>
  <TotalTime>5</TotalTime>
  <ScaleCrop>false</ScaleCrop>
  <LinksUpToDate>false</LinksUpToDate>
  <CharactersWithSpaces>7801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2025-12-03T14:16:00Z</dcterms:created>
  <dc:creator>k</dc:creator>
  <cp:lastModifiedBy>ABC</cp:lastModifiedBy>
  <dcterms:modified xsi:type="dcterms:W3CDTF">2025-12-04T03:37:13Z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eyJoZGlkIjoiMzllN2MyZWYyMTJmMWQ3NDkwM2MxZTAzYmQ3YTczNDQiLCJ1c2VySWQiOiI1MDg3ODAzNTUifQ==</vt:lpwstr>
  </property>
  <property fmtid="{D5CDD505-2E9C-101B-9397-08002B2CF9AE}" pid="4" name="ICV">
    <vt:lpwstr>00A352A001924FA3994E57BC6D972DDB_12</vt:lpwstr>
  </property>
</Properties>
</file>