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100"/>
        <w:jc w:val="center"/>
        <w:rPr>
          <w:rFonts w:ascii="宋体" w:hAnsi="宋体"/>
          <w:b/>
          <w:bCs/>
          <w:sz w:val="48"/>
          <w:szCs w:val="48"/>
        </w:rPr>
      </w:pPr>
      <w:r>
        <w:rPr>
          <w:rFonts w:hint="eastAsia" w:ascii="宋体" w:hAnsi="宋体"/>
          <w:b/>
          <w:bCs/>
          <w:sz w:val="48"/>
          <w:szCs w:val="48"/>
          <w:lang w:eastAsia="zh-CN"/>
        </w:rPr>
        <w:t>兰考县奶牛现代农业产业园省财政奖补资金项目</w:t>
      </w:r>
    </w:p>
    <w:p>
      <w:pPr>
        <w:spacing w:line="360" w:lineRule="auto"/>
        <w:ind w:firstLine="482" w:firstLineChars="100"/>
        <w:jc w:val="center"/>
        <w:rPr>
          <w:rFonts w:ascii="宋体" w:hAnsi="宋体"/>
          <w:b/>
          <w:bCs/>
          <w:sz w:val="48"/>
          <w:szCs w:val="48"/>
        </w:rPr>
      </w:pPr>
    </w:p>
    <w:p>
      <w:pPr>
        <w:spacing w:line="360" w:lineRule="auto"/>
        <w:ind w:firstLine="482" w:firstLineChars="100"/>
        <w:jc w:val="center"/>
        <w:rPr>
          <w:rFonts w:ascii="宋体" w:hAnsi="宋体"/>
          <w:b/>
          <w:bCs/>
          <w:sz w:val="48"/>
          <w:szCs w:val="48"/>
        </w:rPr>
      </w:pPr>
    </w:p>
    <w:p>
      <w:pPr>
        <w:spacing w:line="360" w:lineRule="auto"/>
        <w:rPr>
          <w:rFonts w:ascii="宋体" w:hAnsi="宋体"/>
          <w:b/>
          <w:bCs/>
          <w:sz w:val="48"/>
          <w:szCs w:val="48"/>
        </w:rPr>
      </w:pPr>
    </w:p>
    <w:p>
      <w:pPr>
        <w:spacing w:line="360" w:lineRule="auto"/>
        <w:ind w:firstLine="482" w:firstLineChars="100"/>
        <w:jc w:val="center"/>
        <w:rPr>
          <w:rFonts w:ascii="宋体" w:hAnsi="宋体"/>
          <w:b/>
          <w:bCs/>
          <w:sz w:val="48"/>
          <w:szCs w:val="48"/>
        </w:rPr>
      </w:pPr>
      <w:r>
        <w:rPr>
          <w:rFonts w:hint="eastAsia" w:ascii="宋体" w:hAnsi="宋体"/>
          <w:b/>
          <w:bCs/>
          <w:sz w:val="48"/>
          <w:szCs w:val="48"/>
        </w:rPr>
        <w:t>采购</w:t>
      </w:r>
      <w:r>
        <w:rPr>
          <w:rFonts w:ascii="宋体" w:hAnsi="宋体"/>
          <w:b/>
          <w:bCs/>
          <w:sz w:val="48"/>
          <w:szCs w:val="48"/>
        </w:rPr>
        <w:t>文件</w:t>
      </w:r>
    </w:p>
    <w:p>
      <w:pPr>
        <w:spacing w:line="360" w:lineRule="auto"/>
        <w:ind w:firstLine="1807" w:firstLineChars="500"/>
        <w:rPr>
          <w:rFonts w:hint="eastAsia" w:ascii="宋体" w:hAnsi="宋体" w:eastAsia="宋体"/>
          <w:b/>
          <w:bCs/>
          <w:sz w:val="36"/>
          <w:szCs w:val="36"/>
          <w:lang w:eastAsia="zh-CN"/>
        </w:rPr>
      </w:pPr>
      <w:r>
        <w:rPr>
          <w:rFonts w:hint="eastAsia" w:ascii="宋体" w:hAnsi="宋体"/>
          <w:b/>
          <w:bCs/>
          <w:sz w:val="36"/>
          <w:szCs w:val="36"/>
        </w:rPr>
        <w:t>采购</w:t>
      </w:r>
      <w:r>
        <w:rPr>
          <w:rFonts w:ascii="宋体" w:hAnsi="宋体"/>
          <w:b/>
          <w:bCs/>
          <w:sz w:val="36"/>
          <w:szCs w:val="36"/>
        </w:rPr>
        <w:t>编号：兰财采字</w:t>
      </w:r>
      <w:r>
        <w:rPr>
          <w:rFonts w:hint="eastAsia" w:ascii="宋体" w:hAnsi="宋体"/>
          <w:b/>
          <w:bCs/>
          <w:sz w:val="36"/>
          <w:szCs w:val="36"/>
        </w:rPr>
        <w:t>公开招</w:t>
      </w:r>
      <w:r>
        <w:rPr>
          <w:rFonts w:ascii="宋体" w:hAnsi="宋体"/>
          <w:b/>
          <w:bCs/>
          <w:sz w:val="36"/>
          <w:szCs w:val="36"/>
        </w:rPr>
        <w:t>-2022-</w:t>
      </w:r>
      <w:r>
        <w:rPr>
          <w:rFonts w:hint="eastAsia" w:ascii="宋体" w:hAnsi="宋体"/>
          <w:b/>
          <w:bCs/>
          <w:sz w:val="36"/>
          <w:szCs w:val="36"/>
          <w:lang w:val="en-US" w:eastAsia="zh-CN"/>
        </w:rPr>
        <w:t xml:space="preserve">172 </w:t>
      </w:r>
    </w:p>
    <w:p>
      <w:pPr>
        <w:pStyle w:val="8"/>
      </w:pPr>
    </w:p>
    <w:p>
      <w:pPr>
        <w:pStyle w:val="8"/>
      </w:pPr>
    </w:p>
    <w:p>
      <w:pPr>
        <w:pStyle w:val="8"/>
      </w:pPr>
      <w:r>
        <w:rPr>
          <w:rFonts w:hint="eastAsia"/>
        </w:rPr>
        <w:t>、</w:t>
      </w:r>
    </w:p>
    <w:p>
      <w:pPr>
        <w:pStyle w:val="8"/>
      </w:pPr>
    </w:p>
    <w:p>
      <w:pPr>
        <w:spacing w:line="360" w:lineRule="auto"/>
        <w:ind w:firstLine="643" w:firstLineChars="200"/>
        <w:jc w:val="center"/>
        <w:rPr>
          <w:rFonts w:ascii="宋体" w:hAnsi="宋体"/>
          <w:b/>
          <w:bCs/>
          <w:sz w:val="32"/>
          <w:szCs w:val="32"/>
        </w:rPr>
      </w:pPr>
    </w:p>
    <w:p>
      <w:pPr>
        <w:pStyle w:val="10"/>
        <w:ind w:firstLine="562"/>
      </w:pPr>
    </w:p>
    <w:p>
      <w:pPr>
        <w:pStyle w:val="11"/>
        <w:ind w:left="5250"/>
      </w:pPr>
    </w:p>
    <w:p/>
    <w:p>
      <w:pPr>
        <w:pStyle w:val="10"/>
        <w:ind w:firstLine="562"/>
      </w:pPr>
    </w:p>
    <w:p>
      <w:pPr>
        <w:pStyle w:val="11"/>
        <w:ind w:left="5250"/>
      </w:pPr>
    </w:p>
    <w:p/>
    <w:p>
      <w:pPr>
        <w:pStyle w:val="10"/>
        <w:ind w:firstLine="562"/>
      </w:pPr>
    </w:p>
    <w:p>
      <w:pPr>
        <w:pStyle w:val="11"/>
        <w:ind w:left="5250"/>
      </w:pPr>
    </w:p>
    <w:p/>
    <w:p>
      <w:pPr>
        <w:pStyle w:val="8"/>
      </w:pPr>
    </w:p>
    <w:p>
      <w:pPr>
        <w:spacing w:line="360" w:lineRule="auto"/>
        <w:ind w:firstLine="1446" w:firstLineChars="400"/>
        <w:rPr>
          <w:rFonts w:hint="eastAsia" w:ascii="宋体" w:hAnsi="宋体" w:eastAsia="宋体" w:cs="宋体"/>
          <w:b/>
          <w:sz w:val="36"/>
          <w:szCs w:val="36"/>
          <w:lang w:eastAsia="zh-CN"/>
        </w:rPr>
      </w:pPr>
      <w:r>
        <w:rPr>
          <w:rFonts w:hint="eastAsia" w:ascii="宋体" w:hAnsi="宋体"/>
          <w:b/>
          <w:bCs/>
          <w:sz w:val="36"/>
          <w:szCs w:val="36"/>
        </w:rPr>
        <w:t>采 购</w:t>
      </w:r>
      <w:r>
        <w:rPr>
          <w:rFonts w:ascii="宋体" w:hAnsi="宋体"/>
          <w:b/>
          <w:bCs/>
          <w:sz w:val="36"/>
          <w:szCs w:val="36"/>
        </w:rPr>
        <w:t xml:space="preserve">  人：</w:t>
      </w:r>
      <w:r>
        <w:rPr>
          <w:rFonts w:hint="eastAsia" w:ascii="宋体" w:hAnsi="宋体"/>
          <w:b/>
          <w:bCs/>
          <w:sz w:val="36"/>
          <w:szCs w:val="36"/>
          <w:lang w:eastAsia="zh-CN"/>
        </w:rPr>
        <w:t>兰考县农业农村局</w:t>
      </w:r>
    </w:p>
    <w:p>
      <w:pPr>
        <w:spacing w:line="360" w:lineRule="auto"/>
        <w:ind w:firstLine="361" w:firstLineChars="100"/>
        <w:rPr>
          <w:rFonts w:hint="eastAsia" w:ascii="宋体" w:hAnsi="宋体" w:eastAsia="宋体"/>
          <w:b/>
          <w:bCs/>
          <w:sz w:val="36"/>
          <w:szCs w:val="36"/>
          <w:lang w:eastAsia="zh-CN"/>
        </w:rPr>
      </w:pPr>
      <w:r>
        <w:rPr>
          <w:rFonts w:hint="eastAsia" w:ascii="宋体" w:hAnsi="宋体"/>
          <w:b/>
          <w:bCs/>
          <w:sz w:val="36"/>
          <w:szCs w:val="36"/>
        </w:rPr>
        <w:t xml:space="preserve">采 购 </w:t>
      </w:r>
      <w:r>
        <w:rPr>
          <w:rFonts w:ascii="宋体" w:hAnsi="宋体"/>
          <w:b/>
          <w:bCs/>
          <w:sz w:val="36"/>
          <w:szCs w:val="36"/>
        </w:rPr>
        <w:t>代</w:t>
      </w:r>
      <w:r>
        <w:rPr>
          <w:rFonts w:hint="eastAsia" w:ascii="宋体" w:hAnsi="宋体"/>
          <w:b/>
          <w:bCs/>
          <w:sz w:val="36"/>
          <w:szCs w:val="36"/>
        </w:rPr>
        <w:t xml:space="preserve"> </w:t>
      </w:r>
      <w:r>
        <w:rPr>
          <w:rFonts w:ascii="宋体" w:hAnsi="宋体"/>
          <w:b/>
          <w:bCs/>
          <w:sz w:val="36"/>
          <w:szCs w:val="36"/>
        </w:rPr>
        <w:t>理</w:t>
      </w:r>
      <w:r>
        <w:rPr>
          <w:rFonts w:hint="eastAsia" w:ascii="宋体" w:hAnsi="宋体"/>
          <w:b/>
          <w:bCs/>
          <w:sz w:val="36"/>
          <w:szCs w:val="36"/>
        </w:rPr>
        <w:t xml:space="preserve"> </w:t>
      </w:r>
      <w:r>
        <w:rPr>
          <w:rFonts w:ascii="宋体" w:hAnsi="宋体"/>
          <w:b/>
          <w:bCs/>
          <w:sz w:val="36"/>
          <w:szCs w:val="36"/>
        </w:rPr>
        <w:t>机</w:t>
      </w:r>
      <w:r>
        <w:rPr>
          <w:rFonts w:hint="eastAsia" w:ascii="宋体" w:hAnsi="宋体"/>
          <w:b/>
          <w:bCs/>
          <w:sz w:val="36"/>
          <w:szCs w:val="36"/>
        </w:rPr>
        <w:t xml:space="preserve"> </w:t>
      </w:r>
      <w:r>
        <w:rPr>
          <w:rFonts w:ascii="宋体" w:hAnsi="宋体"/>
          <w:b/>
          <w:bCs/>
          <w:sz w:val="36"/>
          <w:szCs w:val="36"/>
        </w:rPr>
        <w:t>构：</w:t>
      </w:r>
      <w:r>
        <w:rPr>
          <w:rFonts w:hint="eastAsia" w:ascii="宋体" w:hAnsi="宋体"/>
          <w:b/>
          <w:bCs/>
          <w:sz w:val="36"/>
          <w:szCs w:val="36"/>
          <w:lang w:eastAsia="zh-CN"/>
        </w:rPr>
        <w:t>河南泰宏建设管理有限公司</w:t>
      </w:r>
    </w:p>
    <w:p>
      <w:pPr>
        <w:spacing w:line="360" w:lineRule="auto"/>
        <w:ind w:firstLine="1988" w:firstLineChars="550"/>
        <w:rPr>
          <w:rFonts w:ascii="宋体" w:hAnsi="宋体"/>
          <w:b/>
          <w:bCs/>
          <w:sz w:val="36"/>
          <w:szCs w:val="36"/>
        </w:rPr>
      </w:pPr>
      <w:r>
        <w:rPr>
          <w:rFonts w:ascii="宋体" w:hAnsi="宋体"/>
          <w:b/>
          <w:bCs/>
          <w:sz w:val="36"/>
          <w:szCs w:val="36"/>
        </w:rPr>
        <w:t>日    期：二〇二</w:t>
      </w:r>
      <w:r>
        <w:rPr>
          <w:rFonts w:hint="eastAsia" w:ascii="宋体" w:hAnsi="宋体"/>
          <w:b/>
          <w:bCs/>
          <w:sz w:val="36"/>
          <w:szCs w:val="36"/>
        </w:rPr>
        <w:t>二</w:t>
      </w:r>
      <w:r>
        <w:rPr>
          <w:rFonts w:ascii="宋体" w:hAnsi="宋体"/>
          <w:b/>
          <w:bCs/>
          <w:sz w:val="36"/>
          <w:szCs w:val="36"/>
        </w:rPr>
        <w:t>年</w:t>
      </w:r>
      <w:r>
        <w:rPr>
          <w:rFonts w:hint="eastAsia" w:ascii="宋体" w:hAnsi="宋体"/>
          <w:b/>
          <w:bCs/>
          <w:sz w:val="36"/>
          <w:szCs w:val="36"/>
        </w:rPr>
        <w:t>十</w:t>
      </w:r>
      <w:r>
        <w:rPr>
          <w:rFonts w:hint="eastAsia" w:ascii="宋体" w:hAnsi="宋体"/>
          <w:b/>
          <w:bCs/>
          <w:sz w:val="36"/>
          <w:szCs w:val="36"/>
          <w:lang w:eastAsia="zh-CN"/>
        </w:rPr>
        <w:t>一</w:t>
      </w:r>
      <w:r>
        <w:rPr>
          <w:rFonts w:ascii="宋体" w:hAnsi="宋体"/>
          <w:b/>
          <w:bCs/>
          <w:sz w:val="36"/>
          <w:szCs w:val="36"/>
        </w:rPr>
        <w:t>月</w:t>
      </w:r>
    </w:p>
    <w:p>
      <w:pPr>
        <w:spacing w:line="360" w:lineRule="auto"/>
        <w:rPr>
          <w:rFonts w:ascii="宋体" w:hAnsi="宋体"/>
          <w:sz w:val="24"/>
        </w:rPr>
      </w:pPr>
    </w:p>
    <w:p>
      <w:pPr>
        <w:pStyle w:val="8"/>
        <w:sectPr>
          <w:headerReference r:id="rId4" w:type="first"/>
          <w:headerReference r:id="rId3" w:type="default"/>
          <w:pgSz w:w="11906" w:h="16838"/>
          <w:pgMar w:top="1417" w:right="1417" w:bottom="1417" w:left="1417" w:header="567" w:footer="567" w:gutter="0"/>
          <w:cols w:space="720" w:num="1"/>
        </w:sectPr>
      </w:pPr>
    </w:p>
    <w:sdt>
      <w:sdtPr>
        <w:rPr>
          <w:rFonts w:ascii="Calibri" w:cs="Times New Roman"/>
          <w:color w:val="auto"/>
          <w:kern w:val="2"/>
          <w:sz w:val="44"/>
          <w:szCs w:val="44"/>
          <w:lang w:val="zh-CN"/>
        </w:rPr>
        <w:id w:val="-4064354"/>
        <w:docPartObj>
          <w:docPartGallery w:val="Table of Contents"/>
          <w:docPartUnique/>
        </w:docPartObj>
      </w:sdtPr>
      <w:sdtEndPr>
        <w:rPr>
          <w:rFonts w:ascii="Calibri" w:cs="Times New Roman"/>
          <w:b/>
          <w:bCs/>
          <w:color w:val="auto"/>
          <w:kern w:val="2"/>
          <w:sz w:val="21"/>
          <w:szCs w:val="24"/>
          <w:lang w:val="zh-CN"/>
        </w:rPr>
      </w:sdtEndPr>
      <w:sdtContent>
        <w:p>
          <w:pPr>
            <w:pStyle w:val="30"/>
            <w:jc w:val="center"/>
            <w:rPr>
              <w:b/>
              <w:bCs/>
              <w:sz w:val="32"/>
              <w:szCs w:val="32"/>
            </w:rPr>
          </w:pPr>
          <w:r>
            <w:rPr>
              <w:b/>
              <w:bCs/>
              <w:sz w:val="32"/>
              <w:szCs w:val="32"/>
              <w:lang w:val="zh-CN"/>
            </w:rPr>
            <w:t>目</w:t>
          </w:r>
          <w:r>
            <w:rPr>
              <w:rFonts w:hint="eastAsia"/>
              <w:b/>
              <w:bCs/>
              <w:sz w:val="32"/>
              <w:szCs w:val="32"/>
              <w:lang w:val="zh-CN"/>
            </w:rPr>
            <w:t xml:space="preserve"> </w:t>
          </w:r>
          <w:r>
            <w:rPr>
              <w:b/>
              <w:bCs/>
              <w:sz w:val="32"/>
              <w:szCs w:val="32"/>
              <w:lang w:val="zh-CN"/>
            </w:rPr>
            <w:t xml:space="preserve"> 录</w:t>
          </w:r>
        </w:p>
        <w:p>
          <w:pPr>
            <w:pStyle w:val="18"/>
            <w:tabs>
              <w:tab w:val="right" w:leader="dot" w:pos="9537"/>
            </w:tabs>
            <w:spacing w:line="360" w:lineRule="auto"/>
            <w:rPr>
              <w:rFonts w:ascii="宋体" w:hAnsi="宋体"/>
              <w:sz w:val="28"/>
              <w:szCs w:val="28"/>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r>
            <w:fldChar w:fldCharType="begin"/>
          </w:r>
          <w:r>
            <w:instrText xml:space="preserve"> HYPERLINK \l "_Toc61255122" </w:instrText>
          </w:r>
          <w:r>
            <w:fldChar w:fldCharType="separate"/>
          </w:r>
          <w:r>
            <w:rPr>
              <w:rStyle w:val="26"/>
              <w:rFonts w:ascii="宋体" w:hAnsi="宋体"/>
              <w:sz w:val="28"/>
              <w:szCs w:val="28"/>
            </w:rPr>
            <w:t xml:space="preserve">第一章  </w:t>
          </w:r>
          <w:r>
            <w:rPr>
              <w:rStyle w:val="26"/>
              <w:rFonts w:hint="eastAsia" w:ascii="宋体" w:hAnsi="宋体"/>
              <w:sz w:val="28"/>
              <w:szCs w:val="28"/>
            </w:rPr>
            <w:t>招标</w:t>
          </w:r>
          <w:r>
            <w:rPr>
              <w:rStyle w:val="26"/>
              <w:rFonts w:ascii="宋体" w:hAnsi="宋体"/>
              <w:sz w:val="28"/>
              <w:szCs w:val="28"/>
            </w:rPr>
            <w:t>公告</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_Toc61255122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"_Toc61255123" </w:instrText>
          </w:r>
          <w:r>
            <w:fldChar w:fldCharType="separate"/>
          </w:r>
          <w:r>
            <w:rPr>
              <w:rStyle w:val="26"/>
              <w:rFonts w:ascii="宋体" w:hAnsi="宋体"/>
              <w:sz w:val="28"/>
              <w:szCs w:val="28"/>
            </w:rPr>
            <w:t>第二章  供应商须知</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_Toc61255123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"_Toc61255124" </w:instrText>
          </w:r>
          <w:r>
            <w:fldChar w:fldCharType="separate"/>
          </w:r>
          <w:r>
            <w:rPr>
              <w:rStyle w:val="26"/>
              <w:rFonts w:ascii="宋体" w:hAnsi="宋体"/>
              <w:sz w:val="28"/>
              <w:szCs w:val="28"/>
            </w:rPr>
            <w:t>第三章  评标办法</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_Toc61255124 \h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"_Toc61255125" </w:instrText>
          </w:r>
          <w:r>
            <w:fldChar w:fldCharType="separate"/>
          </w:r>
          <w:r>
            <w:rPr>
              <w:rStyle w:val="26"/>
              <w:rFonts w:ascii="宋体" w:hAnsi="宋体"/>
              <w:sz w:val="28"/>
              <w:szCs w:val="28"/>
            </w:rPr>
            <w:t>第四章  合同主要条款及格式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_Toc61255125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"_Toc61255126" </w:instrText>
          </w:r>
          <w:r>
            <w:fldChar w:fldCharType="separate"/>
          </w:r>
          <w:r>
            <w:rPr>
              <w:rStyle w:val="26"/>
              <w:rFonts w:ascii="宋体" w:hAnsi="宋体"/>
              <w:sz w:val="28"/>
              <w:szCs w:val="28"/>
            </w:rPr>
            <w:t xml:space="preserve">第五章  </w:t>
          </w:r>
          <w:r>
            <w:rPr>
              <w:rStyle w:val="26"/>
              <w:rFonts w:hint="eastAsia" w:ascii="宋体" w:hAnsi="宋体"/>
              <w:sz w:val="28"/>
              <w:szCs w:val="28"/>
            </w:rPr>
            <w:t>采购</w:t>
          </w:r>
          <w:r>
            <w:rPr>
              <w:rStyle w:val="26"/>
              <w:rFonts w:ascii="宋体" w:hAnsi="宋体"/>
              <w:sz w:val="28"/>
              <w:szCs w:val="28"/>
            </w:rPr>
            <w:t>内容与要求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_Toc61255126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"_Toc61255127" </w:instrText>
          </w:r>
          <w:r>
            <w:fldChar w:fldCharType="separate"/>
          </w:r>
          <w:r>
            <w:rPr>
              <w:rStyle w:val="26"/>
              <w:rFonts w:ascii="宋体" w:hAnsi="宋体"/>
              <w:sz w:val="28"/>
              <w:szCs w:val="28"/>
            </w:rPr>
            <w:t>第六章  投标文件格式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_Toc61255127 \h </w:instrText>
          </w:r>
          <w:r>
            <w:rPr>
              <w:rFonts w:ascii="宋体" w:hAnsi="宋体"/>
              <w:sz w:val="28"/>
              <w:szCs w:val="28"/>
            </w:rPr>
            <w:fldChar w:fldCharType="separate"/>
          </w:r>
          <w:r>
            <w:rPr>
              <w:rFonts w:ascii="宋体" w:hAnsi="宋体"/>
              <w:sz w:val="28"/>
              <w:szCs w:val="28"/>
            </w:rPr>
            <w:t>29</w:t>
          </w:r>
          <w:r>
            <w:rPr>
              <w:rFonts w:ascii="宋体" w:hAnsi="宋体"/>
              <w:sz w:val="28"/>
              <w:szCs w:val="28"/>
            </w:rPr>
            <w:fldChar w:fldCharType="end"/>
          </w:r>
          <w:r>
            <w:rPr>
              <w:rFonts w:ascii="宋体" w:hAnsi="宋体"/>
              <w:sz w:val="28"/>
              <w:szCs w:val="28"/>
            </w:rPr>
            <w:fldChar w:fldCharType="end"/>
          </w:r>
        </w:p>
        <w:p>
          <w:pPr>
            <w:spacing w:line="360" w:lineRule="auto"/>
          </w:pPr>
          <w:r>
            <w:rPr>
              <w:rFonts w:ascii="宋体" w:hAnsi="宋体"/>
              <w:b/>
              <w:bCs/>
              <w:sz w:val="28"/>
              <w:szCs w:val="28"/>
              <w:lang w:val="zh-CN"/>
            </w:rPr>
            <w:fldChar w:fldCharType="end"/>
          </w:r>
        </w:p>
      </w:sdtContent>
    </w:sdt>
    <w:p>
      <w:pPr>
        <w:pStyle w:val="30"/>
      </w:pPr>
    </w:p>
    <w:p>
      <w:pPr>
        <w:pStyle w:val="30"/>
      </w:pPr>
    </w:p>
    <w:p>
      <w:pPr>
        <w:pStyle w:val="30"/>
      </w:pPr>
    </w:p>
    <w:p>
      <w:pPr>
        <w:pStyle w:val="30"/>
      </w:pPr>
    </w:p>
    <w:p>
      <w:pPr>
        <w:pStyle w:val="30"/>
      </w:pPr>
    </w:p>
    <w:p>
      <w:pPr>
        <w:pStyle w:val="30"/>
      </w:pPr>
    </w:p>
    <w:p>
      <w:pPr>
        <w:pStyle w:val="30"/>
      </w:pPr>
    </w:p>
    <w:p>
      <w:pPr>
        <w:pStyle w:val="30"/>
      </w:pPr>
    </w:p>
    <w:p>
      <w:pPr>
        <w:pStyle w:val="8"/>
      </w:pPr>
    </w:p>
    <w:p>
      <w:pPr>
        <w:pStyle w:val="8"/>
      </w:pPr>
    </w:p>
    <w:p>
      <w:pPr>
        <w:pStyle w:val="30"/>
        <w:sectPr>
          <w:pgSz w:w="11906" w:h="16838"/>
          <w:pgMar w:top="1440" w:right="1276" w:bottom="1440" w:left="1083" w:header="851" w:footer="992" w:gutter="0"/>
          <w:cols w:space="720" w:num="1"/>
          <w:docGrid w:type="lines" w:linePitch="314" w:charSpace="0"/>
        </w:sectPr>
      </w:pPr>
    </w:p>
    <w:p>
      <w:pPr>
        <w:pStyle w:val="30"/>
        <w:rPr>
          <w:rFonts w:hint="eastAsia" w:eastAsia="宋体"/>
          <w:lang w:eastAsia="zh-CN"/>
        </w:rPr>
        <w:sectPr>
          <w:pgSz w:w="11906" w:h="16838"/>
          <w:pgMar w:top="1440" w:right="1276" w:bottom="1440" w:left="1083" w:header="851" w:footer="992" w:gutter="0"/>
          <w:cols w:space="720" w:num="1"/>
          <w:docGrid w:type="lines" w:linePitch="314" w:charSpace="0"/>
        </w:sectPr>
      </w:pPr>
      <w:r>
        <w:rPr>
          <w:rFonts w:hint="eastAsia" w:eastAsia="宋体"/>
          <w:lang w:eastAsia="zh-CN"/>
        </w:rPr>
        <w:drawing>
          <wp:inline distT="0" distB="0" distL="114300" distR="114300">
            <wp:extent cx="6061075" cy="8573135"/>
            <wp:effectExtent l="0" t="0" r="15875" b="18415"/>
            <wp:docPr id="1" name="图片 1" descr="招标文件编制的委托与批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编制的委托与批准"/>
                    <pic:cNvPicPr>
                      <a:picLocks noChangeAspect="1"/>
                    </pic:cNvPicPr>
                  </pic:nvPicPr>
                  <pic:blipFill>
                    <a:blip r:embed="rId8"/>
                    <a:stretch>
                      <a:fillRect/>
                    </a:stretch>
                  </pic:blipFill>
                  <pic:spPr>
                    <a:xfrm>
                      <a:off x="0" y="0"/>
                      <a:ext cx="6061075" cy="8573135"/>
                    </a:xfrm>
                    <a:prstGeom prst="rect">
                      <a:avLst/>
                    </a:prstGeom>
                  </pic:spPr>
                </pic:pic>
              </a:graphicData>
            </a:graphic>
          </wp:inline>
        </w:drawing>
      </w:r>
    </w:p>
    <w:p>
      <w:pPr>
        <w:pStyle w:val="4"/>
        <w:jc w:val="center"/>
        <w:rPr>
          <w:sz w:val="36"/>
          <w:szCs w:val="36"/>
        </w:rPr>
      </w:pPr>
      <w:bookmarkStart w:id="0" w:name="_Toc61255122"/>
      <w:r>
        <w:rPr>
          <w:rFonts w:hint="eastAsia"/>
          <w:sz w:val="36"/>
          <w:szCs w:val="36"/>
        </w:rPr>
        <w:t xml:space="preserve">第一章 </w:t>
      </w:r>
      <w:r>
        <w:rPr>
          <w:sz w:val="36"/>
          <w:szCs w:val="36"/>
        </w:rPr>
        <w:t xml:space="preserve"> </w:t>
      </w:r>
      <w:r>
        <w:rPr>
          <w:rFonts w:hint="eastAsia"/>
          <w:sz w:val="36"/>
          <w:szCs w:val="36"/>
        </w:rPr>
        <w:t>招标公告</w:t>
      </w:r>
      <w:bookmarkEnd w:id="0"/>
      <w:bookmarkStart w:id="248" w:name="_GoBack"/>
      <w:bookmarkEnd w:id="248"/>
    </w:p>
    <w:p>
      <w:pPr>
        <w:spacing w:line="360" w:lineRule="auto"/>
        <w:rPr>
          <w:rFonts w:ascii="宋体" w:hAnsi="宋体"/>
          <w:b/>
          <w:bCs/>
          <w:sz w:val="24"/>
        </w:rPr>
      </w:pPr>
      <w:r>
        <w:rPr>
          <w:rFonts w:hint="eastAsia" w:ascii="宋体" w:hAnsi="宋体"/>
          <w:b/>
          <w:bCs/>
          <w:sz w:val="24"/>
        </w:rPr>
        <w:t>项目概况</w:t>
      </w:r>
    </w:p>
    <w:p>
      <w:pPr>
        <w:spacing w:line="360" w:lineRule="auto"/>
        <w:ind w:firstLine="480" w:firstLineChars="200"/>
        <w:rPr>
          <w:rFonts w:ascii="宋体" w:hAnsi="宋体"/>
          <w:sz w:val="24"/>
        </w:rPr>
      </w:pPr>
      <w:bookmarkStart w:id="1" w:name="_Toc398042633"/>
      <w:bookmarkStart w:id="2" w:name="_Toc30790"/>
      <w:bookmarkStart w:id="3" w:name="_Toc31800"/>
      <w:bookmarkStart w:id="4" w:name="_Toc29393"/>
      <w:bookmarkStart w:id="5" w:name="_Toc17787"/>
      <w:bookmarkStart w:id="6" w:name="_Toc25142"/>
      <w:bookmarkStart w:id="7" w:name="_Toc27422"/>
      <w:bookmarkStart w:id="8" w:name="_Toc25646_WPSOffice_Level2"/>
      <w:r>
        <w:rPr>
          <w:rFonts w:hint="eastAsia" w:ascii="宋体" w:hAnsi="宋体"/>
          <w:sz w:val="24"/>
          <w:lang w:eastAsia="zh-CN"/>
        </w:rPr>
        <w:t>河南泰宏建设管理有限公司</w:t>
      </w:r>
      <w:r>
        <w:rPr>
          <w:rFonts w:hint="eastAsia" w:ascii="宋体" w:hAnsi="宋体"/>
          <w:sz w:val="24"/>
        </w:rPr>
        <w:t>受</w:t>
      </w:r>
      <w:r>
        <w:rPr>
          <w:rFonts w:hint="eastAsia" w:ascii="宋体" w:hAnsi="宋体"/>
          <w:sz w:val="24"/>
          <w:lang w:eastAsia="zh-CN"/>
        </w:rPr>
        <w:t>兰考县农业农村局</w:t>
      </w:r>
      <w:r>
        <w:rPr>
          <w:rFonts w:hint="eastAsia" w:ascii="宋体" w:hAnsi="宋体"/>
          <w:sz w:val="24"/>
        </w:rPr>
        <w:t>的委托，就</w:t>
      </w:r>
      <w:r>
        <w:rPr>
          <w:rFonts w:hint="eastAsia" w:ascii="宋体" w:hAnsi="宋体"/>
          <w:sz w:val="24"/>
          <w:lang w:eastAsia="zh-CN"/>
        </w:rPr>
        <w:t>兰考县奶牛现代农业产业园省财政奖补资金项目</w:t>
      </w:r>
      <w:r>
        <w:rPr>
          <w:rFonts w:hint="eastAsia" w:ascii="宋体" w:hAnsi="宋体"/>
          <w:sz w:val="24"/>
        </w:rPr>
        <w:t>进行公开招标,</w:t>
      </w:r>
      <w:r>
        <w:rPr>
          <w:rFonts w:ascii="宋体" w:hAnsi="宋体"/>
          <w:sz w:val="24"/>
        </w:rPr>
        <w:t xml:space="preserve"> 潜在供应商应在</w:t>
      </w:r>
      <w:r>
        <w:rPr>
          <w:rFonts w:hint="eastAsia" w:ascii="宋体" w:hAnsi="宋体"/>
          <w:sz w:val="24"/>
        </w:rPr>
        <w:t>《兰考县公共资源交易中心网》电子化交易系统下载获取采购文件</w:t>
      </w:r>
      <w:r>
        <w:rPr>
          <w:rFonts w:ascii="宋体" w:hAnsi="宋体"/>
          <w:sz w:val="24"/>
        </w:rPr>
        <w:t>，并于2022年</w:t>
      </w:r>
      <w:r>
        <w:rPr>
          <w:rFonts w:hint="eastAsia" w:ascii="宋体" w:hAnsi="宋体"/>
          <w:sz w:val="24"/>
          <w:lang w:eastAsia="zh-CN"/>
        </w:rPr>
        <w:t>12月20日</w:t>
      </w:r>
      <w:r>
        <w:rPr>
          <w:rFonts w:ascii="宋体" w:hAnsi="宋体"/>
          <w:sz w:val="24"/>
        </w:rPr>
        <w:t>09时</w:t>
      </w:r>
      <w:r>
        <w:rPr>
          <w:rFonts w:hint="eastAsia" w:ascii="宋体" w:hAnsi="宋体"/>
          <w:sz w:val="24"/>
          <w:lang w:val="en-US" w:eastAsia="zh-CN"/>
        </w:rPr>
        <w:t>3</w:t>
      </w:r>
      <w:r>
        <w:rPr>
          <w:rFonts w:ascii="宋体" w:hAnsi="宋体"/>
          <w:sz w:val="24"/>
        </w:rPr>
        <w:t>0分（北京时间）前递交投标文件。</w:t>
      </w:r>
    </w:p>
    <w:p>
      <w:pPr>
        <w:spacing w:line="360" w:lineRule="auto"/>
        <w:rPr>
          <w:rFonts w:ascii="宋体" w:hAnsi="宋体"/>
          <w:b/>
          <w:bCs/>
          <w:sz w:val="24"/>
        </w:rPr>
      </w:pPr>
      <w:r>
        <w:rPr>
          <w:rFonts w:hint="eastAsia" w:ascii="宋体" w:hAnsi="宋体"/>
          <w:b/>
          <w:bCs/>
          <w:sz w:val="24"/>
        </w:rPr>
        <w:t>一、</w:t>
      </w:r>
      <w:bookmarkEnd w:id="1"/>
      <w:bookmarkEnd w:id="2"/>
      <w:bookmarkEnd w:id="3"/>
      <w:bookmarkEnd w:id="4"/>
      <w:bookmarkEnd w:id="5"/>
      <w:bookmarkEnd w:id="6"/>
      <w:bookmarkEnd w:id="7"/>
      <w:bookmarkEnd w:id="8"/>
      <w:r>
        <w:rPr>
          <w:rFonts w:hint="eastAsia" w:ascii="宋体" w:hAnsi="宋体"/>
          <w:b/>
          <w:bCs/>
          <w:sz w:val="24"/>
        </w:rPr>
        <w:t>项目基本情况</w:t>
      </w:r>
    </w:p>
    <w:p>
      <w:pPr>
        <w:spacing w:line="360" w:lineRule="auto"/>
        <w:ind w:firstLine="480" w:firstLineChars="200"/>
        <w:rPr>
          <w:rFonts w:hint="default" w:ascii="宋体" w:hAnsi="宋体" w:eastAsia="宋体"/>
          <w:sz w:val="24"/>
          <w:lang w:val="en-US" w:eastAsia="zh-CN"/>
        </w:rPr>
      </w:pPr>
      <w:bookmarkStart w:id="9" w:name="_Toc3273"/>
      <w:bookmarkStart w:id="10" w:name="_Toc2424"/>
      <w:bookmarkStart w:id="11" w:name="_Toc4174_WPSOffice_Level2"/>
      <w:bookmarkStart w:id="12" w:name="_Toc29301"/>
      <w:bookmarkStart w:id="13" w:name="_Toc18233"/>
      <w:bookmarkStart w:id="14" w:name="_Toc71"/>
      <w:bookmarkStart w:id="15" w:name="_Toc3923"/>
      <w:r>
        <w:rPr>
          <w:rFonts w:hint="eastAsia" w:ascii="宋体" w:hAnsi="宋体"/>
          <w:sz w:val="24"/>
        </w:rPr>
        <w:t>1、采购项目编号：兰财采字公开招-2022-</w:t>
      </w:r>
      <w:r>
        <w:rPr>
          <w:rFonts w:hint="eastAsia" w:ascii="宋体" w:hAnsi="宋体"/>
          <w:sz w:val="24"/>
          <w:lang w:val="en-US" w:eastAsia="zh-CN"/>
        </w:rPr>
        <w:t xml:space="preserve">172  </w:t>
      </w:r>
    </w:p>
    <w:p>
      <w:pPr>
        <w:spacing w:line="360" w:lineRule="auto"/>
        <w:ind w:firstLine="480" w:firstLineChars="200"/>
        <w:rPr>
          <w:rFonts w:hint="eastAsia" w:ascii="宋体" w:hAnsi="宋体" w:eastAsia="宋体"/>
          <w:sz w:val="24"/>
          <w:lang w:eastAsia="zh-CN"/>
        </w:rPr>
      </w:pPr>
      <w:r>
        <w:rPr>
          <w:rFonts w:hint="eastAsia" w:ascii="宋体" w:hAnsi="宋体"/>
          <w:sz w:val="24"/>
        </w:rPr>
        <w:t>2、采购项目名称：</w:t>
      </w:r>
      <w:r>
        <w:rPr>
          <w:rFonts w:hint="eastAsia" w:ascii="宋体" w:hAnsi="宋体"/>
          <w:sz w:val="24"/>
          <w:lang w:eastAsia="zh-CN"/>
        </w:rPr>
        <w:t>兰考县奶牛现代农业产业园省财政奖补资金项目</w:t>
      </w:r>
    </w:p>
    <w:p>
      <w:pPr>
        <w:spacing w:line="360" w:lineRule="auto"/>
        <w:ind w:firstLine="480" w:firstLineChars="200"/>
        <w:rPr>
          <w:rFonts w:ascii="宋体" w:hAnsi="宋体"/>
          <w:sz w:val="24"/>
        </w:rPr>
      </w:pPr>
      <w:r>
        <w:rPr>
          <w:rFonts w:hint="eastAsia" w:ascii="宋体" w:hAnsi="宋体"/>
          <w:sz w:val="24"/>
        </w:rPr>
        <w:t>3、采购方式：公开招标</w:t>
      </w:r>
    </w:p>
    <w:p>
      <w:pPr>
        <w:spacing w:line="360" w:lineRule="auto"/>
        <w:ind w:firstLine="480" w:firstLineChars="200"/>
        <w:rPr>
          <w:rFonts w:ascii="宋体" w:hAnsi="宋体"/>
          <w:sz w:val="24"/>
        </w:rPr>
      </w:pPr>
      <w:r>
        <w:rPr>
          <w:rFonts w:hint="eastAsia" w:ascii="宋体" w:hAnsi="宋体"/>
          <w:sz w:val="24"/>
        </w:rPr>
        <w:t>4、预算金额：</w:t>
      </w:r>
      <w:r>
        <w:rPr>
          <w:rFonts w:hint="eastAsia" w:ascii="宋体" w:hAnsi="宋体"/>
          <w:sz w:val="24"/>
          <w:lang w:val="en-US" w:eastAsia="zh-CN"/>
        </w:rPr>
        <w:t>9947782.00</w:t>
      </w:r>
      <w:r>
        <w:rPr>
          <w:rFonts w:hint="eastAsia" w:ascii="宋体" w:hAnsi="宋体"/>
          <w:sz w:val="24"/>
        </w:rPr>
        <w:t>元</w:t>
      </w:r>
      <w:r>
        <w:rPr>
          <w:rFonts w:hint="eastAsia" w:ascii="宋体" w:hAnsi="宋体"/>
          <w:sz w:val="24"/>
          <w:lang w:val="en-US" w:eastAsia="zh-CN"/>
        </w:rPr>
        <w:t xml:space="preserve">  </w:t>
      </w:r>
      <w:r>
        <w:rPr>
          <w:rFonts w:hint="eastAsia" w:ascii="宋体" w:hAnsi="宋体"/>
          <w:sz w:val="24"/>
        </w:rPr>
        <w:t>最高限价：</w:t>
      </w:r>
      <w:r>
        <w:rPr>
          <w:rFonts w:hint="eastAsia" w:ascii="宋体" w:hAnsi="宋体"/>
          <w:sz w:val="24"/>
          <w:lang w:val="en-US" w:eastAsia="zh-CN"/>
        </w:rPr>
        <w:t>9947782.00</w:t>
      </w:r>
      <w:r>
        <w:rPr>
          <w:rFonts w:hint="eastAsia" w:ascii="宋体" w:hAnsi="宋体"/>
          <w:sz w:val="24"/>
        </w:rPr>
        <w:t>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68"/>
        <w:gridCol w:w="2880"/>
        <w:gridCol w:w="1818"/>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rPr>
              <w:t>序号</w:t>
            </w:r>
          </w:p>
        </w:tc>
        <w:tc>
          <w:tcPr>
            <w:tcW w:w="156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包号</w:t>
            </w:r>
          </w:p>
        </w:tc>
        <w:tc>
          <w:tcPr>
            <w:tcW w:w="2880"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包名称</w:t>
            </w:r>
          </w:p>
        </w:tc>
        <w:tc>
          <w:tcPr>
            <w:tcW w:w="181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包预算（元）</w:t>
            </w:r>
          </w:p>
        </w:tc>
        <w:tc>
          <w:tcPr>
            <w:tcW w:w="2454"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ascii="宋体" w:hAnsi="宋体"/>
              </w:rPr>
            </w:pPr>
            <w:r>
              <w:rPr>
                <w:rFonts w:hint="eastAsia" w:ascii="宋体" w:hAnsi="宋体" w:eastAsia="宋体"/>
                <w:b w:val="0"/>
                <w:sz w:val="24"/>
              </w:rPr>
              <w:t>1</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第一标段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河南启航牧业有限公司升级改造项目设备</w:t>
            </w:r>
          </w:p>
        </w:tc>
        <w:tc>
          <w:tcPr>
            <w:tcW w:w="1818" w:type="dxa"/>
            <w:vAlign w:val="center"/>
          </w:tcPr>
          <w:p>
            <w:pPr>
              <w:pStyle w:val="11"/>
              <w:spacing w:line="360" w:lineRule="auto"/>
              <w:ind w:left="0" w:leftChars="0" w:firstLine="0" w:firstLineChars="0"/>
              <w:jc w:val="center"/>
              <w:rPr>
                <w:rFonts w:hint="default" w:ascii="宋体" w:hAnsi="宋体" w:eastAsia="宋体"/>
                <w:sz w:val="24"/>
                <w:szCs w:val="24"/>
                <w:lang w:val="en-US" w:eastAsia="zh-CN"/>
              </w:rPr>
            </w:pPr>
            <w:r>
              <w:rPr>
                <w:rFonts w:hint="eastAsia" w:ascii="宋体" w:hAnsi="宋体"/>
                <w:sz w:val="24"/>
                <w:szCs w:val="24"/>
                <w:lang w:val="en-US" w:eastAsia="zh-CN"/>
              </w:rPr>
              <w:t>1890000.00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1890000.00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2</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第二标段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河南花花牛农牧科技有限公司奶牛场升级改造项目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3</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第三标段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首农畜牧兰考示范牧场2022年设备升级项目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4</w:t>
            </w:r>
          </w:p>
        </w:tc>
        <w:tc>
          <w:tcPr>
            <w:tcW w:w="1568" w:type="dxa"/>
            <w:vAlign w:val="center"/>
          </w:tcPr>
          <w:p>
            <w:pPr>
              <w:spacing w:line="360" w:lineRule="auto"/>
              <w:jc w:val="center"/>
              <w:rPr>
                <w:rFonts w:hint="eastAsia" w:ascii="宋体" w:hAnsi="宋体" w:eastAsia="宋体"/>
                <w:lang w:eastAsia="zh-CN"/>
              </w:rPr>
            </w:pPr>
            <w:r>
              <w:rPr>
                <w:rFonts w:hint="eastAsia" w:ascii="宋体" w:hAnsi="宋体"/>
                <w:sz w:val="24"/>
                <w:lang w:eastAsia="zh-CN"/>
              </w:rPr>
              <w:t>第四标段</w:t>
            </w:r>
          </w:p>
        </w:tc>
        <w:tc>
          <w:tcPr>
            <w:tcW w:w="2880" w:type="dxa"/>
            <w:vAlign w:val="center"/>
          </w:tcPr>
          <w:p>
            <w:pPr>
              <w:pStyle w:val="11"/>
              <w:spacing w:line="360" w:lineRule="auto"/>
              <w:ind w:left="0" w:leftChars="0" w:firstLine="0" w:firstLineChars="0"/>
              <w:jc w:val="center"/>
              <w:rPr>
                <w:rFonts w:ascii="宋体" w:hAnsi="宋体"/>
                <w:sz w:val="24"/>
                <w:szCs w:val="24"/>
              </w:rPr>
            </w:pPr>
            <w:r>
              <w:rPr>
                <w:rFonts w:hint="eastAsia" w:ascii="宋体" w:hAnsi="宋体"/>
                <w:sz w:val="24"/>
                <w:szCs w:val="24"/>
              </w:rPr>
              <w:t>首农畜牧兰考分公司设备提升及改造项目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r>
    </w:tbl>
    <w:p>
      <w:p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、采购需求（包括但不限于标的的名称、数量、简要技术需求或服务要求等）</w:t>
      </w:r>
    </w:p>
    <w:p>
      <w:pPr>
        <w:pStyle w:val="10"/>
        <w:rPr>
          <w:rFonts w:hint="eastAsia" w:ascii="宋体" w:hAnsi="宋体" w:eastAsia="宋体" w:cs="宋体"/>
          <w:b w:val="0"/>
          <w:bCs/>
          <w:sz w:val="24"/>
          <w:lang w:val="en-US" w:eastAsia="zh-CN"/>
        </w:rPr>
      </w:pPr>
      <w:r>
        <w:rPr>
          <w:rFonts w:hint="eastAsia" w:ascii="宋体" w:hAnsi="宋体" w:eastAsia="宋体" w:cs="宋体"/>
          <w:b w:val="0"/>
          <w:bCs/>
          <w:sz w:val="24"/>
          <w:lang w:val="en-US" w:eastAsia="zh-CN"/>
        </w:rPr>
        <w:t>（1）标段划分：本项目共4个标段</w:t>
      </w:r>
    </w:p>
    <w:p>
      <w:pPr>
        <w:pStyle w:val="11"/>
        <w:ind w:left="0" w:leftChars="0" w:firstLine="0" w:firstLineChars="0"/>
        <w:rPr>
          <w:rFonts w:hint="eastAsia" w:ascii="宋体" w:hAnsi="宋体" w:eastAsia="宋体"/>
          <w:b w:val="0"/>
          <w:sz w:val="24"/>
          <w:lang w:eastAsia="zh-CN"/>
        </w:rPr>
      </w:pPr>
      <w:r>
        <w:rPr>
          <w:rFonts w:hint="eastAsia" w:ascii="宋体" w:hAnsi="宋体" w:cs="宋体"/>
          <w:b w:val="0"/>
          <w:bCs/>
          <w:sz w:val="24"/>
          <w:lang w:val="en-US" w:eastAsia="zh-CN"/>
        </w:rPr>
        <w:t xml:space="preserve">       </w:t>
      </w:r>
      <w:r>
        <w:rPr>
          <w:rFonts w:hint="eastAsia" w:ascii="宋体" w:hAnsi="宋体"/>
          <w:sz w:val="24"/>
          <w:lang w:val="en-US" w:eastAsia="zh-CN"/>
        </w:rPr>
        <w:t>第一标段：</w:t>
      </w:r>
      <w:r>
        <w:rPr>
          <w:rFonts w:hint="eastAsia" w:ascii="宋体" w:hAnsi="宋体" w:eastAsia="宋体"/>
          <w:b w:val="0"/>
          <w:sz w:val="24"/>
          <w:lang w:eastAsia="zh-CN"/>
        </w:rPr>
        <w:t>河南启航牧业有限公司升级改造项目设备</w:t>
      </w:r>
    </w:p>
    <w:p>
      <w:pPr>
        <w:rPr>
          <w:rFonts w:hint="eastAsia" w:ascii="宋体" w:hAnsi="宋体" w:eastAsia="宋体"/>
          <w:b w:val="0"/>
          <w:sz w:val="24"/>
          <w:lang w:eastAsia="zh-CN"/>
        </w:rPr>
      </w:pPr>
      <w:r>
        <w:rPr>
          <w:rFonts w:hint="eastAsia" w:ascii="宋体" w:hAnsi="宋体"/>
          <w:b w:val="0"/>
          <w:sz w:val="24"/>
          <w:lang w:val="en-US" w:eastAsia="zh-CN"/>
        </w:rPr>
        <w:t xml:space="preserve">       </w:t>
      </w:r>
      <w:r>
        <w:rPr>
          <w:rFonts w:hint="eastAsia" w:ascii="宋体" w:hAnsi="宋体"/>
          <w:sz w:val="24"/>
          <w:lang w:val="en-US" w:eastAsia="zh-CN"/>
        </w:rPr>
        <w:t>第二标段：</w:t>
      </w:r>
      <w:r>
        <w:rPr>
          <w:rFonts w:hint="eastAsia" w:ascii="宋体" w:hAnsi="宋体" w:eastAsia="宋体"/>
          <w:b w:val="0"/>
          <w:sz w:val="24"/>
          <w:lang w:eastAsia="zh-CN"/>
        </w:rPr>
        <w:t>河南花花牛农牧科技有限公司奶牛场升级改造项目</w:t>
      </w:r>
    </w:p>
    <w:p>
      <w:pPr>
        <w:pStyle w:val="10"/>
        <w:rPr>
          <w:rFonts w:hint="eastAsia" w:ascii="宋体" w:hAnsi="宋体" w:eastAsia="宋体"/>
          <w:b w:val="0"/>
          <w:sz w:val="24"/>
          <w:lang w:eastAsia="zh-CN"/>
        </w:rPr>
      </w:pPr>
      <w:r>
        <w:rPr>
          <w:rFonts w:hint="eastAsia" w:ascii="宋体" w:hAnsi="宋体" w:eastAsia="宋体"/>
          <w:b w:val="0"/>
          <w:sz w:val="24"/>
          <w:lang w:val="en-US" w:eastAsia="zh-CN"/>
        </w:rPr>
        <w:t xml:space="preserve">   </w:t>
      </w:r>
      <w:r>
        <w:rPr>
          <w:rFonts w:hint="eastAsia" w:ascii="宋体" w:hAnsi="宋体" w:eastAsia="宋体" w:cs="宋体"/>
          <w:b w:val="0"/>
          <w:bCs/>
          <w:sz w:val="24"/>
          <w:lang w:val="en-US" w:eastAsia="zh-CN"/>
        </w:rPr>
        <w:t>第三标段：</w:t>
      </w:r>
      <w:r>
        <w:rPr>
          <w:rFonts w:hint="eastAsia" w:ascii="宋体" w:hAnsi="宋体" w:eastAsia="宋体"/>
          <w:b w:val="0"/>
          <w:sz w:val="24"/>
          <w:lang w:eastAsia="zh-CN"/>
        </w:rPr>
        <w:t>首农畜牧兰考示范牧场2022年设备升级项目</w:t>
      </w:r>
    </w:p>
    <w:p>
      <w:pPr>
        <w:pStyle w:val="11"/>
        <w:ind w:left="0" w:leftChars="0" w:firstLine="0" w:firstLineChars="0"/>
        <w:rPr>
          <w:rFonts w:hint="default"/>
          <w:lang w:val="en-US" w:eastAsia="zh-CN"/>
        </w:rPr>
      </w:pPr>
      <w:r>
        <w:rPr>
          <w:rFonts w:hint="eastAsia" w:ascii="宋体" w:hAnsi="宋体"/>
          <w:b w:val="0"/>
          <w:sz w:val="24"/>
          <w:lang w:val="en-US" w:eastAsia="zh-CN"/>
        </w:rPr>
        <w:t xml:space="preserve">       </w:t>
      </w:r>
      <w:r>
        <w:rPr>
          <w:rFonts w:hint="eastAsia" w:ascii="宋体" w:hAnsi="宋体"/>
          <w:sz w:val="24"/>
          <w:lang w:eastAsia="zh-CN"/>
        </w:rPr>
        <w:t>第四标段：</w:t>
      </w:r>
      <w:r>
        <w:rPr>
          <w:rFonts w:hint="eastAsia" w:ascii="宋体" w:hAnsi="宋体"/>
          <w:sz w:val="24"/>
          <w:szCs w:val="24"/>
        </w:rPr>
        <w:t>首农畜牧兰考分公司设备提升及改造项目</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（2）资金来源：财政资金</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（3）采购内容：</w:t>
      </w:r>
      <w:r>
        <w:rPr>
          <w:rFonts w:hint="eastAsia" w:ascii="宋体" w:hAnsi="宋体"/>
          <w:sz w:val="24"/>
        </w:rPr>
        <w:t>具体内容详见采购文件</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（4）交货期限：</w:t>
      </w:r>
    </w:p>
    <w:p>
      <w:pPr>
        <w:spacing w:line="360" w:lineRule="auto"/>
        <w:ind w:firstLine="960" w:firstLineChars="4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第一、二、三、四标段：合同签订后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p>
      <w:pPr>
        <w:spacing w:line="360" w:lineRule="auto"/>
        <w:ind w:firstLine="480" w:firstLineChars="2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（5）供货地点：采购人指定地点</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（6）质量要求：</w:t>
      </w:r>
      <w:r>
        <w:rPr>
          <w:rFonts w:hint="eastAsia" w:ascii="宋体" w:hAnsi="宋体" w:eastAsia="宋体" w:cs="宋体"/>
          <w:kern w:val="2"/>
          <w:sz w:val="24"/>
          <w:szCs w:val="24"/>
          <w:highlight w:val="none"/>
          <w:lang w:eastAsia="zh-CN"/>
        </w:rPr>
        <w:t>符合国家或行业相关现行合格标准及采购人要求</w:t>
      </w:r>
    </w:p>
    <w:p>
      <w:pPr>
        <w:spacing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、合同履行期限：同交货期。</w:t>
      </w:r>
    </w:p>
    <w:p>
      <w:pPr>
        <w:spacing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、本项目是否接受联合体投标：否</w:t>
      </w:r>
    </w:p>
    <w:p>
      <w:pPr>
        <w:spacing w:line="360" w:lineRule="auto"/>
        <w:rPr>
          <w:rFonts w:ascii="宋体" w:hAnsi="宋体"/>
          <w:b/>
          <w:bCs/>
          <w:sz w:val="24"/>
        </w:rPr>
      </w:pPr>
      <w:r>
        <w:rPr>
          <w:rFonts w:hint="eastAsia" w:ascii="宋体" w:hAnsi="宋体"/>
          <w:b/>
          <w:bCs/>
          <w:sz w:val="24"/>
        </w:rPr>
        <w:t>二、供应商资格要求</w:t>
      </w:r>
      <w:bookmarkEnd w:id="9"/>
      <w:bookmarkEnd w:id="10"/>
      <w:bookmarkEnd w:id="11"/>
      <w:bookmarkEnd w:id="12"/>
      <w:bookmarkEnd w:id="13"/>
      <w:bookmarkEnd w:id="14"/>
      <w:bookmarkEnd w:id="15"/>
    </w:p>
    <w:p>
      <w:pPr>
        <w:spacing w:line="360" w:lineRule="auto"/>
        <w:ind w:firstLine="480" w:firstLineChars="200"/>
        <w:rPr>
          <w:rFonts w:ascii="宋体" w:hAnsi="宋体"/>
          <w:sz w:val="24"/>
        </w:rPr>
      </w:pPr>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spacing w:line="360" w:lineRule="auto"/>
        <w:rPr>
          <w:rFonts w:ascii="宋体" w:hAnsi="宋体"/>
          <w:b/>
          <w:bCs/>
          <w:sz w:val="24"/>
        </w:rPr>
      </w:pPr>
      <w:bookmarkStart w:id="16" w:name="_Toc731"/>
      <w:bookmarkStart w:id="17" w:name="_Toc28359092"/>
      <w:bookmarkStart w:id="18" w:name="_Toc35393801"/>
      <w:bookmarkStart w:id="19" w:name="_Toc9068"/>
      <w:bookmarkStart w:id="20" w:name="_Toc15797"/>
      <w:bookmarkStart w:id="21" w:name="_Toc35393632"/>
      <w:bookmarkStart w:id="22" w:name="_Toc31657"/>
      <w:bookmarkStart w:id="23" w:name="_Toc27966"/>
      <w:bookmarkStart w:id="24" w:name="_Toc28359015"/>
      <w:bookmarkStart w:id="25" w:name="_Toc4776"/>
      <w:bookmarkStart w:id="26" w:name="_Toc3616_WPSOffice_Level2"/>
      <w:r>
        <w:rPr>
          <w:rFonts w:hint="eastAsia" w:ascii="宋体" w:hAnsi="宋体"/>
          <w:b/>
          <w:bCs/>
          <w:sz w:val="24"/>
        </w:rPr>
        <w:t>三、获取采购文件</w:t>
      </w:r>
    </w:p>
    <w:p>
      <w:pPr>
        <w:spacing w:line="360" w:lineRule="auto"/>
        <w:ind w:firstLine="480" w:firstLineChars="200"/>
        <w:rPr>
          <w:rFonts w:ascii="宋体" w:hAnsi="宋体"/>
          <w:sz w:val="24"/>
        </w:rPr>
      </w:pPr>
      <w:r>
        <w:rPr>
          <w:rFonts w:hint="eastAsia" w:ascii="宋体" w:hAnsi="宋体"/>
          <w:sz w:val="24"/>
        </w:rPr>
        <w:t>1、时间：自公告发布后至开标时间前均可获取；</w:t>
      </w:r>
    </w:p>
    <w:p>
      <w:pPr>
        <w:spacing w:line="360" w:lineRule="auto"/>
        <w:ind w:firstLine="480" w:firstLineChars="200"/>
        <w:rPr>
          <w:rFonts w:ascii="宋体" w:hAnsi="宋体"/>
          <w:sz w:val="24"/>
        </w:rPr>
      </w:pPr>
      <w:r>
        <w:rPr>
          <w:rFonts w:hint="eastAsia" w:ascii="宋体" w:hAnsi="宋体"/>
          <w:sz w:val="24"/>
        </w:rPr>
        <w:t>2、地点：兰考县公共资源交易中心网站；</w:t>
      </w:r>
    </w:p>
    <w:p>
      <w:pPr>
        <w:spacing w:line="360" w:lineRule="auto"/>
        <w:ind w:firstLine="480" w:firstLineChars="200"/>
        <w:rPr>
          <w:rFonts w:ascii="宋体" w:hAnsi="宋体"/>
          <w:sz w:val="24"/>
        </w:rPr>
      </w:pPr>
      <w:r>
        <w:rPr>
          <w:rFonts w:hint="eastAsia" w:ascii="宋体" w:hAnsi="宋体"/>
          <w:sz w:val="24"/>
        </w:rPr>
        <w:t>3、方式：需通过 CA 在兰考县公共资源交易中心网站“供应商/供应商登录”入口登录后进行相关操作。</w:t>
      </w:r>
    </w:p>
    <w:p>
      <w:pPr>
        <w:spacing w:line="360" w:lineRule="auto"/>
        <w:ind w:firstLine="480" w:firstLineChars="200"/>
        <w:rPr>
          <w:rFonts w:ascii="宋体" w:hAnsi="宋体"/>
          <w:sz w:val="24"/>
        </w:rPr>
      </w:pPr>
      <w:r>
        <w:rPr>
          <w:rFonts w:hint="eastAsia" w:ascii="宋体" w:hAnsi="宋体"/>
          <w:sz w:val="24"/>
        </w:rPr>
        <w:t>（1）未办理 CA 的供应商，需登录兰考县公共资源交易中心网站先进行“企业注册”再办理CA。</w:t>
      </w:r>
    </w:p>
    <w:p>
      <w:pPr>
        <w:spacing w:line="360" w:lineRule="auto"/>
        <w:ind w:firstLine="480" w:firstLineChars="200"/>
        <w:rPr>
          <w:rFonts w:ascii="宋体" w:hAnsi="宋体"/>
          <w:sz w:val="24"/>
        </w:rPr>
      </w:pPr>
      <w:r>
        <w:rPr>
          <w:rFonts w:hint="eastAsia" w:ascii="宋体" w:hAnsi="宋体"/>
          <w:sz w:val="24"/>
        </w:rPr>
        <w:t>“企业注册”参考：</w:t>
      </w:r>
      <w:r>
        <w:fldChar w:fldCharType="begin"/>
      </w:r>
      <w:r>
        <w:instrText xml:space="preserve"> HYPERLINK "http://www.lkxggzy.com/xwtzgg/10414.jhtml" </w:instrText>
      </w:r>
      <w:r>
        <w:fldChar w:fldCharType="separate"/>
      </w:r>
      <w:r>
        <w:rPr>
          <w:rStyle w:val="26"/>
          <w:rFonts w:hint="eastAsia" w:ascii="宋体" w:hAnsi="宋体"/>
          <w:sz w:val="24"/>
        </w:rPr>
        <w:t>http://www.lkxggzy.com/xwtzgg/10414.jhtml</w:t>
      </w:r>
      <w:r>
        <w:rPr>
          <w:rStyle w:val="26"/>
          <w:rFonts w:hint="eastAsia" w:ascii="宋体" w:hAnsi="宋体"/>
          <w:sz w:val="24"/>
        </w:rPr>
        <w:fldChar w:fldCharType="end"/>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办理 CA 参考：http://www.lkxggzy.com/znbslc/24675.jhtml。</w:t>
      </w:r>
    </w:p>
    <w:p>
      <w:pPr>
        <w:spacing w:line="360" w:lineRule="auto"/>
        <w:ind w:firstLine="480" w:firstLineChars="200"/>
        <w:rPr>
          <w:rFonts w:ascii="宋体" w:hAnsi="宋体"/>
          <w:sz w:val="24"/>
        </w:rPr>
      </w:pPr>
      <w:r>
        <w:rPr>
          <w:rFonts w:hint="eastAsia" w:ascii="宋体" w:hAnsi="宋体"/>
          <w:sz w:val="24"/>
        </w:rPr>
        <w:t>（2）已办理省内兰考以外 CA 的，可以进行 CA 互认。</w:t>
      </w:r>
    </w:p>
    <w:p>
      <w:pPr>
        <w:spacing w:line="360" w:lineRule="auto"/>
        <w:ind w:firstLine="720" w:firstLineChars="300"/>
        <w:rPr>
          <w:rFonts w:ascii="宋体" w:hAnsi="宋体"/>
          <w:sz w:val="24"/>
        </w:rPr>
      </w:pPr>
      <w:r>
        <w:rPr>
          <w:rFonts w:hint="eastAsia" w:ascii="宋体" w:hAnsi="宋体"/>
          <w:sz w:val="24"/>
        </w:rPr>
        <w:t>省外的咨询相应 CA 公司。</w:t>
      </w:r>
    </w:p>
    <w:p>
      <w:pPr>
        <w:spacing w:line="360" w:lineRule="auto"/>
        <w:ind w:firstLine="720" w:firstLineChars="300"/>
        <w:rPr>
          <w:rFonts w:ascii="宋体" w:hAnsi="宋体"/>
          <w:sz w:val="24"/>
        </w:rPr>
      </w:pPr>
      <w:r>
        <w:rPr>
          <w:rFonts w:hint="eastAsia" w:ascii="宋体" w:hAnsi="宋体"/>
          <w:sz w:val="24"/>
        </w:rPr>
        <w:t>互认步骤：在兰考县公共资源交易中心网站先进行“企业注册”，再用 CA 进行绑定兰考县公共资源交易中心交易系统。</w:t>
      </w:r>
    </w:p>
    <w:p>
      <w:pPr>
        <w:spacing w:line="360" w:lineRule="auto"/>
        <w:ind w:firstLine="480" w:firstLineChars="200"/>
        <w:rPr>
          <w:rFonts w:ascii="宋体" w:hAnsi="宋体"/>
          <w:sz w:val="24"/>
        </w:rPr>
      </w:pPr>
      <w:r>
        <w:rPr>
          <w:rFonts w:hint="eastAsia" w:ascii="宋体" w:hAnsi="宋体"/>
          <w:sz w:val="24"/>
        </w:rPr>
        <w:t>4、潜在供应商可打开兰考县公共资源交易中心网站（http://www.lkxggzy.com）</w:t>
      </w:r>
    </w:p>
    <w:p>
      <w:pPr>
        <w:spacing w:line="360" w:lineRule="auto"/>
        <w:rPr>
          <w:rFonts w:ascii="宋体" w:hAnsi="宋体"/>
          <w:sz w:val="24"/>
        </w:rPr>
      </w:pPr>
      <w:r>
        <w:rPr>
          <w:rFonts w:hint="eastAsia" w:ascii="宋体" w:hAnsi="宋体"/>
          <w:sz w:val="24"/>
        </w:rPr>
        <w:t>首页“流程公开”里查询采购文件。</w:t>
      </w:r>
    </w:p>
    <w:p>
      <w:pPr>
        <w:spacing w:line="360" w:lineRule="auto"/>
        <w:ind w:firstLine="480" w:firstLineChars="200"/>
        <w:rPr>
          <w:rFonts w:ascii="宋体" w:hAnsi="宋体"/>
          <w:sz w:val="24"/>
        </w:rPr>
      </w:pPr>
      <w:r>
        <w:rPr>
          <w:rFonts w:hint="eastAsia" w:ascii="宋体" w:hAnsi="宋体"/>
          <w:sz w:val="24"/>
        </w:rPr>
        <w:t>5、售价：0 元</w:t>
      </w:r>
    </w:p>
    <w:bookmarkEnd w:id="16"/>
    <w:bookmarkEnd w:id="17"/>
    <w:bookmarkEnd w:id="18"/>
    <w:bookmarkEnd w:id="19"/>
    <w:bookmarkEnd w:id="20"/>
    <w:bookmarkEnd w:id="21"/>
    <w:bookmarkEnd w:id="22"/>
    <w:bookmarkEnd w:id="23"/>
    <w:bookmarkEnd w:id="24"/>
    <w:bookmarkEnd w:id="25"/>
    <w:bookmarkEnd w:id="26"/>
    <w:p>
      <w:pPr>
        <w:spacing w:line="360" w:lineRule="auto"/>
        <w:rPr>
          <w:rFonts w:ascii="宋体" w:hAnsi="宋体"/>
          <w:b/>
          <w:bCs/>
          <w:sz w:val="24"/>
        </w:rPr>
      </w:pPr>
      <w:bookmarkStart w:id="27" w:name="_Toc28359017"/>
      <w:bookmarkStart w:id="28" w:name="_Toc28359094"/>
      <w:bookmarkStart w:id="29" w:name="_Toc35393803"/>
      <w:bookmarkStart w:id="30" w:name="_Toc35393634"/>
      <w:bookmarkStart w:id="31" w:name="_Toc18634"/>
      <w:bookmarkStart w:id="32" w:name="_Toc4543_WPSOffice_Level2"/>
      <w:bookmarkStart w:id="33" w:name="_Toc15777"/>
      <w:bookmarkStart w:id="34" w:name="_Toc2166"/>
      <w:bookmarkStart w:id="35" w:name="_Toc14534"/>
      <w:bookmarkStart w:id="36" w:name="_Toc13238"/>
      <w:bookmarkStart w:id="37" w:name="_Toc16200"/>
      <w:r>
        <w:rPr>
          <w:rFonts w:hint="eastAsia" w:ascii="宋体" w:hAnsi="宋体"/>
          <w:b/>
          <w:bCs/>
          <w:sz w:val="24"/>
        </w:rPr>
        <w:t>四、投标截止时间及地点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2、地点：在投标截止时间前，通过《兰考县公共资源交易中心网》（http://www.lkxggzy.com）电子化交易系统，按提示上传、提交投标文件。</w:t>
      </w:r>
    </w:p>
    <w:p>
      <w:pPr>
        <w:spacing w:line="360" w:lineRule="auto"/>
        <w:ind w:firstLine="480" w:firstLineChars="200"/>
        <w:rPr>
          <w:rFonts w:ascii="宋体" w:hAnsi="宋体"/>
          <w:sz w:val="24"/>
        </w:rPr>
      </w:pPr>
      <w:r>
        <w:rPr>
          <w:rFonts w:hint="eastAsia" w:ascii="宋体" w:hAnsi="宋体"/>
          <w:sz w:val="24"/>
        </w:rPr>
        <w:t>加密的电子投标文件逾期上传或未上传到指定地点的，采购人不予受理。</w:t>
      </w:r>
    </w:p>
    <w:p>
      <w:pPr>
        <w:spacing w:line="360" w:lineRule="auto"/>
        <w:rPr>
          <w:rFonts w:ascii="宋体" w:hAnsi="宋体"/>
          <w:b/>
          <w:sz w:val="24"/>
        </w:rPr>
      </w:pPr>
      <w:r>
        <w:rPr>
          <w:rFonts w:hint="eastAsia" w:ascii="宋体" w:hAnsi="宋体"/>
          <w:b/>
          <w:sz w:val="24"/>
        </w:rPr>
        <w:t>五、开标时间及地点</w:t>
      </w:r>
    </w:p>
    <w:p>
      <w:pPr>
        <w:spacing w:line="360" w:lineRule="auto"/>
        <w:ind w:firstLine="480" w:firstLineChars="200"/>
        <w:rPr>
          <w:rFonts w:ascii="宋体" w:hAnsi="宋体"/>
          <w:sz w:val="24"/>
        </w:rPr>
      </w:pPr>
      <w:r>
        <w:rPr>
          <w:rFonts w:hint="eastAsia" w:ascii="宋体" w:hAnsi="宋体"/>
          <w:sz w:val="24"/>
        </w:rPr>
        <w:t>1、时间：</w:t>
      </w:r>
      <w:r>
        <w:rPr>
          <w:rFonts w:ascii="宋体" w:hAnsi="宋体"/>
          <w:sz w:val="24"/>
        </w:rPr>
        <w:t>2022年</w:t>
      </w:r>
      <w:r>
        <w:rPr>
          <w:rFonts w:hint="eastAsia" w:ascii="宋体" w:hAnsi="宋体"/>
          <w:sz w:val="24"/>
          <w:lang w:eastAsia="zh-CN"/>
        </w:rPr>
        <w:t>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2、地点：兰考县公共资源交易中心</w:t>
      </w:r>
    </w:p>
    <w:p>
      <w:pPr>
        <w:spacing w:line="360" w:lineRule="auto"/>
        <w:rPr>
          <w:rFonts w:ascii="宋体" w:hAnsi="宋体"/>
          <w:b/>
          <w:sz w:val="24"/>
        </w:rPr>
      </w:pPr>
      <w:r>
        <w:rPr>
          <w:rFonts w:hint="eastAsia" w:ascii="宋体" w:hAnsi="宋体"/>
          <w:b/>
          <w:sz w:val="24"/>
        </w:rPr>
        <w:t>六、发布公告的媒介</w:t>
      </w:r>
      <w:bookmarkEnd w:id="27"/>
      <w:bookmarkEnd w:id="28"/>
      <w:bookmarkEnd w:id="29"/>
      <w:bookmarkEnd w:id="30"/>
    </w:p>
    <w:p>
      <w:pPr>
        <w:spacing w:line="360" w:lineRule="auto"/>
        <w:ind w:firstLine="480" w:firstLineChars="200"/>
        <w:rPr>
          <w:rFonts w:ascii="宋体" w:hAnsi="宋体"/>
          <w:sz w:val="24"/>
        </w:rPr>
      </w:pPr>
      <w:r>
        <w:rPr>
          <w:rFonts w:hint="eastAsia" w:ascii="宋体" w:hAnsi="宋体"/>
          <w:sz w:val="24"/>
        </w:rPr>
        <w:t>本次招标公告在《兰考县公共资源交易中心网》、《河南省政府采购网》上发布。</w:t>
      </w:r>
    </w:p>
    <w:p>
      <w:pPr>
        <w:spacing w:line="360" w:lineRule="auto"/>
        <w:rPr>
          <w:rFonts w:ascii="宋体" w:hAnsi="宋体"/>
          <w:b/>
          <w:bCs/>
          <w:sz w:val="24"/>
        </w:rPr>
      </w:pPr>
      <w:r>
        <w:rPr>
          <w:rFonts w:hint="eastAsia" w:ascii="宋体" w:hAnsi="宋体"/>
          <w:b/>
          <w:bCs/>
          <w:sz w:val="24"/>
        </w:rPr>
        <w:t>七、其他补充事宜</w:t>
      </w:r>
    </w:p>
    <w:p>
      <w:pPr>
        <w:spacing w:line="360" w:lineRule="auto"/>
        <w:ind w:firstLine="480" w:firstLineChars="200"/>
        <w:rPr>
          <w:rFonts w:ascii="宋体" w:hAnsi="宋体"/>
          <w:bCs/>
          <w:sz w:val="24"/>
        </w:rPr>
      </w:pPr>
      <w:r>
        <w:rPr>
          <w:rFonts w:hint="eastAsia" w:ascii="宋体" w:hAnsi="宋体"/>
          <w:bCs/>
          <w:sz w:val="24"/>
        </w:rPr>
        <w:t>本项目采用“远程不见面”开标方式,供应商无需到现场提交原件资料、无需到兰考县公共资源交易中心现场参加开标会议；供应商应当在开标时间前,登录远程开标大厅,在线准时参加开标活动并进行投标文件解密、答疑澄清等。（系统解密时长默认为 40 分钟，错过解密时长者视为自动放弃本次投标）。</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温馨提示：本项目为全流程电子化交易项目，请认真阅读采购文件，并注意以下事项。</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1.供应商应按采购文件规定编制、提交电子投标文件。招标现场不接受供应商递交的备份电子投标文件以外的其他资料。</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2.电子文件下载、制作、提交期间和投标文件递交（电子投标文件的解密）环节，供应商须使用CA数字证书（证书须在一个有效周期内）。</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3.电子投标文件的制作</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3.1 </w:t>
      </w:r>
      <w:r>
        <w:rPr>
          <w:rFonts w:hint="eastAsia" w:ascii="宋体" w:hAnsi="宋体"/>
          <w:sz w:val="24"/>
        </w:rPr>
        <w:t>供应商登录《全国公共资源交易平台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rPr>
          <w:rFonts w:ascii="宋体" w:hAnsi="宋体"/>
          <w:sz w:val="24"/>
        </w:rP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）下载“兰考投标文件制作系统</w:t>
      </w:r>
      <w:r>
        <w:rPr>
          <w:rFonts w:ascii="宋体" w:hAnsi="宋体"/>
          <w:sz w:val="24"/>
        </w:rPr>
        <w:t xml:space="preserve">SEARUN </w:t>
      </w:r>
      <w:r>
        <w:rPr>
          <w:rFonts w:hint="eastAsia" w:ascii="宋体" w:hAnsi="宋体"/>
          <w:sz w:val="24"/>
        </w:rPr>
        <w:t>最新版本”，按采购文件要求制作电子投标文件。电子投标文件的制作，参考《全国公共资源交易平台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》公共资源交易系统——组件下载——交易系统操作手册（供应商、供应商）。</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3.2 供应商须将采购文件要求的资质、业绩、荣誉及相关人员证明材料等资料扫描件（或图片）制作到所提交的电子投标文件中。</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3.3 供应商对同一项目多个标段进行报价的，应分别下载所响应标段的采购文件，按标段制作电子投标文件，并按采购文件要求在相应位置加盖供应商电子印章和法人电子印章。</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一个标段对应生成一个文件夹（xxxx项目xx标段）, 其中包含2个文件和1个文件夹。后缀名为“.file”的文件用于电子响应使用。</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4、加密电子投标文件的提交</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4.1 </w:t>
      </w:r>
      <w:r>
        <w:rPr>
          <w:rFonts w:hint="eastAsia" w:ascii="宋体" w:hAnsi="宋体"/>
          <w:sz w:val="24"/>
        </w:rPr>
        <w:t>加密电子投标文件应在采购文件规定的招标响应截止时间（招标时间）之前成功提交至《全国公共资源交易平台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供应商应充分考虑并预留技术处理和上传数据所需时间。</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4.2 供应商对同一项目多个标段进行报价的，加密电子投标文件应按标段分别提交。</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5、评审依据</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5.1 采用全流程电子化交易评审时，评审小组以电子投标文件为依据评审。</w:t>
      </w:r>
    </w:p>
    <w:bookmarkEnd w:id="31"/>
    <w:bookmarkEnd w:id="32"/>
    <w:bookmarkEnd w:id="33"/>
    <w:bookmarkEnd w:id="34"/>
    <w:bookmarkEnd w:id="35"/>
    <w:bookmarkEnd w:id="36"/>
    <w:bookmarkEnd w:id="37"/>
    <w:p>
      <w:pPr>
        <w:spacing w:line="360" w:lineRule="auto"/>
        <w:rPr>
          <w:rFonts w:ascii="宋体" w:hAnsi="宋体"/>
          <w:b/>
          <w:bCs/>
          <w:sz w:val="24"/>
        </w:rPr>
      </w:pPr>
      <w:r>
        <w:rPr>
          <w:rFonts w:hint="eastAsia" w:ascii="宋体" w:hAnsi="宋体"/>
          <w:b/>
          <w:bCs/>
          <w:sz w:val="24"/>
        </w:rPr>
        <w:t>八、凡对本次招标提出询问，请按照以下方式联系</w:t>
      </w:r>
    </w:p>
    <w:p>
      <w:pPr>
        <w:spacing w:line="360" w:lineRule="auto"/>
        <w:ind w:firstLine="480" w:firstLineChars="200"/>
        <w:rPr>
          <w:rFonts w:ascii="宋体" w:hAnsi="宋体"/>
          <w:sz w:val="24"/>
        </w:rPr>
      </w:pPr>
      <w:r>
        <w:rPr>
          <w:rFonts w:hint="eastAsia" w:ascii="宋体" w:hAnsi="宋体"/>
          <w:sz w:val="24"/>
        </w:rPr>
        <w:t>1、采购人信息</w:t>
      </w:r>
    </w:p>
    <w:p>
      <w:pPr>
        <w:spacing w:line="360" w:lineRule="auto"/>
        <w:ind w:firstLine="720" w:firstLineChars="300"/>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ind w:firstLine="720" w:firstLineChars="300"/>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、采购代理机构信息</w:t>
      </w:r>
    </w:p>
    <w:p>
      <w:pPr>
        <w:spacing w:line="360" w:lineRule="auto"/>
        <w:ind w:firstLine="720" w:firstLineChars="300"/>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ind w:firstLine="720" w:firstLineChars="300"/>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ind w:firstLine="720" w:firstLineChars="300"/>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ind w:firstLine="720" w:firstLineChars="300"/>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p>
      <w:pPr>
        <w:spacing w:line="360" w:lineRule="auto"/>
        <w:ind w:firstLine="480" w:firstLineChars="200"/>
        <w:rPr>
          <w:rFonts w:ascii="宋体" w:hAnsi="宋体"/>
          <w:sz w:val="24"/>
        </w:rPr>
      </w:pPr>
      <w:r>
        <w:rPr>
          <w:rFonts w:hint="eastAsia" w:ascii="宋体" w:hAnsi="宋体"/>
          <w:sz w:val="24"/>
        </w:rPr>
        <w:t xml:space="preserve"> 3、项目联系</w:t>
      </w:r>
      <w:r>
        <w:rPr>
          <w:rFonts w:ascii="宋体" w:hAnsi="宋体"/>
          <w:sz w:val="24"/>
        </w:rPr>
        <w:t>方式</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pStyle w:val="12"/>
      </w:pPr>
    </w:p>
    <w:p>
      <w:pPr>
        <w:pStyle w:val="12"/>
        <w:sectPr>
          <w:pgSz w:w="11906" w:h="16838"/>
          <w:pgMar w:top="1440" w:right="1276" w:bottom="1440" w:left="1083" w:header="851" w:footer="992" w:gutter="0"/>
          <w:cols w:space="720" w:num="1"/>
          <w:docGrid w:type="lines" w:linePitch="314" w:charSpace="0"/>
        </w:sectPr>
      </w:pPr>
      <w:bookmarkStart w:id="38" w:name="_Toc1002"/>
    </w:p>
    <w:p>
      <w:pPr>
        <w:pStyle w:val="4"/>
        <w:rPr>
          <w:sz w:val="36"/>
          <w:szCs w:val="36"/>
        </w:rPr>
      </w:pPr>
      <w:bookmarkStart w:id="39" w:name="_Toc61255123"/>
      <w:r>
        <w:rPr>
          <w:rFonts w:hint="eastAsia"/>
          <w:sz w:val="36"/>
          <w:szCs w:val="36"/>
        </w:rPr>
        <w:t>第二章  供应商须知</w:t>
      </w:r>
      <w:bookmarkEnd w:id="38"/>
      <w:bookmarkEnd w:id="39"/>
    </w:p>
    <w:p>
      <w:pPr>
        <w:spacing w:line="360" w:lineRule="auto"/>
        <w:ind w:firstLine="482" w:firstLineChars="200"/>
        <w:jc w:val="center"/>
        <w:rPr>
          <w:rFonts w:ascii="宋体" w:hAnsi="宋体"/>
          <w:b/>
          <w:bCs/>
          <w:sz w:val="24"/>
        </w:rPr>
      </w:pPr>
      <w:bookmarkStart w:id="40" w:name="_Toc27913"/>
      <w:bookmarkStart w:id="41" w:name="_Toc5102"/>
      <w:bookmarkStart w:id="42" w:name="_Toc28009"/>
      <w:bookmarkStart w:id="43" w:name="_Toc28611"/>
      <w:bookmarkStart w:id="44" w:name="_Toc17509"/>
      <w:r>
        <w:rPr>
          <w:rFonts w:hint="eastAsia" w:ascii="宋体" w:hAnsi="宋体"/>
          <w:b/>
          <w:bCs/>
          <w:sz w:val="24"/>
        </w:rPr>
        <w:t>供应商须知前附表</w:t>
      </w:r>
      <w:bookmarkEnd w:id="40"/>
      <w:bookmarkEnd w:id="41"/>
      <w:bookmarkEnd w:id="42"/>
      <w:bookmarkEnd w:id="43"/>
      <w:bookmarkEnd w:id="44"/>
    </w:p>
    <w:tbl>
      <w:tblPr>
        <w:tblStyle w:val="22"/>
        <w:tblpPr w:leftFromText="180" w:rightFromText="180" w:vertAnchor="text" w:horzAnchor="page" w:tblpX="1930" w:tblpY="638"/>
        <w:tblOverlap w:val="never"/>
        <w:tblW w:w="8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26"/>
        <w:gridCol w:w="5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46" w:type="dxa"/>
            <w:vAlign w:val="center"/>
          </w:tcPr>
          <w:p>
            <w:pPr>
              <w:spacing w:line="360" w:lineRule="auto"/>
              <w:rPr>
                <w:rFonts w:ascii="宋体" w:hAnsi="宋体"/>
                <w:sz w:val="24"/>
              </w:rPr>
            </w:pPr>
            <w:bookmarkStart w:id="45" w:name="_Toc6157"/>
            <w:bookmarkStart w:id="46" w:name="_Toc24351"/>
            <w:bookmarkStart w:id="47" w:name="_Toc10586"/>
            <w:bookmarkStart w:id="48" w:name="_Toc9942"/>
            <w:r>
              <w:rPr>
                <w:rFonts w:hint="eastAsia" w:ascii="宋体" w:hAnsi="宋体"/>
                <w:sz w:val="24"/>
              </w:rPr>
              <w:t>序号</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名称</w:t>
            </w:r>
          </w:p>
        </w:tc>
        <w:tc>
          <w:tcPr>
            <w:tcW w:w="5504" w:type="dxa"/>
            <w:vAlign w:val="center"/>
          </w:tcPr>
          <w:p>
            <w:pPr>
              <w:spacing w:line="360" w:lineRule="auto"/>
              <w:ind w:firstLine="480" w:firstLineChars="200"/>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846" w:type="dxa"/>
            <w:vAlign w:val="center"/>
          </w:tcPr>
          <w:p>
            <w:pPr>
              <w:spacing w:line="360" w:lineRule="auto"/>
              <w:ind w:firstLine="240" w:firstLineChars="100"/>
              <w:rPr>
                <w:rFonts w:ascii="宋体" w:hAnsi="宋体"/>
                <w:sz w:val="24"/>
              </w:rPr>
            </w:pPr>
            <w:r>
              <w:rPr>
                <w:rFonts w:ascii="宋体" w:hAnsi="宋体"/>
                <w:sz w:val="24"/>
              </w:rPr>
              <w:t>1</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采购人</w:t>
            </w:r>
          </w:p>
        </w:tc>
        <w:tc>
          <w:tcPr>
            <w:tcW w:w="5504" w:type="dxa"/>
            <w:vAlign w:val="center"/>
          </w:tcPr>
          <w:p>
            <w:pPr>
              <w:spacing w:line="360" w:lineRule="auto"/>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采购代理机构</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w:t>
            </w:r>
          </w:p>
        </w:tc>
        <w:tc>
          <w:tcPr>
            <w:tcW w:w="2126" w:type="dxa"/>
            <w:vAlign w:val="center"/>
          </w:tcPr>
          <w:p>
            <w:pPr>
              <w:spacing w:line="400" w:lineRule="exact"/>
              <w:jc w:val="center"/>
              <w:rPr>
                <w:rFonts w:ascii="宋体" w:hAnsi="宋体" w:cs="宋体"/>
                <w:color w:val="333333"/>
                <w:kern w:val="0"/>
                <w:sz w:val="24"/>
              </w:rPr>
            </w:pPr>
            <w:r>
              <w:rPr>
                <w:rFonts w:ascii="宋体" w:hAnsi="宋体" w:cs="宋体"/>
                <w:sz w:val="24"/>
              </w:rPr>
              <w:t>项目名称</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lang w:eastAsia="zh-CN"/>
              </w:rPr>
              <w:t>兰考县奶牛现代农业产业园省财政奖补资金项目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hint="eastAsia" w:ascii="宋体" w:hAnsi="宋体"/>
                <w:sz w:val="24"/>
              </w:rPr>
              <w:t>4</w:t>
            </w:r>
          </w:p>
        </w:tc>
        <w:tc>
          <w:tcPr>
            <w:tcW w:w="2126" w:type="dxa"/>
            <w:vAlign w:val="center"/>
          </w:tcPr>
          <w:p>
            <w:pPr>
              <w:spacing w:line="400" w:lineRule="exact"/>
              <w:jc w:val="center"/>
              <w:rPr>
                <w:rFonts w:hint="eastAsia" w:ascii="宋体" w:hAnsi="宋体" w:eastAsia="宋体" w:cs="宋体"/>
                <w:bCs/>
                <w:iCs/>
                <w:sz w:val="24"/>
                <w:lang w:eastAsia="zh-CN"/>
              </w:rPr>
            </w:pPr>
            <w:r>
              <w:rPr>
                <w:rFonts w:hint="eastAsia" w:ascii="宋体" w:hAnsi="宋体" w:cs="宋体"/>
                <w:bCs/>
                <w:iCs/>
                <w:sz w:val="24"/>
                <w:lang w:eastAsia="zh-CN"/>
              </w:rPr>
              <w:t>标段名称</w:t>
            </w:r>
          </w:p>
        </w:tc>
        <w:tc>
          <w:tcPr>
            <w:tcW w:w="5504" w:type="dxa"/>
            <w:vAlign w:val="center"/>
          </w:tcPr>
          <w:p>
            <w:pPr>
              <w:spacing w:line="360" w:lineRule="auto"/>
              <w:rPr>
                <w:rFonts w:hint="eastAsia" w:ascii="宋体" w:hAnsi="宋体"/>
                <w:sz w:val="24"/>
              </w:rPr>
            </w:pPr>
            <w:r>
              <w:rPr>
                <w:rFonts w:hint="eastAsia" w:ascii="宋体" w:hAnsi="宋体"/>
                <w:sz w:val="24"/>
                <w:lang w:val="en-US" w:eastAsia="zh-CN"/>
              </w:rPr>
              <w:t>第一标段：</w:t>
            </w:r>
            <w:r>
              <w:rPr>
                <w:rFonts w:hint="eastAsia" w:ascii="宋体" w:hAnsi="宋体" w:eastAsia="宋体"/>
                <w:b w:val="0"/>
                <w:sz w:val="24"/>
                <w:lang w:eastAsia="zh-CN"/>
              </w:rPr>
              <w:t>河南启航牧业有限公司升级改造项目设备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ascii="宋体" w:hAnsi="宋体"/>
                <w:sz w:val="24"/>
              </w:rPr>
              <w:t>5</w:t>
            </w:r>
          </w:p>
        </w:tc>
        <w:tc>
          <w:tcPr>
            <w:tcW w:w="2126" w:type="dxa"/>
            <w:vAlign w:val="center"/>
          </w:tcPr>
          <w:p>
            <w:pPr>
              <w:spacing w:line="400" w:lineRule="exact"/>
              <w:jc w:val="center"/>
              <w:rPr>
                <w:rFonts w:hint="eastAsia" w:ascii="宋体" w:hAnsi="宋体" w:eastAsia="宋体" w:cs="宋体"/>
                <w:bCs/>
                <w:iCs/>
                <w:sz w:val="24"/>
                <w:lang w:eastAsia="zh-CN"/>
              </w:rPr>
            </w:pPr>
            <w:r>
              <w:rPr>
                <w:rFonts w:ascii="宋体" w:hAnsi="宋体" w:cs="宋体"/>
                <w:color w:val="000000"/>
                <w:sz w:val="24"/>
              </w:rPr>
              <w:t>交货</w:t>
            </w:r>
            <w:r>
              <w:rPr>
                <w:rFonts w:hint="eastAsia" w:ascii="宋体" w:hAnsi="宋体" w:cs="宋体"/>
                <w:color w:val="000000"/>
                <w:sz w:val="24"/>
                <w:lang w:eastAsia="zh-CN"/>
              </w:rPr>
              <w:t>期限</w:t>
            </w:r>
          </w:p>
        </w:tc>
        <w:tc>
          <w:tcPr>
            <w:tcW w:w="5504" w:type="dxa"/>
            <w:vAlign w:val="center"/>
          </w:tcPr>
          <w:p>
            <w:pPr>
              <w:spacing w:line="360" w:lineRule="auto"/>
              <w:rPr>
                <w:rFonts w:hint="eastAsia" w:ascii="宋体" w:hAnsi="宋体"/>
                <w:sz w:val="24"/>
              </w:rPr>
            </w:pPr>
            <w:r>
              <w:rPr>
                <w:rFonts w:hint="eastAsia" w:ascii="宋体" w:hAnsi="宋体" w:eastAsia="宋体" w:cs="宋体"/>
                <w:b w:val="0"/>
                <w:sz w:val="24"/>
                <w:highlight w:val="none"/>
                <w:u w:val="none"/>
                <w:lang w:val="en-US" w:eastAsia="zh-CN"/>
              </w:rPr>
              <w:t>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7</w:t>
            </w:r>
          </w:p>
        </w:tc>
        <w:tc>
          <w:tcPr>
            <w:tcW w:w="2126" w:type="dxa"/>
            <w:vAlign w:val="center"/>
          </w:tcPr>
          <w:p>
            <w:pPr>
              <w:spacing w:line="400" w:lineRule="exact"/>
              <w:jc w:val="center"/>
              <w:rPr>
                <w:rFonts w:ascii="宋体" w:hAnsi="宋体" w:cs="宋体"/>
                <w:bCs/>
                <w:iCs/>
                <w:sz w:val="24"/>
              </w:rPr>
            </w:pPr>
            <w:r>
              <w:rPr>
                <w:rFonts w:hint="eastAsia" w:ascii="宋体" w:hAnsi="宋体" w:cs="宋体"/>
                <w:bCs/>
                <w:iCs/>
                <w:sz w:val="24"/>
              </w:rPr>
              <w:t>招标范围</w:t>
            </w:r>
          </w:p>
        </w:tc>
        <w:tc>
          <w:tcPr>
            <w:tcW w:w="5504" w:type="dxa"/>
            <w:vAlign w:val="center"/>
          </w:tcPr>
          <w:p>
            <w:pPr>
              <w:spacing w:line="360" w:lineRule="auto"/>
              <w:rPr>
                <w:rFonts w:ascii="宋体" w:hAnsi="宋体"/>
                <w:sz w:val="24"/>
              </w:rPr>
            </w:pPr>
            <w:r>
              <w:rPr>
                <w:rFonts w:hint="eastAsia" w:ascii="宋体" w:hAnsi="宋体"/>
                <w:sz w:val="24"/>
              </w:rPr>
              <w:t>采购文件要求范围内的全部内容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8</w:t>
            </w:r>
          </w:p>
        </w:tc>
        <w:tc>
          <w:tcPr>
            <w:tcW w:w="2126" w:type="dxa"/>
            <w:vAlign w:val="center"/>
          </w:tcPr>
          <w:p>
            <w:pPr>
              <w:spacing w:line="400" w:lineRule="exact"/>
              <w:jc w:val="center"/>
              <w:rPr>
                <w:rFonts w:ascii="宋体" w:hAnsi="宋体" w:cs="宋体"/>
                <w:sz w:val="24"/>
              </w:rPr>
            </w:pPr>
            <w:r>
              <w:rPr>
                <w:rFonts w:ascii="宋体" w:hAnsi="宋体" w:cs="宋体"/>
                <w:sz w:val="24"/>
              </w:rPr>
              <w:t>交货地点</w:t>
            </w:r>
          </w:p>
        </w:tc>
        <w:tc>
          <w:tcPr>
            <w:tcW w:w="5504" w:type="dxa"/>
            <w:vAlign w:val="center"/>
          </w:tcPr>
          <w:p>
            <w:pPr>
              <w:spacing w:line="360" w:lineRule="auto"/>
              <w:rPr>
                <w:rFonts w:ascii="宋体" w:hAnsi="宋体"/>
                <w:sz w:val="24"/>
              </w:rPr>
            </w:pPr>
            <w:r>
              <w:rPr>
                <w:rFonts w:ascii="宋体" w:hAnsi="宋体"/>
                <w:sz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46" w:type="dxa"/>
            <w:vAlign w:val="center"/>
          </w:tcPr>
          <w:p>
            <w:pPr>
              <w:spacing w:line="360" w:lineRule="auto"/>
              <w:ind w:firstLine="240" w:firstLineChars="100"/>
              <w:rPr>
                <w:rFonts w:ascii="宋体" w:hAnsi="宋体"/>
                <w:sz w:val="24"/>
              </w:rPr>
            </w:pPr>
            <w:r>
              <w:rPr>
                <w:rFonts w:ascii="宋体" w:hAnsi="宋体"/>
                <w:sz w:val="24"/>
              </w:rPr>
              <w:t>9</w:t>
            </w:r>
          </w:p>
        </w:tc>
        <w:tc>
          <w:tcPr>
            <w:tcW w:w="2126" w:type="dxa"/>
            <w:vAlign w:val="center"/>
          </w:tcPr>
          <w:p>
            <w:pPr>
              <w:spacing w:line="400" w:lineRule="exact"/>
              <w:jc w:val="center"/>
              <w:rPr>
                <w:rFonts w:ascii="宋体" w:hAnsi="宋体" w:cs="宋体"/>
                <w:color w:val="000000"/>
                <w:kern w:val="0"/>
                <w:sz w:val="24"/>
              </w:rPr>
            </w:pPr>
            <w:r>
              <w:rPr>
                <w:rFonts w:ascii="宋体" w:hAnsi="宋体" w:cs="宋体"/>
                <w:sz w:val="24"/>
              </w:rPr>
              <w:t>质量要求</w:t>
            </w:r>
          </w:p>
        </w:tc>
        <w:tc>
          <w:tcPr>
            <w:tcW w:w="5504" w:type="dxa"/>
            <w:vAlign w:val="center"/>
          </w:tcPr>
          <w:p>
            <w:pPr>
              <w:spacing w:line="360" w:lineRule="auto"/>
              <w:rPr>
                <w:rFonts w:ascii="宋体" w:hAnsi="宋体"/>
                <w:sz w:val="24"/>
              </w:rPr>
            </w:pPr>
            <w:r>
              <w:rPr>
                <w:rFonts w:hint="eastAsia" w:ascii="宋体" w:hAnsi="宋体"/>
                <w:sz w:val="24"/>
              </w:rPr>
              <w:t>符合国家相关行业标准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10</w:t>
            </w:r>
          </w:p>
        </w:tc>
        <w:tc>
          <w:tcPr>
            <w:tcW w:w="2126" w:type="dxa"/>
            <w:vAlign w:val="center"/>
          </w:tcPr>
          <w:p>
            <w:pPr>
              <w:spacing w:line="400" w:lineRule="exact"/>
              <w:jc w:val="center"/>
              <w:rPr>
                <w:rFonts w:ascii="宋体" w:hAnsi="宋体" w:cs="宋体"/>
                <w:sz w:val="24"/>
              </w:rPr>
            </w:pPr>
            <w:r>
              <w:rPr>
                <w:rFonts w:ascii="宋体" w:hAnsi="宋体" w:cs="宋体"/>
                <w:sz w:val="24"/>
              </w:rPr>
              <w:t>资金来源</w:t>
            </w:r>
          </w:p>
        </w:tc>
        <w:tc>
          <w:tcPr>
            <w:tcW w:w="5504" w:type="dxa"/>
            <w:vAlign w:val="center"/>
          </w:tcPr>
          <w:p>
            <w:pPr>
              <w:spacing w:line="360" w:lineRule="auto"/>
              <w:rPr>
                <w:rFonts w:ascii="宋体" w:hAnsi="宋体"/>
                <w:sz w:val="24"/>
              </w:rPr>
            </w:pPr>
            <w:r>
              <w:rPr>
                <w:rFonts w:hint="eastAsia" w:ascii="宋体" w:hAnsi="宋体"/>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11</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资金落实情况</w:t>
            </w:r>
          </w:p>
        </w:tc>
        <w:tc>
          <w:tcPr>
            <w:tcW w:w="5504" w:type="dxa"/>
            <w:vAlign w:val="center"/>
          </w:tcPr>
          <w:p>
            <w:pPr>
              <w:spacing w:line="360" w:lineRule="auto"/>
              <w:rPr>
                <w:rFonts w:ascii="宋体" w:hAnsi="宋体"/>
                <w:sz w:val="24"/>
              </w:rPr>
            </w:pPr>
            <w:r>
              <w:rPr>
                <w:rFonts w:hint="eastAsia" w:ascii="宋体" w:hAnsi="宋体"/>
                <w:sz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bookmarkStart w:id="49" w:name="_Hlk59203217"/>
            <w:r>
              <w:rPr>
                <w:rFonts w:ascii="宋体" w:hAnsi="宋体"/>
                <w:sz w:val="24"/>
              </w:rPr>
              <w:t>12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供应商资格要求</w:t>
            </w:r>
          </w:p>
        </w:tc>
        <w:tc>
          <w:tcPr>
            <w:tcW w:w="5504" w:type="dxa"/>
          </w:tcPr>
          <w:p>
            <w:pPr>
              <w:spacing w:line="360" w:lineRule="auto"/>
              <w:rPr>
                <w:rFonts w:ascii="宋体" w:hAnsi="宋体"/>
                <w:sz w:val="24"/>
              </w:rPr>
            </w:pPr>
            <w:r>
              <w:rPr>
                <w:rFonts w:ascii="宋体" w:hAnsi="宋体"/>
                <w:sz w:val="24"/>
              </w:rPr>
              <w:t>1.满足《中华人民共和国政府采购法》第二十二条规定；</w:t>
            </w:r>
          </w:p>
          <w:p>
            <w:pPr>
              <w:spacing w:line="360" w:lineRule="auto"/>
              <w:rPr>
                <w:rFonts w:ascii="宋体" w:hAnsi="宋体"/>
                <w:sz w:val="24"/>
              </w:rPr>
            </w:pPr>
            <w:r>
              <w:rPr>
                <w:rFonts w:ascii="宋体" w:hAnsi="宋体"/>
                <w:sz w:val="24"/>
              </w:rPr>
              <w:t>2.落实政府采购政策需满足的资格要求：</w:t>
            </w:r>
          </w:p>
          <w:p>
            <w:pPr>
              <w:spacing w:line="360" w:lineRule="auto"/>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rPr>
                <w:rFonts w:ascii="宋体" w:hAnsi="宋体"/>
                <w:sz w:val="24"/>
              </w:rPr>
            </w:pPr>
            <w:r>
              <w:rPr>
                <w:rFonts w:ascii="宋体" w:hAnsi="宋体"/>
                <w:sz w:val="24"/>
              </w:rPr>
              <w:t>3.本项目的特定资格要求：</w:t>
            </w:r>
          </w:p>
          <w:p>
            <w:pPr>
              <w:spacing w:line="360" w:lineRule="auto"/>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rPr>
                <w:rFonts w:ascii="宋体" w:hAnsi="宋体"/>
                <w:sz w:val="24"/>
              </w:rPr>
            </w:pPr>
            <w:r>
              <w:rPr>
                <w:rFonts w:ascii="宋体" w:hAnsi="宋体"/>
                <w:sz w:val="24"/>
              </w:rPr>
              <w:t>3.5、参加政府采购活动前三年内，在经营活动中没有重大违法记录（提供承诺函,格式自拟）；</w:t>
            </w:r>
          </w:p>
          <w:p>
            <w:pPr>
              <w:spacing w:line="360" w:lineRule="auto"/>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rPr>
                <w:rFonts w:hint="eastAsia" w:ascii="宋体" w:hAnsi="宋体"/>
                <w:sz w:val="24"/>
              </w:rPr>
            </w:pPr>
            <w:r>
              <w:rPr>
                <w:rFonts w:ascii="宋体" w:hAnsi="宋体"/>
                <w:sz w:val="24"/>
              </w:rPr>
              <w:t>3.8、本次招标不接受联合体投标。</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rPr>
                <w:rFonts w:ascii="宋体" w:hAnsi="宋体"/>
                <w:sz w:val="24"/>
              </w:rPr>
            </w:pPr>
            <w:r>
              <w:rPr>
                <w:rFonts w:ascii="宋体" w:hAnsi="宋体"/>
                <w:sz w:val="24"/>
              </w:rPr>
              <w:t xml:space="preserve">  13</w:t>
            </w:r>
          </w:p>
        </w:tc>
        <w:tc>
          <w:tcPr>
            <w:tcW w:w="2126" w:type="dxa"/>
            <w:vAlign w:val="center"/>
          </w:tcPr>
          <w:p>
            <w:pPr>
              <w:spacing w:line="360" w:lineRule="auto"/>
              <w:rPr>
                <w:rFonts w:ascii="宋体" w:hAnsi="宋体"/>
                <w:sz w:val="24"/>
              </w:rPr>
            </w:pPr>
            <w:r>
              <w:rPr>
                <w:rFonts w:hint="eastAsia" w:ascii="宋体" w:hAnsi="宋体"/>
                <w:sz w:val="24"/>
              </w:rPr>
              <w:t>是否接受联合体投标</w:t>
            </w:r>
          </w:p>
        </w:tc>
        <w:tc>
          <w:tcPr>
            <w:tcW w:w="5504" w:type="dxa"/>
            <w:vAlign w:val="center"/>
          </w:tcPr>
          <w:p>
            <w:pPr>
              <w:spacing w:line="360" w:lineRule="auto"/>
              <w:rPr>
                <w:rFonts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14</w:t>
            </w:r>
          </w:p>
        </w:tc>
        <w:tc>
          <w:tcPr>
            <w:tcW w:w="2126" w:type="dxa"/>
            <w:vAlign w:val="center"/>
          </w:tcPr>
          <w:p>
            <w:pPr>
              <w:spacing w:line="360" w:lineRule="auto"/>
              <w:rPr>
                <w:rFonts w:ascii="宋体" w:hAnsi="宋体"/>
                <w:sz w:val="24"/>
              </w:rPr>
            </w:pPr>
            <w:r>
              <w:rPr>
                <w:rFonts w:hint="eastAsia" w:ascii="宋体" w:hAnsi="宋体"/>
                <w:sz w:val="24"/>
              </w:rPr>
              <w:t>投标预备会</w:t>
            </w:r>
          </w:p>
        </w:tc>
        <w:tc>
          <w:tcPr>
            <w:tcW w:w="5504" w:type="dxa"/>
            <w:vAlign w:val="center"/>
          </w:tcPr>
          <w:p>
            <w:pPr>
              <w:spacing w:line="360" w:lineRule="auto"/>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15</w:t>
            </w:r>
          </w:p>
        </w:tc>
        <w:tc>
          <w:tcPr>
            <w:tcW w:w="2126" w:type="dxa"/>
            <w:vAlign w:val="center"/>
          </w:tcPr>
          <w:p>
            <w:pPr>
              <w:spacing w:line="400" w:lineRule="exact"/>
              <w:rPr>
                <w:rFonts w:ascii="宋体" w:hAnsi="宋体"/>
                <w:sz w:val="24"/>
              </w:rPr>
            </w:pPr>
            <w:r>
              <w:rPr>
                <w:rFonts w:ascii="宋体" w:hAnsi="宋体" w:cs="宋体"/>
                <w:sz w:val="24"/>
              </w:rPr>
              <w:t>采购人书面澄清时间</w:t>
            </w:r>
          </w:p>
        </w:tc>
        <w:tc>
          <w:tcPr>
            <w:tcW w:w="5504" w:type="dxa"/>
            <w:vAlign w:val="center"/>
          </w:tcPr>
          <w:p>
            <w:pPr>
              <w:spacing w:line="400" w:lineRule="exact"/>
              <w:rPr>
                <w:rFonts w:ascii="宋体" w:hAnsi="宋体"/>
                <w:sz w:val="24"/>
              </w:rPr>
            </w:pPr>
            <w:r>
              <w:rPr>
                <w:rFonts w:ascii="宋体" w:hAnsi="宋体" w:cs="宋体"/>
                <w:kern w:val="0"/>
                <w:sz w:val="24"/>
              </w:rPr>
              <w:t xml:space="preserve">递交投标文件截至之日15日前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16</w:t>
            </w:r>
          </w:p>
        </w:tc>
        <w:tc>
          <w:tcPr>
            <w:tcW w:w="2126" w:type="dxa"/>
            <w:vAlign w:val="center"/>
          </w:tcPr>
          <w:p>
            <w:pPr>
              <w:spacing w:line="400" w:lineRule="exact"/>
              <w:rPr>
                <w:rFonts w:ascii="宋体" w:hAnsi="宋体" w:cs="宋体"/>
                <w:color w:val="333333"/>
                <w:kern w:val="0"/>
                <w:sz w:val="24"/>
              </w:rPr>
            </w:pPr>
            <w:r>
              <w:rPr>
                <w:rFonts w:ascii="宋体" w:hAnsi="宋体" w:cs="宋体"/>
                <w:color w:val="000000"/>
                <w:sz w:val="24"/>
              </w:rPr>
              <w:t>供应商提出问题的截止时间</w:t>
            </w:r>
          </w:p>
        </w:tc>
        <w:tc>
          <w:tcPr>
            <w:tcW w:w="5504" w:type="dxa"/>
            <w:vAlign w:val="center"/>
          </w:tcPr>
          <w:p>
            <w:pPr>
              <w:spacing w:line="400" w:lineRule="exact"/>
              <w:rPr>
                <w:rFonts w:ascii="宋体" w:hAnsi="宋体" w:cs="宋体"/>
                <w:color w:val="000000"/>
                <w:kern w:val="0"/>
                <w:sz w:val="24"/>
                <w:u w:val="single"/>
              </w:rPr>
            </w:pPr>
            <w:r>
              <w:rPr>
                <w:rFonts w:ascii="宋体" w:hAnsi="宋体" w:cs="宋体"/>
                <w:kern w:val="0"/>
                <w:sz w:val="24"/>
              </w:rPr>
              <w:t xml:space="preserve">递交投标文件截至之日10日前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17</w:t>
            </w:r>
          </w:p>
        </w:tc>
        <w:tc>
          <w:tcPr>
            <w:tcW w:w="2126" w:type="dxa"/>
            <w:vAlign w:val="center"/>
          </w:tcPr>
          <w:p>
            <w:pPr>
              <w:spacing w:line="360" w:lineRule="auto"/>
              <w:rPr>
                <w:rFonts w:ascii="宋体" w:hAnsi="宋体" w:cs="宋体"/>
                <w:color w:val="000000"/>
                <w:sz w:val="24"/>
              </w:rPr>
            </w:pPr>
            <w:r>
              <w:rPr>
                <w:rFonts w:hint="eastAsia" w:ascii="宋体" w:hAnsi="宋体"/>
                <w:sz w:val="24"/>
              </w:rPr>
              <w:t>分包</w:t>
            </w:r>
          </w:p>
        </w:tc>
        <w:tc>
          <w:tcPr>
            <w:tcW w:w="5504" w:type="dxa"/>
            <w:vAlign w:val="center"/>
          </w:tcPr>
          <w:p>
            <w:pPr>
              <w:spacing w:line="360" w:lineRule="auto"/>
              <w:rPr>
                <w:rFonts w:ascii="宋体" w:hAnsi="宋体" w:cs="宋体"/>
                <w:kern w:val="0"/>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18</w:t>
            </w:r>
          </w:p>
        </w:tc>
        <w:tc>
          <w:tcPr>
            <w:tcW w:w="2126" w:type="dxa"/>
            <w:vAlign w:val="center"/>
          </w:tcPr>
          <w:p>
            <w:pPr>
              <w:spacing w:line="360" w:lineRule="auto"/>
              <w:rPr>
                <w:rFonts w:ascii="宋体" w:hAnsi="宋体"/>
                <w:sz w:val="24"/>
              </w:rPr>
            </w:pPr>
            <w:r>
              <w:rPr>
                <w:rFonts w:hint="eastAsia" w:ascii="宋体" w:hAnsi="宋体"/>
                <w:sz w:val="24"/>
              </w:rPr>
              <w:t>构成采购文件的其他材料</w:t>
            </w:r>
          </w:p>
        </w:tc>
        <w:tc>
          <w:tcPr>
            <w:tcW w:w="5504" w:type="dxa"/>
            <w:vAlign w:val="center"/>
          </w:tcPr>
          <w:p>
            <w:pPr>
              <w:spacing w:line="360" w:lineRule="auto"/>
              <w:rPr>
                <w:rFonts w:ascii="宋体" w:hAnsi="宋体"/>
                <w:sz w:val="24"/>
              </w:rPr>
            </w:pPr>
            <w:r>
              <w:rPr>
                <w:rFonts w:ascii="宋体" w:hAnsi="宋体" w:cs="宋体"/>
                <w:sz w:val="24"/>
              </w:rPr>
              <w:t>除采购文件外，采购人在招标期间发出的澄清、修改、补充、补遗和其它有效正式函件均是采购文件的组成部分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19</w:t>
            </w:r>
          </w:p>
        </w:tc>
        <w:tc>
          <w:tcPr>
            <w:tcW w:w="2126" w:type="dxa"/>
            <w:vAlign w:val="center"/>
          </w:tcPr>
          <w:p>
            <w:pPr>
              <w:spacing w:line="360" w:lineRule="auto"/>
              <w:rPr>
                <w:rFonts w:ascii="宋体" w:hAnsi="宋体"/>
                <w:sz w:val="24"/>
              </w:rPr>
            </w:pPr>
            <w:r>
              <w:rPr>
                <w:rFonts w:hint="eastAsia" w:ascii="宋体" w:hAnsi="宋体"/>
                <w:sz w:val="24"/>
              </w:rPr>
              <w:t>投标截止时间</w:t>
            </w:r>
          </w:p>
        </w:tc>
        <w:tc>
          <w:tcPr>
            <w:tcW w:w="5504" w:type="dxa"/>
            <w:vAlign w:val="center"/>
          </w:tcPr>
          <w:p>
            <w:pPr>
              <w:spacing w:line="360" w:lineRule="auto"/>
              <w:rPr>
                <w:rFonts w:ascii="宋体" w:hAnsi="宋体"/>
                <w:sz w:val="24"/>
              </w:rPr>
            </w:pPr>
            <w:r>
              <w:rPr>
                <w:rFonts w:hint="eastAsia" w:ascii="宋体" w:hAnsi="宋体"/>
                <w:sz w:val="24"/>
              </w:rPr>
              <w:t>202</w:t>
            </w:r>
            <w:r>
              <w:rPr>
                <w:rFonts w:ascii="宋体" w:hAnsi="宋体"/>
                <w:sz w:val="24"/>
              </w:rPr>
              <w:t>2</w:t>
            </w:r>
            <w:r>
              <w:rPr>
                <w:rFonts w:hint="eastAsia" w:ascii="宋体" w:hAnsi="宋体"/>
                <w:sz w:val="24"/>
              </w:rPr>
              <w:t>年</w:t>
            </w:r>
            <w:r>
              <w:rPr>
                <w:rFonts w:hint="eastAsia" w:ascii="宋体" w:hAnsi="宋体"/>
                <w:sz w:val="24"/>
                <w:lang w:eastAsia="zh-CN"/>
              </w:rPr>
              <w:t>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20</w:t>
            </w:r>
          </w:p>
        </w:tc>
        <w:tc>
          <w:tcPr>
            <w:tcW w:w="2126" w:type="dxa"/>
            <w:vAlign w:val="center"/>
          </w:tcPr>
          <w:p>
            <w:pPr>
              <w:spacing w:line="360" w:lineRule="auto"/>
              <w:rPr>
                <w:rFonts w:ascii="宋体" w:hAnsi="宋体"/>
                <w:sz w:val="24"/>
              </w:rPr>
            </w:pPr>
            <w:r>
              <w:rPr>
                <w:rFonts w:hint="eastAsia" w:ascii="宋体" w:hAnsi="宋体"/>
                <w:sz w:val="24"/>
              </w:rPr>
              <w:t>供应商确认收到采购文件澄清的时间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21</w:t>
            </w:r>
          </w:p>
        </w:tc>
        <w:tc>
          <w:tcPr>
            <w:tcW w:w="2126" w:type="dxa"/>
            <w:vAlign w:val="center"/>
          </w:tcPr>
          <w:p>
            <w:pPr>
              <w:spacing w:line="360" w:lineRule="auto"/>
              <w:rPr>
                <w:rFonts w:ascii="宋体" w:hAnsi="宋体"/>
                <w:sz w:val="24"/>
              </w:rPr>
            </w:pPr>
            <w:r>
              <w:rPr>
                <w:rFonts w:hint="eastAsia" w:ascii="宋体" w:hAnsi="宋体"/>
                <w:sz w:val="24"/>
              </w:rPr>
              <w:t>供应商确认收到采购文件修改的时间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22</w:t>
            </w:r>
          </w:p>
        </w:tc>
        <w:tc>
          <w:tcPr>
            <w:tcW w:w="2126" w:type="dxa"/>
            <w:vAlign w:val="center"/>
          </w:tcPr>
          <w:p>
            <w:pPr>
              <w:spacing w:line="400" w:lineRule="exact"/>
              <w:jc w:val="both"/>
              <w:rPr>
                <w:rFonts w:ascii="宋体" w:hAnsi="宋体"/>
                <w:sz w:val="24"/>
              </w:rPr>
            </w:pPr>
            <w:r>
              <w:rPr>
                <w:rFonts w:ascii="宋体" w:hAnsi="宋体" w:cs="宋体"/>
                <w:sz w:val="24"/>
              </w:rPr>
              <w:t>投标有效期</w:t>
            </w:r>
          </w:p>
        </w:tc>
        <w:tc>
          <w:tcPr>
            <w:tcW w:w="5504" w:type="dxa"/>
            <w:vAlign w:val="center"/>
          </w:tcPr>
          <w:p>
            <w:pPr>
              <w:spacing w:line="400" w:lineRule="exact"/>
              <w:rPr>
                <w:rFonts w:ascii="宋体" w:hAnsi="宋体"/>
                <w:sz w:val="24"/>
              </w:rPr>
            </w:pPr>
            <w:r>
              <w:rPr>
                <w:rFonts w:ascii="宋体" w:hAnsi="宋体" w:cs="宋体"/>
                <w:sz w:val="24"/>
              </w:rPr>
              <w:t>自投标截止之日起60日历天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23</w:t>
            </w:r>
          </w:p>
        </w:tc>
        <w:tc>
          <w:tcPr>
            <w:tcW w:w="2126" w:type="dxa"/>
            <w:vAlign w:val="center"/>
          </w:tcPr>
          <w:p>
            <w:pPr>
              <w:spacing w:line="360" w:lineRule="auto"/>
              <w:rPr>
                <w:rFonts w:ascii="宋体" w:hAnsi="宋体" w:cs="宋体"/>
                <w:sz w:val="24"/>
              </w:rPr>
            </w:pPr>
            <w:r>
              <w:rPr>
                <w:rFonts w:hint="eastAsia" w:ascii="宋体" w:hAnsi="宋体"/>
                <w:sz w:val="24"/>
              </w:rPr>
              <w:t>投标保证金</w:t>
            </w:r>
          </w:p>
        </w:tc>
        <w:tc>
          <w:tcPr>
            <w:tcW w:w="5504" w:type="dxa"/>
            <w:vAlign w:val="center"/>
          </w:tcPr>
          <w:p>
            <w:pPr>
              <w:spacing w:line="360" w:lineRule="auto"/>
              <w:rPr>
                <w:rFonts w:ascii="宋体" w:hAnsi="宋体" w:cs="宋体"/>
                <w:sz w:val="24"/>
              </w:rPr>
            </w:pPr>
            <w:r>
              <w:rPr>
                <w:rFonts w:hint="eastAsia" w:ascii="宋体" w:hAnsi="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46" w:type="dxa"/>
            <w:vAlign w:val="center"/>
          </w:tcPr>
          <w:p>
            <w:pPr>
              <w:spacing w:line="360" w:lineRule="auto"/>
              <w:ind w:firstLine="120" w:firstLineChars="50"/>
              <w:rPr>
                <w:rFonts w:ascii="宋体" w:hAnsi="宋体"/>
                <w:sz w:val="24"/>
              </w:rPr>
            </w:pPr>
            <w:r>
              <w:rPr>
                <w:rFonts w:hint="eastAsia" w:ascii="宋体" w:hAnsi="宋体"/>
                <w:sz w:val="24"/>
              </w:rPr>
              <w:t>2</w:t>
            </w:r>
            <w:r>
              <w:rPr>
                <w:rFonts w:ascii="宋体" w:hAnsi="宋体"/>
                <w:sz w:val="24"/>
              </w:rPr>
              <w:t>4</w:t>
            </w:r>
          </w:p>
        </w:tc>
        <w:tc>
          <w:tcPr>
            <w:tcW w:w="2126" w:type="dxa"/>
            <w:vAlign w:val="center"/>
          </w:tcPr>
          <w:p>
            <w:pPr>
              <w:spacing w:line="360" w:lineRule="auto"/>
              <w:rPr>
                <w:rFonts w:ascii="宋体" w:hAnsi="宋体"/>
                <w:sz w:val="24"/>
              </w:rPr>
            </w:pPr>
            <w:r>
              <w:rPr>
                <w:rFonts w:hint="eastAsia" w:ascii="宋体" w:hAnsi="宋体"/>
                <w:sz w:val="24"/>
              </w:rPr>
              <w:t>是否允许递交备选投标方案</w:t>
            </w:r>
          </w:p>
        </w:tc>
        <w:tc>
          <w:tcPr>
            <w:tcW w:w="5504" w:type="dxa"/>
            <w:vAlign w:val="center"/>
          </w:tcPr>
          <w:p>
            <w:pPr>
              <w:spacing w:line="360" w:lineRule="auto"/>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25</w:t>
            </w:r>
          </w:p>
        </w:tc>
        <w:tc>
          <w:tcPr>
            <w:tcW w:w="2126" w:type="dxa"/>
            <w:vAlign w:val="center"/>
          </w:tcPr>
          <w:p>
            <w:pPr>
              <w:spacing w:line="400" w:lineRule="exact"/>
              <w:jc w:val="center"/>
              <w:rPr>
                <w:rFonts w:ascii="宋体" w:hAnsi="宋体"/>
                <w:sz w:val="24"/>
              </w:rPr>
            </w:pPr>
            <w:r>
              <w:rPr>
                <w:rFonts w:hint="eastAsia" w:ascii="宋体" w:hAnsi="宋体" w:cs="宋体"/>
                <w:sz w:val="24"/>
              </w:rPr>
              <w:t>偏离</w:t>
            </w:r>
          </w:p>
        </w:tc>
        <w:tc>
          <w:tcPr>
            <w:tcW w:w="5504" w:type="dxa"/>
            <w:vAlign w:val="center"/>
          </w:tcPr>
          <w:p>
            <w:pPr>
              <w:spacing w:line="360" w:lineRule="auto"/>
              <w:rPr>
                <w:rFonts w:ascii="宋体" w:hAnsi="宋体" w:cs="宋体"/>
                <w:sz w:val="24"/>
              </w:rPr>
            </w:pPr>
            <w:r>
              <w:rPr>
                <w:rFonts w:hint="eastAsia" w:ascii="宋体" w:hAnsi="宋体" w:cs="宋体"/>
                <w:sz w:val="24"/>
              </w:rPr>
              <w:t>不允许以下重大偏离：</w:t>
            </w:r>
          </w:p>
          <w:p>
            <w:pPr>
              <w:spacing w:line="360" w:lineRule="auto"/>
              <w:rPr>
                <w:rFonts w:ascii="宋体" w:hAnsi="宋体" w:cs="宋体"/>
                <w:sz w:val="24"/>
              </w:rPr>
            </w:pPr>
            <w:r>
              <w:rPr>
                <w:rFonts w:hint="eastAsia" w:ascii="宋体" w:hAnsi="宋体" w:cs="宋体"/>
                <w:sz w:val="24"/>
              </w:rPr>
              <w:t>经评标委员会审查后，投标文件有下列情形之一的，视为未能实质性响应采购文件，应认定为无效标（即废标）：</w:t>
            </w:r>
          </w:p>
          <w:p>
            <w:pPr>
              <w:spacing w:line="360" w:lineRule="auto"/>
              <w:rPr>
                <w:rFonts w:ascii="宋体" w:hAnsi="宋体" w:cs="宋体"/>
                <w:sz w:val="24"/>
              </w:rPr>
            </w:pPr>
            <w:r>
              <w:rPr>
                <w:rFonts w:hint="eastAsia" w:ascii="宋体" w:hAnsi="宋体" w:cs="宋体"/>
                <w:sz w:val="24"/>
              </w:rPr>
              <w:t>1、投标文件没有加盖供应商单位公章的；</w:t>
            </w:r>
          </w:p>
          <w:p>
            <w:pPr>
              <w:spacing w:line="360" w:lineRule="auto"/>
              <w:rPr>
                <w:rFonts w:ascii="宋体" w:hAnsi="宋体" w:cs="宋体"/>
                <w:sz w:val="24"/>
              </w:rPr>
            </w:pPr>
            <w:r>
              <w:rPr>
                <w:rFonts w:hint="eastAsia" w:ascii="宋体" w:hAnsi="宋体" w:cs="宋体"/>
                <w:sz w:val="24"/>
              </w:rPr>
              <w:t>2、投标文件载明的项目完成期限超过采购文件规定的期限；</w:t>
            </w:r>
          </w:p>
          <w:p>
            <w:pPr>
              <w:spacing w:line="360" w:lineRule="auto"/>
              <w:rPr>
                <w:rFonts w:ascii="宋体" w:hAnsi="宋体" w:cs="宋体"/>
                <w:sz w:val="24"/>
              </w:rPr>
            </w:pPr>
            <w:r>
              <w:rPr>
                <w:rFonts w:hint="eastAsia" w:ascii="宋体" w:hAnsi="宋体" w:cs="宋体"/>
                <w:sz w:val="24"/>
              </w:rPr>
              <w:t>3、明显不符合技术规格、技术标准要求的，偏离使采购人不能接受的；</w:t>
            </w:r>
          </w:p>
          <w:p>
            <w:pPr>
              <w:spacing w:line="360" w:lineRule="auto"/>
              <w:rPr>
                <w:rFonts w:ascii="宋体" w:hAnsi="宋体" w:cs="宋体"/>
                <w:sz w:val="24"/>
              </w:rPr>
            </w:pPr>
            <w:r>
              <w:rPr>
                <w:rFonts w:hint="eastAsia" w:ascii="宋体" w:hAnsi="宋体" w:cs="宋体"/>
                <w:sz w:val="24"/>
              </w:rPr>
              <w:t>4、供应商拒绝按评标委员会要求对投标文件进行澄清、说明、补正或澄清，说明、补正不能合理说明情况的；</w:t>
            </w:r>
          </w:p>
          <w:p>
            <w:pPr>
              <w:spacing w:line="360" w:lineRule="auto"/>
              <w:rPr>
                <w:rFonts w:ascii="宋体" w:hAnsi="宋体" w:cs="宋体"/>
                <w:sz w:val="24"/>
              </w:rPr>
            </w:pPr>
            <w:r>
              <w:rPr>
                <w:rFonts w:hint="eastAsia" w:ascii="宋体" w:hAnsi="宋体" w:cs="宋体"/>
                <w:sz w:val="24"/>
              </w:rPr>
              <w:t>5、投标文件附加有采购人不能接受的条件的；</w:t>
            </w:r>
          </w:p>
          <w:p>
            <w:pPr>
              <w:spacing w:line="360" w:lineRule="auto"/>
              <w:rPr>
                <w:rFonts w:ascii="宋体" w:hAnsi="宋体" w:cs="宋体"/>
                <w:sz w:val="24"/>
              </w:rPr>
            </w:pPr>
            <w:r>
              <w:rPr>
                <w:rFonts w:hint="eastAsia" w:ascii="宋体" w:hAnsi="宋体" w:cs="宋体"/>
                <w:sz w:val="24"/>
              </w:rPr>
              <w:t>6、供应商递交两份或多份内容不同的投标文件，或在一份投标文件中报有两个或多个报价，但未声明哪一个有效的；</w:t>
            </w:r>
          </w:p>
          <w:p>
            <w:pPr>
              <w:spacing w:line="360" w:lineRule="auto"/>
              <w:rPr>
                <w:rFonts w:ascii="宋体" w:hAnsi="宋体"/>
                <w:sz w:val="24"/>
              </w:rPr>
            </w:pPr>
            <w:r>
              <w:rPr>
                <w:rFonts w:hint="eastAsia" w:ascii="宋体" w:hAnsi="宋体" w:cs="宋体"/>
                <w:sz w:val="24"/>
              </w:rPr>
              <w:t>7、其他违反招投标法以及相关法律、法规和规定的。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26</w:t>
            </w:r>
          </w:p>
        </w:tc>
        <w:tc>
          <w:tcPr>
            <w:tcW w:w="2126" w:type="dxa"/>
            <w:vAlign w:val="center"/>
          </w:tcPr>
          <w:p>
            <w:pPr>
              <w:spacing w:line="400" w:lineRule="exact"/>
              <w:jc w:val="center"/>
              <w:rPr>
                <w:rFonts w:ascii="宋体" w:hAnsi="宋体" w:cs="宋体"/>
                <w:sz w:val="24"/>
              </w:rPr>
            </w:pPr>
            <w:r>
              <w:rPr>
                <w:rFonts w:ascii="宋体" w:hAnsi="宋体" w:cs="宋体"/>
                <w:sz w:val="24"/>
              </w:rPr>
              <w:t>签字或盖章要求</w:t>
            </w:r>
          </w:p>
        </w:tc>
        <w:tc>
          <w:tcPr>
            <w:tcW w:w="5504" w:type="dxa"/>
            <w:vAlign w:val="center"/>
          </w:tcPr>
          <w:p>
            <w:pPr>
              <w:spacing w:line="360" w:lineRule="auto"/>
              <w:rPr>
                <w:rFonts w:ascii="宋体" w:hAnsi="宋体" w:cs="宋体"/>
                <w:sz w:val="24"/>
              </w:rPr>
            </w:pPr>
            <w:r>
              <w:rPr>
                <w:rFonts w:ascii="宋体" w:hAnsi="宋体" w:cs="宋体"/>
                <w:sz w:val="24"/>
              </w:rPr>
              <w:t>1、</w:t>
            </w:r>
            <w:r>
              <w:rPr>
                <w:rFonts w:hint="eastAsia" w:ascii="宋体" w:hAnsi="宋体" w:cs="宋体"/>
                <w:sz w:val="24"/>
              </w:rPr>
              <w:t>由供应商的法定代表人或其委托代理人按采购文件要求签字，并加盖单位公章。</w:t>
            </w:r>
          </w:p>
          <w:p>
            <w:pPr>
              <w:spacing w:line="400" w:lineRule="exact"/>
              <w:rPr>
                <w:rFonts w:ascii="宋体" w:hAnsi="宋体" w:cs="宋体"/>
                <w:sz w:val="24"/>
              </w:rPr>
            </w:pPr>
            <w:r>
              <w:rPr>
                <w:rFonts w:ascii="宋体" w:hAnsi="宋体" w:cs="宋体"/>
                <w:sz w:val="24"/>
              </w:rPr>
              <w:t>2、采购文件中要求法定代表人或授权委托人签字或盖章的，供应商在进行电子版投标文件签章时，以签盖法定代表人签章为准。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27</w:t>
            </w:r>
          </w:p>
        </w:tc>
        <w:tc>
          <w:tcPr>
            <w:tcW w:w="2126" w:type="dxa"/>
            <w:vAlign w:val="center"/>
          </w:tcPr>
          <w:p>
            <w:pPr>
              <w:spacing w:line="276" w:lineRule="auto"/>
              <w:rPr>
                <w:rFonts w:ascii="宋体" w:hAnsi="宋体" w:cs="宋体"/>
                <w:sz w:val="24"/>
              </w:rPr>
            </w:pPr>
            <w:r>
              <w:rPr>
                <w:rFonts w:hint="eastAsia"/>
                <w:sz w:val="24"/>
              </w:rPr>
              <w:t>电子投标</w:t>
            </w:r>
            <w:r>
              <w:rPr>
                <w:sz w:val="24"/>
              </w:rPr>
              <w:t>文件份数</w:t>
            </w:r>
          </w:p>
        </w:tc>
        <w:tc>
          <w:tcPr>
            <w:tcW w:w="5504" w:type="dxa"/>
            <w:vAlign w:val="center"/>
          </w:tcPr>
          <w:p>
            <w:pPr>
              <w:spacing w:line="360" w:lineRule="auto"/>
              <w:rPr>
                <w:rFonts w:ascii="宋体" w:hAnsi="宋体" w:cs="宋体"/>
                <w:sz w:val="24"/>
              </w:rPr>
            </w:pPr>
            <w:r>
              <w:rPr>
                <w:sz w:val="24"/>
              </w:rPr>
              <w:t>加密的电子</w:t>
            </w:r>
            <w:r>
              <w:rPr>
                <w:rFonts w:hint="eastAsia"/>
                <w:sz w:val="24"/>
              </w:rPr>
              <w:t>投标</w:t>
            </w:r>
            <w:r>
              <w:rPr>
                <w:sz w:val="24"/>
              </w:rPr>
              <w:t>文件壹份（</w:t>
            </w:r>
            <w:r>
              <w:rPr>
                <w:rFonts w:hint="eastAsia" w:ascii="宋体" w:hAnsi="宋体"/>
                <w:sz w:val="24"/>
              </w:rPr>
              <w:t>兰考县公共资源交易中心网站相应位置上传</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28</w:t>
            </w:r>
          </w:p>
        </w:tc>
        <w:tc>
          <w:tcPr>
            <w:tcW w:w="2126" w:type="dxa"/>
            <w:vAlign w:val="center"/>
          </w:tcPr>
          <w:p>
            <w:pPr>
              <w:spacing w:line="360" w:lineRule="auto"/>
              <w:rPr>
                <w:sz w:val="24"/>
              </w:rPr>
            </w:pPr>
            <w:r>
              <w:rPr>
                <w:rFonts w:hint="eastAsia" w:ascii="宋体" w:hAnsi="宋体"/>
                <w:sz w:val="24"/>
              </w:rPr>
              <w:t>递交投标文件地点</w:t>
            </w:r>
          </w:p>
        </w:tc>
        <w:tc>
          <w:tcPr>
            <w:tcW w:w="5504" w:type="dxa"/>
          </w:tcPr>
          <w:p>
            <w:pPr>
              <w:spacing w:line="360" w:lineRule="auto"/>
              <w:rPr>
                <w:sz w:val="24"/>
              </w:rPr>
            </w:pPr>
            <w:r>
              <w:rPr>
                <w:rFonts w:hint="eastAsia"/>
                <w:sz w:val="24"/>
              </w:rPr>
              <w:t>各供应商应在投标截止时间前上传加密的电子投标文件到系统的指定位置。请供应商在上传时认真检查上传的投标文件是否完整、正确。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29</w:t>
            </w:r>
          </w:p>
        </w:tc>
        <w:tc>
          <w:tcPr>
            <w:tcW w:w="2126" w:type="dxa"/>
            <w:vAlign w:val="center"/>
          </w:tcPr>
          <w:p>
            <w:pPr>
              <w:spacing w:line="360" w:lineRule="auto"/>
              <w:rPr>
                <w:rFonts w:ascii="宋体" w:hAnsi="宋体"/>
                <w:sz w:val="24"/>
              </w:rPr>
            </w:pPr>
            <w:r>
              <w:rPr>
                <w:rFonts w:hint="eastAsia" w:ascii="宋体" w:hAnsi="宋体"/>
                <w:sz w:val="24"/>
              </w:rPr>
              <w:t>开标时间和地点</w:t>
            </w:r>
          </w:p>
        </w:tc>
        <w:tc>
          <w:tcPr>
            <w:tcW w:w="5504" w:type="dxa"/>
          </w:tcPr>
          <w:p>
            <w:pPr>
              <w:spacing w:line="360" w:lineRule="auto"/>
              <w:rPr>
                <w:rFonts w:ascii="宋体" w:hAnsi="宋体"/>
                <w:sz w:val="24"/>
              </w:rPr>
            </w:pPr>
            <w:r>
              <w:rPr>
                <w:rFonts w:hint="eastAsia" w:ascii="宋体" w:hAnsi="宋体"/>
                <w:sz w:val="24"/>
              </w:rPr>
              <w:t>开标时间：</w:t>
            </w: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r>
              <w:rPr>
                <w:rFonts w:ascii="宋体" w:hAnsi="宋体"/>
                <w:sz w:val="24"/>
              </w:rPr>
              <w:t>）</w:t>
            </w:r>
          </w:p>
          <w:p>
            <w:pPr>
              <w:spacing w:line="360" w:lineRule="auto"/>
              <w:rPr>
                <w:rFonts w:ascii="宋体" w:hAnsi="宋体"/>
                <w:sz w:val="24"/>
              </w:rPr>
            </w:pPr>
            <w:r>
              <w:rPr>
                <w:rFonts w:hint="eastAsia" w:ascii="宋体" w:hAnsi="宋体"/>
                <w:sz w:val="24"/>
              </w:rPr>
              <w:t>开标地点：兰考县公共资源交易中心西四楼开标室（兰考县裕禄大道中段170号）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30</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开标程序</w:t>
            </w:r>
          </w:p>
        </w:tc>
        <w:tc>
          <w:tcPr>
            <w:tcW w:w="5504" w:type="dxa"/>
          </w:tcPr>
          <w:p>
            <w:pPr>
              <w:spacing w:line="360" w:lineRule="auto"/>
              <w:rPr>
                <w:rFonts w:ascii="宋体" w:hAnsi="宋体" w:cs="宋体"/>
                <w:sz w:val="24"/>
              </w:rPr>
            </w:pPr>
            <w:r>
              <w:rPr>
                <w:rFonts w:hint="eastAsia" w:ascii="宋体" w:hAnsi="宋体" w:cs="宋体"/>
                <w:sz w:val="24"/>
              </w:rPr>
              <w:t>本项目采用“远程不见面” 开标方式,供应商无需到兰考县公共资源交易中心现场参加开标会议。</w:t>
            </w:r>
            <w:r>
              <w:rPr>
                <w:rFonts w:hint="eastAsia" w:ascii="宋体" w:hAnsi="宋体" w:cs="宋体"/>
                <w:sz w:val="24"/>
              </w:rPr>
              <w:br w:type="textWrapping"/>
            </w:r>
            <w:r>
              <w:rPr>
                <w:rFonts w:hint="eastAsia" w:ascii="宋体" w:hAnsi="宋体" w:cs="宋体"/>
                <w:sz w:val="24"/>
              </w:rPr>
              <w:t>供应商应当在采购文件确定的投标截止时间前，登录远程开标大厅,在线准时参加开标活动并进行投标文件解密、 答疑澄清等（系统解密时长默认为40分钟，错过解密时长者视为自动放弃本次投标） 。</w:t>
            </w:r>
            <w:r>
              <w:rPr>
                <w:rFonts w:hint="eastAsia" w:ascii="宋体" w:hAnsi="宋体" w:cs="宋体"/>
                <w:sz w:val="24"/>
              </w:rPr>
              <w:br w:type="textWrapping"/>
            </w:r>
            <w:r>
              <w:rPr>
                <w:rFonts w:hint="eastAsia" w:ascii="宋体" w:hAnsi="宋体" w:cs="宋体"/>
                <w:sz w:val="24"/>
              </w:rPr>
              <w:t>开标程序：</w:t>
            </w:r>
            <w:r>
              <w:rPr>
                <w:rFonts w:hint="eastAsia" w:ascii="宋体" w:hAnsi="宋体" w:cs="宋体"/>
                <w:sz w:val="24"/>
              </w:rPr>
              <w:br w:type="textWrapping"/>
            </w:r>
            <w:r>
              <w:rPr>
                <w:rFonts w:hint="eastAsia" w:ascii="宋体" w:hAnsi="宋体" w:cs="宋体"/>
                <w:sz w:val="24"/>
              </w:rPr>
              <w:t>1、 主持人点击“开标”，解密开始倒计时。</w:t>
            </w:r>
            <w:r>
              <w:rPr>
                <w:rFonts w:hint="eastAsia" w:ascii="宋体" w:hAnsi="宋体" w:cs="宋体"/>
                <w:sz w:val="24"/>
              </w:rPr>
              <w:br w:type="textWrapping"/>
            </w:r>
            <w:r>
              <w:rPr>
                <w:rFonts w:hint="eastAsia" w:ascii="宋体" w:hAnsi="宋体" w:cs="宋体"/>
                <w:sz w:val="24"/>
              </w:rPr>
              <w:t>2、 供应商对所上传加密的投标文件在规定时间内进行解密。</w:t>
            </w:r>
            <w:r>
              <w:rPr>
                <w:rFonts w:hint="eastAsia" w:ascii="宋体" w:hAnsi="宋体" w:cs="宋体"/>
                <w:sz w:val="24"/>
              </w:rPr>
              <w:br w:type="textWrapping"/>
            </w:r>
            <w:r>
              <w:rPr>
                <w:rFonts w:hint="eastAsia" w:ascii="宋体" w:hAnsi="宋体" w:cs="宋体"/>
                <w:sz w:val="24"/>
              </w:rPr>
              <w:t>3、 解密时间结束后5分钟质疑时间,无供应商提出异议，开标结束。</w:t>
            </w:r>
          </w:p>
          <w:p>
            <w:pPr>
              <w:spacing w:line="360" w:lineRule="auto"/>
              <w:rPr>
                <w:rFonts w:ascii="宋体" w:hAnsi="宋体"/>
                <w:sz w:val="24"/>
              </w:rPr>
            </w:pPr>
            <w:r>
              <w:rPr>
                <w:rFonts w:hint="eastAsia" w:ascii="宋体" w:hAnsi="宋体"/>
                <w:sz w:val="24"/>
              </w:rPr>
              <w:t>备注：</w:t>
            </w:r>
            <w:r>
              <w:rPr>
                <w:rFonts w:ascii="宋体" w:hAnsi="宋体"/>
                <w:sz w:val="24"/>
              </w:rPr>
              <w:t>供应商在</w:t>
            </w:r>
            <w:r>
              <w:rPr>
                <w:rFonts w:hint="eastAsia" w:ascii="宋体" w:hAnsi="宋体"/>
                <w:sz w:val="24"/>
              </w:rPr>
              <w:t>投标</w:t>
            </w:r>
            <w:r>
              <w:rPr>
                <w:rFonts w:ascii="宋体" w:hAnsi="宋体"/>
                <w:sz w:val="24"/>
              </w:rPr>
              <w:t>截止时间前未上传电</w:t>
            </w:r>
            <w:r>
              <w:rPr>
                <w:rFonts w:hint="eastAsia" w:ascii="宋体" w:hAnsi="宋体"/>
                <w:sz w:val="24"/>
              </w:rPr>
              <w:t>子投标</w:t>
            </w:r>
            <w:r>
              <w:rPr>
                <w:rFonts w:ascii="宋体" w:hAnsi="宋体"/>
                <w:sz w:val="24"/>
              </w:rPr>
              <w:t>文件的将视为放弃投标，因供应商原因造成</w:t>
            </w:r>
            <w:r>
              <w:rPr>
                <w:rFonts w:hint="eastAsia" w:ascii="宋体" w:hAnsi="宋体"/>
                <w:sz w:val="24"/>
              </w:rPr>
              <w:t>投标</w:t>
            </w:r>
            <w:r>
              <w:rPr>
                <w:rFonts w:ascii="宋体" w:hAnsi="宋体"/>
                <w:sz w:val="24"/>
              </w:rPr>
              <w:t>文件未解密成功的，视为撤销其</w:t>
            </w:r>
            <w:r>
              <w:rPr>
                <w:rFonts w:hint="eastAsia" w:ascii="宋体" w:hAnsi="宋体"/>
                <w:sz w:val="24"/>
              </w:rPr>
              <w:t>投标</w:t>
            </w:r>
            <w:r>
              <w:rPr>
                <w:rFonts w:ascii="宋体" w:hAnsi="宋体"/>
                <w:sz w:val="24"/>
              </w:rPr>
              <w:t>文件；本</w:t>
            </w:r>
            <w:r>
              <w:rPr>
                <w:rFonts w:hint="eastAsia" w:ascii="宋体" w:hAnsi="宋体"/>
                <w:sz w:val="24"/>
              </w:rPr>
              <w:t>项目</w:t>
            </w:r>
            <w:r>
              <w:rPr>
                <w:rFonts w:ascii="宋体" w:hAnsi="宋体"/>
                <w:sz w:val="24"/>
              </w:rPr>
              <w:t>解密的</w:t>
            </w:r>
            <w:r>
              <w:rPr>
                <w:rFonts w:hint="eastAsia" w:ascii="宋体" w:hAnsi="宋体"/>
                <w:sz w:val="24"/>
              </w:rPr>
              <w:t>投标</w:t>
            </w:r>
            <w:r>
              <w:rPr>
                <w:rFonts w:ascii="宋体" w:hAnsi="宋体"/>
                <w:sz w:val="24"/>
              </w:rPr>
              <w:t>文件不足三家时不再开标。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31</w:t>
            </w:r>
          </w:p>
        </w:tc>
        <w:tc>
          <w:tcPr>
            <w:tcW w:w="2126" w:type="dxa"/>
            <w:vAlign w:val="center"/>
          </w:tcPr>
          <w:p>
            <w:pPr>
              <w:spacing w:line="360" w:lineRule="auto"/>
              <w:rPr>
                <w:rFonts w:ascii="宋体" w:hAnsi="宋体"/>
                <w:sz w:val="24"/>
              </w:rPr>
            </w:pPr>
            <w:r>
              <w:rPr>
                <w:rFonts w:hint="eastAsia" w:ascii="宋体" w:hAnsi="宋体"/>
                <w:sz w:val="24"/>
              </w:rPr>
              <w:t>评标委员会的组建</w:t>
            </w:r>
          </w:p>
        </w:tc>
        <w:tc>
          <w:tcPr>
            <w:tcW w:w="5504" w:type="dxa"/>
          </w:tcPr>
          <w:p>
            <w:pPr>
              <w:spacing w:line="400" w:lineRule="exact"/>
              <w:rPr>
                <w:rFonts w:ascii="宋体" w:hAnsi="宋体"/>
                <w:sz w:val="24"/>
              </w:rPr>
            </w:pPr>
            <w:r>
              <w:rPr>
                <w:rFonts w:ascii="宋体" w:hAnsi="宋体"/>
                <w:sz w:val="24"/>
              </w:rPr>
              <w:t>评标委员会构成：</w:t>
            </w:r>
            <w:r>
              <w:rPr>
                <w:rFonts w:ascii="宋体" w:hAnsi="宋体"/>
                <w:sz w:val="24"/>
                <w:u w:val="single"/>
              </w:rPr>
              <w:t>5</w:t>
            </w:r>
            <w:r>
              <w:rPr>
                <w:rFonts w:ascii="宋体" w:hAnsi="宋体"/>
                <w:sz w:val="24"/>
              </w:rPr>
              <w:t>人，由采购人代表</w:t>
            </w:r>
            <w:r>
              <w:rPr>
                <w:rFonts w:ascii="宋体" w:hAnsi="宋体"/>
                <w:sz w:val="24"/>
                <w:u w:val="single"/>
              </w:rPr>
              <w:t xml:space="preserve"> 1 </w:t>
            </w:r>
            <w:r>
              <w:rPr>
                <w:rFonts w:ascii="宋体" w:hAnsi="宋体"/>
                <w:sz w:val="24"/>
              </w:rPr>
              <w:t>人及技术、经济方面专家</w:t>
            </w:r>
            <w:r>
              <w:rPr>
                <w:rFonts w:ascii="宋体" w:hAnsi="宋体"/>
                <w:sz w:val="24"/>
                <w:u w:val="single"/>
              </w:rPr>
              <w:t xml:space="preserve"> 4 </w:t>
            </w:r>
            <w:r>
              <w:rPr>
                <w:rFonts w:ascii="宋体" w:hAnsi="宋体"/>
                <w:sz w:val="24"/>
              </w:rPr>
              <w:t>人组成。</w:t>
            </w:r>
          </w:p>
          <w:p>
            <w:pPr>
              <w:spacing w:line="360" w:lineRule="auto"/>
              <w:rPr>
                <w:rFonts w:ascii="宋体" w:hAnsi="宋体"/>
                <w:sz w:val="24"/>
              </w:rPr>
            </w:pPr>
            <w:r>
              <w:rPr>
                <w:rFonts w:ascii="宋体" w:hAnsi="宋体"/>
                <w:sz w:val="24"/>
              </w:rPr>
              <w:t>评标专家确定方式：开标前从有关专家库中随机抽取。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46" w:type="dxa"/>
            <w:vAlign w:val="center"/>
          </w:tcPr>
          <w:p>
            <w:pPr>
              <w:spacing w:line="360" w:lineRule="auto"/>
              <w:ind w:firstLine="240" w:firstLineChars="100"/>
              <w:rPr>
                <w:rFonts w:ascii="宋体" w:hAnsi="宋体"/>
                <w:sz w:val="24"/>
              </w:rPr>
            </w:pPr>
            <w:r>
              <w:rPr>
                <w:rFonts w:ascii="宋体" w:hAnsi="宋体"/>
                <w:sz w:val="24"/>
              </w:rPr>
              <w:t>32</w:t>
            </w:r>
          </w:p>
        </w:tc>
        <w:tc>
          <w:tcPr>
            <w:tcW w:w="2126" w:type="dxa"/>
            <w:vAlign w:val="center"/>
          </w:tcPr>
          <w:p>
            <w:pPr>
              <w:spacing w:line="360" w:lineRule="auto"/>
              <w:rPr>
                <w:rFonts w:ascii="宋体" w:hAnsi="宋体"/>
                <w:sz w:val="24"/>
              </w:rPr>
            </w:pPr>
            <w:r>
              <w:rPr>
                <w:rFonts w:hint="eastAsia" w:ascii="宋体" w:hAnsi="宋体"/>
                <w:sz w:val="24"/>
              </w:rPr>
              <w:t>是否授权评标委员会确定中标人</w:t>
            </w:r>
          </w:p>
        </w:tc>
        <w:tc>
          <w:tcPr>
            <w:tcW w:w="5504" w:type="dxa"/>
            <w:vAlign w:val="center"/>
          </w:tcPr>
          <w:p>
            <w:pPr>
              <w:spacing w:line="360" w:lineRule="auto"/>
              <w:rPr>
                <w:rFonts w:ascii="宋体" w:hAnsi="宋体"/>
                <w:sz w:val="24"/>
              </w:rPr>
            </w:pPr>
            <w:r>
              <w:rPr>
                <w:rFonts w:hint="eastAsia" w:ascii="宋体" w:hAnsi="宋体"/>
                <w:sz w:val="24"/>
              </w:rPr>
              <w:t>否，推荐的中标候选人数：3名</w:t>
            </w:r>
          </w:p>
          <w:p>
            <w:pPr>
              <w:spacing w:line="360" w:lineRule="auto"/>
              <w:rPr>
                <w:rFonts w:ascii="宋体" w:hAnsi="宋体"/>
                <w:sz w:val="24"/>
              </w:rPr>
            </w:pPr>
            <w:r>
              <w:rPr>
                <w:rFonts w:hint="eastAsia" w:ascii="宋体" w:hAnsi="宋体"/>
                <w:sz w:val="24"/>
              </w:rPr>
              <w:t>依法必需招标的项目，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400" w:lineRule="exact"/>
              <w:jc w:val="center"/>
              <w:rPr>
                <w:rFonts w:ascii="宋体" w:hAnsi="宋体"/>
                <w:sz w:val="24"/>
              </w:rPr>
            </w:pPr>
            <w:r>
              <w:rPr>
                <w:rFonts w:ascii="宋体" w:hAnsi="宋体" w:cs="宋体"/>
                <w:sz w:val="24"/>
              </w:rPr>
              <w:t>33</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代理服务费</w:t>
            </w:r>
          </w:p>
        </w:tc>
        <w:tc>
          <w:tcPr>
            <w:tcW w:w="5504" w:type="dxa"/>
            <w:vAlign w:val="center"/>
          </w:tcPr>
          <w:p>
            <w:pPr>
              <w:spacing w:line="360" w:lineRule="auto"/>
              <w:rPr>
                <w:rFonts w:ascii="宋体" w:hAnsi="宋体"/>
                <w:sz w:val="24"/>
              </w:rPr>
            </w:pPr>
            <w:r>
              <w:rPr>
                <w:rFonts w:hint="eastAsia" w:ascii="宋体" w:hAnsi="宋体"/>
                <w:sz w:val="24"/>
              </w:rPr>
              <w:t>本次招标代理服务费由中标人支付。招标代理服务费按《国家发展改革委办公厅关于招标代理服务收费有关问题的通知》(发改办价[2003]857号)和国家计委关于《招标代理服务收费管理暂行办法》（计价格[2011]534号）及参考国家计价【2015】299号中的招标代理服务收费标准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sz w:val="24"/>
              </w:rPr>
            </w:pPr>
            <w:r>
              <w:rPr>
                <w:rFonts w:hint="eastAsia" w:ascii="宋体" w:hAnsi="宋体" w:cs="宋体"/>
                <w:sz w:val="24"/>
              </w:rPr>
              <w:t>3</w:t>
            </w:r>
            <w:r>
              <w:rPr>
                <w:rFonts w:ascii="宋体" w:hAnsi="宋体" w:cs="宋体"/>
                <w:sz w:val="24"/>
              </w:rPr>
              <w:t>4</w:t>
            </w:r>
          </w:p>
        </w:tc>
        <w:tc>
          <w:tcPr>
            <w:tcW w:w="2126" w:type="dxa"/>
            <w:vAlign w:val="center"/>
          </w:tcPr>
          <w:p>
            <w:pPr>
              <w:spacing w:line="400" w:lineRule="exact"/>
              <w:jc w:val="center"/>
              <w:rPr>
                <w:rFonts w:ascii="宋体" w:hAnsi="宋体"/>
                <w:sz w:val="24"/>
              </w:rPr>
            </w:pPr>
            <w:r>
              <w:rPr>
                <w:rFonts w:ascii="宋体" w:hAnsi="宋体" w:cs="宋体"/>
                <w:color w:val="000000"/>
                <w:kern w:val="0"/>
                <w:sz w:val="24"/>
              </w:rPr>
              <w:t>招标控制价</w:t>
            </w:r>
          </w:p>
        </w:tc>
        <w:tc>
          <w:tcPr>
            <w:tcW w:w="5504" w:type="dxa"/>
            <w:vAlign w:val="center"/>
          </w:tcPr>
          <w:p>
            <w:pPr>
              <w:pStyle w:val="43"/>
              <w:spacing w:line="360" w:lineRule="auto"/>
              <w:jc w:val="both"/>
              <w:rPr>
                <w:color w:val="000000"/>
              </w:rPr>
            </w:pPr>
            <w:r>
              <w:rPr>
                <w:color w:val="000000"/>
              </w:rPr>
              <w:t>招标控制价：</w:t>
            </w:r>
          </w:p>
          <w:p>
            <w:pPr>
              <w:pStyle w:val="43"/>
              <w:spacing w:line="360" w:lineRule="auto"/>
              <w:jc w:val="both"/>
              <w:rPr>
                <w:rFonts w:hint="eastAsia"/>
                <w:color w:val="000000"/>
                <w:lang w:val="en-US" w:eastAsia="zh-CN"/>
              </w:rPr>
            </w:pPr>
            <w:r>
              <w:rPr>
                <w:rFonts w:hint="eastAsia"/>
                <w:color w:val="000000"/>
                <w:lang w:val="en-US" w:eastAsia="zh-CN"/>
              </w:rPr>
              <w:t>第一标段：1890000.00元</w:t>
            </w:r>
          </w:p>
          <w:p>
            <w:pPr>
              <w:pStyle w:val="43"/>
              <w:spacing w:line="360" w:lineRule="auto"/>
              <w:jc w:val="both"/>
              <w:rPr>
                <w:rFonts w:ascii="宋体" w:hAnsi="宋体"/>
                <w:sz w:val="24"/>
              </w:rPr>
            </w:pPr>
            <w:r>
              <w:rPr>
                <w:rFonts w:hint="eastAsia"/>
              </w:rPr>
              <w:t>超出控制价的投标报价无效，做废标处理。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5</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质疑、投诉</w:t>
            </w:r>
          </w:p>
        </w:tc>
        <w:tc>
          <w:tcPr>
            <w:tcW w:w="5504" w:type="dxa"/>
            <w:vAlign w:val="center"/>
          </w:tcPr>
          <w:p>
            <w:pPr>
              <w:spacing w:line="360" w:lineRule="auto"/>
              <w:jc w:val="left"/>
              <w:rPr>
                <w:color w:val="000000"/>
              </w:rPr>
            </w:pPr>
            <w:r>
              <w:rPr>
                <w:rFonts w:hint="eastAsia" w:ascii="宋体" w:hAnsi="宋体" w:cs="宋体"/>
                <w:color w:val="000000"/>
                <w:sz w:val="24"/>
              </w:rPr>
              <w:t>供应商(供应商)向采购人（采购人）、招标代理机构（采购代理机构）提出质疑(异议)的方式为线上提起，并在规定时间内对供应商(供应商)的质疑函(异议书)进行回复。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6</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硬件特征码</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供应商必需承诺独立制作、修改和上传投标文件，因“硬件特征码一致”所造成的不良后果由供应商自行承担。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7</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补充事项</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本文件中所指的有关投诉、质疑，均为线上提起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43"/>
              <w:spacing w:line="360" w:lineRule="auto"/>
              <w:jc w:val="center"/>
              <w:rPr>
                <w:rFonts w:hint="default" w:ascii="宋体" w:hAnsi="宋体" w:eastAsia="宋体" w:cs="宋体"/>
                <w:sz w:val="24"/>
                <w:lang w:val="en-US" w:eastAsia="zh-CN"/>
              </w:rPr>
            </w:pPr>
            <w:r>
              <w:rPr>
                <w:rFonts w:hint="eastAsia" w:cs="宋体"/>
                <w:sz w:val="24"/>
                <w:lang w:val="en-US" w:eastAsia="zh-CN"/>
              </w:rPr>
              <w:t>38</w:t>
            </w:r>
          </w:p>
        </w:tc>
        <w:tc>
          <w:tcPr>
            <w:tcW w:w="2126" w:type="dxa"/>
            <w:vAlign w:val="center"/>
          </w:tcPr>
          <w:p>
            <w:pPr>
              <w:pStyle w:val="43"/>
              <w:spacing w:line="360" w:lineRule="auto"/>
              <w:jc w:val="both"/>
              <w:rPr>
                <w:color w:val="000000"/>
              </w:rPr>
            </w:pPr>
            <w:r>
              <w:rPr>
                <w:rFonts w:hint="eastAsia"/>
                <w:color w:val="000000"/>
              </w:rPr>
              <w:t>电子招标投标注意事项（本项目采用电子招标投标）</w:t>
            </w:r>
          </w:p>
          <w:p>
            <w:pPr>
              <w:spacing w:line="400" w:lineRule="exact"/>
              <w:jc w:val="center"/>
              <w:rPr>
                <w:rFonts w:ascii="宋体" w:hAnsi="宋体" w:cs="宋体"/>
                <w:color w:val="000000"/>
                <w:kern w:val="0"/>
                <w:sz w:val="24"/>
              </w:rPr>
            </w:pPr>
          </w:p>
        </w:tc>
        <w:tc>
          <w:tcPr>
            <w:tcW w:w="5504" w:type="dxa"/>
            <w:vAlign w:val="center"/>
          </w:tcPr>
          <w:p>
            <w:pPr>
              <w:pStyle w:val="43"/>
              <w:spacing w:line="360" w:lineRule="auto"/>
              <w:jc w:val="both"/>
              <w:rPr>
                <w:color w:val="000000"/>
              </w:rPr>
            </w:pPr>
            <w:r>
              <w:rPr>
                <w:rFonts w:hint="eastAsia"/>
                <w:color w:val="000000"/>
              </w:rPr>
              <w:t>1.供应商应在投标文件递交的截止时间之前通过兰考县公共资源交易中心网递交电子投标文件，并由供应商的法定代表人电子签章和企业电子签章。</w:t>
            </w:r>
          </w:p>
          <w:p>
            <w:pPr>
              <w:pStyle w:val="43"/>
              <w:spacing w:line="360" w:lineRule="auto"/>
              <w:jc w:val="both"/>
              <w:rPr>
                <w:color w:val="000000"/>
              </w:rPr>
            </w:pPr>
            <w:r>
              <w:rPr>
                <w:rFonts w:hint="eastAsia"/>
                <w:color w:val="000000"/>
              </w:rPr>
              <w:t>2.请供应商在上传电子投标文件时认真检查上传投标文件是否完整、正确。</w:t>
            </w:r>
          </w:p>
          <w:p>
            <w:pPr>
              <w:pStyle w:val="43"/>
              <w:spacing w:line="360" w:lineRule="auto"/>
              <w:jc w:val="both"/>
              <w:rPr>
                <w:color w:val="000000"/>
              </w:rPr>
            </w:pPr>
            <w:r>
              <w:rPr>
                <w:rFonts w:hint="eastAsia"/>
                <w:color w:val="000000"/>
              </w:rPr>
              <w:t>3.请供应商时刻关注兰考县公共资源交易中心网站和公司CA密钥推送消息。</w:t>
            </w:r>
          </w:p>
          <w:p>
            <w:pPr>
              <w:pStyle w:val="43"/>
              <w:spacing w:line="360" w:lineRule="auto"/>
              <w:jc w:val="both"/>
              <w:rPr>
                <w:color w:val="000000"/>
              </w:rPr>
            </w:pPr>
            <w:r>
              <w:rPr>
                <w:rFonts w:hint="eastAsia"/>
                <w:color w:val="000000"/>
              </w:rPr>
              <w:t>4.加密电子投标文件逾期上传指定地点的，采购人不予受理。</w:t>
            </w:r>
          </w:p>
          <w:p>
            <w:pPr>
              <w:pStyle w:val="43"/>
              <w:spacing w:line="360" w:lineRule="auto"/>
              <w:jc w:val="both"/>
              <w:rPr>
                <w:color w:val="000000"/>
              </w:rPr>
            </w:pPr>
            <w:r>
              <w:rPr>
                <w:rFonts w:hint="eastAsia"/>
                <w:color w:val="000000"/>
              </w:rPr>
              <w:t>5.电子投标文件需在投标截止时间前在兰考县公共资源交易中心网站（http://www.lkxggzy.com/）会员系统中加密上传。</w:t>
            </w:r>
          </w:p>
          <w:p>
            <w:pPr>
              <w:pStyle w:val="43"/>
              <w:spacing w:line="360" w:lineRule="auto"/>
              <w:jc w:val="both"/>
              <w:rPr>
                <w:color w:val="000000"/>
              </w:rPr>
            </w:pPr>
            <w:r>
              <w:rPr>
                <w:rFonts w:hint="eastAsia"/>
                <w:color w:val="000000"/>
              </w:rPr>
              <w:t>6.供应商应按开标程序解密投标文件。</w:t>
            </w:r>
          </w:p>
          <w:p>
            <w:pPr>
              <w:pStyle w:val="43"/>
              <w:spacing w:line="360" w:lineRule="auto"/>
              <w:jc w:val="both"/>
              <w:rPr>
                <w:color w:val="000000"/>
              </w:rPr>
            </w:pPr>
            <w:r>
              <w:rPr>
                <w:rFonts w:hint="eastAsia"/>
                <w:color w:val="000000"/>
              </w:rPr>
              <w:t>7.各供应商从参与项目交易开始至项目交易活动结束止，应时刻关注电子交易系统中的项目进度和状态，特别是项目评审期间，由于自身原因错过变更通知、文件澄清、报价响应（自系统发起30分钟内做出）等重要信息的，后果由投标（响应）人自行承担。</w:t>
            </w:r>
          </w:p>
          <w:p>
            <w:pPr>
              <w:pStyle w:val="43"/>
              <w:spacing w:line="360" w:lineRule="auto"/>
              <w:jc w:val="both"/>
              <w:rPr>
                <w:rFonts w:ascii="宋体" w:hAnsi="宋体" w:cs="宋体"/>
                <w:color w:val="000000"/>
                <w:kern w:val="0"/>
                <w:sz w:val="24"/>
              </w:rPr>
            </w:pPr>
            <w:r>
              <w:rPr>
                <w:rFonts w:hint="eastAsia"/>
                <w:color w:val="000000"/>
              </w:rPr>
              <w:t>备注：供应商的电子投标文件需到兰考县公共资源交易中心网站登录业务系统，凭CA密钥登录会员系统，在“组件下载”中下载最新版本的投标文件制作工具安装包，并使用安装后的最新版本投标文件制作工具制作电子投标文件（具体操作程序详见办事指南-操作规程）；供应商因交易中心投标系统问题无法上传电子投标文件时，请在工作时间与兰考县公共资源交易中心相关工作人员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6" w:type="dxa"/>
            <w:gridSpan w:val="3"/>
            <w:vAlign w:val="center"/>
          </w:tcPr>
          <w:p>
            <w:pPr>
              <w:pStyle w:val="43"/>
              <w:spacing w:line="360" w:lineRule="auto"/>
              <w:rPr>
                <w:color w:val="000000"/>
              </w:rPr>
            </w:pPr>
            <w:bookmarkStart w:id="50" w:name="_Toc10700"/>
            <w:r>
              <w:rPr>
                <w:rFonts w:hint="eastAsia"/>
                <w:color w:val="000000"/>
              </w:rPr>
              <w:t>根据《政府采购促进中小企业发展管理办法》：在政府采购活动中，供应商提供的货物、工程或者服务符合下列情形的，享受中小企业扶持政策：</w:t>
            </w:r>
          </w:p>
          <w:p>
            <w:pPr>
              <w:pStyle w:val="43"/>
              <w:spacing w:line="360" w:lineRule="auto"/>
              <w:rPr>
                <w:color w:val="000000"/>
              </w:rPr>
            </w:pPr>
            <w:r>
              <w:rPr>
                <w:rFonts w:hint="eastAsia"/>
                <w:color w:val="000000"/>
              </w:rPr>
              <w:t>（一）在货物采购项目中，货物由中小企业制造，即货物由中小企业生产且使用该中小企业商号或者注册商标；</w:t>
            </w:r>
          </w:p>
          <w:p>
            <w:pPr>
              <w:pStyle w:val="43"/>
              <w:spacing w:line="360" w:lineRule="auto"/>
              <w:rPr>
                <w:color w:val="000000"/>
              </w:rPr>
            </w:pPr>
            <w:r>
              <w:rPr>
                <w:rFonts w:hint="eastAsia"/>
                <w:color w:val="000000"/>
              </w:rPr>
              <w:t>（二）在工程采购项目中，工程由中小企业承建，即工程施工单位为中小企业；</w:t>
            </w:r>
          </w:p>
          <w:p>
            <w:pPr>
              <w:pStyle w:val="43"/>
              <w:spacing w:line="360" w:lineRule="auto"/>
              <w:rPr>
                <w:color w:val="000000"/>
              </w:rPr>
            </w:pPr>
            <w:r>
              <w:rPr>
                <w:rFonts w:hint="eastAsia"/>
                <w:color w:val="000000"/>
              </w:rPr>
              <w:t>（三）在服务采购项目中，服务由中小企业承接，即提供服务的人员为中小企业依照《中华人民共和国劳动合同法》订立劳动合同的从业人员。</w:t>
            </w:r>
          </w:p>
          <w:p>
            <w:pPr>
              <w:pStyle w:val="43"/>
              <w:spacing w:line="360" w:lineRule="auto"/>
              <w:rPr>
                <w:color w:val="000000"/>
              </w:rPr>
            </w:pPr>
            <w:r>
              <w:rPr>
                <w:rFonts w:hint="eastAsia"/>
                <w:color w:val="000000"/>
              </w:rPr>
              <w:t>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pPr>
              <w:pStyle w:val="43"/>
              <w:spacing w:line="360" w:lineRule="auto"/>
              <w:jc w:val="center"/>
              <w:rPr>
                <w:rFonts w:hint="eastAsia"/>
                <w:color w:val="000000"/>
              </w:rPr>
            </w:pPr>
            <w:r>
              <w:rPr>
                <w:rFonts w:hint="eastAsia"/>
                <w:color w:val="000000"/>
              </w:rPr>
              <w:t>潜在供应商符合中小企业扶持政策的，对其报价给予10%的扣除，用扣除后的价格参与评审。企业的认定根据供应商提供的《中小企业声明函》内容进行。</w:t>
            </w:r>
          </w:p>
        </w:tc>
      </w:tr>
      <w:bookmarkEnd w:id="45"/>
      <w:bookmarkEnd w:id="46"/>
      <w:bookmarkEnd w:id="47"/>
      <w:bookmarkEnd w:id="48"/>
    </w:tbl>
    <w:p>
      <w:pPr>
        <w:spacing w:line="360" w:lineRule="auto"/>
        <w:rPr>
          <w:rFonts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sectPr>
          <w:pgSz w:w="11906" w:h="16838"/>
          <w:pgMar w:top="1440" w:right="1276" w:bottom="1440" w:left="1083" w:header="851" w:footer="992" w:gutter="0"/>
          <w:cols w:space="720" w:num="1"/>
          <w:docGrid w:type="lines" w:linePitch="314" w:charSpace="0"/>
        </w:sectPr>
      </w:pPr>
    </w:p>
    <w:p>
      <w:pPr>
        <w:spacing w:line="360" w:lineRule="auto"/>
        <w:ind w:firstLine="422" w:firstLineChars="150"/>
        <w:rPr>
          <w:rFonts w:ascii="宋体" w:hAnsi="宋体"/>
          <w:b/>
          <w:bCs/>
          <w:sz w:val="28"/>
          <w:szCs w:val="28"/>
        </w:rPr>
      </w:pPr>
      <w:r>
        <w:rPr>
          <w:rFonts w:hint="eastAsia" w:ascii="宋体" w:hAnsi="宋体"/>
          <w:b/>
          <w:bCs/>
          <w:sz w:val="28"/>
          <w:szCs w:val="28"/>
        </w:rPr>
        <w:t>1、总则</w:t>
      </w:r>
      <w:bookmarkEnd w:id="50"/>
    </w:p>
    <w:p>
      <w:pPr>
        <w:spacing w:line="360" w:lineRule="auto"/>
        <w:ind w:firstLine="482" w:firstLineChars="200"/>
        <w:rPr>
          <w:rFonts w:ascii="宋体" w:hAnsi="宋体"/>
          <w:b/>
          <w:bCs/>
          <w:sz w:val="24"/>
        </w:rPr>
      </w:pPr>
      <w:bookmarkStart w:id="51" w:name="_Toc23694"/>
      <w:bookmarkStart w:id="52" w:name="_Toc22553_WPSOffice_Level2"/>
      <w:bookmarkStart w:id="53" w:name="_Toc17556"/>
      <w:bookmarkStart w:id="54" w:name="_Toc2073"/>
      <w:bookmarkStart w:id="55" w:name="_Toc8136"/>
      <w:bookmarkStart w:id="56" w:name="_Toc28056"/>
      <w:bookmarkStart w:id="57" w:name="_Toc20733"/>
      <w:r>
        <w:rPr>
          <w:rFonts w:hint="eastAsia" w:ascii="宋体" w:hAnsi="宋体"/>
          <w:b/>
          <w:bCs/>
          <w:sz w:val="24"/>
        </w:rPr>
        <w:t>1.1 项目概况</w:t>
      </w:r>
      <w:bookmarkEnd w:id="51"/>
      <w:bookmarkEnd w:id="52"/>
      <w:bookmarkEnd w:id="53"/>
      <w:bookmarkEnd w:id="54"/>
      <w:bookmarkEnd w:id="55"/>
      <w:bookmarkEnd w:id="56"/>
      <w:bookmarkEnd w:id="57"/>
    </w:p>
    <w:p>
      <w:pPr>
        <w:spacing w:line="360" w:lineRule="auto"/>
        <w:ind w:firstLine="480" w:firstLineChars="200"/>
        <w:rPr>
          <w:rFonts w:ascii="宋体" w:hAnsi="宋体"/>
          <w:sz w:val="24"/>
        </w:rPr>
      </w:pPr>
      <w:r>
        <w:rPr>
          <w:rFonts w:hint="eastAsia" w:ascii="宋体" w:hAnsi="宋体"/>
          <w:sz w:val="24"/>
        </w:rPr>
        <w:t>1.1.1 根据《中华人民共和国招标投标法》、《中华人民共和国政府采购法》等有关法律、法规和规章的规定，本招标项目已具备招标条件，现对本项目进行招标。</w:t>
      </w:r>
    </w:p>
    <w:p>
      <w:pPr>
        <w:spacing w:line="360" w:lineRule="auto"/>
        <w:ind w:firstLine="480" w:firstLineChars="200"/>
        <w:rPr>
          <w:rFonts w:ascii="宋体" w:hAnsi="宋体"/>
          <w:sz w:val="24"/>
        </w:rPr>
      </w:pPr>
      <w:r>
        <w:rPr>
          <w:rFonts w:hint="eastAsia" w:ascii="宋体" w:hAnsi="宋体"/>
          <w:sz w:val="24"/>
        </w:rPr>
        <w:t>1.1.2 本招标项目采购人：见供应商须知前附表。</w:t>
      </w:r>
    </w:p>
    <w:p>
      <w:pPr>
        <w:spacing w:line="360" w:lineRule="auto"/>
        <w:ind w:firstLine="480" w:firstLineChars="200"/>
        <w:rPr>
          <w:rFonts w:ascii="宋体" w:hAnsi="宋体"/>
          <w:sz w:val="24"/>
        </w:rPr>
      </w:pPr>
      <w:r>
        <w:rPr>
          <w:rFonts w:hint="eastAsia" w:ascii="宋体" w:hAnsi="宋体"/>
          <w:sz w:val="24"/>
        </w:rPr>
        <w:t>1.1.3 本项目招标代理机构：见供应商须知前附表。</w:t>
      </w:r>
    </w:p>
    <w:p>
      <w:pPr>
        <w:spacing w:line="360" w:lineRule="auto"/>
        <w:ind w:firstLine="480" w:firstLineChars="200"/>
        <w:rPr>
          <w:rFonts w:ascii="宋体" w:hAnsi="宋体"/>
          <w:sz w:val="24"/>
        </w:rPr>
      </w:pPr>
      <w:r>
        <w:rPr>
          <w:rFonts w:hint="eastAsia" w:ascii="宋体" w:hAnsi="宋体"/>
          <w:sz w:val="24"/>
        </w:rPr>
        <w:t>1.1.4 本招标项目名称：见供应商须知前附表。</w:t>
      </w:r>
    </w:p>
    <w:p>
      <w:pPr>
        <w:spacing w:line="360" w:lineRule="auto"/>
        <w:ind w:firstLine="482" w:firstLineChars="200"/>
        <w:rPr>
          <w:rFonts w:ascii="宋体" w:hAnsi="宋体"/>
          <w:b/>
          <w:bCs/>
          <w:sz w:val="24"/>
        </w:rPr>
      </w:pPr>
      <w:bookmarkStart w:id="58" w:name="_Toc1830_WPSOffice_Level2"/>
      <w:bookmarkStart w:id="59" w:name="_Toc5303"/>
      <w:bookmarkStart w:id="60" w:name="_Toc18313"/>
      <w:bookmarkStart w:id="61" w:name="_Toc28283"/>
      <w:bookmarkStart w:id="62" w:name="_Toc7412"/>
      <w:bookmarkStart w:id="63" w:name="_Toc13455"/>
      <w:bookmarkStart w:id="64" w:name="_Toc28268"/>
      <w:r>
        <w:rPr>
          <w:rFonts w:hint="eastAsia" w:ascii="宋体" w:hAnsi="宋体"/>
          <w:b/>
          <w:bCs/>
          <w:sz w:val="24"/>
        </w:rPr>
        <w:t>1.2 资金来源和落实情况</w:t>
      </w:r>
      <w:bookmarkEnd w:id="58"/>
      <w:bookmarkEnd w:id="59"/>
      <w:bookmarkEnd w:id="60"/>
      <w:bookmarkEnd w:id="61"/>
      <w:bookmarkEnd w:id="62"/>
      <w:bookmarkEnd w:id="63"/>
      <w:bookmarkEnd w:id="64"/>
    </w:p>
    <w:p>
      <w:pPr>
        <w:spacing w:line="360" w:lineRule="auto"/>
        <w:ind w:firstLine="480" w:firstLineChars="200"/>
        <w:rPr>
          <w:rFonts w:ascii="宋体" w:hAnsi="宋体"/>
          <w:sz w:val="24"/>
        </w:rPr>
      </w:pPr>
      <w:r>
        <w:rPr>
          <w:rFonts w:hint="eastAsia" w:ascii="宋体" w:hAnsi="宋体"/>
          <w:sz w:val="24"/>
        </w:rPr>
        <w:t>1.2.1 本招标项目的资金来源：见供应商须知前附表。</w:t>
      </w:r>
    </w:p>
    <w:p>
      <w:pPr>
        <w:spacing w:line="360" w:lineRule="auto"/>
        <w:ind w:firstLine="480" w:firstLineChars="200"/>
        <w:rPr>
          <w:rFonts w:ascii="宋体" w:hAnsi="宋体"/>
          <w:sz w:val="24"/>
        </w:rPr>
      </w:pPr>
      <w:r>
        <w:rPr>
          <w:rFonts w:hint="eastAsia" w:ascii="宋体" w:hAnsi="宋体"/>
          <w:sz w:val="24"/>
        </w:rPr>
        <w:t>1.2.</w:t>
      </w:r>
      <w:r>
        <w:rPr>
          <w:rFonts w:ascii="宋体" w:hAnsi="宋体"/>
          <w:sz w:val="24"/>
        </w:rPr>
        <w:t>2</w:t>
      </w:r>
      <w:r>
        <w:rPr>
          <w:rFonts w:hint="eastAsia" w:ascii="宋体" w:hAnsi="宋体"/>
          <w:sz w:val="24"/>
        </w:rPr>
        <w:t xml:space="preserve"> 本招标项目的资金落实情况：见供应商须知前附表。</w:t>
      </w:r>
    </w:p>
    <w:p>
      <w:pPr>
        <w:spacing w:line="360" w:lineRule="auto"/>
        <w:ind w:firstLine="482" w:firstLineChars="200"/>
        <w:rPr>
          <w:rFonts w:ascii="宋体" w:hAnsi="宋体"/>
          <w:sz w:val="24"/>
        </w:rPr>
      </w:pPr>
      <w:bookmarkStart w:id="65" w:name="_Toc27662"/>
      <w:bookmarkStart w:id="66" w:name="_Toc28945"/>
      <w:bookmarkStart w:id="67" w:name="_Toc10518"/>
      <w:bookmarkStart w:id="68" w:name="_Toc18377"/>
      <w:bookmarkStart w:id="69" w:name="_Toc30308_WPSOffice_Level2"/>
      <w:bookmarkStart w:id="70" w:name="_Toc26004"/>
      <w:bookmarkStart w:id="71" w:name="_Toc11719"/>
      <w:r>
        <w:rPr>
          <w:rFonts w:hint="eastAsia" w:ascii="宋体" w:hAnsi="宋体"/>
          <w:b/>
          <w:bCs/>
          <w:sz w:val="24"/>
        </w:rPr>
        <w:t>1.3 招标内容、交货期、质量要求</w:t>
      </w:r>
      <w:bookmarkEnd w:id="65"/>
      <w:bookmarkEnd w:id="66"/>
      <w:bookmarkEnd w:id="67"/>
      <w:bookmarkEnd w:id="68"/>
      <w:bookmarkEnd w:id="69"/>
      <w:bookmarkEnd w:id="70"/>
      <w:bookmarkEnd w:id="71"/>
      <w:r>
        <w:rPr>
          <w:rFonts w:hint="eastAsia" w:ascii="宋体" w:hAnsi="宋体"/>
          <w:b/>
          <w:bCs/>
          <w:sz w:val="24"/>
        </w:rPr>
        <w:t>、交货地点</w:t>
      </w:r>
    </w:p>
    <w:p>
      <w:pPr>
        <w:spacing w:line="360" w:lineRule="auto"/>
        <w:ind w:firstLine="480" w:firstLineChars="200"/>
        <w:rPr>
          <w:rFonts w:ascii="宋体" w:hAnsi="宋体"/>
          <w:sz w:val="24"/>
        </w:rPr>
      </w:pPr>
      <w:r>
        <w:rPr>
          <w:rFonts w:hint="eastAsia" w:ascii="宋体" w:hAnsi="宋体"/>
          <w:sz w:val="24"/>
        </w:rPr>
        <w:t>1.3.1 本次招标内容：见供应商须知前附表。</w:t>
      </w:r>
    </w:p>
    <w:p>
      <w:pPr>
        <w:spacing w:line="360" w:lineRule="auto"/>
        <w:ind w:firstLine="480" w:firstLineChars="200"/>
        <w:rPr>
          <w:rFonts w:ascii="宋体" w:hAnsi="宋体"/>
          <w:sz w:val="24"/>
        </w:rPr>
      </w:pPr>
      <w:r>
        <w:rPr>
          <w:rFonts w:hint="eastAsia" w:ascii="宋体" w:hAnsi="宋体"/>
          <w:sz w:val="24"/>
        </w:rPr>
        <w:t>1.3.2 本项目的交货期：见供应商须知前附表。</w:t>
      </w:r>
    </w:p>
    <w:p>
      <w:pPr>
        <w:spacing w:line="360" w:lineRule="auto"/>
        <w:ind w:firstLine="480" w:firstLineChars="200"/>
        <w:rPr>
          <w:rFonts w:ascii="宋体" w:hAnsi="宋体"/>
          <w:sz w:val="24"/>
        </w:rPr>
      </w:pPr>
      <w:r>
        <w:rPr>
          <w:rFonts w:hint="eastAsia" w:ascii="宋体" w:hAnsi="宋体"/>
          <w:sz w:val="24"/>
        </w:rPr>
        <w:t>1.3.3 本项目的质量要求：见供应商须知前附表。</w:t>
      </w:r>
    </w:p>
    <w:p>
      <w:pPr>
        <w:spacing w:line="360" w:lineRule="auto"/>
        <w:ind w:firstLine="480" w:firstLineChars="200"/>
        <w:rPr>
          <w:rFonts w:ascii="宋体" w:hAnsi="宋体"/>
          <w:sz w:val="24"/>
        </w:rPr>
      </w:pPr>
      <w:r>
        <w:rPr>
          <w:rFonts w:hint="eastAsia" w:ascii="宋体" w:hAnsi="宋体"/>
          <w:sz w:val="24"/>
        </w:rPr>
        <w:t>1.3.4 本项目的交货地点：见供应商须知前附表。</w:t>
      </w:r>
    </w:p>
    <w:p>
      <w:pPr>
        <w:spacing w:line="360" w:lineRule="auto"/>
        <w:ind w:firstLine="482" w:firstLineChars="200"/>
        <w:rPr>
          <w:rFonts w:ascii="宋体" w:hAnsi="宋体"/>
          <w:b/>
          <w:bCs/>
          <w:sz w:val="24"/>
        </w:rPr>
      </w:pPr>
      <w:bookmarkStart w:id="72" w:name="_Toc11201"/>
      <w:bookmarkStart w:id="73" w:name="_Toc12591_WPSOffice_Level2"/>
      <w:bookmarkStart w:id="74" w:name="_Toc20315"/>
      <w:bookmarkStart w:id="75" w:name="_Toc940"/>
      <w:bookmarkStart w:id="76" w:name="_Toc30034"/>
      <w:bookmarkStart w:id="77" w:name="_Toc28043"/>
      <w:bookmarkStart w:id="78" w:name="_Toc11019"/>
      <w:r>
        <w:rPr>
          <w:rFonts w:hint="eastAsia" w:ascii="宋体" w:hAnsi="宋体"/>
          <w:b/>
          <w:bCs/>
          <w:sz w:val="24"/>
        </w:rPr>
        <w:t>1.4 供应商资格要求</w:t>
      </w:r>
      <w:bookmarkEnd w:id="72"/>
      <w:bookmarkEnd w:id="73"/>
      <w:bookmarkEnd w:id="74"/>
      <w:bookmarkEnd w:id="75"/>
      <w:bookmarkEnd w:id="76"/>
      <w:bookmarkEnd w:id="77"/>
      <w:bookmarkEnd w:id="78"/>
    </w:p>
    <w:p>
      <w:pPr>
        <w:spacing w:line="360" w:lineRule="auto"/>
        <w:ind w:firstLine="480" w:firstLineChars="200"/>
        <w:rPr>
          <w:rFonts w:ascii="宋体" w:hAnsi="宋体"/>
          <w:sz w:val="24"/>
        </w:rPr>
      </w:pPr>
      <w:r>
        <w:rPr>
          <w:rFonts w:hint="eastAsia" w:ascii="宋体" w:hAnsi="宋体"/>
          <w:sz w:val="24"/>
        </w:rPr>
        <w:t>1.4.1 本项目供应商资格要求：见供应商须知前附表。</w:t>
      </w:r>
    </w:p>
    <w:p>
      <w:pPr>
        <w:spacing w:line="360" w:lineRule="auto"/>
        <w:ind w:firstLine="480" w:firstLineChars="200"/>
        <w:rPr>
          <w:rFonts w:ascii="宋体" w:hAnsi="宋体"/>
          <w:sz w:val="24"/>
        </w:rPr>
      </w:pPr>
      <w:r>
        <w:rPr>
          <w:rFonts w:hint="eastAsia" w:ascii="宋体" w:hAnsi="宋体"/>
          <w:sz w:val="24"/>
        </w:rPr>
        <w:t>1.4.2 本项目是否接受联合体投标：见供应商须知前附表。</w:t>
      </w:r>
    </w:p>
    <w:p>
      <w:pPr>
        <w:spacing w:line="360" w:lineRule="auto"/>
        <w:ind w:firstLine="482" w:firstLineChars="200"/>
        <w:rPr>
          <w:rFonts w:ascii="宋体" w:hAnsi="宋体"/>
          <w:b/>
          <w:bCs/>
          <w:sz w:val="24"/>
        </w:rPr>
      </w:pPr>
      <w:bookmarkStart w:id="79" w:name="_Toc10941"/>
      <w:bookmarkStart w:id="80" w:name="_Toc20251"/>
      <w:bookmarkStart w:id="81" w:name="_Toc11823_WPSOffice_Level2"/>
      <w:bookmarkStart w:id="82" w:name="_Toc17639"/>
      <w:bookmarkStart w:id="83" w:name="_Toc125"/>
      <w:bookmarkStart w:id="84" w:name="_Toc15277"/>
      <w:bookmarkStart w:id="85" w:name="_Toc5180"/>
      <w:r>
        <w:rPr>
          <w:rFonts w:hint="eastAsia" w:ascii="宋体" w:hAnsi="宋体"/>
          <w:b/>
          <w:bCs/>
          <w:sz w:val="24"/>
        </w:rPr>
        <w:t>1.5 费用承担</w:t>
      </w:r>
      <w:bookmarkEnd w:id="79"/>
      <w:bookmarkEnd w:id="80"/>
      <w:bookmarkEnd w:id="81"/>
      <w:bookmarkEnd w:id="82"/>
      <w:bookmarkEnd w:id="83"/>
      <w:bookmarkEnd w:id="84"/>
      <w:bookmarkEnd w:id="85"/>
    </w:p>
    <w:p>
      <w:pPr>
        <w:spacing w:line="360" w:lineRule="auto"/>
        <w:ind w:firstLine="480" w:firstLineChars="200"/>
        <w:rPr>
          <w:rFonts w:ascii="宋体" w:hAnsi="宋体"/>
          <w:sz w:val="24"/>
        </w:rPr>
      </w:pPr>
      <w:r>
        <w:rPr>
          <w:rFonts w:hint="eastAsia" w:ascii="宋体" w:hAnsi="宋体"/>
          <w:sz w:val="24"/>
        </w:rPr>
        <w:t>供应商准备和参加投标活动发生的费用自理。</w:t>
      </w:r>
    </w:p>
    <w:p>
      <w:pPr>
        <w:spacing w:line="360" w:lineRule="auto"/>
        <w:ind w:firstLine="482" w:firstLineChars="200"/>
        <w:rPr>
          <w:rFonts w:ascii="宋体" w:hAnsi="宋体"/>
          <w:b/>
          <w:bCs/>
          <w:sz w:val="24"/>
        </w:rPr>
      </w:pPr>
      <w:bookmarkStart w:id="86" w:name="_Toc2122"/>
      <w:bookmarkStart w:id="87" w:name="_Toc26498"/>
      <w:bookmarkStart w:id="88" w:name="_Toc26471"/>
      <w:bookmarkStart w:id="89" w:name="_Toc22857"/>
      <w:bookmarkStart w:id="90" w:name="_Toc17432"/>
      <w:bookmarkStart w:id="91" w:name="_Toc6715_WPSOffice_Level2"/>
      <w:bookmarkStart w:id="92" w:name="_Toc19954"/>
      <w:r>
        <w:rPr>
          <w:rFonts w:hint="eastAsia" w:ascii="宋体" w:hAnsi="宋体"/>
          <w:b/>
          <w:bCs/>
          <w:sz w:val="24"/>
        </w:rPr>
        <w:t>1.6 保密</w:t>
      </w:r>
      <w:bookmarkEnd w:id="86"/>
      <w:bookmarkEnd w:id="87"/>
      <w:bookmarkEnd w:id="88"/>
      <w:bookmarkEnd w:id="89"/>
      <w:bookmarkEnd w:id="90"/>
      <w:bookmarkEnd w:id="91"/>
      <w:bookmarkEnd w:id="92"/>
    </w:p>
    <w:p>
      <w:pPr>
        <w:spacing w:line="360" w:lineRule="auto"/>
        <w:ind w:firstLine="480" w:firstLineChars="200"/>
        <w:rPr>
          <w:rFonts w:ascii="宋体" w:hAnsi="宋体"/>
          <w:sz w:val="24"/>
        </w:rPr>
      </w:pPr>
      <w:r>
        <w:rPr>
          <w:rFonts w:hint="eastAsia" w:ascii="宋体" w:hAnsi="宋体"/>
          <w:sz w:val="24"/>
        </w:rPr>
        <w:t>参与招标投标活动的各方应对采购文件和投标文件中的商业和技术等秘密保密，违者应对由此造成的后果承担法律责任。</w:t>
      </w:r>
    </w:p>
    <w:p>
      <w:pPr>
        <w:spacing w:line="360" w:lineRule="auto"/>
        <w:ind w:firstLine="482" w:firstLineChars="200"/>
        <w:rPr>
          <w:rFonts w:ascii="宋体" w:hAnsi="宋体"/>
          <w:b/>
          <w:bCs/>
          <w:sz w:val="24"/>
        </w:rPr>
      </w:pPr>
      <w:bookmarkStart w:id="93" w:name="_Toc32322"/>
      <w:bookmarkStart w:id="94" w:name="_Toc6382"/>
      <w:bookmarkStart w:id="95" w:name="_Toc32065"/>
      <w:bookmarkStart w:id="96" w:name="_Toc25022"/>
      <w:bookmarkStart w:id="97" w:name="_Toc14247"/>
      <w:bookmarkStart w:id="98" w:name="_Toc29150"/>
      <w:bookmarkStart w:id="99" w:name="_Toc11104_WPSOffice_Level2"/>
      <w:r>
        <w:rPr>
          <w:rFonts w:hint="eastAsia" w:ascii="宋体" w:hAnsi="宋体"/>
          <w:b/>
          <w:bCs/>
          <w:sz w:val="24"/>
        </w:rPr>
        <w:t>1.7 语言文字</w:t>
      </w:r>
      <w:bookmarkEnd w:id="93"/>
      <w:bookmarkEnd w:id="94"/>
      <w:bookmarkEnd w:id="95"/>
      <w:bookmarkEnd w:id="96"/>
      <w:bookmarkEnd w:id="97"/>
      <w:bookmarkEnd w:id="98"/>
      <w:bookmarkEnd w:id="99"/>
    </w:p>
    <w:p>
      <w:pPr>
        <w:spacing w:line="360" w:lineRule="auto"/>
        <w:ind w:firstLine="480" w:firstLineChars="200"/>
        <w:rPr>
          <w:rFonts w:ascii="宋体" w:hAnsi="宋体"/>
          <w:sz w:val="24"/>
        </w:rPr>
      </w:pPr>
      <w:r>
        <w:rPr>
          <w:rFonts w:hint="eastAsia" w:ascii="宋体" w:hAnsi="宋体"/>
          <w:sz w:val="24"/>
        </w:rPr>
        <w:t>除专用术语外，与招标投标有关的语言均使用中文。必要时专用术语应附</w:t>
      </w:r>
    </w:p>
    <w:p>
      <w:pPr>
        <w:spacing w:line="360" w:lineRule="auto"/>
        <w:ind w:firstLine="480" w:firstLineChars="200"/>
        <w:jc w:val="left"/>
        <w:rPr>
          <w:rFonts w:ascii="宋体" w:hAnsi="宋体"/>
          <w:sz w:val="24"/>
        </w:rPr>
      </w:pPr>
      <w:r>
        <w:rPr>
          <w:rFonts w:hint="eastAsia" w:ascii="宋体" w:hAnsi="宋体"/>
          <w:sz w:val="24"/>
        </w:rPr>
        <w:t>有中文注释。</w:t>
      </w:r>
    </w:p>
    <w:p>
      <w:pPr>
        <w:spacing w:line="360" w:lineRule="auto"/>
        <w:ind w:firstLine="482" w:firstLineChars="200"/>
        <w:rPr>
          <w:rFonts w:ascii="宋体" w:hAnsi="宋体"/>
          <w:b/>
          <w:bCs/>
          <w:sz w:val="24"/>
        </w:rPr>
      </w:pPr>
      <w:bookmarkStart w:id="100" w:name="_Toc19758"/>
      <w:bookmarkStart w:id="101" w:name="_Toc30455"/>
      <w:bookmarkStart w:id="102" w:name="_Toc29183"/>
      <w:bookmarkStart w:id="103" w:name="_Toc4101"/>
      <w:bookmarkStart w:id="104" w:name="_Toc28728"/>
      <w:bookmarkStart w:id="105" w:name="_Toc29947"/>
      <w:bookmarkStart w:id="106" w:name="_Toc15556_WPSOffice_Level2"/>
      <w:r>
        <w:rPr>
          <w:rFonts w:hint="eastAsia" w:ascii="宋体" w:hAnsi="宋体"/>
          <w:b/>
          <w:bCs/>
          <w:sz w:val="24"/>
        </w:rPr>
        <w:t>1.8 计量单位</w:t>
      </w:r>
      <w:bookmarkEnd w:id="100"/>
      <w:bookmarkEnd w:id="101"/>
      <w:bookmarkEnd w:id="102"/>
      <w:bookmarkEnd w:id="103"/>
      <w:bookmarkEnd w:id="104"/>
      <w:bookmarkEnd w:id="105"/>
      <w:bookmarkEnd w:id="106"/>
    </w:p>
    <w:p>
      <w:pPr>
        <w:spacing w:line="360" w:lineRule="auto"/>
        <w:ind w:firstLine="480" w:firstLineChars="200"/>
        <w:rPr>
          <w:rFonts w:ascii="宋体" w:hAnsi="宋体"/>
          <w:sz w:val="24"/>
        </w:rPr>
      </w:pPr>
      <w:r>
        <w:rPr>
          <w:rFonts w:hint="eastAsia" w:ascii="宋体" w:hAnsi="宋体"/>
          <w:sz w:val="24"/>
        </w:rPr>
        <w:t>所有计量均采用中华人民共和国法定计量单位。</w:t>
      </w:r>
    </w:p>
    <w:p>
      <w:pPr>
        <w:spacing w:line="360" w:lineRule="auto"/>
        <w:ind w:firstLine="482" w:firstLineChars="200"/>
        <w:rPr>
          <w:rFonts w:ascii="宋体" w:hAnsi="宋体"/>
          <w:b/>
          <w:bCs/>
          <w:sz w:val="24"/>
        </w:rPr>
      </w:pPr>
      <w:bookmarkStart w:id="107" w:name="_Toc11277_WPSOffice_Level2"/>
      <w:bookmarkStart w:id="108" w:name="_Toc963"/>
      <w:bookmarkStart w:id="109" w:name="_Toc6279"/>
      <w:bookmarkStart w:id="110" w:name="_Toc19041"/>
      <w:bookmarkStart w:id="111" w:name="_Toc27352"/>
      <w:bookmarkStart w:id="112" w:name="_Toc12594"/>
      <w:bookmarkStart w:id="113" w:name="_Toc189"/>
      <w:r>
        <w:rPr>
          <w:rFonts w:hint="eastAsia" w:ascii="宋体" w:hAnsi="宋体"/>
          <w:b/>
          <w:bCs/>
          <w:sz w:val="24"/>
        </w:rPr>
        <w:t>1.9 踏勘现场</w:t>
      </w:r>
      <w:bookmarkEnd w:id="107"/>
      <w:bookmarkEnd w:id="108"/>
      <w:bookmarkEnd w:id="109"/>
      <w:bookmarkEnd w:id="110"/>
      <w:bookmarkEnd w:id="111"/>
      <w:bookmarkEnd w:id="112"/>
      <w:bookmarkEnd w:id="113"/>
    </w:p>
    <w:p>
      <w:pPr>
        <w:spacing w:line="360" w:lineRule="auto"/>
        <w:ind w:firstLine="480" w:firstLineChars="200"/>
        <w:rPr>
          <w:rFonts w:ascii="宋体" w:hAnsi="宋体"/>
          <w:sz w:val="24"/>
        </w:rPr>
      </w:pPr>
      <w:r>
        <w:rPr>
          <w:rFonts w:hint="eastAsia" w:ascii="宋体" w:hAnsi="宋体"/>
          <w:sz w:val="24"/>
        </w:rPr>
        <w:t>不组织。</w:t>
      </w:r>
    </w:p>
    <w:p>
      <w:pPr>
        <w:spacing w:line="360" w:lineRule="auto"/>
        <w:ind w:firstLine="482" w:firstLineChars="200"/>
        <w:rPr>
          <w:rFonts w:ascii="宋体" w:hAnsi="宋体"/>
          <w:b/>
          <w:bCs/>
          <w:sz w:val="24"/>
        </w:rPr>
      </w:pPr>
      <w:bookmarkStart w:id="114" w:name="_Toc14166"/>
      <w:bookmarkStart w:id="115" w:name="_Toc15841"/>
      <w:bookmarkStart w:id="116" w:name="_Toc2223"/>
      <w:bookmarkStart w:id="117" w:name="_Toc17546"/>
      <w:bookmarkStart w:id="118" w:name="_Toc28841"/>
      <w:bookmarkStart w:id="119" w:name="_Toc24067_WPSOffice_Level2"/>
      <w:bookmarkStart w:id="120" w:name="_Toc10509"/>
      <w:r>
        <w:rPr>
          <w:rFonts w:hint="eastAsia" w:ascii="宋体" w:hAnsi="宋体"/>
          <w:b/>
          <w:bCs/>
          <w:sz w:val="24"/>
        </w:rPr>
        <w:t>1.10 投标预备会</w:t>
      </w:r>
      <w:bookmarkEnd w:id="114"/>
      <w:bookmarkEnd w:id="115"/>
      <w:bookmarkEnd w:id="116"/>
      <w:bookmarkEnd w:id="117"/>
      <w:bookmarkEnd w:id="118"/>
      <w:bookmarkEnd w:id="119"/>
      <w:bookmarkEnd w:id="120"/>
    </w:p>
    <w:p>
      <w:pPr>
        <w:spacing w:line="360" w:lineRule="auto"/>
        <w:ind w:firstLine="480" w:firstLineChars="200"/>
        <w:rPr>
          <w:rFonts w:ascii="宋体" w:hAnsi="宋体"/>
          <w:sz w:val="24"/>
        </w:rPr>
      </w:pPr>
      <w:bookmarkStart w:id="121" w:name="_Toc23927"/>
      <w:bookmarkStart w:id="122" w:name="_Toc27530"/>
      <w:bookmarkStart w:id="123" w:name="_Toc24760"/>
      <w:bookmarkStart w:id="124" w:name="_Toc931"/>
      <w:bookmarkStart w:id="125" w:name="_Toc27823"/>
      <w:bookmarkStart w:id="126" w:name="_Toc18972_WPSOffice_Level2"/>
      <w:bookmarkStart w:id="127" w:name="_Toc7867"/>
      <w:r>
        <w:rPr>
          <w:rFonts w:hint="eastAsia" w:ascii="宋体" w:hAnsi="宋体"/>
          <w:sz w:val="24"/>
        </w:rPr>
        <w:t>不召开。</w:t>
      </w:r>
    </w:p>
    <w:p>
      <w:pPr>
        <w:spacing w:line="360" w:lineRule="auto"/>
        <w:ind w:firstLine="482" w:firstLineChars="200"/>
        <w:rPr>
          <w:rFonts w:ascii="宋体" w:hAnsi="宋体"/>
          <w:sz w:val="24"/>
        </w:rPr>
      </w:pPr>
      <w:r>
        <w:rPr>
          <w:rFonts w:hint="eastAsia" w:ascii="宋体" w:hAnsi="宋体"/>
          <w:b/>
          <w:bCs/>
          <w:sz w:val="24"/>
        </w:rPr>
        <w:t>1.11 分</w:t>
      </w:r>
      <w:r>
        <w:rPr>
          <w:rFonts w:hint="eastAsia" w:ascii="宋体" w:hAnsi="宋体"/>
          <w:sz w:val="24"/>
        </w:rPr>
        <w:t>包</w:t>
      </w:r>
      <w:bookmarkEnd w:id="121"/>
      <w:bookmarkEnd w:id="122"/>
      <w:bookmarkEnd w:id="123"/>
      <w:bookmarkEnd w:id="124"/>
      <w:bookmarkEnd w:id="125"/>
      <w:bookmarkEnd w:id="126"/>
      <w:bookmarkEnd w:id="127"/>
    </w:p>
    <w:p>
      <w:pPr>
        <w:spacing w:line="360" w:lineRule="auto"/>
        <w:ind w:firstLine="480" w:firstLineChars="200"/>
        <w:rPr>
          <w:rFonts w:ascii="宋体" w:hAnsi="宋体"/>
          <w:sz w:val="24"/>
        </w:rPr>
      </w:pPr>
      <w:bookmarkStart w:id="128" w:name="_Toc17429"/>
      <w:bookmarkStart w:id="129" w:name="_Toc31534"/>
      <w:bookmarkStart w:id="130" w:name="_Toc3459"/>
      <w:bookmarkStart w:id="131" w:name="_Toc12327"/>
      <w:bookmarkStart w:id="132" w:name="_Toc15248_WPSOffice_Level2"/>
      <w:bookmarkStart w:id="133" w:name="_Toc3745"/>
      <w:bookmarkStart w:id="134" w:name="_Toc17982"/>
      <w:r>
        <w:rPr>
          <w:rFonts w:hint="eastAsia" w:ascii="宋体" w:hAnsi="宋体"/>
          <w:sz w:val="24"/>
        </w:rPr>
        <w:t>不允许。</w:t>
      </w:r>
    </w:p>
    <w:p>
      <w:pPr>
        <w:spacing w:line="360" w:lineRule="auto"/>
        <w:ind w:firstLine="482" w:firstLineChars="200"/>
        <w:rPr>
          <w:rFonts w:ascii="宋体" w:hAnsi="宋体"/>
          <w:b/>
          <w:bCs/>
          <w:sz w:val="24"/>
        </w:rPr>
      </w:pPr>
      <w:r>
        <w:rPr>
          <w:rFonts w:hint="eastAsia" w:ascii="宋体" w:hAnsi="宋体"/>
          <w:b/>
          <w:bCs/>
          <w:sz w:val="24"/>
        </w:rPr>
        <w:t>1.12 偏离</w:t>
      </w:r>
      <w:bookmarkEnd w:id="128"/>
      <w:bookmarkEnd w:id="129"/>
      <w:bookmarkEnd w:id="130"/>
      <w:bookmarkEnd w:id="131"/>
      <w:bookmarkEnd w:id="132"/>
      <w:bookmarkEnd w:id="133"/>
      <w:bookmarkEnd w:id="134"/>
    </w:p>
    <w:p>
      <w:pPr>
        <w:spacing w:line="360" w:lineRule="auto"/>
        <w:ind w:firstLine="480" w:firstLineChars="200"/>
        <w:rPr>
          <w:rFonts w:ascii="宋体" w:hAnsi="宋体"/>
          <w:sz w:val="24"/>
        </w:rPr>
      </w:pPr>
      <w:bookmarkStart w:id="135" w:name="_Toc23509"/>
      <w:bookmarkStart w:id="136" w:name="_Toc21940"/>
      <w:bookmarkStart w:id="137" w:name="_Toc11296"/>
      <w:r>
        <w:rPr>
          <w:rFonts w:hint="eastAsia" w:ascii="宋体" w:hAnsi="宋体"/>
          <w:sz w:val="24"/>
        </w:rPr>
        <w:t>供应商应符合供应商须知前附表规定不允许重大偏离。</w:t>
      </w:r>
    </w:p>
    <w:p>
      <w:pPr>
        <w:spacing w:line="360" w:lineRule="auto"/>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rPr>
        <w:t>、采购文件</w:t>
      </w:r>
      <w:bookmarkEnd w:id="135"/>
      <w:bookmarkEnd w:id="136"/>
      <w:bookmarkEnd w:id="137"/>
    </w:p>
    <w:p>
      <w:pPr>
        <w:spacing w:line="360" w:lineRule="auto"/>
        <w:ind w:firstLine="482" w:firstLineChars="200"/>
        <w:rPr>
          <w:rFonts w:ascii="宋体" w:hAnsi="宋体"/>
          <w:b/>
          <w:bCs/>
          <w:sz w:val="24"/>
        </w:rPr>
      </w:pPr>
      <w:r>
        <w:rPr>
          <w:rFonts w:hint="eastAsia" w:ascii="宋体" w:hAnsi="宋体"/>
          <w:b/>
          <w:bCs/>
          <w:sz w:val="24"/>
        </w:rPr>
        <w:t>2.1 采购文件的组成</w:t>
      </w:r>
    </w:p>
    <w:p>
      <w:pPr>
        <w:spacing w:line="360" w:lineRule="auto"/>
        <w:ind w:firstLine="480" w:firstLineChars="200"/>
        <w:rPr>
          <w:rFonts w:ascii="宋体" w:hAnsi="宋体"/>
          <w:sz w:val="24"/>
        </w:rPr>
      </w:pPr>
      <w:r>
        <w:rPr>
          <w:rFonts w:hint="eastAsia" w:ascii="宋体" w:hAnsi="宋体"/>
          <w:sz w:val="24"/>
        </w:rPr>
        <w:t>本采购文件包括：</w:t>
      </w:r>
    </w:p>
    <w:p>
      <w:pPr>
        <w:spacing w:line="360" w:lineRule="auto"/>
        <w:ind w:firstLine="480" w:firstLineChars="200"/>
        <w:rPr>
          <w:rFonts w:ascii="宋体" w:hAnsi="宋体"/>
          <w:sz w:val="24"/>
        </w:rPr>
      </w:pPr>
      <w:r>
        <w:rPr>
          <w:rFonts w:hint="eastAsia" w:ascii="宋体" w:hAnsi="宋体"/>
          <w:sz w:val="24"/>
        </w:rPr>
        <w:t>（1）招标公告</w:t>
      </w:r>
    </w:p>
    <w:p>
      <w:pPr>
        <w:spacing w:line="360" w:lineRule="auto"/>
        <w:ind w:firstLine="480" w:firstLineChars="200"/>
        <w:rPr>
          <w:rFonts w:ascii="宋体" w:hAnsi="宋体"/>
          <w:sz w:val="24"/>
        </w:rPr>
      </w:pPr>
      <w:r>
        <w:rPr>
          <w:rFonts w:hint="eastAsia" w:ascii="宋体" w:hAnsi="宋体"/>
          <w:sz w:val="24"/>
        </w:rPr>
        <w:t>（2）供应商须知</w:t>
      </w:r>
    </w:p>
    <w:p>
      <w:pPr>
        <w:spacing w:line="360" w:lineRule="auto"/>
        <w:ind w:firstLine="480" w:firstLineChars="200"/>
        <w:rPr>
          <w:rFonts w:ascii="宋体" w:hAnsi="宋体"/>
          <w:sz w:val="24"/>
        </w:rPr>
      </w:pPr>
      <w:r>
        <w:rPr>
          <w:rFonts w:hint="eastAsia" w:ascii="宋体" w:hAnsi="宋体"/>
          <w:sz w:val="24"/>
        </w:rPr>
        <w:t>（3）评标办法</w:t>
      </w:r>
    </w:p>
    <w:p>
      <w:pPr>
        <w:spacing w:line="360" w:lineRule="auto"/>
        <w:ind w:firstLine="480" w:firstLineChars="200"/>
        <w:rPr>
          <w:rFonts w:ascii="宋体" w:hAnsi="宋体"/>
          <w:sz w:val="24"/>
        </w:rPr>
      </w:pPr>
      <w:r>
        <w:rPr>
          <w:rFonts w:hint="eastAsia" w:ascii="宋体" w:hAnsi="宋体"/>
          <w:sz w:val="24"/>
        </w:rPr>
        <w:t>（4）合同主要条款及格式</w:t>
      </w:r>
    </w:p>
    <w:p>
      <w:pPr>
        <w:spacing w:line="360" w:lineRule="auto"/>
        <w:ind w:firstLine="480" w:firstLineChars="200"/>
        <w:rPr>
          <w:rFonts w:ascii="宋体" w:hAnsi="宋体"/>
          <w:sz w:val="24"/>
        </w:rPr>
      </w:pPr>
      <w:r>
        <w:rPr>
          <w:rFonts w:hint="eastAsia" w:ascii="宋体" w:hAnsi="宋体"/>
          <w:sz w:val="24"/>
        </w:rPr>
        <w:t>（5）采购内容与要求</w:t>
      </w:r>
    </w:p>
    <w:p>
      <w:pPr>
        <w:spacing w:line="360" w:lineRule="auto"/>
        <w:ind w:firstLine="480" w:firstLineChars="200"/>
        <w:rPr>
          <w:rFonts w:ascii="宋体" w:hAnsi="宋体"/>
          <w:sz w:val="24"/>
        </w:rPr>
      </w:pPr>
      <w:r>
        <w:rPr>
          <w:rFonts w:hint="eastAsia" w:ascii="宋体" w:hAnsi="宋体"/>
          <w:sz w:val="24"/>
        </w:rPr>
        <w:t>（6）投标文件格式</w:t>
      </w:r>
    </w:p>
    <w:p>
      <w:pPr>
        <w:spacing w:line="360" w:lineRule="auto"/>
        <w:ind w:firstLine="480" w:firstLineChars="200"/>
        <w:rPr>
          <w:rFonts w:ascii="宋体" w:hAnsi="宋体"/>
          <w:sz w:val="24"/>
        </w:rPr>
      </w:pPr>
      <w:r>
        <w:rPr>
          <w:rFonts w:hint="eastAsia" w:ascii="宋体" w:hAnsi="宋体"/>
          <w:sz w:val="24"/>
        </w:rPr>
        <w:t>根据本章相关说明对采购文件所作的澄清、修改，构成采购文件的组成部分。</w:t>
      </w:r>
    </w:p>
    <w:p>
      <w:pPr>
        <w:spacing w:line="360" w:lineRule="auto"/>
        <w:ind w:firstLine="482" w:firstLineChars="200"/>
        <w:rPr>
          <w:rFonts w:ascii="宋体" w:hAnsi="宋体"/>
          <w:b/>
          <w:bCs/>
          <w:sz w:val="24"/>
        </w:rPr>
      </w:pPr>
      <w:r>
        <w:rPr>
          <w:rFonts w:hint="eastAsia" w:ascii="宋体" w:hAnsi="宋体"/>
          <w:b/>
          <w:bCs/>
          <w:sz w:val="24"/>
        </w:rPr>
        <w:t>2.2 采购文件的澄清</w:t>
      </w:r>
    </w:p>
    <w:p>
      <w:pPr>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.2.1 任何对采购文件认为有需要澄清的疑问的潜在供应商，均应在</w:t>
      </w:r>
      <w:r>
        <w:rPr>
          <w:rFonts w:ascii="宋体" w:hAnsi="宋体" w:cs="宋体"/>
          <w:kern w:val="0"/>
          <w:sz w:val="24"/>
        </w:rPr>
        <w:t>递交投标文件截至之日15日前</w:t>
      </w:r>
      <w:r>
        <w:rPr>
          <w:rFonts w:ascii="宋体" w:hAnsi="宋体" w:cs="宋体"/>
          <w:sz w:val="24"/>
        </w:rPr>
        <w:t>，以</w:t>
      </w:r>
      <w:r>
        <w:rPr>
          <w:rFonts w:hint="eastAsia" w:ascii="宋体" w:hAnsi="宋体" w:cs="宋体"/>
          <w:sz w:val="24"/>
        </w:rPr>
        <w:t>线上质疑的</w:t>
      </w:r>
      <w:r>
        <w:rPr>
          <w:rFonts w:ascii="宋体" w:hAnsi="宋体" w:cs="宋体"/>
          <w:sz w:val="24"/>
        </w:rPr>
        <w:t>方式</w:t>
      </w:r>
      <w:r>
        <w:rPr>
          <w:rFonts w:hint="eastAsia" w:ascii="宋体" w:hAnsi="宋体" w:cs="宋体"/>
          <w:sz w:val="24"/>
        </w:rPr>
        <w:t>【质疑内容需</w:t>
      </w:r>
      <w:r>
        <w:rPr>
          <w:rFonts w:ascii="宋体" w:hAnsi="宋体" w:cs="宋体"/>
          <w:sz w:val="24"/>
        </w:rPr>
        <w:t>加盖公章且</w:t>
      </w:r>
      <w:r>
        <w:rPr>
          <w:rFonts w:hint="eastAsia" w:ascii="宋体" w:hAnsi="宋体" w:cs="宋体"/>
          <w:sz w:val="24"/>
        </w:rPr>
        <w:t>有</w:t>
      </w:r>
      <w:r>
        <w:rPr>
          <w:rFonts w:ascii="宋体" w:hAnsi="宋体" w:cs="宋体"/>
          <w:sz w:val="24"/>
        </w:rPr>
        <w:t>法人代表（负责人）或其授权代表人签字，下同</w:t>
      </w:r>
      <w:r>
        <w:rPr>
          <w:rFonts w:hint="eastAsia" w:ascii="宋体" w:hAnsi="宋体" w:cs="宋体"/>
          <w:sz w:val="24"/>
        </w:rPr>
        <w:t>】</w:t>
      </w:r>
      <w:r>
        <w:rPr>
          <w:rFonts w:ascii="宋体" w:hAnsi="宋体" w:cs="宋体"/>
          <w:sz w:val="24"/>
        </w:rPr>
        <w:t>通知到采购人和招标代理机构。采购人和招标代理机构对潜在供应商在规定期限内提交的疑问将予以答复，同时有可能将不标明疑问来源的答复函发至所有潜在供应商</w:t>
      </w:r>
      <w:r>
        <w:rPr>
          <w:rFonts w:hint="eastAsia" w:ascii="宋体" w:hAnsi="宋体" w:cs="宋体"/>
          <w:sz w:val="24"/>
        </w:rPr>
        <w:t>，同时</w:t>
      </w:r>
      <w:r>
        <w:rPr>
          <w:rFonts w:ascii="宋体" w:hAnsi="宋体" w:cs="宋体"/>
          <w:sz w:val="24"/>
        </w:rPr>
        <w:t>，</w:t>
      </w:r>
      <w:r>
        <w:rPr>
          <w:rFonts w:hint="eastAsia" w:ascii="宋体" w:hAnsi="宋体" w:cs="宋体"/>
          <w:sz w:val="24"/>
        </w:rPr>
        <w:t>采购人或招标代理机构也可通过相关网站发布澄清内容</w:t>
      </w:r>
      <w:r>
        <w:rPr>
          <w:rFonts w:ascii="宋体" w:hAnsi="宋体" w:cs="宋体"/>
          <w:sz w:val="24"/>
        </w:rPr>
        <w:t>，</w:t>
      </w:r>
      <w:r>
        <w:rPr>
          <w:rFonts w:hint="eastAsia" w:ascii="宋体" w:hAnsi="宋体" w:cs="宋体"/>
          <w:sz w:val="24"/>
        </w:rPr>
        <w:t>自采购文件的澄清内容在相关网站发布起</w:t>
      </w:r>
      <w:r>
        <w:rPr>
          <w:rFonts w:ascii="宋体" w:hAnsi="宋体" w:cs="宋体"/>
          <w:sz w:val="24"/>
        </w:rPr>
        <w:t>，</w:t>
      </w:r>
      <w:r>
        <w:rPr>
          <w:rFonts w:hint="eastAsia" w:ascii="宋体" w:hAnsi="宋体" w:cs="宋体"/>
          <w:sz w:val="24"/>
        </w:rPr>
        <w:t>即视为采购人或招标代理机构已通知所有采购文件收受人。</w:t>
      </w:r>
      <w:r>
        <w:rPr>
          <w:rFonts w:ascii="宋体" w:hAnsi="宋体" w:cs="宋体"/>
          <w:sz w:val="24"/>
        </w:rPr>
        <w:t>在规定的时间内未提出疑问的，将被视为对采购文件完全认可。开标后，采购人和招标代理机构不接受任何对采购文件内容的质疑。</w:t>
      </w:r>
    </w:p>
    <w:p>
      <w:pPr>
        <w:spacing w:line="360" w:lineRule="auto"/>
        <w:ind w:firstLine="480" w:firstLineChars="200"/>
        <w:rPr>
          <w:rFonts w:ascii="宋体" w:hAnsi="宋体"/>
          <w:sz w:val="24"/>
        </w:rPr>
      </w:pPr>
      <w:r>
        <w:rPr>
          <w:rFonts w:hint="eastAsia" w:ascii="宋体" w:hAnsi="宋体"/>
          <w:sz w:val="24"/>
        </w:rPr>
        <w:t>2.2.2</w:t>
      </w:r>
      <w:r>
        <w:rPr>
          <w:rFonts w:ascii="宋体" w:hAnsi="宋体"/>
          <w:sz w:val="24"/>
        </w:rPr>
        <w:t xml:space="preserve"> 采购文件的澄清将在供应商须知前附表规定的投标截止时间</w:t>
      </w:r>
      <w:r>
        <w:rPr>
          <w:rFonts w:hint="eastAsia" w:ascii="宋体" w:hAnsi="宋体"/>
          <w:sz w:val="24"/>
        </w:rPr>
        <w:t>1</w:t>
      </w:r>
      <w:r>
        <w:rPr>
          <w:rFonts w:ascii="宋体" w:hAnsi="宋体"/>
          <w:sz w:val="24"/>
        </w:rPr>
        <w:t>5天前通过</w:t>
      </w:r>
      <w:r>
        <w:rPr>
          <w:rFonts w:ascii="宋体" w:hAnsi="宋体" w:cs="宋体"/>
          <w:sz w:val="24"/>
        </w:rPr>
        <w:t>相关网站发布公告</w:t>
      </w:r>
      <w:r>
        <w:rPr>
          <w:rFonts w:ascii="宋体" w:hAnsi="宋体"/>
          <w:sz w:val="24"/>
        </w:rPr>
        <w:t>，但不指明澄清问题的来源。如果澄清发出的时间距投标截止时间不足15</w:t>
      </w:r>
      <w:r>
        <w:rPr>
          <w:rFonts w:hint="eastAsia" w:ascii="宋体" w:hAnsi="宋体"/>
          <w:sz w:val="24"/>
        </w:rPr>
        <w:t>日</w:t>
      </w:r>
      <w:r>
        <w:rPr>
          <w:rFonts w:ascii="宋体" w:hAnsi="宋体"/>
          <w:sz w:val="24"/>
        </w:rPr>
        <w:t>，相应延长投标截止时间。</w:t>
      </w:r>
    </w:p>
    <w:p>
      <w:pPr>
        <w:spacing w:line="360" w:lineRule="auto"/>
        <w:ind w:firstLine="480" w:firstLineChars="200"/>
        <w:rPr>
          <w:rFonts w:ascii="宋体" w:hAnsi="宋体"/>
          <w:sz w:val="24"/>
        </w:rPr>
      </w:pPr>
      <w:r>
        <w:rPr>
          <w:rFonts w:hint="eastAsia" w:ascii="宋体" w:hAnsi="宋体"/>
          <w:sz w:val="24"/>
        </w:rPr>
        <w:t>2.2.3</w:t>
      </w:r>
      <w:r>
        <w:rPr>
          <w:rFonts w:ascii="宋体" w:hAnsi="宋体"/>
          <w:sz w:val="24"/>
        </w:rPr>
        <w:t xml:space="preserve"> 如果在规定的时间内供应商未提出疑问，将视为供应商完全理解并接受采购文件中的资格要求、供应商须知、评标办法、格式、条款、技术参数要求、澄清、修改等所有要求，则供应商应按照采购文件相应要求的要求提交有关资料和文件。</w:t>
      </w:r>
    </w:p>
    <w:p>
      <w:pPr>
        <w:spacing w:line="360" w:lineRule="auto"/>
        <w:ind w:firstLine="482" w:firstLineChars="200"/>
        <w:rPr>
          <w:rFonts w:ascii="宋体" w:hAnsi="宋体"/>
          <w:b/>
          <w:bCs/>
          <w:sz w:val="24"/>
        </w:rPr>
      </w:pPr>
      <w:r>
        <w:rPr>
          <w:rFonts w:hint="eastAsia" w:ascii="宋体" w:hAnsi="宋体"/>
          <w:b/>
          <w:bCs/>
          <w:sz w:val="24"/>
        </w:rPr>
        <w:t>2.3 采购文件的修改</w:t>
      </w:r>
    </w:p>
    <w:p>
      <w:pPr>
        <w:autoSpaceDE w:val="0"/>
        <w:autoSpaceDN w:val="0"/>
        <w:adjustRightInd w:val="0"/>
        <w:spacing w:line="360" w:lineRule="auto"/>
        <w:ind w:firstLine="480" w:firstLineChars="200"/>
        <w:jc w:val="left"/>
        <w:rPr>
          <w:rFonts w:ascii="宋体" w:hAnsi="宋体" w:cs="仿宋_GB2312"/>
          <w:kern w:val="0"/>
          <w:sz w:val="24"/>
        </w:rPr>
      </w:pPr>
      <w:r>
        <w:rPr>
          <w:rFonts w:hint="eastAsia" w:ascii="宋体" w:hAnsi="宋体"/>
          <w:sz w:val="24"/>
        </w:rPr>
        <w:t xml:space="preserve">2.3.1 </w:t>
      </w:r>
      <w:bookmarkStart w:id="138" w:name="_Toc2162"/>
      <w:bookmarkStart w:id="139" w:name="_Toc16301"/>
      <w:bookmarkStart w:id="140" w:name="_Toc14113"/>
      <w:r>
        <w:rPr>
          <w:rFonts w:hint="eastAsia" w:ascii="宋体" w:hAnsi="宋体" w:cs="仿宋_GB2312"/>
          <w:kern w:val="0"/>
          <w:sz w:val="24"/>
        </w:rPr>
        <w:t>在投标截止时间</w:t>
      </w:r>
      <w:r>
        <w:rPr>
          <w:rFonts w:ascii="宋体" w:hAnsi="宋体" w:cs="TimesNewRomanPSMT"/>
          <w:kern w:val="0"/>
          <w:sz w:val="24"/>
        </w:rPr>
        <w:t>15</w:t>
      </w:r>
      <w:r>
        <w:rPr>
          <w:rFonts w:hint="eastAsia" w:ascii="宋体" w:hAnsi="宋体" w:cs="仿宋_GB2312"/>
          <w:kern w:val="0"/>
          <w:sz w:val="24"/>
        </w:rPr>
        <w:t>日前，采购人或招标代理机构可以修改采购文件，采购人或招标代理机构将通过相关网站“变更公告”或系统内部“答疑文件”告知供应商，对于各项目中已经成功报名并下载采购文件的供应商，系统将通过第三方短信群发方式提醒供应商进行查询，自短信发出时起</w:t>
      </w:r>
      <w:r>
        <w:rPr>
          <w:rFonts w:ascii="宋体" w:hAnsi="宋体" w:cs="仿宋_GB2312"/>
          <w:kern w:val="0"/>
          <w:sz w:val="24"/>
        </w:rPr>
        <w:t>，</w:t>
      </w:r>
      <w:r>
        <w:rPr>
          <w:rFonts w:hint="eastAsia" w:ascii="宋体" w:hAnsi="宋体" w:cs="宋体"/>
          <w:sz w:val="24"/>
        </w:rPr>
        <w:t>即视为采购人或招标代理机构已通知所有采购文件收受人</w:t>
      </w:r>
      <w:r>
        <w:rPr>
          <w:rFonts w:hint="eastAsia" w:ascii="宋体" w:hAnsi="宋体" w:cs="仿宋_GB2312"/>
          <w:kern w:val="0"/>
          <w:sz w:val="24"/>
        </w:rPr>
        <w:t>。各供应商需重新下载最新的答疑文件，以此编制投标文件如果修改采购文件的时间距投标截止时间不足</w:t>
      </w:r>
      <w:r>
        <w:rPr>
          <w:rFonts w:ascii="宋体" w:hAnsi="宋体" w:cs="TimesNewRomanPSMT"/>
          <w:kern w:val="0"/>
          <w:sz w:val="24"/>
        </w:rPr>
        <w:t>15</w:t>
      </w:r>
      <w:r>
        <w:rPr>
          <w:rFonts w:hint="eastAsia" w:ascii="宋体" w:hAnsi="宋体" w:cs="仿宋_GB2312"/>
          <w:kern w:val="0"/>
          <w:sz w:val="24"/>
        </w:rPr>
        <w:t>日，相应延长投标截止时间。</w:t>
      </w:r>
    </w:p>
    <w:p>
      <w:pPr>
        <w:autoSpaceDE w:val="0"/>
        <w:autoSpaceDN w:val="0"/>
        <w:adjustRightInd w:val="0"/>
        <w:spacing w:line="360" w:lineRule="auto"/>
        <w:ind w:firstLine="616" w:firstLineChars="257"/>
        <w:jc w:val="left"/>
        <w:rPr>
          <w:rFonts w:ascii="宋体" w:hAnsi="宋体" w:cs="仿宋_GB2312"/>
          <w:kern w:val="0"/>
          <w:sz w:val="24"/>
        </w:rPr>
      </w:pPr>
      <w:r>
        <w:rPr>
          <w:rFonts w:hint="eastAsia" w:ascii="宋体" w:hAnsi="宋体" w:cs="TimesNewRomanPSMT"/>
          <w:kern w:val="0"/>
          <w:sz w:val="24"/>
        </w:rPr>
        <w:t>2.3.2 供应商注册时所留手机联系方式要保持畅通，因联系方式变更而未及时更新系统内联系方式的，将会造成收不到短信。此短信仅系友情提示，并不具有任何约束性和必要性，代理机构和采购人不承担供应商未收到短信而引起的一切后果和法律责任。</w:t>
      </w:r>
    </w:p>
    <w:p>
      <w:pPr>
        <w:spacing w:line="360" w:lineRule="auto"/>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rPr>
        <w:t>、投标文件</w:t>
      </w:r>
      <w:bookmarkEnd w:id="138"/>
      <w:bookmarkEnd w:id="139"/>
      <w:bookmarkEnd w:id="140"/>
    </w:p>
    <w:p>
      <w:pPr>
        <w:spacing w:line="360" w:lineRule="auto"/>
        <w:ind w:firstLine="482" w:firstLineChars="200"/>
        <w:rPr>
          <w:rFonts w:ascii="宋体" w:hAnsi="宋体"/>
          <w:b/>
          <w:bCs/>
          <w:sz w:val="24"/>
        </w:rPr>
      </w:pPr>
      <w:r>
        <w:rPr>
          <w:rFonts w:hint="eastAsia" w:ascii="宋体" w:hAnsi="宋体"/>
          <w:b/>
          <w:bCs/>
          <w:sz w:val="24"/>
        </w:rPr>
        <w:t>3.1 投标文件的组成</w:t>
      </w:r>
    </w:p>
    <w:p>
      <w:pPr>
        <w:pStyle w:val="30"/>
        <w:spacing w:line="360" w:lineRule="auto"/>
        <w:ind w:firstLine="482"/>
        <w:rPr>
          <w:rFonts w:hAnsi="宋体"/>
          <w:color w:val="auto"/>
          <w:kern w:val="2"/>
        </w:rPr>
      </w:pPr>
      <w:r>
        <w:rPr>
          <w:rFonts w:hint="eastAsia" w:hAnsi="宋体"/>
          <w:color w:val="auto"/>
          <w:kern w:val="2"/>
        </w:rPr>
        <w:t>（1）投标函及投标函附录</w:t>
      </w:r>
    </w:p>
    <w:p>
      <w:pPr>
        <w:pStyle w:val="30"/>
        <w:spacing w:line="360" w:lineRule="auto"/>
        <w:ind w:firstLine="482"/>
        <w:rPr>
          <w:rFonts w:hAnsi="宋体"/>
          <w:color w:val="auto"/>
          <w:kern w:val="2"/>
        </w:rPr>
      </w:pPr>
      <w:r>
        <w:rPr>
          <w:rFonts w:hint="eastAsia" w:hAnsi="宋体"/>
          <w:color w:val="auto"/>
          <w:kern w:val="2"/>
        </w:rPr>
        <w:t>（2）法定代表人身份证明</w:t>
      </w:r>
    </w:p>
    <w:p>
      <w:pPr>
        <w:pStyle w:val="30"/>
        <w:spacing w:line="360" w:lineRule="auto"/>
        <w:ind w:firstLine="482"/>
        <w:rPr>
          <w:rFonts w:hAnsi="宋体"/>
          <w:color w:val="auto"/>
          <w:kern w:val="2"/>
        </w:rPr>
      </w:pPr>
      <w:r>
        <w:rPr>
          <w:rFonts w:hint="eastAsia" w:hAnsi="宋体"/>
          <w:color w:val="auto"/>
          <w:kern w:val="2"/>
        </w:rPr>
        <w:t>（3）授权委托书</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4</w:t>
      </w:r>
      <w:r>
        <w:rPr>
          <w:rFonts w:hint="eastAsia" w:hAnsi="宋体"/>
          <w:color w:val="auto"/>
          <w:kern w:val="2"/>
        </w:rPr>
        <w:t>）资格证明文件</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5</w:t>
      </w:r>
      <w:r>
        <w:rPr>
          <w:rFonts w:hint="eastAsia" w:hAnsi="宋体"/>
          <w:color w:val="auto"/>
          <w:kern w:val="2"/>
        </w:rPr>
        <w:t>）报价明细表</w:t>
      </w:r>
    </w:p>
    <w:p>
      <w:pPr>
        <w:pStyle w:val="30"/>
        <w:spacing w:line="360" w:lineRule="auto"/>
        <w:ind w:firstLine="482"/>
        <w:rPr>
          <w:rFonts w:hAnsi="宋体"/>
          <w:color w:val="auto"/>
          <w:kern w:val="2"/>
        </w:rPr>
      </w:pPr>
      <w:r>
        <w:rPr>
          <w:rFonts w:hint="eastAsia" w:hAnsi="宋体"/>
          <w:color w:val="auto"/>
          <w:kern w:val="2"/>
        </w:rPr>
        <w:t>（6）项目实施方案</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7</w:t>
      </w:r>
      <w:r>
        <w:rPr>
          <w:rFonts w:hint="eastAsia" w:hAnsi="宋体"/>
          <w:color w:val="auto"/>
          <w:kern w:val="2"/>
        </w:rPr>
        <w:t>）售后服务承诺</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8</w:t>
      </w:r>
      <w:r>
        <w:rPr>
          <w:rFonts w:hint="eastAsia" w:hAnsi="宋体"/>
          <w:color w:val="auto"/>
          <w:kern w:val="2"/>
        </w:rPr>
        <w:t>）其他材料</w:t>
      </w:r>
    </w:p>
    <w:p>
      <w:pPr>
        <w:spacing w:line="360" w:lineRule="auto"/>
        <w:ind w:firstLine="482" w:firstLineChars="200"/>
        <w:rPr>
          <w:rFonts w:ascii="宋体" w:hAnsi="宋体"/>
          <w:b/>
          <w:bCs/>
          <w:sz w:val="24"/>
        </w:rPr>
      </w:pPr>
      <w:r>
        <w:rPr>
          <w:rFonts w:hint="eastAsia" w:ascii="宋体" w:hAnsi="宋体"/>
          <w:b/>
          <w:bCs/>
          <w:sz w:val="24"/>
        </w:rPr>
        <w:t>3.2 投标报价</w:t>
      </w:r>
    </w:p>
    <w:p>
      <w:pPr>
        <w:spacing w:line="360" w:lineRule="auto"/>
        <w:ind w:firstLine="480" w:firstLineChars="200"/>
        <w:rPr>
          <w:rFonts w:ascii="宋体" w:hAnsi="宋体"/>
          <w:sz w:val="24"/>
        </w:rPr>
      </w:pPr>
      <w:r>
        <w:rPr>
          <w:rFonts w:hint="eastAsia" w:ascii="宋体" w:hAnsi="宋体"/>
          <w:sz w:val="24"/>
        </w:rPr>
        <w:t>3.2.1 投标货币</w:t>
      </w:r>
    </w:p>
    <w:p>
      <w:pPr>
        <w:spacing w:line="360" w:lineRule="auto"/>
        <w:ind w:firstLine="480" w:firstLineChars="200"/>
        <w:rPr>
          <w:rFonts w:ascii="宋体" w:hAnsi="宋体"/>
          <w:sz w:val="24"/>
        </w:rPr>
      </w:pPr>
      <w:r>
        <w:rPr>
          <w:rFonts w:hint="eastAsia" w:ascii="宋体" w:hAnsi="宋体"/>
          <w:sz w:val="24"/>
        </w:rPr>
        <w:t>投标文件中投标报价全部采用人民币表示。</w:t>
      </w:r>
    </w:p>
    <w:p>
      <w:pPr>
        <w:spacing w:line="360" w:lineRule="auto"/>
        <w:ind w:firstLine="480" w:firstLineChars="200"/>
        <w:rPr>
          <w:rFonts w:ascii="宋体" w:hAnsi="宋体"/>
          <w:sz w:val="24"/>
        </w:rPr>
      </w:pPr>
      <w:r>
        <w:rPr>
          <w:rFonts w:hint="eastAsia" w:ascii="宋体" w:hAnsi="宋体"/>
          <w:sz w:val="24"/>
        </w:rPr>
        <w:t>3.2.2 投标报价</w:t>
      </w:r>
    </w:p>
    <w:p>
      <w:pPr>
        <w:spacing w:line="360" w:lineRule="auto"/>
        <w:ind w:firstLine="480" w:firstLineChars="200"/>
        <w:rPr>
          <w:rFonts w:ascii="宋体" w:hAnsi="宋体"/>
          <w:sz w:val="24"/>
        </w:rPr>
      </w:pPr>
      <w:r>
        <w:rPr>
          <w:rFonts w:hint="eastAsia" w:ascii="宋体" w:hAnsi="宋体"/>
          <w:sz w:val="24"/>
        </w:rPr>
        <w:t>（1）供应商依据本项目采购文件、采购项目需求，并结合市场行情自主合理报价。</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）投标报价应包括采购文件所确定的招标范围内的全部内容。</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）供应商应考虑价格变化风险，必需交纳的各种运输费、包装费、税费等一切费</w:t>
      </w:r>
    </w:p>
    <w:p>
      <w:pPr>
        <w:spacing w:line="360" w:lineRule="auto"/>
        <w:rPr>
          <w:rFonts w:ascii="宋体" w:hAnsi="宋体"/>
          <w:sz w:val="24"/>
        </w:rPr>
      </w:pPr>
      <w:r>
        <w:rPr>
          <w:rFonts w:hint="eastAsia" w:ascii="宋体" w:hAnsi="宋体"/>
          <w:sz w:val="24"/>
        </w:rPr>
        <w:t>用。</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）投标报价不得低于企业成本。</w:t>
      </w:r>
    </w:p>
    <w:p>
      <w:pPr>
        <w:spacing w:line="360" w:lineRule="auto"/>
        <w:ind w:firstLine="482" w:firstLineChars="200"/>
        <w:rPr>
          <w:rFonts w:ascii="宋体" w:hAnsi="宋体"/>
          <w:b/>
          <w:bCs/>
          <w:sz w:val="24"/>
        </w:rPr>
      </w:pPr>
      <w:r>
        <w:rPr>
          <w:rFonts w:hint="eastAsia" w:ascii="宋体" w:hAnsi="宋体"/>
          <w:b/>
          <w:bCs/>
          <w:sz w:val="24"/>
        </w:rPr>
        <w:t>3.3 投标有效期</w:t>
      </w:r>
    </w:p>
    <w:p>
      <w:pPr>
        <w:spacing w:line="360" w:lineRule="auto"/>
        <w:ind w:firstLine="480" w:firstLineChars="200"/>
        <w:rPr>
          <w:rFonts w:ascii="宋体" w:hAnsi="宋体"/>
          <w:sz w:val="24"/>
        </w:rPr>
      </w:pPr>
      <w:r>
        <w:rPr>
          <w:rFonts w:hint="eastAsia" w:ascii="宋体" w:hAnsi="宋体"/>
          <w:sz w:val="24"/>
        </w:rPr>
        <w:t>3.3.1 在供应商须知前附表规定的投标有效期内，供应商不得要求撤销或修改其投标文件。</w:t>
      </w:r>
    </w:p>
    <w:p>
      <w:pPr>
        <w:tabs>
          <w:tab w:val="left" w:pos="1980"/>
        </w:tabs>
        <w:spacing w:line="360" w:lineRule="auto"/>
        <w:ind w:firstLine="480" w:firstLineChars="200"/>
        <w:rPr>
          <w:rFonts w:ascii="宋体" w:hAnsi="宋体" w:cs="宋体"/>
          <w:sz w:val="24"/>
        </w:rPr>
      </w:pPr>
      <w:r>
        <w:rPr>
          <w:rFonts w:hint="eastAsia" w:ascii="宋体" w:hAnsi="宋体"/>
          <w:sz w:val="24"/>
        </w:rPr>
        <w:t xml:space="preserve">3.3.2 </w:t>
      </w:r>
      <w:r>
        <w:rPr>
          <w:rFonts w:ascii="宋体" w:hAnsi="宋体" w:cs="宋体"/>
          <w:sz w:val="24"/>
        </w:rPr>
        <w:t>在特殊情况下，采购人和招标代理机构可征求供应商同意延长投标有效期。采购</w:t>
      </w:r>
      <w:r>
        <w:rPr>
          <w:rFonts w:hint="eastAsia" w:ascii="宋体" w:hAnsi="宋体" w:cs="宋体"/>
          <w:sz w:val="24"/>
        </w:rPr>
        <w:t>代理机构</w:t>
      </w:r>
      <w:r>
        <w:rPr>
          <w:rFonts w:ascii="宋体" w:hAnsi="宋体" w:cs="宋体"/>
          <w:sz w:val="24"/>
        </w:rPr>
        <w:t>通过“兰考县公共资源交易中心”电子平台发布公告，通知所有供应商延长投标有效期。供应商同意延长的，应相应延长其投标保证金的有效期，但不得要求或被允许修改或撤销其投标文件；供应商拒绝延长的，其投标失效，但供应商有权收回其投标保证金。</w:t>
      </w:r>
    </w:p>
    <w:p>
      <w:pPr>
        <w:spacing w:line="360" w:lineRule="auto"/>
        <w:ind w:firstLine="482" w:firstLineChars="200"/>
        <w:rPr>
          <w:rFonts w:ascii="宋体" w:hAnsi="宋体"/>
          <w:b/>
          <w:bCs/>
          <w:sz w:val="24"/>
        </w:rPr>
      </w:pPr>
      <w:r>
        <w:rPr>
          <w:rFonts w:hint="eastAsia" w:ascii="宋体" w:hAnsi="宋体"/>
          <w:b/>
          <w:bCs/>
          <w:sz w:val="24"/>
        </w:rPr>
        <w:t>3.4 资格审查资料</w:t>
      </w:r>
    </w:p>
    <w:p>
      <w:pPr>
        <w:spacing w:line="360" w:lineRule="auto"/>
        <w:ind w:firstLine="480" w:firstLineChars="200"/>
        <w:rPr>
          <w:rFonts w:ascii="宋体" w:hAnsi="宋体"/>
          <w:sz w:val="24"/>
        </w:rPr>
      </w:pPr>
      <w:r>
        <w:rPr>
          <w:rFonts w:hint="eastAsia" w:ascii="宋体" w:hAnsi="宋体"/>
          <w:sz w:val="24"/>
        </w:rPr>
        <w:t xml:space="preserve"> 供应商应满足供应商须知中规定的资格条件，并按照相关规定在投标文件中附有相关资格证明材料。</w:t>
      </w:r>
    </w:p>
    <w:p>
      <w:pPr>
        <w:spacing w:line="360" w:lineRule="auto"/>
        <w:ind w:firstLine="482" w:firstLineChars="200"/>
        <w:rPr>
          <w:rFonts w:ascii="宋体" w:hAnsi="宋体"/>
          <w:b/>
          <w:bCs/>
          <w:sz w:val="24"/>
        </w:rPr>
      </w:pPr>
      <w:r>
        <w:rPr>
          <w:rFonts w:hint="eastAsia" w:ascii="宋体" w:hAnsi="宋体"/>
          <w:b/>
          <w:bCs/>
          <w:sz w:val="24"/>
        </w:rPr>
        <w:t>3.5 备选投标方案</w:t>
      </w:r>
    </w:p>
    <w:p>
      <w:pPr>
        <w:spacing w:line="360" w:lineRule="auto"/>
        <w:ind w:firstLine="480" w:firstLineChars="200"/>
        <w:rPr>
          <w:rFonts w:ascii="宋体" w:hAnsi="宋体"/>
          <w:sz w:val="24"/>
        </w:rPr>
      </w:pPr>
      <w:r>
        <w:rPr>
          <w:rFonts w:hint="eastAsia" w:ascii="宋体" w:hAnsi="宋体"/>
          <w:sz w:val="24"/>
        </w:rPr>
        <w:t>除供应商须知前附表另有规定外，供应商不得递交备选投标方案。允许供应商递交备选投标方案的，只有中标人所递交的备选投标方案方可予以考虑。评标委员会认为中标人的备选投标方案优于其按照采购文件要求编制的投标方案的，采购人可以接受该备选投标方案。</w:t>
      </w:r>
    </w:p>
    <w:p>
      <w:pPr>
        <w:spacing w:line="360" w:lineRule="auto"/>
        <w:ind w:firstLine="482" w:firstLineChars="200"/>
        <w:rPr>
          <w:rFonts w:ascii="宋体" w:hAnsi="宋体"/>
          <w:b/>
          <w:bCs/>
          <w:sz w:val="24"/>
        </w:rPr>
      </w:pPr>
      <w:r>
        <w:rPr>
          <w:rFonts w:hint="eastAsia" w:ascii="宋体" w:hAnsi="宋体"/>
          <w:b/>
          <w:bCs/>
          <w:sz w:val="24"/>
        </w:rPr>
        <w:t>3.6 投标文件的编制</w:t>
      </w:r>
    </w:p>
    <w:p>
      <w:pPr>
        <w:spacing w:line="360" w:lineRule="auto"/>
        <w:ind w:firstLine="480" w:firstLineChars="200"/>
        <w:rPr>
          <w:rFonts w:ascii="宋体" w:hAnsi="宋体"/>
          <w:sz w:val="24"/>
        </w:rPr>
      </w:pPr>
      <w:r>
        <w:rPr>
          <w:rFonts w:hint="eastAsia" w:ascii="宋体" w:hAnsi="宋体"/>
          <w:sz w:val="24"/>
        </w:rPr>
        <w:t>3.6.1 投标文件应按第六章“投标文件格式”进行编写，如有必要，可以增加附页，作为投标文件的组成部分。其中，投标函附录在满足采购文件实质性要求的基础上，可以提出比采购文件要求更有利于采购人的承诺。</w:t>
      </w:r>
    </w:p>
    <w:p>
      <w:pPr>
        <w:spacing w:line="360" w:lineRule="auto"/>
        <w:ind w:firstLine="480" w:firstLineChars="200"/>
        <w:rPr>
          <w:rFonts w:ascii="宋体" w:hAnsi="宋体"/>
          <w:sz w:val="24"/>
        </w:rPr>
      </w:pPr>
      <w:r>
        <w:rPr>
          <w:rFonts w:hint="eastAsia" w:ascii="宋体" w:hAnsi="宋体"/>
          <w:sz w:val="24"/>
        </w:rPr>
        <w:t>3.6.2 投标文件应当对采购文件有关交货期、投标有效期、质量要求、招标内容等实质性内容作出响应。</w:t>
      </w:r>
    </w:p>
    <w:p>
      <w:pPr>
        <w:spacing w:line="360" w:lineRule="auto"/>
        <w:ind w:firstLine="480" w:firstLineChars="200"/>
        <w:rPr>
          <w:rFonts w:ascii="宋体" w:hAnsi="宋体"/>
          <w:sz w:val="24"/>
        </w:rPr>
      </w:pPr>
      <w:r>
        <w:rPr>
          <w:rFonts w:hint="eastAsia" w:ascii="宋体" w:hAnsi="宋体"/>
          <w:sz w:val="24"/>
        </w:rPr>
        <w:t>3.6.3电子版投标文件应按照采购文件的要求进行编制，并在文件要求处加盖供应商公章和法定代表人（或授权代表）印章或签字。</w:t>
      </w:r>
    </w:p>
    <w:p>
      <w:pPr>
        <w:spacing w:line="360" w:lineRule="auto"/>
        <w:ind w:firstLine="562" w:firstLineChars="200"/>
        <w:rPr>
          <w:rFonts w:ascii="宋体" w:hAnsi="宋体"/>
          <w:b/>
          <w:bCs/>
          <w:sz w:val="28"/>
          <w:szCs w:val="28"/>
        </w:rPr>
      </w:pPr>
      <w:bookmarkStart w:id="141" w:name="_Toc32670"/>
      <w:bookmarkStart w:id="142" w:name="_Toc11869"/>
      <w:bookmarkStart w:id="143" w:name="_Toc987"/>
      <w:r>
        <w:rPr>
          <w:rFonts w:hint="eastAsia" w:ascii="宋体" w:hAnsi="宋体"/>
          <w:b/>
          <w:bCs/>
          <w:sz w:val="28"/>
          <w:szCs w:val="28"/>
        </w:rPr>
        <w:t>4、投标</w:t>
      </w:r>
      <w:bookmarkEnd w:id="141"/>
      <w:bookmarkEnd w:id="142"/>
      <w:bookmarkEnd w:id="143"/>
      <w:r>
        <w:rPr>
          <w:rFonts w:hint="eastAsia" w:ascii="宋体" w:hAnsi="宋体"/>
          <w:b/>
          <w:bCs/>
          <w:sz w:val="28"/>
          <w:szCs w:val="28"/>
        </w:rPr>
        <w:t>文件的递交</w:t>
      </w:r>
    </w:p>
    <w:p>
      <w:pPr>
        <w:widowControl/>
        <w:tabs>
          <w:tab w:val="left" w:pos="4140"/>
          <w:tab w:val="left" w:pos="4320"/>
        </w:tabs>
        <w:spacing w:line="360" w:lineRule="auto"/>
        <w:ind w:firstLine="480" w:firstLineChars="200"/>
        <w:rPr>
          <w:rFonts w:ascii="宋体" w:hAnsi="宋体"/>
          <w:sz w:val="24"/>
        </w:rPr>
      </w:pPr>
      <w:bookmarkStart w:id="144" w:name="_Toc10899"/>
      <w:bookmarkStart w:id="145" w:name="_Toc24161"/>
      <w:bookmarkStart w:id="146" w:name="_Toc23776"/>
      <w:bookmarkStart w:id="147" w:name="_Toc520717619"/>
      <w:bookmarkStart w:id="148" w:name="_Toc528119499"/>
      <w:r>
        <w:rPr>
          <w:rFonts w:ascii="宋体" w:hAnsi="宋体" w:cs="楷体_GB2312"/>
          <w:kern w:val="0"/>
          <w:sz w:val="24"/>
        </w:rPr>
        <w:t>供应商应在</w:t>
      </w:r>
      <w:r>
        <w:rPr>
          <w:rFonts w:hint="eastAsia" w:ascii="宋体" w:hAnsi="宋体" w:cs="楷体_GB2312"/>
          <w:kern w:val="0"/>
          <w:sz w:val="24"/>
        </w:rPr>
        <w:t>投标</w:t>
      </w:r>
      <w:r>
        <w:rPr>
          <w:rFonts w:ascii="宋体" w:hAnsi="宋体" w:cs="楷体_GB2312"/>
          <w:kern w:val="0"/>
          <w:sz w:val="24"/>
        </w:rPr>
        <w:t>截止时间以前登录</w:t>
      </w:r>
      <w:r>
        <w:rPr>
          <w:rFonts w:hint="eastAsia" w:ascii="宋体" w:hAnsi="宋体" w:cs="楷体_GB2312"/>
          <w:kern w:val="0"/>
          <w:sz w:val="24"/>
        </w:rPr>
        <w:t>兰考县</w:t>
      </w:r>
      <w:r>
        <w:rPr>
          <w:rFonts w:ascii="宋体" w:hAnsi="宋体" w:cs="楷体_GB2312"/>
          <w:kern w:val="0"/>
          <w:sz w:val="24"/>
        </w:rPr>
        <w:t>公共资源交易中心系统上传递交加密电</w:t>
      </w:r>
      <w:r>
        <w:rPr>
          <w:rFonts w:hint="eastAsia" w:ascii="宋体" w:hAnsi="宋体" w:cs="楷体_GB2312"/>
          <w:kern w:val="0"/>
          <w:sz w:val="24"/>
        </w:rPr>
        <w:t>子投标</w:t>
      </w:r>
      <w:r>
        <w:rPr>
          <w:rFonts w:ascii="宋体" w:hAnsi="宋体" w:cs="楷体_GB2312"/>
          <w:kern w:val="0"/>
          <w:sz w:val="24"/>
        </w:rPr>
        <w:t>文件到指定位置，并确认已经成功提交</w:t>
      </w:r>
      <w:r>
        <w:rPr>
          <w:rFonts w:hint="eastAsia" w:ascii="宋体" w:hAnsi="宋体" w:cs="楷体_GB2312"/>
          <w:kern w:val="0"/>
          <w:sz w:val="24"/>
        </w:rPr>
        <w:t>投标</w:t>
      </w:r>
      <w:r>
        <w:rPr>
          <w:rFonts w:ascii="宋体" w:hAnsi="宋体" w:cs="楷体_GB2312"/>
          <w:kern w:val="0"/>
          <w:sz w:val="24"/>
        </w:rPr>
        <w:t>文件，请在上传时认真检查上传</w:t>
      </w:r>
      <w:r>
        <w:rPr>
          <w:rFonts w:hint="eastAsia" w:ascii="宋体" w:hAnsi="宋体" w:cs="楷体_GB2312"/>
          <w:kern w:val="0"/>
          <w:sz w:val="24"/>
        </w:rPr>
        <w:t>投标</w:t>
      </w:r>
      <w:r>
        <w:rPr>
          <w:rFonts w:ascii="宋体" w:hAnsi="宋体" w:cs="楷体_GB2312"/>
          <w:kern w:val="0"/>
          <w:sz w:val="24"/>
        </w:rPr>
        <w:t>文件是否完整正确，</w:t>
      </w:r>
      <w:r>
        <w:rPr>
          <w:rFonts w:hint="eastAsia" w:ascii="宋体" w:hAnsi="宋体" w:cs="楷体_GB2312"/>
          <w:kern w:val="0"/>
          <w:sz w:val="24"/>
        </w:rPr>
        <w:t>确保</w:t>
      </w:r>
      <w:r>
        <w:rPr>
          <w:rFonts w:ascii="宋体" w:hAnsi="宋体" w:cs="楷体_GB2312"/>
          <w:kern w:val="0"/>
          <w:sz w:val="24"/>
        </w:rPr>
        <w:t>上传成功</w:t>
      </w:r>
      <w:r>
        <w:rPr>
          <w:rFonts w:ascii="宋体" w:hAnsi="宋体"/>
          <w:sz w:val="24"/>
        </w:rPr>
        <w:t>。</w:t>
      </w:r>
    </w:p>
    <w:p>
      <w:pPr>
        <w:spacing w:line="360" w:lineRule="auto"/>
        <w:ind w:firstLine="562" w:firstLineChars="200"/>
        <w:rPr>
          <w:rFonts w:ascii="宋体" w:hAnsi="宋体"/>
          <w:b/>
          <w:bCs/>
          <w:sz w:val="28"/>
          <w:szCs w:val="28"/>
        </w:rPr>
      </w:pPr>
      <w:r>
        <w:rPr>
          <w:rFonts w:hint="eastAsia" w:ascii="宋体" w:hAnsi="宋体"/>
          <w:b/>
          <w:bCs/>
          <w:sz w:val="28"/>
          <w:szCs w:val="28"/>
        </w:rPr>
        <w:t>5、开标</w:t>
      </w:r>
      <w:bookmarkEnd w:id="144"/>
      <w:bookmarkEnd w:id="145"/>
      <w:bookmarkEnd w:id="146"/>
    </w:p>
    <w:p>
      <w:pPr>
        <w:spacing w:line="360" w:lineRule="auto"/>
        <w:ind w:firstLine="482" w:firstLineChars="200"/>
        <w:rPr>
          <w:rFonts w:ascii="宋体" w:hAnsi="宋体"/>
          <w:b/>
          <w:bCs/>
          <w:sz w:val="24"/>
        </w:rPr>
      </w:pPr>
      <w:r>
        <w:rPr>
          <w:rFonts w:hint="eastAsia" w:ascii="宋体" w:hAnsi="宋体"/>
          <w:b/>
          <w:bCs/>
          <w:sz w:val="24"/>
        </w:rPr>
        <w:t>5.1 开标时间和地点</w:t>
      </w:r>
    </w:p>
    <w:p>
      <w:pPr>
        <w:spacing w:line="360" w:lineRule="auto"/>
        <w:ind w:firstLine="480" w:firstLineChars="200"/>
        <w:rPr>
          <w:rFonts w:ascii="宋体" w:hAnsi="宋体"/>
          <w:sz w:val="24"/>
        </w:rPr>
      </w:pPr>
      <w:r>
        <w:rPr>
          <w:rFonts w:hint="eastAsia" w:ascii="宋体" w:hAnsi="宋体"/>
          <w:sz w:val="24"/>
        </w:rPr>
        <w:t>采购人在采购文件规定的投标截止时间（开标时间）和供应商须知前附表规定的地点公开开标。</w:t>
      </w:r>
    </w:p>
    <w:p>
      <w:pPr>
        <w:spacing w:line="360" w:lineRule="auto"/>
        <w:ind w:firstLine="482" w:firstLineChars="200"/>
        <w:rPr>
          <w:rFonts w:ascii="宋体" w:hAnsi="宋体"/>
          <w:b/>
          <w:bCs/>
          <w:sz w:val="24"/>
        </w:rPr>
      </w:pPr>
      <w:r>
        <w:rPr>
          <w:rFonts w:hint="eastAsia" w:ascii="宋体" w:hAnsi="宋体"/>
          <w:b/>
          <w:bCs/>
          <w:sz w:val="24"/>
        </w:rPr>
        <w:t>5.2 开标程序</w:t>
      </w:r>
    </w:p>
    <w:bookmarkEnd w:id="147"/>
    <w:bookmarkEnd w:id="148"/>
    <w:p>
      <w:pPr>
        <w:pStyle w:val="8"/>
        <w:spacing w:line="360" w:lineRule="auto"/>
        <w:ind w:firstLine="420" w:firstLineChars="200"/>
        <w:rPr>
          <w:rFonts w:ascii="宋体" w:hAnsi="宋体"/>
          <w:sz w:val="24"/>
        </w:rPr>
      </w:pPr>
      <w:r>
        <w:rPr>
          <w:rFonts w:hint="eastAsia"/>
        </w:rPr>
        <w:t xml:space="preserve"> </w:t>
      </w:r>
      <w:r>
        <w:rPr>
          <w:rFonts w:hint="eastAsia" w:ascii="宋体" w:hAnsi="宋体"/>
          <w:sz w:val="24"/>
        </w:rPr>
        <w:t>本项目采用“远程不见面” 开标方式,供应商无需到兰考县公共资源交易中心现场参加开标会议。</w:t>
      </w:r>
    </w:p>
    <w:p>
      <w:pPr>
        <w:pStyle w:val="8"/>
        <w:spacing w:line="360" w:lineRule="auto"/>
        <w:ind w:firstLine="480" w:firstLineChars="200"/>
        <w:rPr>
          <w:rFonts w:ascii="宋体" w:hAnsi="宋体"/>
          <w:sz w:val="24"/>
        </w:rPr>
      </w:pPr>
      <w:r>
        <w:rPr>
          <w:rFonts w:hint="eastAsia" w:ascii="宋体" w:hAnsi="宋体"/>
          <w:sz w:val="24"/>
        </w:rPr>
        <w:t>供应商应当在采购文件确定的投标截止时间前，登录远程开标大厅,在线准时参加开标活动并进行投标文件解密、 答疑澄清等（系统解密时长默认为40分钟，错过解密时长者视为自动放弃本次投标） 。</w:t>
      </w:r>
    </w:p>
    <w:p>
      <w:pPr>
        <w:pStyle w:val="8"/>
        <w:spacing w:line="360" w:lineRule="auto"/>
        <w:ind w:firstLine="480" w:firstLineChars="200"/>
        <w:rPr>
          <w:rFonts w:ascii="宋体" w:hAnsi="宋体"/>
          <w:sz w:val="24"/>
        </w:rPr>
      </w:pPr>
      <w:r>
        <w:rPr>
          <w:rFonts w:hint="eastAsia" w:ascii="宋体" w:hAnsi="宋体"/>
          <w:sz w:val="24"/>
        </w:rPr>
        <w:t>开标程序：</w:t>
      </w:r>
    </w:p>
    <w:p>
      <w:pPr>
        <w:pStyle w:val="8"/>
        <w:spacing w:line="360" w:lineRule="auto"/>
        <w:ind w:firstLine="480" w:firstLineChars="200"/>
        <w:rPr>
          <w:rFonts w:ascii="宋体" w:hAnsi="宋体"/>
          <w:sz w:val="24"/>
        </w:rPr>
      </w:pPr>
      <w:r>
        <w:rPr>
          <w:rFonts w:hint="eastAsia" w:ascii="宋体" w:hAnsi="宋体"/>
          <w:sz w:val="24"/>
        </w:rPr>
        <w:t>1、 主持人点击“开标”，解密开始倒计时。</w:t>
      </w:r>
    </w:p>
    <w:p>
      <w:pPr>
        <w:pStyle w:val="8"/>
        <w:spacing w:line="360" w:lineRule="auto"/>
        <w:ind w:firstLine="480" w:firstLineChars="200"/>
        <w:rPr>
          <w:rFonts w:ascii="宋体" w:hAnsi="宋体"/>
          <w:sz w:val="24"/>
        </w:rPr>
      </w:pPr>
      <w:r>
        <w:rPr>
          <w:rFonts w:hint="eastAsia" w:ascii="宋体" w:hAnsi="宋体"/>
          <w:sz w:val="24"/>
        </w:rPr>
        <w:t>2、 供应商对所上传加密的投标文件在规定时间内进行解密。</w:t>
      </w:r>
    </w:p>
    <w:p>
      <w:pPr>
        <w:pStyle w:val="8"/>
        <w:spacing w:line="360" w:lineRule="auto"/>
        <w:ind w:firstLine="480" w:firstLineChars="200"/>
        <w:rPr>
          <w:rFonts w:ascii="宋体" w:hAnsi="宋体"/>
          <w:sz w:val="24"/>
        </w:rPr>
      </w:pPr>
      <w:r>
        <w:rPr>
          <w:rFonts w:hint="eastAsia" w:ascii="宋体" w:hAnsi="宋体"/>
          <w:sz w:val="24"/>
        </w:rPr>
        <w:t>3、 解密时间结束后5分钟质疑时间,无供应商提出异议，开标结束。</w:t>
      </w:r>
    </w:p>
    <w:p>
      <w:pPr>
        <w:pStyle w:val="8"/>
        <w:spacing w:line="360" w:lineRule="auto"/>
        <w:ind w:firstLine="480" w:firstLineChars="200"/>
        <w:rPr>
          <w:rFonts w:ascii="宋体" w:hAnsi="宋体"/>
          <w:sz w:val="24"/>
        </w:rPr>
      </w:pPr>
      <w:r>
        <w:rPr>
          <w:rFonts w:hint="eastAsia" w:ascii="宋体" w:hAnsi="宋体"/>
          <w:sz w:val="24"/>
        </w:rPr>
        <w:t>备注：供应商在投标截止时间前未上传电子投标文件的将视为放弃投标，因供应商原因造成投标文件未解密成功的，视为撤销其投标文件；本项目解密的投标文件不足三家时不再开标。</w:t>
      </w:r>
    </w:p>
    <w:p>
      <w:pPr>
        <w:pStyle w:val="8"/>
        <w:spacing w:line="360" w:lineRule="auto"/>
        <w:ind w:firstLine="562" w:firstLineChars="200"/>
        <w:rPr>
          <w:rFonts w:ascii="宋体" w:hAnsi="宋体"/>
          <w:b/>
          <w:bCs/>
          <w:sz w:val="28"/>
          <w:szCs w:val="28"/>
        </w:rPr>
      </w:pPr>
      <w:r>
        <w:rPr>
          <w:rFonts w:hint="eastAsia" w:ascii="宋体" w:hAnsi="宋体"/>
          <w:b/>
          <w:bCs/>
          <w:sz w:val="28"/>
          <w:szCs w:val="28"/>
        </w:rPr>
        <w:t>6、评标</w:t>
      </w:r>
    </w:p>
    <w:p>
      <w:pPr>
        <w:spacing w:line="360" w:lineRule="auto"/>
        <w:ind w:firstLine="482" w:firstLineChars="200"/>
        <w:rPr>
          <w:rFonts w:ascii="宋体" w:hAnsi="宋体"/>
          <w:b/>
          <w:bCs/>
          <w:sz w:val="24"/>
        </w:rPr>
      </w:pPr>
      <w:r>
        <w:rPr>
          <w:rFonts w:hint="eastAsia" w:ascii="宋体" w:hAnsi="宋体"/>
          <w:b/>
          <w:bCs/>
          <w:sz w:val="24"/>
        </w:rPr>
        <w:t>6.1 评标委员会</w:t>
      </w:r>
    </w:p>
    <w:p>
      <w:pPr>
        <w:spacing w:line="360" w:lineRule="auto"/>
        <w:ind w:firstLine="480" w:firstLineChars="200"/>
        <w:rPr>
          <w:rFonts w:ascii="宋体" w:hAnsi="宋体"/>
          <w:sz w:val="24"/>
        </w:rPr>
      </w:pPr>
      <w:r>
        <w:rPr>
          <w:rFonts w:hint="eastAsia" w:ascii="宋体" w:hAnsi="宋体"/>
          <w:sz w:val="24"/>
        </w:rPr>
        <w:t>6.1.1 评标由采购人依法组建的评标委员会负责。评标委员会由采购人或其委托的招标代理机构熟悉相关业务的代表，以及有关技术、经济等方面的专家组成。评标委员会成员人数以及技术、经济等方面专家的确定方式见供应商须知前附表。</w:t>
      </w:r>
    </w:p>
    <w:p>
      <w:pPr>
        <w:spacing w:line="360" w:lineRule="auto"/>
        <w:ind w:firstLine="480" w:firstLineChars="200"/>
        <w:rPr>
          <w:rFonts w:ascii="宋体" w:hAnsi="宋体"/>
          <w:sz w:val="24"/>
        </w:rPr>
      </w:pPr>
      <w:r>
        <w:rPr>
          <w:rFonts w:hint="eastAsia" w:ascii="宋体" w:hAnsi="宋体"/>
          <w:sz w:val="24"/>
        </w:rPr>
        <w:t>6.1.2 评标委员会成员有下列情形之一的，应当回避：</w:t>
      </w:r>
    </w:p>
    <w:p>
      <w:pPr>
        <w:spacing w:line="360" w:lineRule="auto"/>
        <w:ind w:firstLine="480" w:firstLineChars="200"/>
        <w:rPr>
          <w:rFonts w:ascii="宋体" w:hAnsi="宋体"/>
          <w:sz w:val="24"/>
        </w:rPr>
      </w:pPr>
      <w:r>
        <w:rPr>
          <w:rFonts w:hint="eastAsia" w:ascii="宋体" w:hAnsi="宋体"/>
          <w:sz w:val="24"/>
        </w:rPr>
        <w:t>（1）采购人或供应商的主要负责人的近亲属；</w:t>
      </w:r>
    </w:p>
    <w:p>
      <w:pPr>
        <w:spacing w:line="360" w:lineRule="auto"/>
        <w:ind w:firstLine="480" w:firstLineChars="200"/>
        <w:rPr>
          <w:rFonts w:ascii="宋体" w:hAnsi="宋体"/>
          <w:sz w:val="24"/>
        </w:rPr>
      </w:pPr>
      <w:r>
        <w:rPr>
          <w:rFonts w:hint="eastAsia" w:ascii="宋体" w:hAnsi="宋体"/>
          <w:sz w:val="24"/>
        </w:rPr>
        <w:t>（2）项目主管部门或者行政监督部门的人员；</w:t>
      </w:r>
    </w:p>
    <w:p>
      <w:pPr>
        <w:spacing w:line="360" w:lineRule="auto"/>
        <w:ind w:firstLine="480" w:firstLineChars="200"/>
        <w:rPr>
          <w:rFonts w:ascii="宋体" w:hAnsi="宋体"/>
          <w:sz w:val="24"/>
        </w:rPr>
      </w:pPr>
      <w:r>
        <w:rPr>
          <w:rFonts w:hint="eastAsia" w:ascii="宋体" w:hAnsi="宋体"/>
          <w:sz w:val="24"/>
        </w:rPr>
        <w:t>（3）与供应商有经济利益关系，可能影响对投标公正评审的；</w:t>
      </w:r>
    </w:p>
    <w:p>
      <w:pPr>
        <w:spacing w:line="360" w:lineRule="auto"/>
        <w:ind w:firstLine="480" w:firstLineChars="200"/>
        <w:rPr>
          <w:rFonts w:ascii="宋体" w:hAnsi="宋体"/>
          <w:sz w:val="24"/>
        </w:rPr>
      </w:pPr>
      <w:r>
        <w:rPr>
          <w:rFonts w:hint="eastAsia" w:ascii="宋体" w:hAnsi="宋体"/>
          <w:sz w:val="24"/>
        </w:rPr>
        <w:t>（4）曾因在招标、评标以及其他与招标投标有关活动中从事违法行为而受过行政处罚或刑事处罚的。</w:t>
      </w:r>
    </w:p>
    <w:p>
      <w:pPr>
        <w:spacing w:line="360" w:lineRule="auto"/>
        <w:ind w:firstLine="482" w:firstLineChars="200"/>
        <w:rPr>
          <w:rFonts w:ascii="宋体" w:hAnsi="宋体"/>
          <w:b/>
          <w:bCs/>
          <w:sz w:val="24"/>
        </w:rPr>
      </w:pPr>
      <w:r>
        <w:rPr>
          <w:rFonts w:hint="eastAsia" w:ascii="宋体" w:hAnsi="宋体"/>
          <w:b/>
          <w:bCs/>
          <w:sz w:val="24"/>
        </w:rPr>
        <w:t>6.2 评标原则</w:t>
      </w:r>
    </w:p>
    <w:p>
      <w:pPr>
        <w:spacing w:line="360" w:lineRule="auto"/>
        <w:ind w:firstLine="480" w:firstLineChars="200"/>
        <w:rPr>
          <w:rFonts w:ascii="宋体" w:hAnsi="宋体"/>
          <w:sz w:val="24"/>
        </w:rPr>
      </w:pPr>
      <w:r>
        <w:rPr>
          <w:rFonts w:hint="eastAsia" w:ascii="宋体" w:hAnsi="宋体"/>
          <w:sz w:val="24"/>
        </w:rPr>
        <w:t>评标活动遵循公平、公正、科学和择优的原则。</w:t>
      </w:r>
    </w:p>
    <w:p>
      <w:pPr>
        <w:spacing w:line="360" w:lineRule="auto"/>
        <w:ind w:firstLine="482" w:firstLineChars="200"/>
        <w:rPr>
          <w:rFonts w:ascii="宋体" w:hAnsi="宋体"/>
          <w:b/>
          <w:bCs/>
          <w:sz w:val="24"/>
        </w:rPr>
      </w:pPr>
      <w:r>
        <w:rPr>
          <w:rFonts w:hint="eastAsia" w:ascii="宋体" w:hAnsi="宋体"/>
          <w:b/>
          <w:bCs/>
          <w:sz w:val="24"/>
        </w:rPr>
        <w:t>6.3 评标</w:t>
      </w:r>
    </w:p>
    <w:p>
      <w:pPr>
        <w:spacing w:line="360" w:lineRule="auto"/>
        <w:ind w:firstLine="480" w:firstLineChars="200"/>
        <w:jc w:val="left"/>
        <w:rPr>
          <w:rFonts w:ascii="宋体" w:hAnsi="宋体"/>
          <w:sz w:val="24"/>
        </w:rPr>
      </w:pPr>
      <w:r>
        <w:rPr>
          <w:rFonts w:hint="eastAsia" w:ascii="宋体" w:hAnsi="宋体"/>
          <w:sz w:val="24"/>
        </w:rPr>
        <w:t>评标委员会按照第三章“评标办法”规定的方法、评审因素、标准和程序对投标文件进行评审。第三章“评标办法”没有规定的方法、评审因素和标准，不作为评标依据。</w:t>
      </w:r>
    </w:p>
    <w:p>
      <w:pPr>
        <w:spacing w:line="360" w:lineRule="auto"/>
        <w:ind w:firstLine="562" w:firstLineChars="200"/>
        <w:rPr>
          <w:rFonts w:ascii="宋体" w:hAnsi="宋体"/>
          <w:b/>
          <w:bCs/>
          <w:sz w:val="28"/>
          <w:szCs w:val="28"/>
        </w:rPr>
      </w:pPr>
      <w:bookmarkStart w:id="149" w:name="_Toc31484"/>
      <w:bookmarkStart w:id="150" w:name="_Toc10165"/>
      <w:bookmarkStart w:id="151" w:name="_Toc22249"/>
      <w:r>
        <w:rPr>
          <w:rFonts w:hint="eastAsia" w:ascii="宋体" w:hAnsi="宋体"/>
          <w:b/>
          <w:bCs/>
          <w:sz w:val="28"/>
          <w:szCs w:val="28"/>
        </w:rPr>
        <w:t>7、合同授予</w:t>
      </w:r>
      <w:bookmarkEnd w:id="149"/>
      <w:bookmarkEnd w:id="150"/>
      <w:bookmarkEnd w:id="151"/>
    </w:p>
    <w:p>
      <w:pPr>
        <w:spacing w:line="360" w:lineRule="auto"/>
        <w:ind w:firstLine="482" w:firstLineChars="200"/>
        <w:rPr>
          <w:rFonts w:ascii="宋体" w:hAnsi="宋体"/>
          <w:b/>
          <w:bCs/>
          <w:sz w:val="24"/>
        </w:rPr>
      </w:pPr>
      <w:r>
        <w:rPr>
          <w:rFonts w:hint="eastAsia" w:ascii="宋体" w:hAnsi="宋体"/>
          <w:b/>
          <w:bCs/>
          <w:sz w:val="24"/>
        </w:rPr>
        <w:t>7.1 定标方式</w:t>
      </w:r>
    </w:p>
    <w:p>
      <w:pPr>
        <w:spacing w:line="360" w:lineRule="auto"/>
        <w:ind w:firstLine="480" w:firstLineChars="200"/>
        <w:rPr>
          <w:rFonts w:ascii="宋体" w:hAnsi="宋体"/>
          <w:sz w:val="24"/>
        </w:rPr>
      </w:pPr>
      <w:r>
        <w:rPr>
          <w:rFonts w:hint="eastAsia" w:ascii="宋体" w:hAnsi="宋体"/>
          <w:sz w:val="24"/>
        </w:rPr>
        <w:t>除供应商须知前附表规定评标委员会直接确定中标人外，采购人依据评标委员会推荐的中标候选人确定中标人，评标委员会推荐中标候选人的人数见供应商须知前附表。</w:t>
      </w:r>
    </w:p>
    <w:p>
      <w:pPr>
        <w:spacing w:line="360" w:lineRule="auto"/>
        <w:ind w:firstLine="482" w:firstLineChars="200"/>
        <w:rPr>
          <w:rFonts w:ascii="宋体" w:hAnsi="宋体"/>
          <w:b/>
          <w:bCs/>
          <w:sz w:val="24"/>
        </w:rPr>
      </w:pPr>
      <w:r>
        <w:rPr>
          <w:rFonts w:hint="eastAsia" w:ascii="宋体" w:hAnsi="宋体"/>
          <w:b/>
          <w:bCs/>
          <w:sz w:val="24"/>
        </w:rPr>
        <w:t>7.2 中标通知</w:t>
      </w:r>
    </w:p>
    <w:p>
      <w:pPr>
        <w:spacing w:line="360" w:lineRule="auto"/>
        <w:ind w:firstLine="480" w:firstLineChars="200"/>
        <w:rPr>
          <w:rFonts w:ascii="宋体" w:hAnsi="宋体"/>
          <w:sz w:val="24"/>
        </w:rPr>
      </w:pPr>
      <w:r>
        <w:rPr>
          <w:rFonts w:hint="eastAsia" w:ascii="宋体" w:hAnsi="宋体"/>
          <w:sz w:val="24"/>
        </w:rPr>
        <w:t>在本章相关规定的投标有效期内，采购人以书面形式向中标人发出中标通知书。</w:t>
      </w:r>
    </w:p>
    <w:p>
      <w:pPr>
        <w:spacing w:line="360" w:lineRule="auto"/>
        <w:ind w:firstLine="482" w:firstLineChars="200"/>
        <w:rPr>
          <w:rFonts w:ascii="宋体" w:hAnsi="宋体"/>
          <w:b/>
          <w:bCs/>
          <w:sz w:val="24"/>
        </w:rPr>
      </w:pPr>
      <w:r>
        <w:rPr>
          <w:rFonts w:hint="eastAsia" w:ascii="宋体" w:hAnsi="宋体"/>
          <w:b/>
          <w:bCs/>
          <w:sz w:val="24"/>
        </w:rPr>
        <w:t>7.3签订合同</w:t>
      </w:r>
    </w:p>
    <w:p>
      <w:pPr>
        <w:spacing w:line="360" w:lineRule="auto"/>
        <w:ind w:firstLine="480" w:firstLineChars="200"/>
        <w:rPr>
          <w:rFonts w:ascii="宋体" w:hAnsi="宋体"/>
          <w:sz w:val="24"/>
        </w:rPr>
      </w:pPr>
      <w:r>
        <w:rPr>
          <w:rFonts w:hint="eastAsia" w:ascii="宋体" w:hAnsi="宋体"/>
          <w:sz w:val="24"/>
        </w:rPr>
        <w:t>7.3.1 采购人和中标人应当自中标通知书发出之日起30日内，根据采购文件和中标人的投标文件的约定，订立书面合同。</w:t>
      </w:r>
    </w:p>
    <w:p>
      <w:pPr>
        <w:spacing w:line="360" w:lineRule="auto"/>
        <w:ind w:firstLine="562" w:firstLineChars="200"/>
        <w:rPr>
          <w:rFonts w:ascii="宋体" w:hAnsi="宋体"/>
          <w:b/>
          <w:bCs/>
          <w:sz w:val="28"/>
          <w:szCs w:val="28"/>
        </w:rPr>
      </w:pPr>
      <w:bookmarkStart w:id="152" w:name="_Toc20165"/>
      <w:bookmarkStart w:id="153" w:name="_Toc14266"/>
      <w:bookmarkStart w:id="154" w:name="_Toc14731"/>
      <w:r>
        <w:rPr>
          <w:rFonts w:hint="eastAsia" w:ascii="宋体" w:hAnsi="宋体"/>
          <w:b/>
          <w:bCs/>
          <w:sz w:val="28"/>
          <w:szCs w:val="28"/>
        </w:rPr>
        <w:t>8、重新招标和不再招标</w:t>
      </w:r>
      <w:bookmarkEnd w:id="152"/>
      <w:bookmarkEnd w:id="153"/>
      <w:bookmarkEnd w:id="154"/>
    </w:p>
    <w:p>
      <w:pPr>
        <w:spacing w:line="360" w:lineRule="auto"/>
        <w:ind w:firstLine="482" w:firstLineChars="200"/>
        <w:rPr>
          <w:rFonts w:ascii="宋体" w:hAnsi="宋体"/>
          <w:b/>
          <w:bCs/>
          <w:sz w:val="24"/>
        </w:rPr>
      </w:pPr>
      <w:r>
        <w:rPr>
          <w:rFonts w:hint="eastAsia" w:ascii="宋体" w:hAnsi="宋体"/>
          <w:b/>
          <w:bCs/>
          <w:sz w:val="24"/>
        </w:rPr>
        <w:t>8.1 重新招标</w:t>
      </w:r>
    </w:p>
    <w:p>
      <w:pPr>
        <w:spacing w:line="360" w:lineRule="auto"/>
        <w:ind w:firstLine="480" w:firstLineChars="200"/>
        <w:rPr>
          <w:rFonts w:ascii="宋体" w:hAnsi="宋体"/>
          <w:sz w:val="24"/>
        </w:rPr>
      </w:pPr>
      <w:r>
        <w:rPr>
          <w:rFonts w:hint="eastAsia" w:ascii="宋体" w:hAnsi="宋体"/>
          <w:sz w:val="24"/>
        </w:rPr>
        <w:t>有下列情形之一的，采购人将重新招标：</w:t>
      </w:r>
    </w:p>
    <w:p>
      <w:pPr>
        <w:spacing w:line="360" w:lineRule="auto"/>
        <w:ind w:firstLine="480" w:firstLineChars="200"/>
        <w:rPr>
          <w:rFonts w:ascii="宋体" w:hAnsi="宋体"/>
          <w:sz w:val="24"/>
        </w:rPr>
      </w:pPr>
      <w:r>
        <w:rPr>
          <w:rFonts w:hint="eastAsia" w:ascii="宋体" w:hAnsi="宋体"/>
          <w:sz w:val="24"/>
        </w:rPr>
        <w:t>（1）投标截止时间止，供应商少于3个的；</w:t>
      </w:r>
    </w:p>
    <w:p>
      <w:pPr>
        <w:spacing w:line="360" w:lineRule="auto"/>
        <w:ind w:firstLine="480" w:firstLineChars="200"/>
        <w:rPr>
          <w:rFonts w:ascii="宋体" w:hAnsi="宋体"/>
          <w:sz w:val="24"/>
        </w:rPr>
      </w:pPr>
      <w:r>
        <w:rPr>
          <w:rFonts w:hint="eastAsia" w:ascii="宋体" w:hAnsi="宋体"/>
          <w:sz w:val="24"/>
        </w:rPr>
        <w:t>（2）经评标委员会评审后否决所有投标的或有效供应商不足3个的。</w:t>
      </w:r>
    </w:p>
    <w:p>
      <w:pPr>
        <w:spacing w:line="360" w:lineRule="auto"/>
        <w:ind w:firstLine="482" w:firstLineChars="200"/>
        <w:rPr>
          <w:rFonts w:ascii="宋体" w:hAnsi="宋体"/>
          <w:b/>
          <w:bCs/>
          <w:sz w:val="24"/>
        </w:rPr>
      </w:pPr>
      <w:r>
        <w:rPr>
          <w:rFonts w:hint="eastAsia" w:ascii="宋体" w:hAnsi="宋体"/>
          <w:b/>
          <w:bCs/>
          <w:sz w:val="24"/>
        </w:rPr>
        <w:t>8.2 不再招标</w:t>
      </w:r>
    </w:p>
    <w:p>
      <w:pPr>
        <w:spacing w:line="360" w:lineRule="auto"/>
        <w:ind w:firstLine="480" w:firstLineChars="200"/>
        <w:rPr>
          <w:rFonts w:ascii="宋体" w:hAnsi="宋体"/>
          <w:sz w:val="24"/>
        </w:rPr>
      </w:pPr>
      <w:r>
        <w:rPr>
          <w:rFonts w:hint="eastAsia" w:ascii="宋体" w:hAnsi="宋体"/>
          <w:sz w:val="24"/>
        </w:rPr>
        <w:t>重新招标后供应商仍少于3个或者所有投标被否决的，属于必需审批或核准的工程建设项目，经原审批或核准部门批准后不再进行招标。</w:t>
      </w:r>
    </w:p>
    <w:p>
      <w:pPr>
        <w:spacing w:line="360" w:lineRule="auto"/>
        <w:ind w:firstLine="562" w:firstLineChars="200"/>
        <w:rPr>
          <w:rFonts w:ascii="宋体" w:hAnsi="宋体"/>
          <w:b/>
          <w:bCs/>
          <w:sz w:val="28"/>
          <w:szCs w:val="28"/>
        </w:rPr>
      </w:pPr>
      <w:bookmarkStart w:id="155" w:name="_Toc8928"/>
      <w:bookmarkStart w:id="156" w:name="_Toc23026"/>
      <w:bookmarkStart w:id="157" w:name="_Toc29528"/>
      <w:r>
        <w:rPr>
          <w:rFonts w:hint="eastAsia" w:ascii="宋体" w:hAnsi="宋体"/>
          <w:b/>
          <w:bCs/>
          <w:sz w:val="28"/>
          <w:szCs w:val="28"/>
        </w:rPr>
        <w:t>9、纪律和监督</w:t>
      </w:r>
      <w:bookmarkEnd w:id="155"/>
      <w:bookmarkEnd w:id="156"/>
      <w:bookmarkEnd w:id="157"/>
    </w:p>
    <w:p>
      <w:pPr>
        <w:spacing w:line="360" w:lineRule="auto"/>
        <w:ind w:firstLine="482" w:firstLineChars="200"/>
        <w:rPr>
          <w:rFonts w:ascii="宋体" w:hAnsi="宋体"/>
          <w:b/>
          <w:bCs/>
          <w:sz w:val="24"/>
        </w:rPr>
      </w:pPr>
      <w:r>
        <w:rPr>
          <w:rFonts w:hint="eastAsia" w:ascii="宋体" w:hAnsi="宋体"/>
          <w:b/>
          <w:bCs/>
          <w:sz w:val="24"/>
        </w:rPr>
        <w:t>9.1 对采购人的纪律要求</w:t>
      </w:r>
    </w:p>
    <w:p>
      <w:pPr>
        <w:spacing w:line="360" w:lineRule="auto"/>
        <w:ind w:firstLine="480" w:firstLineChars="200"/>
        <w:rPr>
          <w:rFonts w:ascii="宋体" w:hAnsi="宋体"/>
          <w:sz w:val="24"/>
        </w:rPr>
      </w:pPr>
      <w:r>
        <w:rPr>
          <w:rFonts w:hint="eastAsia" w:ascii="宋体" w:hAnsi="宋体"/>
          <w:sz w:val="24"/>
        </w:rPr>
        <w:t>采购人不得泄漏招标投标活动中应当保密的情况和资料，不得与供应商串通损害国家利益、社会公共利益或者他人合法权益。</w:t>
      </w:r>
    </w:p>
    <w:p>
      <w:pPr>
        <w:spacing w:line="360" w:lineRule="auto"/>
        <w:ind w:firstLine="482" w:firstLineChars="200"/>
        <w:rPr>
          <w:rFonts w:ascii="宋体" w:hAnsi="宋体"/>
          <w:b/>
          <w:bCs/>
          <w:sz w:val="24"/>
        </w:rPr>
      </w:pPr>
      <w:r>
        <w:rPr>
          <w:rFonts w:hint="eastAsia" w:ascii="宋体" w:hAnsi="宋体"/>
          <w:b/>
          <w:bCs/>
          <w:sz w:val="24"/>
        </w:rPr>
        <w:t>9.2 对供应商的纪律要求</w:t>
      </w:r>
    </w:p>
    <w:p>
      <w:pPr>
        <w:spacing w:line="360" w:lineRule="auto"/>
        <w:ind w:firstLine="480" w:firstLineChars="200"/>
        <w:rPr>
          <w:rFonts w:ascii="宋体" w:hAnsi="宋体"/>
          <w:sz w:val="24"/>
        </w:rPr>
      </w:pPr>
      <w:r>
        <w:rPr>
          <w:rFonts w:hint="eastAsia" w:ascii="宋体" w:hAnsi="宋体"/>
          <w:sz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360" w:lineRule="auto"/>
        <w:ind w:firstLine="482" w:firstLineChars="200"/>
        <w:rPr>
          <w:rFonts w:ascii="宋体" w:hAnsi="宋体"/>
          <w:b/>
          <w:bCs/>
          <w:sz w:val="24"/>
        </w:rPr>
      </w:pPr>
      <w:r>
        <w:rPr>
          <w:rFonts w:hint="eastAsia" w:ascii="宋体" w:hAnsi="宋体"/>
          <w:b/>
          <w:bCs/>
          <w:sz w:val="24"/>
        </w:rPr>
        <w:t>9.3 对评标委员会成员的纪律要求</w:t>
      </w:r>
    </w:p>
    <w:p>
      <w:pPr>
        <w:spacing w:line="360" w:lineRule="auto"/>
        <w:ind w:firstLine="480" w:firstLineChars="200"/>
        <w:rPr>
          <w:rFonts w:ascii="宋体" w:hAnsi="宋体"/>
          <w:sz w:val="24"/>
        </w:rPr>
      </w:pPr>
      <w:r>
        <w:rPr>
          <w:rFonts w:hint="eastAsia" w:ascii="宋体" w:hAnsi="宋体"/>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360" w:lineRule="auto"/>
        <w:ind w:firstLine="482" w:firstLineChars="200"/>
        <w:rPr>
          <w:rFonts w:ascii="宋体" w:hAnsi="宋体"/>
          <w:b/>
          <w:bCs/>
          <w:sz w:val="24"/>
        </w:rPr>
      </w:pPr>
      <w:r>
        <w:rPr>
          <w:rFonts w:hint="eastAsia" w:ascii="宋体" w:hAnsi="宋体"/>
          <w:b/>
          <w:bCs/>
          <w:sz w:val="24"/>
        </w:rPr>
        <w:t>9.4 对与评标活动有关的工作人员的纪律要求</w:t>
      </w:r>
    </w:p>
    <w:p>
      <w:pPr>
        <w:spacing w:line="360" w:lineRule="auto"/>
        <w:ind w:firstLine="480" w:firstLineChars="200"/>
        <w:rPr>
          <w:rFonts w:ascii="宋体" w:hAnsi="宋体"/>
          <w:sz w:val="24"/>
        </w:rPr>
      </w:pPr>
      <w:r>
        <w:rPr>
          <w:rFonts w:hint="eastAsia" w:ascii="宋体" w:hAnsi="宋体"/>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360" w:lineRule="auto"/>
        <w:ind w:firstLine="482" w:firstLineChars="200"/>
        <w:rPr>
          <w:rFonts w:ascii="宋体" w:hAnsi="宋体"/>
          <w:b/>
          <w:bCs/>
          <w:sz w:val="24"/>
        </w:rPr>
      </w:pPr>
      <w:r>
        <w:rPr>
          <w:rFonts w:hint="eastAsia" w:ascii="宋体" w:hAnsi="宋体"/>
          <w:b/>
          <w:bCs/>
          <w:sz w:val="24"/>
        </w:rPr>
        <w:t>9.5 投诉</w:t>
      </w:r>
    </w:p>
    <w:p>
      <w:pPr>
        <w:spacing w:line="360" w:lineRule="auto"/>
        <w:ind w:firstLine="480" w:firstLineChars="200"/>
        <w:rPr>
          <w:rFonts w:ascii="宋体" w:hAnsi="宋体"/>
          <w:sz w:val="24"/>
        </w:rPr>
      </w:pPr>
      <w:r>
        <w:rPr>
          <w:rFonts w:hint="eastAsia" w:ascii="宋体" w:hAnsi="宋体"/>
          <w:sz w:val="24"/>
        </w:rPr>
        <w:t>供应商和其他利害关系人认为本次招标活动违反法律、法规和规章规定的，有权向有关行政监督部门投诉。</w:t>
      </w:r>
    </w:p>
    <w:p>
      <w:pPr>
        <w:spacing w:line="360" w:lineRule="auto"/>
        <w:ind w:firstLine="562" w:firstLineChars="200"/>
        <w:rPr>
          <w:rFonts w:ascii="宋体" w:hAnsi="宋体"/>
          <w:b/>
          <w:bCs/>
          <w:sz w:val="28"/>
          <w:szCs w:val="28"/>
        </w:rPr>
      </w:pPr>
      <w:r>
        <w:rPr>
          <w:rFonts w:hint="eastAsia" w:ascii="宋体" w:hAnsi="宋体"/>
          <w:b/>
          <w:bCs/>
          <w:sz w:val="28"/>
          <w:szCs w:val="28"/>
        </w:rPr>
        <w:t>10、需要补充的其他内容</w:t>
      </w:r>
    </w:p>
    <w:p>
      <w:pPr>
        <w:spacing w:line="360" w:lineRule="auto"/>
        <w:ind w:firstLine="480" w:firstLineChars="200"/>
        <w:rPr>
          <w:rFonts w:ascii="宋体" w:hAnsi="宋体"/>
          <w:sz w:val="24"/>
        </w:rPr>
      </w:pPr>
      <w:r>
        <w:rPr>
          <w:rFonts w:hint="eastAsia" w:ascii="宋体" w:hAnsi="宋体"/>
          <w:sz w:val="24"/>
        </w:rPr>
        <w:t>根据《政府采购促进中小企业发展管理办法》（财库〔2020〕 46 号）的规定，釆购人</w:t>
      </w:r>
    </w:p>
    <w:p>
      <w:pPr>
        <w:spacing w:line="360" w:lineRule="auto"/>
        <w:rPr>
          <w:rFonts w:ascii="宋体" w:hAnsi="宋体"/>
          <w:sz w:val="24"/>
        </w:rPr>
      </w:pPr>
      <w:r>
        <w:rPr>
          <w:rFonts w:hint="eastAsia" w:ascii="宋体" w:hAnsi="宋体"/>
          <w:sz w:val="24"/>
        </w:rPr>
        <w:t>在政府釆购活动中支持中小企业发展：</w:t>
      </w:r>
    </w:p>
    <w:p>
      <w:pPr>
        <w:spacing w:line="360" w:lineRule="auto"/>
        <w:ind w:firstLine="480" w:firstLineChars="200"/>
        <w:rPr>
          <w:rFonts w:ascii="宋体" w:hAnsi="宋体"/>
          <w:sz w:val="24"/>
        </w:rPr>
      </w:pPr>
      <w:r>
        <w:rPr>
          <w:rFonts w:hint="eastAsia" w:ascii="宋体" w:hAnsi="宋体"/>
          <w:sz w:val="24"/>
        </w:rPr>
        <w:t>（1）采购项目或采购包预留釆购份额专门面向中小企业采购；</w:t>
      </w:r>
    </w:p>
    <w:p>
      <w:pPr>
        <w:spacing w:line="360" w:lineRule="auto"/>
        <w:ind w:firstLine="480" w:firstLineChars="200"/>
        <w:rPr>
          <w:rFonts w:ascii="宋体" w:hAnsi="宋体"/>
          <w:sz w:val="24"/>
        </w:rPr>
      </w:pPr>
      <w:r>
        <w:rPr>
          <w:rFonts w:hint="eastAsia" w:ascii="宋体" w:hAnsi="宋体"/>
          <w:sz w:val="24"/>
        </w:rPr>
        <w:t>（2）未预留份额专门面向中小企业釆购的釆购项目，以及预留份额项目中的非预留部</w:t>
      </w:r>
    </w:p>
    <w:p>
      <w:pPr>
        <w:spacing w:line="360" w:lineRule="auto"/>
        <w:rPr>
          <w:rFonts w:ascii="宋体" w:hAnsi="宋体"/>
          <w:sz w:val="24"/>
        </w:rPr>
      </w:pPr>
      <w:r>
        <w:rPr>
          <w:rFonts w:hint="eastAsia" w:ascii="宋体" w:hAnsi="宋体"/>
          <w:sz w:val="24"/>
        </w:rPr>
        <w:t>分釆购包，对小微企业报价给予10%的扣除，用扣除后的价格参加评审。</w:t>
      </w:r>
    </w:p>
    <w:p>
      <w:pPr>
        <w:spacing w:line="360" w:lineRule="auto"/>
        <w:ind w:firstLine="480" w:firstLineChars="200"/>
        <w:rPr>
          <w:rFonts w:ascii="宋体" w:hAnsi="宋体"/>
          <w:sz w:val="24"/>
        </w:rPr>
      </w:pPr>
      <w:r>
        <w:rPr>
          <w:rFonts w:hint="eastAsia" w:ascii="宋体" w:hAnsi="宋体"/>
          <w:sz w:val="24"/>
        </w:rPr>
        <w:t>（3）中小企业划分标准见《关于印发中小企业划型标准规定的 通知》（工信部联企业</w:t>
      </w:r>
    </w:p>
    <w:p>
      <w:pPr>
        <w:spacing w:line="360" w:lineRule="auto"/>
        <w:rPr>
          <w:rFonts w:ascii="宋体" w:hAnsi="宋体"/>
          <w:sz w:val="24"/>
        </w:rPr>
      </w:pPr>
      <w:r>
        <w:rPr>
          <w:rFonts w:hint="eastAsia" w:ascii="宋体" w:hAnsi="宋体"/>
          <w:sz w:val="24"/>
        </w:rPr>
        <w:t>〔2011〕300 号）。成交供应商享受《政府采购促进中小企业发展管理办法》规定的中小企</w:t>
      </w:r>
    </w:p>
    <w:p>
      <w:pPr>
        <w:spacing w:line="360" w:lineRule="auto"/>
        <w:rPr>
          <w:rFonts w:ascii="宋体" w:hAnsi="宋体"/>
          <w:sz w:val="24"/>
        </w:rPr>
      </w:pPr>
      <w:r>
        <w:rPr>
          <w:rFonts w:hint="eastAsia" w:ascii="宋体" w:hAnsi="宋体"/>
          <w:sz w:val="24"/>
        </w:rPr>
        <w:t>业扶持政策的，随成交结果公开成交供应商的《中小企业声明函》。供应商提供声明函内容</w:t>
      </w:r>
    </w:p>
    <w:p>
      <w:pPr>
        <w:spacing w:line="360" w:lineRule="auto"/>
        <w:rPr>
          <w:rFonts w:ascii="宋体" w:hAnsi="宋体"/>
          <w:sz w:val="24"/>
        </w:rPr>
      </w:pPr>
      <w:r>
        <w:rPr>
          <w:rFonts w:hint="eastAsia" w:ascii="宋体" w:hAnsi="宋体"/>
          <w:sz w:val="24"/>
        </w:rPr>
        <w:t>不实的，属于提供虚假材料谋取成交，依照《中华人民共和国政府采购法》等国家有关规定</w:t>
      </w:r>
    </w:p>
    <w:p>
      <w:pPr>
        <w:spacing w:line="360" w:lineRule="auto"/>
        <w:rPr>
          <w:rFonts w:ascii="宋体" w:hAnsi="宋体"/>
          <w:sz w:val="24"/>
        </w:rPr>
      </w:pPr>
      <w:r>
        <w:rPr>
          <w:rFonts w:hint="eastAsia" w:ascii="宋体" w:hAnsi="宋体"/>
          <w:sz w:val="24"/>
        </w:rPr>
        <w:t>追究相应责任。</w:t>
      </w:r>
    </w:p>
    <w:p>
      <w:pPr>
        <w:spacing w:line="360" w:lineRule="auto"/>
        <w:ind w:firstLine="480" w:firstLineChars="200"/>
        <w:rPr>
          <w:rFonts w:ascii="宋体" w:hAnsi="宋体"/>
          <w:sz w:val="24"/>
        </w:rPr>
      </w:pPr>
      <w:r>
        <w:rPr>
          <w:rFonts w:hint="eastAsia" w:ascii="宋体" w:hAnsi="宋体"/>
          <w:sz w:val="24"/>
        </w:rPr>
        <w:t>（4）监狱企业视同小型、微型企业，供应商应提供省级及以上监狱管理局、戒毒管理</w:t>
      </w:r>
    </w:p>
    <w:p>
      <w:pPr>
        <w:spacing w:line="360" w:lineRule="auto"/>
        <w:rPr>
          <w:rFonts w:ascii="宋体" w:hAnsi="宋体"/>
          <w:sz w:val="24"/>
        </w:rPr>
      </w:pPr>
      <w:r>
        <w:rPr>
          <w:rFonts w:hint="eastAsia" w:ascii="宋体" w:hAnsi="宋体"/>
          <w:sz w:val="24"/>
        </w:rPr>
        <w:t>局（含新疆生产建设兵团）出具的属于监狱企业的证明文件。</w:t>
      </w:r>
    </w:p>
    <w:p>
      <w:pPr>
        <w:spacing w:line="360" w:lineRule="auto"/>
        <w:ind w:firstLine="480" w:firstLineChars="200"/>
        <w:rPr>
          <w:rFonts w:ascii="宋体" w:hAnsi="宋体"/>
          <w:sz w:val="24"/>
        </w:rPr>
      </w:pPr>
      <w:r>
        <w:rPr>
          <w:rFonts w:hint="eastAsia" w:ascii="宋体" w:hAnsi="宋体"/>
          <w:sz w:val="24"/>
        </w:rPr>
        <w:t>（5）残疾人福利性单位视同小型、微型企业，残疾人福利性单位需符合《财政部民政</w:t>
      </w:r>
    </w:p>
    <w:p>
      <w:pPr>
        <w:spacing w:line="360" w:lineRule="auto"/>
        <w:rPr>
          <w:rFonts w:ascii="宋体" w:hAnsi="宋体"/>
          <w:sz w:val="24"/>
        </w:rPr>
      </w:pPr>
      <w:r>
        <w:rPr>
          <w:rFonts w:hint="eastAsia" w:ascii="宋体" w:hAnsi="宋体"/>
          <w:sz w:val="24"/>
        </w:rPr>
        <w:t>部中国残疾人联合会关于促进残疾人就业政府26采购政策的通知》（财库〔2017〕141 号）</w:t>
      </w:r>
    </w:p>
    <w:p>
      <w:pPr>
        <w:spacing w:line="360" w:lineRule="auto"/>
        <w:rPr>
          <w:rFonts w:ascii="宋体" w:hAnsi="宋体"/>
          <w:sz w:val="24"/>
        </w:rPr>
      </w:pPr>
      <w:r>
        <w:rPr>
          <w:rFonts w:hint="eastAsia" w:ascii="宋体" w:hAnsi="宋体"/>
          <w:sz w:val="24"/>
        </w:rPr>
        <w:t>要求，提供《残疾人福利 性单位声明函》，提供的《残疾人福利性单位声明函》与事实不符的，依照《政府采购法》第七十七条第一款的规定追究法律责任。成交供应商为残疾人福</w:t>
      </w:r>
    </w:p>
    <w:p>
      <w:pPr>
        <w:spacing w:line="360" w:lineRule="auto"/>
        <w:rPr>
          <w:rFonts w:ascii="宋体" w:hAnsi="宋体"/>
          <w:sz w:val="24"/>
        </w:rPr>
      </w:pPr>
      <w:r>
        <w:rPr>
          <w:rFonts w:hint="eastAsia" w:ascii="宋体" w:hAnsi="宋体"/>
          <w:sz w:val="24"/>
        </w:rPr>
        <w:t>利性单位的，随成交结果同时公告其《残疾人福利性单位声明函》，接受社会监督。</w:t>
      </w:r>
      <w:bookmarkStart w:id="158" w:name="_Toc61255124"/>
      <w:bookmarkStart w:id="159" w:name="_Toc26607"/>
      <w:bookmarkStart w:id="160" w:name="_Toc17790"/>
      <w:bookmarkStart w:id="161" w:name="_Toc6955"/>
      <w:bookmarkStart w:id="162" w:name="_Toc12821"/>
      <w:bookmarkStart w:id="163" w:name="_Toc26626"/>
      <w:bookmarkStart w:id="164" w:name="_Toc27848"/>
    </w:p>
    <w:p>
      <w:pPr>
        <w:pStyle w:val="30"/>
      </w:pPr>
    </w:p>
    <w:p>
      <w:pPr>
        <w:pStyle w:val="30"/>
      </w:pPr>
    </w:p>
    <w:p>
      <w:pPr>
        <w:pStyle w:val="30"/>
      </w:pPr>
    </w:p>
    <w:p>
      <w:pPr>
        <w:pStyle w:val="30"/>
      </w:pPr>
    </w:p>
    <w:p>
      <w:pPr>
        <w:pStyle w:val="30"/>
      </w:pPr>
    </w:p>
    <w:p/>
    <w:p/>
    <w:p/>
    <w:p/>
    <w:p/>
    <w:p/>
    <w:p>
      <w:pPr>
        <w:pStyle w:val="30"/>
      </w:pPr>
    </w:p>
    <w:p>
      <w:pPr>
        <w:pStyle w:val="30"/>
        <w:rPr>
          <w:rStyle w:val="52"/>
        </w:rPr>
      </w:pPr>
    </w:p>
    <w:p>
      <w:pPr>
        <w:pStyle w:val="4"/>
        <w:rPr>
          <w:rFonts w:hint="eastAsia"/>
          <w:sz w:val="36"/>
          <w:szCs w:val="36"/>
        </w:rPr>
        <w:sectPr>
          <w:pgSz w:w="11906" w:h="16838"/>
          <w:pgMar w:top="1440" w:right="1276" w:bottom="1440" w:left="1083" w:header="851" w:footer="992" w:gutter="0"/>
          <w:cols w:space="720" w:num="1"/>
          <w:docGrid w:type="lines" w:linePitch="314" w:charSpace="0"/>
        </w:sectPr>
      </w:pPr>
    </w:p>
    <w:p>
      <w:pPr>
        <w:pStyle w:val="4"/>
        <w:rPr>
          <w:sz w:val="36"/>
          <w:szCs w:val="36"/>
        </w:rPr>
      </w:pPr>
      <w:r>
        <w:rPr>
          <w:rFonts w:hint="eastAsia"/>
          <w:sz w:val="36"/>
          <w:szCs w:val="36"/>
        </w:rPr>
        <w:t xml:space="preserve">第三章 </w:t>
      </w:r>
      <w:r>
        <w:rPr>
          <w:sz w:val="36"/>
          <w:szCs w:val="36"/>
        </w:rPr>
        <w:t xml:space="preserve"> </w:t>
      </w:r>
      <w:r>
        <w:rPr>
          <w:rFonts w:hint="eastAsia"/>
          <w:sz w:val="36"/>
          <w:szCs w:val="36"/>
        </w:rPr>
        <w:t>评标办法</w:t>
      </w:r>
      <w:bookmarkEnd w:id="158"/>
      <w:bookmarkEnd w:id="159"/>
      <w:bookmarkEnd w:id="160"/>
      <w:bookmarkEnd w:id="161"/>
      <w:bookmarkEnd w:id="162"/>
      <w:bookmarkEnd w:id="163"/>
      <w:bookmarkEnd w:id="164"/>
    </w:p>
    <w:p>
      <w:pPr>
        <w:pStyle w:val="10"/>
        <w:ind w:firstLine="0" w:firstLineChars="0"/>
        <w:jc w:val="center"/>
        <w:rPr>
          <w:rFonts w:ascii="宋体" w:hAnsi="宋体" w:eastAsia="宋体" w:cs="宋体"/>
          <w:bCs/>
          <w:color w:val="000000"/>
          <w:sz w:val="24"/>
        </w:rPr>
      </w:pPr>
      <w:r>
        <w:rPr>
          <w:rFonts w:ascii="宋体" w:hAnsi="宋体" w:eastAsia="宋体" w:cs="宋体"/>
          <w:bCs/>
          <w:color w:val="000000"/>
          <w:sz w:val="24"/>
        </w:rPr>
        <w:t>评标办法前附表</w:t>
      </w:r>
    </w:p>
    <w:p>
      <w:pPr>
        <w:pStyle w:val="11"/>
        <w:ind w:left="99" w:leftChars="47"/>
        <w:rPr>
          <w:b/>
          <w:bCs/>
        </w:rPr>
      </w:pPr>
      <w:r>
        <w:rPr>
          <w:rFonts w:hint="eastAsia"/>
          <w:b/>
          <w:bCs/>
        </w:rPr>
        <w:t>初步评审</w:t>
      </w:r>
    </w:p>
    <w:tbl>
      <w:tblPr>
        <w:tblStyle w:val="2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519"/>
        <w:gridCol w:w="172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54" w:type="dxa"/>
            <w:gridSpan w:val="2"/>
            <w:vAlign w:val="center"/>
          </w:tcPr>
          <w:p>
            <w:pPr>
              <w:jc w:val="center"/>
              <w:rPr>
                <w:rFonts w:ascii="宋体" w:hAnsi="宋体" w:cs="宋体"/>
                <w:b/>
                <w:szCs w:val="21"/>
              </w:rPr>
            </w:pPr>
            <w:r>
              <w:rPr>
                <w:rFonts w:hint="eastAsia" w:ascii="宋体" w:hAnsi="宋体" w:cs="宋体"/>
                <w:b/>
                <w:szCs w:val="21"/>
              </w:rPr>
              <w:t>序号</w:t>
            </w:r>
          </w:p>
        </w:tc>
        <w:tc>
          <w:tcPr>
            <w:tcW w:w="1723" w:type="dxa"/>
            <w:vAlign w:val="center"/>
          </w:tcPr>
          <w:p>
            <w:pPr>
              <w:jc w:val="center"/>
              <w:rPr>
                <w:rFonts w:ascii="宋体" w:hAnsi="宋体" w:cs="宋体"/>
                <w:b/>
                <w:szCs w:val="21"/>
              </w:rPr>
            </w:pPr>
            <w:r>
              <w:rPr>
                <w:rFonts w:hint="eastAsia" w:ascii="宋体" w:hAnsi="宋体" w:cs="宋体"/>
                <w:b/>
                <w:szCs w:val="21"/>
              </w:rPr>
              <w:t>评审因素</w:t>
            </w:r>
          </w:p>
        </w:tc>
        <w:tc>
          <w:tcPr>
            <w:tcW w:w="5788" w:type="dxa"/>
            <w:vAlign w:val="center"/>
          </w:tcPr>
          <w:p>
            <w:pPr>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ascii="宋体" w:hAnsi="宋体" w:cs="宋体"/>
                <w:szCs w:val="21"/>
              </w:rPr>
              <w:t>1</w:t>
            </w:r>
          </w:p>
        </w:tc>
        <w:tc>
          <w:tcPr>
            <w:tcW w:w="1519" w:type="dxa"/>
            <w:vMerge w:val="restart"/>
            <w:vAlign w:val="center"/>
          </w:tcPr>
          <w:p>
            <w:pPr>
              <w:jc w:val="center"/>
              <w:rPr>
                <w:rFonts w:ascii="宋体" w:hAnsi="宋体" w:cs="宋体"/>
                <w:szCs w:val="21"/>
              </w:rPr>
            </w:pPr>
            <w:r>
              <w:rPr>
                <w:rFonts w:hint="eastAsia" w:ascii="宋体" w:hAnsi="宋体" w:cs="宋体"/>
                <w:szCs w:val="21"/>
              </w:rPr>
              <w:t>形式评审标准</w:t>
            </w:r>
          </w:p>
        </w:tc>
        <w:tc>
          <w:tcPr>
            <w:tcW w:w="1723" w:type="dxa"/>
            <w:vAlign w:val="center"/>
          </w:tcPr>
          <w:p>
            <w:pPr>
              <w:jc w:val="center"/>
              <w:rPr>
                <w:rFonts w:ascii="宋体" w:hAnsi="宋体" w:cs="宋体"/>
                <w:szCs w:val="21"/>
              </w:rPr>
            </w:pPr>
            <w:r>
              <w:rPr>
                <w:rFonts w:hint="eastAsia" w:ascii="宋体" w:hAnsi="宋体" w:cs="宋体"/>
                <w:szCs w:val="21"/>
              </w:rPr>
              <w:t>供应商名称</w:t>
            </w:r>
          </w:p>
        </w:tc>
        <w:tc>
          <w:tcPr>
            <w:tcW w:w="5788" w:type="dxa"/>
            <w:vAlign w:val="center"/>
          </w:tcPr>
          <w:p>
            <w:pPr>
              <w:jc w:val="center"/>
              <w:rPr>
                <w:rFonts w:ascii="宋体" w:hAnsi="宋体" w:cs="宋体"/>
                <w:szCs w:val="21"/>
              </w:rPr>
            </w:pPr>
            <w:r>
              <w:rPr>
                <w:rFonts w:hint="eastAsia" w:ascii="宋体" w:hAnsi="宋体" w:cs="宋体"/>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ascii="宋体" w:hAnsi="宋体" w:cs="宋体"/>
                <w:szCs w:val="21"/>
              </w:rPr>
              <w:t>投标</w:t>
            </w:r>
            <w:r>
              <w:rPr>
                <w:rFonts w:hint="eastAsia" w:ascii="宋体" w:hAnsi="宋体" w:cs="宋体"/>
                <w:szCs w:val="21"/>
              </w:rPr>
              <w:t>文件</w:t>
            </w:r>
            <w:r>
              <w:rPr>
                <w:rFonts w:ascii="宋体" w:hAnsi="宋体" w:cs="宋体"/>
                <w:szCs w:val="21"/>
              </w:rPr>
              <w:t>签</w:t>
            </w:r>
            <w:r>
              <w:rPr>
                <w:rFonts w:hint="eastAsia" w:ascii="宋体" w:hAnsi="宋体" w:cs="宋体"/>
                <w:szCs w:val="21"/>
              </w:rPr>
              <w:t>字、盖章</w:t>
            </w:r>
          </w:p>
        </w:tc>
        <w:tc>
          <w:tcPr>
            <w:tcW w:w="5788" w:type="dxa"/>
            <w:vAlign w:val="center"/>
          </w:tcPr>
          <w:p>
            <w:pPr>
              <w:spacing w:line="400" w:lineRule="auto"/>
              <w:ind w:left="38"/>
              <w:rPr>
                <w:rFonts w:ascii="宋体" w:hAnsi="宋体" w:cs="宋体"/>
                <w:szCs w:val="21"/>
              </w:rPr>
            </w:pPr>
            <w:r>
              <w:rPr>
                <w:rFonts w:ascii="宋体" w:hAnsi="宋体" w:cs="宋体"/>
                <w:spacing w:val="14"/>
                <w:szCs w:val="21"/>
              </w:rPr>
              <w:t>有</w:t>
            </w:r>
            <w:r>
              <w:rPr>
                <w:rFonts w:ascii="宋体" w:hAnsi="宋体" w:cs="宋体"/>
                <w:spacing w:val="12"/>
                <w:szCs w:val="21"/>
              </w:rPr>
              <w:t>法定代</w:t>
            </w:r>
            <w:r>
              <w:rPr>
                <w:rFonts w:ascii="宋体" w:hAnsi="宋体" w:cs="宋体"/>
                <w:spacing w:val="14"/>
                <w:szCs w:val="21"/>
              </w:rPr>
              <w:t>表</w:t>
            </w:r>
            <w:r>
              <w:rPr>
                <w:rFonts w:ascii="宋体" w:hAnsi="宋体" w:cs="宋体"/>
                <w:spacing w:val="12"/>
                <w:szCs w:val="21"/>
              </w:rPr>
              <w:t>人或</w:t>
            </w:r>
            <w:r>
              <w:rPr>
                <w:rFonts w:ascii="宋体" w:hAnsi="宋体" w:cs="宋体"/>
                <w:spacing w:val="14"/>
                <w:szCs w:val="21"/>
              </w:rPr>
              <w:t>其</w:t>
            </w:r>
            <w:r>
              <w:rPr>
                <w:rFonts w:ascii="宋体" w:hAnsi="宋体" w:cs="宋体"/>
                <w:spacing w:val="12"/>
                <w:szCs w:val="21"/>
              </w:rPr>
              <w:t>委托</w:t>
            </w:r>
            <w:r>
              <w:rPr>
                <w:rFonts w:ascii="宋体" w:hAnsi="宋体" w:cs="宋体"/>
                <w:spacing w:val="14"/>
                <w:szCs w:val="21"/>
              </w:rPr>
              <w:t>代</w:t>
            </w:r>
            <w:r>
              <w:rPr>
                <w:rFonts w:ascii="宋体" w:hAnsi="宋体" w:cs="宋体"/>
                <w:spacing w:val="12"/>
                <w:szCs w:val="21"/>
              </w:rPr>
              <w:t>理人签</w:t>
            </w:r>
            <w:r>
              <w:rPr>
                <w:rFonts w:ascii="宋体" w:hAnsi="宋体" w:cs="宋体"/>
                <w:spacing w:val="14"/>
                <w:szCs w:val="21"/>
              </w:rPr>
              <w:t>字</w:t>
            </w:r>
            <w:r>
              <w:rPr>
                <w:rFonts w:hint="eastAsia" w:ascii="宋体" w:hAnsi="宋体" w:cs="宋体"/>
                <w:spacing w:val="14"/>
                <w:szCs w:val="21"/>
              </w:rPr>
              <w:t>并</w:t>
            </w:r>
            <w:r>
              <w:rPr>
                <w:rFonts w:ascii="宋体" w:hAnsi="宋体" w:cs="宋体"/>
                <w:spacing w:val="12"/>
                <w:szCs w:val="21"/>
              </w:rPr>
              <w:t>加</w:t>
            </w:r>
            <w:r>
              <w:rPr>
                <w:rFonts w:ascii="宋体" w:hAnsi="宋体" w:cs="宋体"/>
                <w:spacing w:val="14"/>
                <w:szCs w:val="21"/>
              </w:rPr>
              <w:t>盖</w:t>
            </w:r>
            <w:r>
              <w:rPr>
                <w:rFonts w:ascii="宋体" w:hAnsi="宋体" w:cs="宋体"/>
                <w:spacing w:val="12"/>
                <w:szCs w:val="21"/>
              </w:rPr>
              <w:t>单</w:t>
            </w:r>
            <w:r>
              <w:rPr>
                <w:rFonts w:ascii="宋体" w:hAnsi="宋体" w:cs="宋体"/>
                <w:szCs w:val="21"/>
              </w:rPr>
              <w:t>位</w:t>
            </w:r>
            <w:r>
              <w:rPr>
                <w:rFonts w:hint="eastAsia" w:ascii="宋体" w:hAnsi="宋体" w:cs="宋体"/>
                <w:szCs w:val="21"/>
              </w:rPr>
              <w:t>公</w:t>
            </w:r>
            <w:r>
              <w:rPr>
                <w:rFonts w:ascii="宋体" w:hAnsi="宋体" w:cs="宋体"/>
                <w:spacing w:val="2"/>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投标文件格式</w:t>
            </w:r>
          </w:p>
        </w:tc>
        <w:tc>
          <w:tcPr>
            <w:tcW w:w="5788" w:type="dxa"/>
            <w:vAlign w:val="center"/>
          </w:tcPr>
          <w:p>
            <w:pPr>
              <w:jc w:val="center"/>
              <w:rPr>
                <w:rFonts w:ascii="宋体" w:hAnsi="宋体" w:cs="宋体"/>
                <w:szCs w:val="21"/>
              </w:rPr>
            </w:pPr>
            <w:r>
              <w:rPr>
                <w:rFonts w:hint="eastAsia" w:ascii="宋体" w:hAnsi="宋体" w:cs="宋体"/>
                <w:szCs w:val="21"/>
              </w:rPr>
              <w:t>符合投标文件格式的要求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报价唯一</w:t>
            </w:r>
          </w:p>
        </w:tc>
        <w:tc>
          <w:tcPr>
            <w:tcW w:w="5788" w:type="dxa"/>
            <w:vAlign w:val="center"/>
          </w:tcPr>
          <w:p>
            <w:pPr>
              <w:jc w:val="center"/>
              <w:rPr>
                <w:rFonts w:ascii="宋体" w:hAnsi="宋体" w:cs="宋体"/>
                <w:szCs w:val="21"/>
              </w:rPr>
            </w:pPr>
            <w:r>
              <w:rPr>
                <w:rFonts w:hint="eastAsia" w:ascii="宋体" w:hAnsi="宋体" w:cs="宋体"/>
                <w:szCs w:val="21"/>
              </w:rPr>
              <w:t>只能有一个有效投标报价且未超过招标控制价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ind w:firstLine="210" w:firstLineChars="100"/>
              <w:rPr>
                <w:rFonts w:ascii="宋体" w:hAnsi="宋体" w:cs="宋体"/>
                <w:szCs w:val="21"/>
              </w:rPr>
            </w:pPr>
            <w:r>
              <w:rPr>
                <w:rFonts w:ascii="宋体" w:hAnsi="宋体" w:cs="宋体"/>
                <w:szCs w:val="21"/>
              </w:rPr>
              <w:t>2</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资格评审标准</w:t>
            </w:r>
          </w:p>
        </w:tc>
        <w:tc>
          <w:tcPr>
            <w:tcW w:w="1723" w:type="dxa"/>
            <w:vAlign w:val="center"/>
          </w:tcPr>
          <w:p>
            <w:pPr>
              <w:jc w:val="center"/>
              <w:rPr>
                <w:rFonts w:ascii="宋体" w:hAnsi="宋体" w:cs="宋体"/>
                <w:szCs w:val="21"/>
              </w:rPr>
            </w:pPr>
            <w:r>
              <w:rPr>
                <w:rFonts w:hint="eastAsia" w:ascii="宋体" w:hAnsi="宋体" w:cs="宋体"/>
                <w:szCs w:val="21"/>
              </w:rPr>
              <w:t>营业执照</w:t>
            </w:r>
          </w:p>
        </w:tc>
        <w:tc>
          <w:tcPr>
            <w:tcW w:w="5788" w:type="dxa"/>
            <w:vAlign w:val="center"/>
          </w:tcPr>
          <w:p>
            <w:pPr>
              <w:jc w:val="center"/>
              <w:rPr>
                <w:rFonts w:ascii="宋体" w:hAnsi="宋体" w:cs="宋体"/>
                <w:szCs w:val="21"/>
              </w:rPr>
            </w:pPr>
            <w:r>
              <w:rPr>
                <w:rFonts w:hint="eastAsia" w:ascii="宋体" w:hAnsi="宋体" w:cs="宋体"/>
                <w:szCs w:val="21"/>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财务要求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具有履行合同所必需的设备和专业技术能力</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纳税和社保缴费相关证明材料</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参加政府采购活动前三年内在经营活动中无重大违法记录</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信誉要求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hint="eastAsia" w:ascii="宋体" w:hAnsi="宋体" w:cs="宋体"/>
                <w:szCs w:val="21"/>
              </w:rPr>
              <w:t>3</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响应性评审标准</w:t>
            </w:r>
          </w:p>
        </w:tc>
        <w:tc>
          <w:tcPr>
            <w:tcW w:w="1723" w:type="dxa"/>
            <w:vAlign w:val="center"/>
          </w:tcPr>
          <w:p>
            <w:pPr>
              <w:jc w:val="center"/>
              <w:rPr>
                <w:rFonts w:ascii="宋体" w:hAnsi="宋体" w:cs="宋体"/>
                <w:szCs w:val="21"/>
              </w:rPr>
            </w:pPr>
            <w:r>
              <w:rPr>
                <w:rFonts w:hint="eastAsia" w:ascii="宋体" w:hAnsi="宋体" w:cs="宋体"/>
                <w:szCs w:val="21"/>
              </w:rPr>
              <w:t>投标内容</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交货期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ind w:firstLine="315" w:firstLineChars="150"/>
              <w:rPr>
                <w:rFonts w:ascii="宋体" w:hAnsi="宋体" w:cs="宋体"/>
                <w:bCs/>
                <w:szCs w:val="21"/>
              </w:rPr>
            </w:pPr>
            <w:r>
              <w:rPr>
                <w:rFonts w:hint="eastAsia" w:ascii="宋体" w:hAnsi="宋体" w:cs="宋体"/>
                <w:bCs/>
                <w:szCs w:val="21"/>
              </w:rPr>
              <w:t>质量要求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投标有效期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投标报价</w:t>
            </w:r>
          </w:p>
        </w:tc>
        <w:tc>
          <w:tcPr>
            <w:tcW w:w="5788" w:type="dxa"/>
            <w:vAlign w:val="center"/>
          </w:tcPr>
          <w:p>
            <w:pPr>
              <w:jc w:val="center"/>
              <w:rPr>
                <w:rFonts w:ascii="宋体" w:hAnsi="宋体" w:cs="宋体"/>
                <w:kern w:val="0"/>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765" w:type="dxa"/>
            <w:gridSpan w:val="4"/>
            <w:vAlign w:val="center"/>
          </w:tcPr>
          <w:p>
            <w:pPr>
              <w:jc w:val="center"/>
              <w:rPr>
                <w:rFonts w:ascii="宋体" w:hAnsi="宋体" w:cs="宋体"/>
                <w:kern w:val="0"/>
                <w:szCs w:val="21"/>
              </w:rPr>
            </w:pPr>
            <w:r>
              <w:rPr>
                <w:rFonts w:hint="eastAsia" w:ascii="宋体" w:hAnsi="宋体" w:cs="宋体"/>
                <w:szCs w:val="21"/>
              </w:rPr>
              <w:t>备注： 以上各项如有一项不符合按废标处理，不得进入评分阶段。</w:t>
            </w:r>
          </w:p>
        </w:tc>
      </w:tr>
    </w:tbl>
    <w:p/>
    <w:p>
      <w:pPr>
        <w:pStyle w:val="10"/>
        <w:ind w:firstLine="562"/>
      </w:pPr>
    </w:p>
    <w:p>
      <w:pPr>
        <w:pStyle w:val="11"/>
        <w:ind w:left="5250"/>
      </w:pPr>
    </w:p>
    <w:p>
      <w:pPr>
        <w:pStyle w:val="10"/>
        <w:ind w:firstLine="0" w:firstLineChars="0"/>
        <w:rPr>
          <w:rFonts w:ascii="宋体" w:hAnsi="宋体" w:eastAsia="宋体"/>
          <w:sz w:val="24"/>
        </w:rPr>
      </w:pPr>
      <w:r>
        <w:rPr>
          <w:rFonts w:hint="eastAsia" w:ascii="宋体" w:hAnsi="宋体" w:eastAsia="宋体"/>
          <w:sz w:val="24"/>
        </w:rPr>
        <w:t>详细评审</w:t>
      </w:r>
    </w:p>
    <w:tbl>
      <w:tblPr>
        <w:tblStyle w:val="22"/>
        <w:tblW w:w="9776" w:type="dxa"/>
        <w:jc w:val="center"/>
        <w:tblLayout w:type="fixed"/>
        <w:tblCellMar>
          <w:top w:w="0" w:type="dxa"/>
          <w:left w:w="10" w:type="dxa"/>
          <w:bottom w:w="0" w:type="dxa"/>
          <w:right w:w="10" w:type="dxa"/>
        </w:tblCellMar>
      </w:tblPr>
      <w:tblGrid>
        <w:gridCol w:w="562"/>
        <w:gridCol w:w="1560"/>
        <w:gridCol w:w="1423"/>
        <w:gridCol w:w="6231"/>
      </w:tblGrid>
      <w:tr>
        <w:tblPrEx>
          <w:tblCellMar>
            <w:top w:w="0" w:type="dxa"/>
            <w:left w:w="10" w:type="dxa"/>
            <w:bottom w:w="0" w:type="dxa"/>
            <w:right w:w="10" w:type="dxa"/>
          </w:tblCellMar>
        </w:tblPrEx>
        <w:trPr>
          <w:trHeight w:val="1" w:hRule="atLeast"/>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序号</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评审因素</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评审标准</w:t>
            </w:r>
          </w:p>
        </w:tc>
      </w:tr>
      <w:tr>
        <w:tblPrEx>
          <w:tblCellMar>
            <w:top w:w="0" w:type="dxa"/>
            <w:left w:w="10" w:type="dxa"/>
            <w:bottom w:w="0" w:type="dxa"/>
            <w:right w:w="10" w:type="dxa"/>
          </w:tblCellMar>
        </w:tblPrEx>
        <w:trPr>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60" w:lineRule="auto"/>
              <w:jc w:val="center"/>
              <w:rPr>
                <w:rFonts w:ascii="宋体" w:hAnsi="宋体" w:cs="宋体"/>
              </w:rPr>
            </w:pPr>
            <w:r>
              <w:rPr>
                <w:rFonts w:ascii="宋体" w:hAnsi="宋体" w:cs="宋体"/>
              </w:rPr>
              <w:t>1</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276" w:lineRule="auto"/>
              <w:jc w:val="center"/>
              <w:rPr>
                <w:rFonts w:ascii="宋体" w:hAnsi="宋体" w:cs="宋体"/>
              </w:rPr>
            </w:pPr>
            <w:r>
              <w:rPr>
                <w:rFonts w:ascii="宋体" w:hAnsi="宋体" w:cs="宋体"/>
              </w:rPr>
              <w:t>分值构成</w:t>
            </w:r>
          </w:p>
          <w:p>
            <w:pPr>
              <w:spacing w:line="276" w:lineRule="auto"/>
              <w:jc w:val="center"/>
              <w:rPr>
                <w:rFonts w:ascii="宋体" w:hAnsi="宋体" w:cs="宋体"/>
              </w:rPr>
            </w:pPr>
            <w:r>
              <w:rPr>
                <w:rFonts w:ascii="宋体" w:hAnsi="宋体" w:cs="宋体"/>
              </w:rPr>
              <w:t>(总分100分)</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80" w:lineRule="auto"/>
              <w:ind w:firstLine="210"/>
              <w:jc w:val="left"/>
              <w:rPr>
                <w:rFonts w:ascii="宋体" w:hAnsi="宋体" w:cs="宋体"/>
              </w:rPr>
            </w:pPr>
            <w:r>
              <w:rPr>
                <w:rFonts w:ascii="宋体" w:hAnsi="宋体" w:cs="宋体"/>
              </w:rPr>
              <w:t>投标报价：30分</w:t>
            </w:r>
          </w:p>
          <w:p>
            <w:pPr>
              <w:spacing w:line="380" w:lineRule="auto"/>
              <w:ind w:firstLine="210"/>
              <w:jc w:val="left"/>
              <w:rPr>
                <w:rFonts w:ascii="宋体" w:hAnsi="宋体" w:cs="宋体"/>
              </w:rPr>
            </w:pPr>
            <w:r>
              <w:rPr>
                <w:rFonts w:ascii="宋体" w:hAnsi="宋体" w:cs="宋体"/>
              </w:rPr>
              <w:t>商务部分：15分</w:t>
            </w:r>
          </w:p>
          <w:p>
            <w:pPr>
              <w:spacing w:line="380" w:lineRule="auto"/>
              <w:ind w:firstLine="210"/>
              <w:jc w:val="left"/>
              <w:rPr>
                <w:rFonts w:ascii="宋体" w:hAnsi="宋体" w:cs="宋体"/>
              </w:rPr>
            </w:pPr>
            <w:r>
              <w:rPr>
                <w:rFonts w:ascii="宋体" w:hAnsi="宋体" w:cs="宋体"/>
              </w:rPr>
              <w:t>技术部分：55分</w:t>
            </w:r>
          </w:p>
        </w:tc>
      </w:tr>
      <w:tr>
        <w:tblPrEx>
          <w:tblCellMar>
            <w:top w:w="0" w:type="dxa"/>
            <w:left w:w="10" w:type="dxa"/>
            <w:bottom w:w="0" w:type="dxa"/>
            <w:right w:w="10" w:type="dxa"/>
          </w:tblCellMar>
        </w:tblPrEx>
        <w:trPr>
          <w:cantSplit/>
          <w:trHeight w:val="3274" w:hRule="atLeast"/>
          <w:jc w:val="center"/>
        </w:trPr>
        <w:tc>
          <w:tcPr>
            <w:tcW w:w="562" w:type="dxa"/>
            <w:tcBorders>
              <w:top w:val="single" w:color="auto"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2</w:t>
            </w:r>
          </w:p>
        </w:tc>
        <w:tc>
          <w:tcPr>
            <w:tcW w:w="1560"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rPr>
                <w:rFonts w:ascii="宋体" w:hAnsi="宋体" w:cs="宋体"/>
                <w:color w:val="FF0000"/>
              </w:rPr>
            </w:pPr>
            <w:r>
              <w:rPr>
                <w:rFonts w:ascii="宋体" w:hAnsi="宋体" w:cs="宋体"/>
              </w:rPr>
              <w:t>投标报价（30分）</w:t>
            </w:r>
          </w:p>
        </w:tc>
        <w:tc>
          <w:tcPr>
            <w:tcW w:w="7654" w:type="dxa"/>
            <w:gridSpan w:val="2"/>
            <w:tcBorders>
              <w:top w:val="single" w:color="auto" w:sz="4" w:space="0"/>
              <w:left w:val="single" w:color="000000" w:sz="4" w:space="0"/>
              <w:bottom w:val="single" w:color="000000" w:sz="4" w:space="0"/>
              <w:right w:val="single" w:color="auto" w:sz="4" w:space="0"/>
            </w:tcBorders>
            <w:shd w:val="clear" w:color="000000" w:fill="FFFFFF"/>
            <w:tcMar>
              <w:left w:w="108" w:type="dxa"/>
              <w:right w:w="108" w:type="dxa"/>
            </w:tcMar>
          </w:tcPr>
          <w:p>
            <w:pPr>
              <w:spacing w:line="360" w:lineRule="auto"/>
              <w:rPr>
                <w:rFonts w:ascii="宋体" w:hAnsi="宋体" w:cs="宋体"/>
              </w:rPr>
            </w:pPr>
            <w:r>
              <w:rPr>
                <w:rFonts w:hint="eastAsia" w:ascii="宋体" w:hAnsi="宋体" w:cs="宋体"/>
              </w:rPr>
              <w:t>价格分应当采用低价优先法计算，即满足采购文件要求且投标价格最低的投标报价为评标基准价，其价格分为满分。其他供应商的价格分统一按照下列公式计算：（高于招标控制价按废标处理）：</w:t>
            </w:r>
          </w:p>
          <w:p>
            <w:pPr>
              <w:spacing w:line="360" w:lineRule="auto"/>
              <w:rPr>
                <w:rFonts w:ascii="宋体" w:hAnsi="宋体" w:cs="宋体"/>
              </w:rPr>
            </w:pPr>
            <w:r>
              <w:rPr>
                <w:rFonts w:hint="eastAsia" w:ascii="宋体" w:hAnsi="宋体" w:cs="宋体"/>
              </w:rPr>
              <w:t>投标报价得分=（评标基准值/投标报价）×100×30%</w:t>
            </w:r>
          </w:p>
          <w:p>
            <w:pPr>
              <w:spacing w:line="360" w:lineRule="auto"/>
              <w:rPr>
                <w:rFonts w:ascii="宋体" w:hAnsi="宋体" w:cs="宋体"/>
              </w:rPr>
            </w:pPr>
            <w:r>
              <w:rPr>
                <w:rFonts w:hint="eastAsia" w:ascii="宋体" w:hAnsi="宋体" w:cs="宋体"/>
              </w:rPr>
              <w:t>注：根据政府采购相关规定，对有效的小型、微型及符合相关优惠政策供应商的投标报价给予10%的扣除，用扣除后的价格参与评审，没有提供相关声明函的供应商将被视为不接受评标报价的扣除，用原投标报价参与评审。</w:t>
            </w:r>
          </w:p>
        </w:tc>
      </w:tr>
      <w:tr>
        <w:trPr>
          <w:jc w:val="center"/>
        </w:trPr>
        <w:tc>
          <w:tcPr>
            <w:tcW w:w="562"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3</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200" w:line="276" w:lineRule="auto"/>
              <w:jc w:val="left"/>
              <w:rPr>
                <w:rFonts w:ascii="宋体" w:hAnsi="宋体" w:cs="宋体"/>
                <w:sz w:val="22"/>
              </w:rPr>
            </w:pPr>
            <w:r>
              <w:rPr>
                <w:rFonts w:hint="eastAsia" w:ascii="宋体" w:hAnsi="宋体" w:cs="宋体"/>
                <w:sz w:val="22"/>
              </w:rPr>
              <w:t>综合</w:t>
            </w:r>
            <w:r>
              <w:rPr>
                <w:rFonts w:ascii="宋体" w:hAnsi="宋体" w:cs="宋体"/>
                <w:sz w:val="22"/>
              </w:rPr>
              <w:t>部分（15分）</w:t>
            </w:r>
          </w:p>
        </w:tc>
        <w:tc>
          <w:tcPr>
            <w:tcW w:w="14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hint="eastAsia" w:ascii="宋体" w:hAnsi="宋体" w:cs="宋体"/>
              </w:rPr>
              <w:t>服务承诺（</w:t>
            </w:r>
            <w:r>
              <w:rPr>
                <w:rFonts w:eastAsia="Times New Roman"/>
              </w:rPr>
              <w:t>1</w:t>
            </w:r>
            <w:r>
              <w:rPr>
                <w:rFonts w:hint="eastAsia" w:eastAsia="Times New Roman"/>
              </w:rPr>
              <w:t>5</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1、具有实质性内容的优惠条件和承诺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2、维保方案、维保制度合理有效的</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3、保修期内、外的服务承诺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4、</w:t>
            </w:r>
            <w:r>
              <w:rPr>
                <w:rFonts w:hint="eastAsia" w:ascii="宋体" w:hAnsi="宋体" w:cs="宋体"/>
                <w:szCs w:val="21"/>
              </w:rPr>
              <w:t>供应商</w:t>
            </w:r>
            <w:r>
              <w:rPr>
                <w:rFonts w:ascii="宋体" w:hAnsi="宋体" w:cs="宋体"/>
                <w:szCs w:val="21"/>
              </w:rPr>
              <w:t>针对本项目后期</w:t>
            </w:r>
            <w:r>
              <w:rPr>
                <w:rFonts w:hint="eastAsia" w:ascii="宋体" w:hAnsi="宋体" w:cs="宋体"/>
                <w:szCs w:val="21"/>
              </w:rPr>
              <w:t>采购人</w:t>
            </w:r>
            <w:r>
              <w:rPr>
                <w:rFonts w:ascii="宋体" w:hAnsi="宋体" w:cs="宋体"/>
                <w:szCs w:val="21"/>
              </w:rPr>
              <w:t>使用方、维护、人员培训等方面提出的切实可行的合理化建议与措施</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rPr>
            </w:pPr>
            <w:r>
              <w:rPr>
                <w:rFonts w:ascii="宋体" w:hAnsi="宋体" w:cs="宋体"/>
                <w:szCs w:val="21"/>
              </w:rPr>
              <w:t>5</w:t>
            </w:r>
            <w:r>
              <w:rPr>
                <w:rFonts w:hint="eastAsia" w:ascii="宋体" w:hAnsi="宋体" w:cs="宋体"/>
                <w:szCs w:val="21"/>
              </w:rPr>
              <w:t>、保修期内、保修期外的备品备件供应及价格优惠承诺，由评标委员会进行横向对比打分（</w:t>
            </w:r>
            <w:r>
              <w:rPr>
                <w:rFonts w:ascii="宋体" w:hAnsi="宋体" w:cs="宋体"/>
                <w:szCs w:val="21"/>
              </w:rPr>
              <w:t>0-3</w:t>
            </w:r>
            <w:r>
              <w:rPr>
                <w:rFonts w:hint="eastAsia" w:ascii="宋体" w:hAnsi="宋体" w:cs="宋体"/>
                <w:szCs w:val="21"/>
              </w:rPr>
              <w:t>分）</w:t>
            </w:r>
          </w:p>
        </w:tc>
      </w:tr>
      <w:tr>
        <w:tblPrEx>
          <w:tblCellMar>
            <w:top w:w="0" w:type="dxa"/>
            <w:left w:w="10" w:type="dxa"/>
            <w:bottom w:w="0" w:type="dxa"/>
            <w:right w:w="10" w:type="dxa"/>
          </w:tblCellMar>
        </w:tblPrEx>
        <w:trPr>
          <w:trHeight w:val="1471" w:hRule="atLeast"/>
          <w:jc w:val="center"/>
        </w:trPr>
        <w:tc>
          <w:tcPr>
            <w:tcW w:w="562" w:type="dxa"/>
            <w:vMerge w:val="restart"/>
            <w:tcBorders>
              <w:top w:val="single" w:color="000000"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4</w:t>
            </w:r>
          </w:p>
        </w:tc>
        <w:tc>
          <w:tcPr>
            <w:tcW w:w="1560" w:type="dxa"/>
            <w:vMerge w:val="restart"/>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r>
              <w:rPr>
                <w:rFonts w:ascii="宋体" w:hAnsi="宋体" w:cs="宋体"/>
              </w:rPr>
              <w:t>技术部分（55分）</w:t>
            </w:r>
          </w:p>
        </w:tc>
        <w:tc>
          <w:tcPr>
            <w:tcW w:w="142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rPr>
                <w:rFonts w:ascii="宋体" w:hAnsi="宋体" w:cs="宋体"/>
                <w:szCs w:val="21"/>
              </w:rPr>
            </w:pPr>
            <w:r>
              <w:rPr>
                <w:rFonts w:hint="eastAsia" w:ascii="宋体" w:hAnsi="宋体" w:cs="宋体"/>
              </w:rPr>
              <w:t>因质量问题造成不良影响，拟采取的措施（</w:t>
            </w:r>
            <w:r>
              <w:rPr>
                <w:rFonts w:eastAsia="Times New Roman"/>
              </w:rPr>
              <w:t>10</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评标委员会根据供应商提供补救措施的及时性、合理性，由评标委员会进行横向对比打分（0-10分）</w:t>
            </w:r>
          </w:p>
        </w:tc>
      </w:tr>
      <w:tr>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rPr>
                <w:rFonts w:ascii="宋体" w:hAnsi="宋体" w:cs="宋体"/>
                <w:color w:val="000000"/>
                <w:szCs w:val="21"/>
              </w:rPr>
            </w:pPr>
            <w:r>
              <w:rPr>
                <w:rFonts w:ascii="宋体" w:hAnsi="宋体" w:cs="宋体"/>
              </w:rPr>
              <w:t>供货方案（10分）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根据供应商所提供的供货方案，由评标委员会进行横向对比打分（0-10分）</w:t>
            </w:r>
          </w:p>
        </w:tc>
      </w:tr>
      <w:tr>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840"/>
              </w:tabs>
              <w:jc w:val="left"/>
              <w:rPr>
                <w:color w:val="FF0000"/>
                <w:szCs w:val="21"/>
              </w:rPr>
            </w:pPr>
            <w:r>
              <w:rPr>
                <w:rFonts w:hint="eastAsia" w:ascii="宋体" w:hAnsi="宋体" w:cs="宋体"/>
                <w:szCs w:val="21"/>
              </w:rPr>
              <w:t>技术参数响应程度（</w:t>
            </w:r>
            <w:r>
              <w:rPr>
                <w:rFonts w:ascii="宋体" w:hAnsi="宋体" w:cs="宋体"/>
                <w:szCs w:val="21"/>
              </w:rPr>
              <w:t>15</w:t>
            </w:r>
            <w:r>
              <w:rPr>
                <w:rFonts w:hint="eastAsia" w:ascii="宋体" w:hAnsi="宋体" w:cs="宋体"/>
                <w:szCs w:val="21"/>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pPr>
            <w:r>
              <w:rPr>
                <w:rFonts w:ascii="宋体" w:hAnsi="宋体" w:cs="宋体"/>
                <w:szCs w:val="21"/>
              </w:rPr>
              <w:t>所有技术指标均满足采购文件要求的，得15分；每有一项负偏离的，在15分的基础上扣3分扣完为止。（0-15分）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000000"/>
                <w:szCs w:val="21"/>
              </w:rPr>
            </w:pPr>
            <w:r>
              <w:rPr>
                <w:rFonts w:hint="eastAsia" w:ascii="宋体" w:hAnsi="宋体" w:cs="宋体"/>
                <w:bCs/>
                <w:spacing w:val="1"/>
                <w:kern w:val="0"/>
                <w:szCs w:val="21"/>
              </w:rPr>
              <w:t>相关的技术服务方案（1</w:t>
            </w:r>
            <w:r>
              <w:rPr>
                <w:rFonts w:ascii="宋体" w:hAnsi="宋体" w:cs="宋体"/>
                <w:bCs/>
                <w:spacing w:val="1"/>
                <w:kern w:val="0"/>
                <w:szCs w:val="21"/>
              </w:rPr>
              <w:t>0</w:t>
            </w:r>
            <w:r>
              <w:rPr>
                <w:rFonts w:hint="eastAsia" w:ascii="宋体" w:hAnsi="宋体" w:cs="宋体"/>
                <w:bCs/>
                <w:spacing w:val="1"/>
                <w:kern w:val="0"/>
                <w:szCs w:val="21"/>
              </w:rPr>
              <w:t>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hint="eastAsia" w:ascii="宋体" w:hAnsi="宋体" w:cs="宋体"/>
                <w:bCs/>
                <w:spacing w:val="1"/>
                <w:kern w:val="0"/>
                <w:szCs w:val="21"/>
              </w:rPr>
              <w:t>根据供应商提供的相关的</w:t>
            </w:r>
            <w:r>
              <w:rPr>
                <w:rFonts w:hint="eastAsia" w:cs="宋体"/>
                <w:bCs/>
              </w:rPr>
              <w:t>技术服务</w:t>
            </w:r>
            <w:r>
              <w:rPr>
                <w:rFonts w:hint="eastAsia" w:ascii="宋体" w:hAnsi="宋体" w:cs="宋体"/>
                <w:bCs/>
                <w:spacing w:val="1"/>
                <w:kern w:val="0"/>
                <w:szCs w:val="21"/>
              </w:rPr>
              <w:t>方案，</w:t>
            </w:r>
            <w:r>
              <w:rPr>
                <w:rFonts w:ascii="宋体" w:hAnsi="宋体" w:cs="宋体"/>
                <w:szCs w:val="21"/>
              </w:rPr>
              <w:t>由评标委员会进行横向对比打分</w:t>
            </w:r>
            <w:r>
              <w:rPr>
                <w:rFonts w:hint="eastAsia" w:ascii="宋体" w:hAnsi="宋体" w:cs="宋体"/>
                <w:bCs/>
                <w:spacing w:val="1"/>
                <w:kern w:val="0"/>
                <w:szCs w:val="21"/>
              </w:rPr>
              <w:t>。</w:t>
            </w:r>
            <w:r>
              <w:rPr>
                <w:rFonts w:ascii="宋体" w:hAnsi="宋体" w:cs="宋体"/>
                <w:szCs w:val="21"/>
              </w:rPr>
              <w:t>（0-10分）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产品的主要质量措施（10分）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b/>
                <w:bCs/>
                <w:szCs w:val="21"/>
              </w:rPr>
            </w:pPr>
            <w:r>
              <w:rPr>
                <w:rFonts w:ascii="宋体" w:hAnsi="宋体" w:cs="宋体"/>
                <w:szCs w:val="21"/>
              </w:rPr>
              <w:t>投标产品取得了国家有关部门的认可</w:t>
            </w:r>
            <w:r>
              <w:rPr>
                <w:rFonts w:hint="eastAsia" w:ascii="宋体" w:hAnsi="宋体" w:cs="宋体"/>
                <w:szCs w:val="21"/>
              </w:rPr>
              <w:t>，</w:t>
            </w:r>
            <w:r>
              <w:rPr>
                <w:rFonts w:ascii="宋体" w:hAnsi="宋体" w:cs="宋体"/>
              </w:rPr>
              <w:t>产品资料齐全，整体表述一致</w:t>
            </w:r>
            <w:r>
              <w:rPr>
                <w:rFonts w:hint="eastAsia" w:ascii="宋体" w:hAnsi="宋体" w:cs="宋体"/>
              </w:rPr>
              <w:t>，</w:t>
            </w:r>
            <w:r>
              <w:rPr>
                <w:rFonts w:ascii="宋体" w:hAnsi="宋体" w:cs="宋体"/>
                <w:szCs w:val="21"/>
              </w:rPr>
              <w:t>由评标委员会进行横向对比打分（0-10分）</w:t>
            </w:r>
          </w:p>
        </w:tc>
      </w:tr>
      <w:tr>
        <w:tblPrEx>
          <w:tblCellMar>
            <w:top w:w="0" w:type="dxa"/>
            <w:left w:w="10" w:type="dxa"/>
            <w:bottom w:w="0" w:type="dxa"/>
            <w:right w:w="10" w:type="dxa"/>
          </w:tblCellMar>
        </w:tblPrEx>
        <w:trPr>
          <w:jc w:val="center"/>
        </w:trPr>
        <w:tc>
          <w:tcPr>
            <w:tcW w:w="9776" w:type="dxa"/>
            <w:gridSpan w:val="4"/>
            <w:tcBorders>
              <w:top w:val="single" w:color="000000"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auto"/>
              <w:rPr>
                <w:rFonts w:ascii="宋体" w:hAnsi="宋体" w:cs="宋体"/>
              </w:rPr>
            </w:pPr>
            <w:r>
              <w:rPr>
                <w:rFonts w:ascii="宋体" w:hAnsi="宋体" w:cs="宋体"/>
              </w:rPr>
              <w:t>供应商综合得分=投标报价得分+</w:t>
            </w:r>
            <w:r>
              <w:rPr>
                <w:rFonts w:hint="eastAsia" w:ascii="宋体" w:hAnsi="宋体" w:cs="宋体"/>
              </w:rPr>
              <w:t>综合</w:t>
            </w:r>
            <w:r>
              <w:rPr>
                <w:rFonts w:ascii="宋体" w:hAnsi="宋体" w:cs="宋体"/>
              </w:rPr>
              <w:t>部分得分＋技术部分得分</w:t>
            </w:r>
          </w:p>
          <w:p>
            <w:pPr>
              <w:spacing w:line="400" w:lineRule="auto"/>
              <w:rPr>
                <w:rFonts w:ascii="宋体" w:hAnsi="宋体" w:cs="宋体"/>
              </w:rPr>
            </w:pPr>
            <w:r>
              <w:rPr>
                <w:rFonts w:ascii="宋体" w:hAnsi="宋体" w:cs="宋体"/>
              </w:rPr>
              <w:t>供应商的最终得分：评委打分的算术平均值，作为该供应商的最终得分</w:t>
            </w:r>
          </w:p>
        </w:tc>
      </w:tr>
    </w:tbl>
    <w:p>
      <w:pPr>
        <w:pStyle w:val="8"/>
      </w:pPr>
    </w:p>
    <w:p>
      <w:pPr>
        <w:pStyle w:val="30"/>
        <w:rPr>
          <w:rFonts w:hAnsi="宋体"/>
          <w:b/>
          <w:bCs/>
        </w:rPr>
      </w:pPr>
      <w:r>
        <w:rPr>
          <w:rFonts w:hint="eastAsia" w:hAnsi="宋体"/>
          <w:b/>
          <w:bCs/>
        </w:rPr>
        <w:t>1、评标办法</w:t>
      </w:r>
    </w:p>
    <w:p>
      <w:pPr>
        <w:spacing w:line="360" w:lineRule="auto"/>
        <w:ind w:firstLine="480" w:firstLineChars="200"/>
        <w:rPr>
          <w:rFonts w:ascii="宋体" w:hAnsi="宋体" w:cs="宋体"/>
          <w:color w:val="000000"/>
          <w:sz w:val="24"/>
        </w:rPr>
      </w:pPr>
      <w:r>
        <w:rPr>
          <w:rFonts w:ascii="宋体" w:hAnsi="宋体" w:cs="宋体"/>
          <w:color w:val="000000"/>
          <w:sz w:val="24"/>
        </w:rPr>
        <w:t>本次评标采用综合评分法，评标委员会对满足采购文件实质性要求的投标文件，按照评分标准进行打分，并按最终得分由高到低顺序推荐3名中标候选人，但投标报价低于其成本的除外；最终评分相等时，以投标报价低的优先；投标报价也相等的，由采购人</w:t>
      </w:r>
      <w:r>
        <w:rPr>
          <w:rFonts w:hint="eastAsia" w:ascii="宋体" w:hAnsi="宋体" w:cs="宋体"/>
          <w:color w:val="000000"/>
          <w:sz w:val="24"/>
        </w:rPr>
        <w:t>摇号</w:t>
      </w:r>
      <w:r>
        <w:rPr>
          <w:rFonts w:ascii="宋体" w:hAnsi="宋体" w:cs="宋体"/>
          <w:color w:val="000000"/>
          <w:sz w:val="24"/>
        </w:rPr>
        <w:t>确定。</w:t>
      </w:r>
      <w:r>
        <w:rPr>
          <w:rFonts w:ascii="宋体" w:hAnsi="宋体" w:cs="宋体"/>
          <w:kern w:val="0"/>
          <w:szCs w:val="21"/>
        </w:rPr>
        <w:t xml:space="preserve">                          </w:t>
      </w:r>
    </w:p>
    <w:p>
      <w:pPr>
        <w:pStyle w:val="30"/>
        <w:rPr>
          <w:b/>
        </w:rPr>
      </w:pPr>
      <w:r>
        <w:rPr>
          <w:b/>
        </w:rPr>
        <w:t>2、评审标准</w:t>
      </w:r>
    </w:p>
    <w:p>
      <w:pPr>
        <w:pStyle w:val="30"/>
      </w:pPr>
      <w:r>
        <w:t xml:space="preserve">    2.2.1 分值构成</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（2）商务部分：见评标办法前附表；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（3）技术部分：见评标办法前附表；</w:t>
      </w:r>
    </w:p>
    <w:p>
      <w:pPr>
        <w:pStyle w:val="30"/>
        <w:ind w:firstLine="480" w:firstLineChars="200"/>
      </w:pPr>
      <w:r>
        <w:t>2.2.2 评分标准</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w:t>
      </w:r>
      <w:r>
        <w:rPr>
          <w:rFonts w:ascii="宋体" w:hAnsi="宋体" w:cs="宋体"/>
          <w:bCs/>
          <w:sz w:val="24"/>
        </w:rPr>
        <w:t>商务部分</w:t>
      </w:r>
      <w:r>
        <w:rPr>
          <w:rFonts w:ascii="宋体" w:hAnsi="宋体" w:cs="宋体"/>
          <w:color w:val="000000"/>
          <w:sz w:val="24"/>
        </w:rPr>
        <w:t>：见评标办法前附表；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w:t>
      </w:r>
      <w:r>
        <w:rPr>
          <w:rFonts w:ascii="宋体" w:hAnsi="宋体" w:cs="宋体"/>
          <w:bCs/>
          <w:sz w:val="24"/>
        </w:rPr>
        <w:t>技术部分</w:t>
      </w:r>
      <w:r>
        <w:rPr>
          <w:rFonts w:ascii="宋体" w:hAnsi="宋体" w:cs="宋体"/>
          <w:color w:val="000000"/>
          <w:sz w:val="24"/>
        </w:rPr>
        <w:t>：见评标办法前附表；</w:t>
      </w:r>
    </w:p>
    <w:p>
      <w:pPr>
        <w:spacing w:line="360" w:lineRule="auto"/>
        <w:rPr>
          <w:rFonts w:ascii="宋体" w:hAnsi="宋体" w:cs="宋体"/>
          <w:b/>
          <w:bCs/>
          <w:color w:val="000000"/>
          <w:sz w:val="24"/>
        </w:rPr>
      </w:pPr>
      <w:r>
        <w:rPr>
          <w:rFonts w:ascii="宋体" w:hAnsi="宋体" w:cs="宋体"/>
          <w:b/>
          <w:bCs/>
          <w:color w:val="000000"/>
          <w:sz w:val="24"/>
        </w:rPr>
        <w:t>3、评标程序</w:t>
      </w:r>
    </w:p>
    <w:p>
      <w:pPr>
        <w:pStyle w:val="30"/>
        <w:rPr>
          <w:b/>
        </w:rPr>
      </w:pPr>
      <w:r>
        <w:rPr>
          <w:b/>
        </w:rPr>
        <w:t>3.1 初步评审</w:t>
      </w:r>
    </w:p>
    <w:p>
      <w:pPr>
        <w:spacing w:line="360" w:lineRule="auto"/>
        <w:ind w:firstLine="480" w:firstLineChars="200"/>
        <w:rPr>
          <w:rFonts w:ascii="宋体" w:hAnsi="宋体" w:cs="宋体"/>
          <w:color w:val="000000"/>
          <w:sz w:val="24"/>
        </w:rPr>
      </w:pPr>
      <w:r>
        <w:rPr>
          <w:rFonts w:ascii="宋体" w:hAnsi="宋体" w:cs="宋体"/>
          <w:color w:val="000000"/>
          <w:sz w:val="24"/>
        </w:rPr>
        <w:t>3.1.1 评标委员会</w:t>
      </w:r>
      <w:r>
        <w:rPr>
          <w:rFonts w:hint="eastAsia" w:ascii="宋体" w:hAnsi="宋体" w:cs="宋体"/>
          <w:color w:val="000000"/>
          <w:sz w:val="24"/>
        </w:rPr>
        <w:t>根据本章规定的评审标准对投标文件</w:t>
      </w:r>
      <w:r>
        <w:rPr>
          <w:rFonts w:ascii="宋体" w:hAnsi="宋体" w:cs="宋体"/>
          <w:color w:val="000000"/>
          <w:sz w:val="24"/>
        </w:rPr>
        <w:t>进行</w:t>
      </w:r>
      <w:r>
        <w:rPr>
          <w:rFonts w:hint="eastAsia" w:ascii="宋体" w:hAnsi="宋体" w:cs="宋体"/>
          <w:color w:val="000000"/>
          <w:sz w:val="24"/>
        </w:rPr>
        <w:t>初步</w:t>
      </w:r>
      <w:r>
        <w:rPr>
          <w:rFonts w:ascii="宋体" w:hAnsi="宋体" w:cs="宋体"/>
          <w:color w:val="000000"/>
          <w:sz w:val="24"/>
        </w:rPr>
        <w:t>评审，有一项不符合评审标准的的做废标处理。</w:t>
      </w:r>
    </w:p>
    <w:p>
      <w:pPr>
        <w:spacing w:line="360" w:lineRule="auto"/>
        <w:ind w:firstLine="480" w:firstLineChars="200"/>
        <w:rPr>
          <w:rFonts w:ascii="宋体" w:hAnsi="宋体" w:cs="宋体"/>
          <w:color w:val="000000"/>
          <w:sz w:val="24"/>
        </w:rPr>
      </w:pPr>
      <w:r>
        <w:rPr>
          <w:rFonts w:ascii="宋体" w:hAnsi="宋体" w:cs="宋体"/>
          <w:color w:val="000000"/>
          <w:sz w:val="24"/>
        </w:rPr>
        <w:t>3.1.2 供应商有以下情形之一的，其投标作废标处理：</w:t>
      </w:r>
    </w:p>
    <w:p>
      <w:pPr>
        <w:spacing w:line="360" w:lineRule="auto"/>
        <w:ind w:firstLine="360" w:firstLineChars="150"/>
        <w:rPr>
          <w:rFonts w:ascii="宋体" w:hAnsi="宋体" w:cs="宋体"/>
          <w:bCs/>
          <w:color w:val="000000"/>
          <w:sz w:val="24"/>
        </w:rPr>
      </w:pPr>
      <w:r>
        <w:rPr>
          <w:rFonts w:ascii="宋体" w:hAnsi="宋体" w:cs="宋体"/>
          <w:bCs/>
          <w:color w:val="000000"/>
          <w:sz w:val="24"/>
        </w:rPr>
        <w:t>（1）串通投标或弄虚作假或有其他违法行为的；</w:t>
      </w:r>
    </w:p>
    <w:p>
      <w:pPr>
        <w:spacing w:line="360" w:lineRule="auto"/>
        <w:ind w:firstLine="360" w:firstLineChars="150"/>
        <w:rPr>
          <w:rFonts w:ascii="宋体" w:hAnsi="宋体" w:cs="宋体"/>
          <w:bCs/>
          <w:color w:val="000000"/>
          <w:sz w:val="24"/>
        </w:rPr>
      </w:pPr>
      <w:r>
        <w:rPr>
          <w:rFonts w:ascii="宋体" w:hAnsi="宋体" w:cs="宋体"/>
          <w:bCs/>
          <w:color w:val="000000"/>
          <w:sz w:val="24"/>
        </w:rPr>
        <w:t>（2）不按评标委员会要求澄清、说明或补正的；</w:t>
      </w:r>
    </w:p>
    <w:p>
      <w:pPr>
        <w:spacing w:line="360" w:lineRule="auto"/>
        <w:ind w:firstLine="360" w:firstLineChars="150"/>
        <w:rPr>
          <w:rFonts w:ascii="宋体" w:hAnsi="宋体" w:cs="宋体"/>
          <w:bCs/>
          <w:color w:val="000000"/>
          <w:sz w:val="24"/>
        </w:rPr>
      </w:pPr>
      <w:r>
        <w:rPr>
          <w:rFonts w:ascii="宋体" w:hAnsi="宋体" w:cs="宋体"/>
          <w:bCs/>
          <w:color w:val="000000"/>
          <w:sz w:val="24"/>
        </w:rPr>
        <w:t>（3）投标文件附有采购人不能接受的条件。</w:t>
      </w:r>
    </w:p>
    <w:p>
      <w:pPr>
        <w:spacing w:line="360" w:lineRule="auto"/>
        <w:ind w:firstLine="360" w:firstLineChars="150"/>
        <w:rPr>
          <w:rFonts w:ascii="宋体" w:hAnsi="宋体" w:cs="宋体"/>
          <w:bCs/>
          <w:color w:val="000000"/>
          <w:sz w:val="24"/>
        </w:rPr>
      </w:pPr>
      <w:r>
        <w:rPr>
          <w:rFonts w:ascii="宋体" w:hAnsi="宋体" w:cs="宋体"/>
          <w:bCs/>
          <w:color w:val="000000"/>
          <w:sz w:val="24"/>
        </w:rPr>
        <w:t>（4）不符合采购文件规定的其他实质性要求。</w:t>
      </w:r>
    </w:p>
    <w:p>
      <w:pPr>
        <w:spacing w:line="360" w:lineRule="auto"/>
        <w:ind w:firstLine="600" w:firstLineChars="250"/>
        <w:rPr>
          <w:rFonts w:ascii="宋体" w:hAnsi="宋体" w:cs="宋体"/>
          <w:bCs/>
          <w:color w:val="000000"/>
          <w:sz w:val="24"/>
        </w:rPr>
      </w:pPr>
      <w:r>
        <w:rPr>
          <w:rFonts w:hint="eastAsia" w:ascii="宋体" w:hAnsi="宋体" w:cs="宋体"/>
          <w:bCs/>
          <w:color w:val="000000"/>
          <w:sz w:val="24"/>
        </w:rPr>
        <w:t>3.1.3 投标报价有算术错误的，评标委员会按以下原则对投标报价进行修正，修正的价格经供应商书面确认后具有约束力。供应商不接受修正价格的，其投标作废标处理。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（1）投标文件中的大写金额与小写金额不一致的，以大写金额为准；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（2）总价金额与依据单价计算出的结果不一致的，以单价金额为准修正总价，但单价金额小数点有明显错误的除外。</w:t>
      </w:r>
    </w:p>
    <w:p>
      <w:pPr>
        <w:pStyle w:val="30"/>
        <w:rPr>
          <w:b/>
        </w:rPr>
      </w:pPr>
      <w:r>
        <w:rPr>
          <w:b/>
        </w:rPr>
        <w:t>3.2 详细评审</w:t>
      </w:r>
    </w:p>
    <w:p>
      <w:pPr>
        <w:spacing w:line="360" w:lineRule="auto"/>
        <w:ind w:firstLine="480" w:firstLineChars="200"/>
        <w:rPr>
          <w:rFonts w:ascii="宋体" w:hAnsi="宋体" w:cs="宋体"/>
          <w:color w:val="000000"/>
          <w:sz w:val="24"/>
        </w:rPr>
      </w:pPr>
      <w:r>
        <w:rPr>
          <w:rFonts w:ascii="宋体" w:hAnsi="宋体" w:cs="宋体"/>
          <w:color w:val="000000"/>
          <w:sz w:val="24"/>
        </w:rPr>
        <w:t>3.2.1 评标委员会按本章详细评审办法和分值进行打分，并计算出综合评分得分。</w:t>
      </w:r>
    </w:p>
    <w:p>
      <w:pPr>
        <w:spacing w:line="360" w:lineRule="auto"/>
        <w:ind w:firstLine="480" w:firstLineChars="200"/>
        <w:rPr>
          <w:rFonts w:ascii="宋体" w:hAnsi="宋体" w:cs="宋体"/>
          <w:color w:val="000000"/>
          <w:sz w:val="24"/>
        </w:rPr>
      </w:pPr>
      <w:r>
        <w:rPr>
          <w:rFonts w:ascii="宋体" w:hAnsi="宋体" w:cs="宋体"/>
          <w:bCs/>
          <w:color w:val="000000"/>
          <w:sz w:val="24"/>
        </w:rPr>
        <w:t xml:space="preserve">3.2.2 </w:t>
      </w:r>
      <w:r>
        <w:rPr>
          <w:rFonts w:ascii="宋体" w:hAnsi="宋体" w:cs="宋体"/>
          <w:color w:val="000000"/>
          <w:sz w:val="24"/>
        </w:rPr>
        <w:t>评分分值取小数点后两位</w:t>
      </w:r>
      <w:r>
        <w:rPr>
          <w:rFonts w:hint="eastAsia" w:ascii="宋体" w:hAnsi="宋体" w:cs="宋体"/>
          <w:color w:val="000000"/>
          <w:sz w:val="24"/>
        </w:rPr>
        <w:t>，小数点后第三位“四舍五入”</w:t>
      </w:r>
      <w:r>
        <w:rPr>
          <w:rFonts w:ascii="宋体" w:hAnsi="宋体" w:cs="宋体"/>
          <w:color w:val="000000"/>
          <w:sz w:val="24"/>
        </w:rPr>
        <w:t>。</w:t>
      </w:r>
    </w:p>
    <w:p>
      <w:pPr>
        <w:spacing w:line="360" w:lineRule="auto"/>
        <w:ind w:firstLine="480" w:firstLineChars="200"/>
        <w:rPr>
          <w:rFonts w:ascii="宋体" w:hAnsi="宋体" w:cs="宋体"/>
          <w:color w:val="000000"/>
          <w:sz w:val="24"/>
        </w:rPr>
      </w:pPr>
      <w:r>
        <w:rPr>
          <w:rFonts w:ascii="宋体" w:hAnsi="宋体" w:cs="宋体"/>
          <w:color w:val="000000"/>
          <w:sz w:val="24"/>
        </w:rPr>
        <w:t>3.2.3 供应商的最终得分以全部评委打分的算数平均值为准，做为该供应商的最终得分。</w:t>
      </w:r>
    </w:p>
    <w:p>
      <w:pPr>
        <w:spacing w:line="360" w:lineRule="auto"/>
        <w:ind w:firstLine="480" w:firstLineChars="200"/>
        <w:rPr>
          <w:rFonts w:ascii="宋体" w:hAnsi="宋体" w:cs="宋体"/>
          <w:color w:val="000000"/>
          <w:sz w:val="24"/>
        </w:rPr>
      </w:pPr>
      <w:r>
        <w:rPr>
          <w:rFonts w:hint="eastAsia" w:ascii="宋体" w:hAnsi="宋体" w:cs="宋体"/>
          <w:color w:val="000000"/>
          <w:sz w:val="24"/>
        </w:rPr>
        <w:t>3</w:t>
      </w:r>
      <w:r>
        <w:rPr>
          <w:rFonts w:ascii="宋体" w:hAnsi="宋体" w:cs="宋体"/>
          <w:color w:val="000000"/>
          <w:sz w:val="24"/>
        </w:rPr>
        <w:t>.2.4</w:t>
      </w:r>
      <w:r>
        <w:rPr>
          <w:rFonts w:hint="eastAsia" w:ascii="宋体" w:hAnsi="宋体" w:cs="宋体"/>
          <w:color w:val="000000"/>
          <w:sz w:val="24"/>
        </w:rPr>
        <w:t>评标委员会认为供应商的报价明显低于其他通过初步审查供应商的报价，有可能影响产品质量或者不能诚信履约的，应当要求其在合理的时间内提供相关证明材料；供应商不能证明其报价合理性的，评标委员会应当将其作为无效投标处理。</w:t>
      </w:r>
    </w:p>
    <w:p>
      <w:pPr>
        <w:pStyle w:val="30"/>
        <w:spacing w:line="360" w:lineRule="auto"/>
        <w:rPr>
          <w:b/>
        </w:rPr>
      </w:pPr>
      <w:r>
        <w:rPr>
          <w:b/>
        </w:rPr>
        <w:t>3.3 投标文件的澄清和补正</w:t>
      </w:r>
    </w:p>
    <w:p>
      <w:pPr>
        <w:spacing w:line="360" w:lineRule="auto"/>
        <w:ind w:firstLine="480" w:firstLineChars="200"/>
        <w:rPr>
          <w:rFonts w:ascii="宋体" w:hAnsi="宋体" w:cs="宋体"/>
          <w:color w:val="000000"/>
          <w:sz w:val="24"/>
        </w:rPr>
      </w:pPr>
      <w:r>
        <w:rPr>
          <w:rFonts w:ascii="宋体" w:hAnsi="宋体" w:cs="宋体"/>
          <w:color w:val="000000"/>
          <w:sz w:val="24"/>
        </w:rPr>
        <w:t>3.3.1在评标过程中，评标委员会可以</w:t>
      </w:r>
      <w:r>
        <w:rPr>
          <w:rFonts w:hint="eastAsia" w:ascii="宋体" w:hAnsi="宋体" w:cs="宋体"/>
          <w:color w:val="000000"/>
          <w:sz w:val="24"/>
        </w:rPr>
        <w:t>以线上发起的</w:t>
      </w:r>
      <w:r>
        <w:rPr>
          <w:rFonts w:ascii="宋体" w:hAnsi="宋体" w:cs="宋体"/>
          <w:color w:val="000000"/>
          <w:sz w:val="24"/>
        </w:rPr>
        <w:t>形式要求供应商对所提交投标文件中不明确的内容进行</w:t>
      </w:r>
      <w:r>
        <w:rPr>
          <w:rFonts w:hint="eastAsia" w:ascii="宋体" w:hAnsi="宋体" w:cs="宋体"/>
          <w:color w:val="000000"/>
          <w:sz w:val="24"/>
        </w:rPr>
        <w:t>书面</w:t>
      </w:r>
      <w:r>
        <w:rPr>
          <w:rFonts w:ascii="宋体" w:hAnsi="宋体" w:cs="宋体"/>
          <w:color w:val="000000"/>
          <w:sz w:val="24"/>
        </w:rPr>
        <w:t>澄清或说明，或者对细微偏差进行补正。评标委员会不接受</w:t>
      </w:r>
      <w:r>
        <w:rPr>
          <w:rFonts w:ascii="宋体" w:hAnsi="宋体" w:cs="宋体"/>
          <w:sz w:val="24"/>
        </w:rPr>
        <w:t>供应商</w:t>
      </w:r>
      <w:r>
        <w:rPr>
          <w:rFonts w:ascii="宋体" w:hAnsi="宋体" w:cs="宋体"/>
          <w:color w:val="000000"/>
          <w:sz w:val="24"/>
        </w:rPr>
        <w:t>主动提出的澄清、说明或补正。</w:t>
      </w:r>
    </w:p>
    <w:p>
      <w:pPr>
        <w:spacing w:line="360" w:lineRule="auto"/>
        <w:ind w:firstLine="480" w:firstLineChars="200"/>
        <w:rPr>
          <w:rFonts w:ascii="宋体" w:hAnsi="宋体" w:cs="宋体"/>
          <w:color w:val="000000"/>
          <w:sz w:val="24"/>
        </w:rPr>
      </w:pPr>
      <w:r>
        <w:rPr>
          <w:rFonts w:ascii="宋体" w:hAnsi="宋体" w:cs="宋体"/>
          <w:color w:val="000000"/>
          <w:sz w:val="24"/>
        </w:rPr>
        <w:t>3.3.2 澄清、说明和补正不得改变投标文件的实质性内容（算术性错误修正的除外）。</w:t>
      </w:r>
      <w:r>
        <w:rPr>
          <w:rFonts w:ascii="宋体" w:hAnsi="宋体" w:cs="宋体"/>
          <w:sz w:val="24"/>
        </w:rPr>
        <w:t>供应商</w:t>
      </w:r>
      <w:r>
        <w:rPr>
          <w:rFonts w:ascii="宋体" w:hAnsi="宋体" w:cs="宋体"/>
          <w:color w:val="000000"/>
          <w:sz w:val="24"/>
        </w:rPr>
        <w:t>的书面澄清、说明和补正属于投标文件的组成部分。</w:t>
      </w:r>
    </w:p>
    <w:p>
      <w:pPr>
        <w:spacing w:line="360" w:lineRule="auto"/>
        <w:ind w:firstLine="480" w:firstLineChars="200"/>
        <w:rPr>
          <w:rFonts w:ascii="宋体" w:hAnsi="宋体" w:cs="宋体"/>
          <w:color w:val="000000"/>
          <w:sz w:val="24"/>
        </w:rPr>
      </w:pPr>
      <w:r>
        <w:rPr>
          <w:rFonts w:ascii="宋体" w:hAnsi="宋体" w:cs="宋体"/>
          <w:color w:val="000000"/>
          <w:sz w:val="24"/>
        </w:rPr>
        <w:t>3.3.3 评标委员会对</w:t>
      </w:r>
      <w:r>
        <w:rPr>
          <w:rFonts w:ascii="宋体" w:hAnsi="宋体" w:cs="宋体"/>
          <w:sz w:val="24"/>
        </w:rPr>
        <w:t>供应商</w:t>
      </w:r>
      <w:r>
        <w:rPr>
          <w:rFonts w:ascii="宋体" w:hAnsi="宋体" w:cs="宋体"/>
          <w:color w:val="000000"/>
          <w:sz w:val="24"/>
        </w:rPr>
        <w:t>提交的澄清、说明或补正有疑问的，可以要求</w:t>
      </w:r>
      <w:r>
        <w:rPr>
          <w:rFonts w:ascii="宋体" w:hAnsi="宋体" w:cs="宋体"/>
          <w:sz w:val="24"/>
        </w:rPr>
        <w:t>供应商</w:t>
      </w:r>
      <w:r>
        <w:rPr>
          <w:rFonts w:ascii="宋体" w:hAnsi="宋体" w:cs="宋体"/>
          <w:color w:val="000000"/>
          <w:sz w:val="24"/>
        </w:rPr>
        <w:t>进一步澄清、说明或补正，直至满足评标委员会的要求。</w:t>
      </w:r>
    </w:p>
    <w:p>
      <w:pPr>
        <w:spacing w:line="360" w:lineRule="auto"/>
        <w:rPr>
          <w:rFonts w:ascii="宋体" w:hAnsi="宋体" w:cs="宋体"/>
          <w:b/>
          <w:bCs/>
          <w:color w:val="000000"/>
          <w:sz w:val="24"/>
        </w:rPr>
      </w:pPr>
      <w:r>
        <w:rPr>
          <w:rFonts w:ascii="宋体" w:hAnsi="宋体" w:cs="宋体"/>
          <w:b/>
          <w:bCs/>
          <w:color w:val="000000"/>
          <w:sz w:val="24"/>
        </w:rPr>
        <w:t>3.4 评标结果</w:t>
      </w:r>
    </w:p>
    <w:p>
      <w:pPr>
        <w:spacing w:line="360" w:lineRule="auto"/>
        <w:ind w:firstLine="480" w:firstLineChars="200"/>
        <w:rPr>
          <w:rFonts w:ascii="宋体" w:hAnsi="宋体" w:cs="宋体"/>
          <w:color w:val="000000"/>
          <w:sz w:val="24"/>
        </w:rPr>
      </w:pPr>
      <w:r>
        <w:rPr>
          <w:rFonts w:ascii="宋体" w:hAnsi="宋体" w:cs="宋体"/>
          <w:color w:val="000000"/>
          <w:sz w:val="24"/>
        </w:rPr>
        <w:t>3.4.1 评标委员会按最终得分高低顺序推荐3名中标候选人。</w:t>
      </w:r>
    </w:p>
    <w:p>
      <w:pPr>
        <w:spacing w:line="360" w:lineRule="auto"/>
        <w:ind w:firstLine="480" w:firstLineChars="200"/>
        <w:rPr>
          <w:rFonts w:ascii="宋体" w:hAnsi="宋体" w:cs="宋体"/>
          <w:color w:val="000000"/>
          <w:sz w:val="24"/>
        </w:rPr>
      </w:pPr>
      <w:r>
        <w:rPr>
          <w:rFonts w:ascii="宋体" w:hAnsi="宋体" w:cs="宋体"/>
          <w:color w:val="000000"/>
          <w:sz w:val="24"/>
        </w:rPr>
        <w:t>3.4.2 评标委员会完成评标后，应当向采购人提交书面评标报告。</w:t>
      </w:r>
    </w:p>
    <w:p>
      <w:pPr>
        <w:spacing w:line="360" w:lineRule="auto"/>
        <w:ind w:firstLine="420" w:firstLineChars="200"/>
        <w:rPr>
          <w:rFonts w:ascii="宋体" w:hAnsi="宋体"/>
          <w:sz w:val="24"/>
        </w:rPr>
      </w:pPr>
      <w:r>
        <w:br w:type="page"/>
      </w:r>
    </w:p>
    <w:p>
      <w:pPr>
        <w:pStyle w:val="4"/>
        <w:rPr>
          <w:rFonts w:hint="eastAsia"/>
          <w:sz w:val="36"/>
          <w:szCs w:val="36"/>
        </w:rPr>
        <w:sectPr>
          <w:pgSz w:w="11906" w:h="16838"/>
          <w:pgMar w:top="1440" w:right="1276" w:bottom="1440" w:left="1083" w:header="851" w:footer="992" w:gutter="0"/>
          <w:cols w:space="720" w:num="1"/>
          <w:docGrid w:type="lines" w:linePitch="314" w:charSpace="0"/>
        </w:sectPr>
      </w:pPr>
      <w:bookmarkStart w:id="165" w:name="_Toc27074"/>
      <w:bookmarkStart w:id="166" w:name="_Toc20853"/>
      <w:bookmarkStart w:id="167" w:name="_Toc12478"/>
      <w:bookmarkStart w:id="168" w:name="_Toc1150"/>
      <w:bookmarkStart w:id="169" w:name="_Toc31848"/>
      <w:bookmarkStart w:id="170" w:name="_Toc14165"/>
      <w:bookmarkStart w:id="171" w:name="_Toc34"/>
      <w:bookmarkStart w:id="172" w:name="_Toc61255125"/>
    </w:p>
    <w:p>
      <w:pPr>
        <w:pStyle w:val="4"/>
        <w:rPr>
          <w:sz w:val="36"/>
          <w:szCs w:val="36"/>
        </w:rPr>
      </w:pPr>
      <w:r>
        <w:rPr>
          <w:rFonts w:hint="eastAsia"/>
          <w:sz w:val="36"/>
          <w:szCs w:val="36"/>
        </w:rPr>
        <w:t>第四章  合同主要条款及格式</w:t>
      </w:r>
      <w:bookmarkEnd w:id="165"/>
      <w:bookmarkEnd w:id="166"/>
      <w:bookmarkEnd w:id="167"/>
      <w:bookmarkEnd w:id="168"/>
      <w:bookmarkEnd w:id="169"/>
      <w:bookmarkEnd w:id="170"/>
      <w:bookmarkEnd w:id="171"/>
      <w:bookmarkEnd w:id="172"/>
    </w:p>
    <w:p>
      <w:pPr>
        <w:jc w:val="center"/>
        <w:rPr>
          <w:rFonts w:ascii="宋体" w:hAnsi="宋体" w:cs="宋体"/>
          <w:b/>
          <w:bCs/>
          <w:sz w:val="30"/>
          <w:szCs w:val="30"/>
        </w:rPr>
      </w:pPr>
      <w:bookmarkStart w:id="173" w:name="_Toc3425"/>
      <w:bookmarkStart w:id="174" w:name="_Toc32583"/>
      <w:bookmarkStart w:id="175" w:name="_Toc29724"/>
      <w:bookmarkStart w:id="176" w:name="_Toc31481"/>
      <w:bookmarkStart w:id="177" w:name="_Toc28287"/>
      <w:bookmarkStart w:id="178" w:name="_Toc16818"/>
      <w:bookmarkStart w:id="179" w:name="_Toc18526"/>
      <w:r>
        <w:rPr>
          <w:rFonts w:ascii="宋体" w:hAnsi="宋体" w:cs="宋体"/>
          <w:b/>
          <w:bCs/>
          <w:sz w:val="30"/>
          <w:szCs w:val="30"/>
        </w:rPr>
        <w:t>（以实际签订版本为准）</w:t>
      </w:r>
    </w:p>
    <w:p>
      <w:pPr>
        <w:spacing w:line="360" w:lineRule="auto"/>
        <w:ind w:firstLine="480" w:firstLineChars="200"/>
        <w:jc w:val="center"/>
        <w:rPr>
          <w:rFonts w:ascii="宋体" w:hAnsi="宋体" w:cs="宋体"/>
          <w:sz w:val="24"/>
          <w:szCs w:val="21"/>
          <w:lang w:bidi="ar"/>
        </w:rPr>
      </w:pPr>
    </w:p>
    <w:p>
      <w:pPr>
        <w:pStyle w:val="30"/>
      </w:pPr>
      <w:bookmarkStart w:id="180" w:name="_Toc61255126"/>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sectPr>
          <w:pgSz w:w="11906" w:h="16838"/>
          <w:pgMar w:top="1440" w:right="1276" w:bottom="1440" w:left="1083" w:header="851" w:footer="992" w:gutter="0"/>
          <w:cols w:space="720" w:num="1"/>
          <w:docGrid w:type="lines" w:linePitch="314" w:charSpace="0"/>
        </w:sectPr>
      </w:pPr>
    </w:p>
    <w:p>
      <w:pPr>
        <w:pStyle w:val="30"/>
      </w:pPr>
    </w:p>
    <w:p>
      <w:pPr>
        <w:pStyle w:val="4"/>
        <w:rPr>
          <w:sz w:val="36"/>
          <w:szCs w:val="36"/>
        </w:rPr>
      </w:pPr>
      <w:r>
        <w:rPr>
          <w:rFonts w:hint="eastAsia"/>
          <w:sz w:val="36"/>
          <w:szCs w:val="36"/>
        </w:rPr>
        <w:t>第五章  采购内容与要求</w:t>
      </w:r>
      <w:bookmarkEnd w:id="173"/>
      <w:bookmarkEnd w:id="174"/>
      <w:bookmarkEnd w:id="175"/>
      <w:bookmarkEnd w:id="176"/>
      <w:bookmarkEnd w:id="177"/>
      <w:bookmarkEnd w:id="178"/>
      <w:bookmarkEnd w:id="179"/>
      <w:bookmarkEnd w:id="180"/>
      <w:bookmarkStart w:id="181" w:name="_Toc20869"/>
      <w:bookmarkStart w:id="182" w:name="_Toc12743"/>
      <w:bookmarkStart w:id="183" w:name="_Toc23815"/>
      <w:bookmarkStart w:id="184" w:name="_Toc13415"/>
      <w:bookmarkStart w:id="185" w:name="_Toc16754"/>
      <w:bookmarkStart w:id="186" w:name="_Toc14355"/>
      <w:bookmarkStart w:id="187" w:name="_Toc11288"/>
      <w:bookmarkStart w:id="188" w:name="_Toc27486"/>
    </w:p>
    <w:tbl>
      <w:tblPr>
        <w:tblStyle w:val="22"/>
        <w:tblW w:w="122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387"/>
        <w:gridCol w:w="907"/>
        <w:gridCol w:w="1080"/>
        <w:gridCol w:w="1186"/>
        <w:gridCol w:w="1186"/>
        <w:gridCol w:w="5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2214" w:type="dxa"/>
            <w:gridSpan w:val="7"/>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000000"/>
                <w:sz w:val="36"/>
                <w:szCs w:val="36"/>
                <w:u w:val="none"/>
              </w:rPr>
            </w:pPr>
            <w:r>
              <w:rPr>
                <w:rFonts w:hint="default" w:ascii="等线" w:hAnsi="等线" w:eastAsia="等线" w:cs="等线"/>
                <w:b/>
                <w:bCs/>
                <w:i w:val="0"/>
                <w:iCs w:val="0"/>
                <w:color w:val="000000"/>
                <w:kern w:val="0"/>
                <w:sz w:val="36"/>
                <w:szCs w:val="36"/>
                <w:u w:val="none"/>
                <w:lang w:val="en-US" w:eastAsia="zh-CN" w:bidi="ar"/>
              </w:rPr>
              <w:t>河南启航牧业有限公司升级改造项目设备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38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建设内容</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规模数量</w:t>
            </w:r>
          </w:p>
        </w:tc>
        <w:tc>
          <w:tcPr>
            <w:tcW w:w="118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单价（元）</w:t>
            </w:r>
          </w:p>
        </w:tc>
        <w:tc>
          <w:tcPr>
            <w:tcW w:w="118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合价（元）</w:t>
            </w:r>
          </w:p>
        </w:tc>
        <w:tc>
          <w:tcPr>
            <w:tcW w:w="53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8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8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3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5746" w:type="dxa"/>
            <w:gridSpan w:val="5"/>
            <w:vMerge w:val="restart"/>
            <w:tcBorders>
              <w:top w:val="single" w:color="000000" w:sz="8" w:space="0"/>
              <w:left w:val="single" w:color="000000" w:sz="8" w:space="0"/>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升级改造项目</w:t>
            </w:r>
          </w:p>
        </w:tc>
        <w:tc>
          <w:tcPr>
            <w:tcW w:w="53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both"/>
              <w:rPr>
                <w:rFonts w:hint="eastAsia" w:ascii="Tahoma" w:hAnsi="Tahoma" w:eastAsia="Tahoma" w:cs="Tahom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746" w:type="dxa"/>
            <w:gridSpan w:val="5"/>
            <w:vMerge w:val="continue"/>
            <w:tcBorders>
              <w:top w:val="single" w:color="000000" w:sz="8" w:space="0"/>
              <w:left w:val="single" w:color="000000" w:sz="8" w:space="0"/>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53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both"/>
              <w:rPr>
                <w:rFonts w:hint="default" w:ascii="Tahoma" w:hAnsi="Tahoma" w:eastAsia="Tahoma" w:cs="Tahom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4" w:hRule="atLeast"/>
          <w:jc w:val="center"/>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1"/>
                <w:szCs w:val="21"/>
                <w:u w:val="none"/>
              </w:rPr>
            </w:pPr>
            <w:r>
              <w:rPr>
                <w:rFonts w:hint="default" w:ascii="Tahoma" w:hAnsi="Tahoma" w:eastAsia="Tahoma" w:cs="Tahoma"/>
                <w:i w:val="0"/>
                <w:iCs w:val="0"/>
                <w:color w:val="000000"/>
                <w:kern w:val="0"/>
                <w:sz w:val="21"/>
                <w:szCs w:val="21"/>
                <w:u w:val="none"/>
                <w:lang w:val="en-US" w:eastAsia="zh-CN" w:bidi="ar"/>
              </w:rPr>
              <w:t>1</w:t>
            </w:r>
          </w:p>
        </w:tc>
        <w:tc>
          <w:tcPr>
            <w:tcW w:w="138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进口科乐收自走式青贮饲料收获机</w:t>
            </w:r>
          </w:p>
        </w:tc>
        <w:tc>
          <w:tcPr>
            <w:tcW w:w="9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1"/>
                <w:szCs w:val="21"/>
                <w:u w:val="none"/>
              </w:rPr>
            </w:pPr>
            <w:r>
              <w:rPr>
                <w:rFonts w:hint="default" w:ascii="Tahoma" w:hAnsi="Tahoma" w:eastAsia="Tahoma" w:cs="Tahoma"/>
                <w:i w:val="0"/>
                <w:iCs w:val="0"/>
                <w:color w:val="000000"/>
                <w:kern w:val="0"/>
                <w:sz w:val="21"/>
                <w:szCs w:val="21"/>
                <w:u w:val="none"/>
                <w:lang w:val="en-US" w:eastAsia="zh-CN" w:bidi="ar"/>
              </w:rPr>
              <w:t>1</w:t>
            </w:r>
          </w:p>
        </w:tc>
        <w:tc>
          <w:tcPr>
            <w:tcW w:w="11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1"/>
                <w:szCs w:val="21"/>
                <w:u w:val="none"/>
              </w:rPr>
            </w:pPr>
          </w:p>
        </w:tc>
        <w:tc>
          <w:tcPr>
            <w:tcW w:w="11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1"/>
                <w:szCs w:val="21"/>
                <w:u w:val="none"/>
              </w:rPr>
            </w:pPr>
          </w:p>
        </w:tc>
        <w:tc>
          <w:tcPr>
            <w:tcW w:w="53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Style w:val="57"/>
                <w:lang w:val="en-US" w:eastAsia="zh-CN" w:bidi="ar"/>
              </w:rPr>
            </w:pPr>
            <w:r>
              <w:rPr>
                <w:rStyle w:val="57"/>
                <w:lang w:val="en-US" w:eastAsia="zh-CN" w:bidi="ar"/>
              </w:rPr>
              <w:t>发动机型号：</w:t>
            </w:r>
            <w:r>
              <w:rPr>
                <w:rStyle w:val="56"/>
                <w:lang w:val="en-US" w:eastAsia="zh-CN" w:bidi="ar"/>
              </w:rPr>
              <w:t>OM 460 LA,</w:t>
            </w:r>
            <w:r>
              <w:rPr>
                <w:rStyle w:val="57"/>
                <w:lang w:val="en-US" w:eastAsia="zh-CN" w:bidi="ar"/>
              </w:rPr>
              <w:t>气缸：</w:t>
            </w:r>
            <w:r>
              <w:rPr>
                <w:rStyle w:val="56"/>
                <w:lang w:val="en-US" w:eastAsia="zh-CN" w:bidi="ar"/>
              </w:rPr>
              <w:t>R6</w:t>
            </w:r>
            <w:r>
              <w:rPr>
                <w:rStyle w:val="57"/>
                <w:lang w:val="en-US" w:eastAsia="zh-CN" w:bidi="ar"/>
              </w:rPr>
              <w:t>，排量：</w:t>
            </w:r>
            <w:r>
              <w:rPr>
                <w:rStyle w:val="56"/>
                <w:lang w:val="en-US" w:eastAsia="zh-CN" w:bidi="ar"/>
              </w:rPr>
              <w:t>12.82</w:t>
            </w:r>
            <w:r>
              <w:rPr>
                <w:rStyle w:val="57"/>
                <w:lang w:val="en-US" w:eastAsia="zh-CN" w:bidi="ar"/>
              </w:rPr>
              <w:t>升。</w:t>
            </w:r>
          </w:p>
          <w:p>
            <w:pPr>
              <w:keepNext w:val="0"/>
              <w:keepLines w:val="0"/>
              <w:widowControl/>
              <w:suppressLineNumbers w:val="0"/>
              <w:jc w:val="both"/>
              <w:textAlignment w:val="center"/>
              <w:rPr>
                <w:rStyle w:val="57"/>
                <w:lang w:val="en-US" w:eastAsia="zh-CN" w:bidi="ar"/>
              </w:rPr>
            </w:pPr>
            <w:r>
              <w:rPr>
                <w:rStyle w:val="57"/>
                <w:lang w:val="en-US" w:eastAsia="zh-CN" w:bidi="ar"/>
              </w:rPr>
              <w:t>燃料箱容积（升）：</w:t>
            </w:r>
            <w:r>
              <w:rPr>
                <w:rStyle w:val="56"/>
                <w:lang w:val="en-US" w:eastAsia="zh-CN" w:bidi="ar"/>
              </w:rPr>
              <w:t>1150+300</w:t>
            </w:r>
            <w:r>
              <w:rPr>
                <w:rStyle w:val="57"/>
                <w:lang w:val="en-US" w:eastAsia="zh-CN" w:bidi="ar"/>
              </w:rPr>
              <w:t>。</w:t>
            </w:r>
          </w:p>
          <w:p>
            <w:pPr>
              <w:keepNext w:val="0"/>
              <w:keepLines w:val="0"/>
              <w:widowControl/>
              <w:suppressLineNumbers w:val="0"/>
              <w:jc w:val="both"/>
              <w:textAlignment w:val="center"/>
              <w:rPr>
                <w:rStyle w:val="57"/>
                <w:lang w:val="en-US" w:eastAsia="zh-CN" w:bidi="ar"/>
              </w:rPr>
            </w:pPr>
            <w:r>
              <w:rPr>
                <w:rStyle w:val="57"/>
                <w:lang w:val="en-US" w:eastAsia="zh-CN" w:bidi="ar"/>
              </w:rPr>
              <w:t>行驶速度（公里</w:t>
            </w:r>
            <w:r>
              <w:rPr>
                <w:rStyle w:val="56"/>
                <w:lang w:val="en-US" w:eastAsia="zh-CN" w:bidi="ar"/>
              </w:rPr>
              <w:t>/</w:t>
            </w:r>
            <w:r>
              <w:rPr>
                <w:rStyle w:val="57"/>
                <w:lang w:val="en-US" w:eastAsia="zh-CN" w:bidi="ar"/>
              </w:rPr>
              <w:t>小时）：</w:t>
            </w:r>
            <w:r>
              <w:rPr>
                <w:rStyle w:val="56"/>
                <w:lang w:val="en-US" w:eastAsia="zh-CN" w:bidi="ar"/>
              </w:rPr>
              <w:t>20/40</w:t>
            </w:r>
            <w:r>
              <w:rPr>
                <w:rStyle w:val="57"/>
                <w:lang w:val="en-US" w:eastAsia="zh-CN" w:bidi="ar"/>
              </w:rPr>
              <w:t>。</w:t>
            </w:r>
          </w:p>
          <w:p>
            <w:pPr>
              <w:keepNext w:val="0"/>
              <w:keepLines w:val="0"/>
              <w:widowControl/>
              <w:suppressLineNumbers w:val="0"/>
              <w:jc w:val="both"/>
              <w:textAlignment w:val="center"/>
              <w:rPr>
                <w:rStyle w:val="57"/>
                <w:lang w:val="en-US" w:eastAsia="zh-CN" w:bidi="ar"/>
              </w:rPr>
            </w:pPr>
            <w:r>
              <w:rPr>
                <w:rStyle w:val="57"/>
                <w:lang w:val="en-US" w:eastAsia="zh-CN" w:bidi="ar"/>
              </w:rPr>
              <w:t>驱动方式：静液压驱动。</w:t>
            </w:r>
          </w:p>
          <w:p>
            <w:pPr>
              <w:keepNext w:val="0"/>
              <w:keepLines w:val="0"/>
              <w:widowControl/>
              <w:suppressLineNumbers w:val="0"/>
              <w:jc w:val="both"/>
              <w:textAlignment w:val="center"/>
              <w:rPr>
                <w:rStyle w:val="57"/>
                <w:lang w:val="en-US" w:eastAsia="zh-CN" w:bidi="ar"/>
              </w:rPr>
            </w:pPr>
            <w:r>
              <w:rPr>
                <w:rStyle w:val="57"/>
                <w:lang w:val="en-US" w:eastAsia="zh-CN" w:bidi="ar"/>
              </w:rPr>
              <w:t>添加剂水箱容积（升）：</w:t>
            </w:r>
            <w:r>
              <w:rPr>
                <w:rStyle w:val="56"/>
                <w:lang w:val="en-US" w:eastAsia="zh-CN" w:bidi="ar"/>
              </w:rPr>
              <w:t>410</w:t>
            </w:r>
            <w:r>
              <w:rPr>
                <w:rStyle w:val="57"/>
                <w:lang w:val="en-US" w:eastAsia="zh-CN" w:bidi="ar"/>
              </w:rPr>
              <w:t>。</w:t>
            </w:r>
          </w:p>
          <w:p>
            <w:pPr>
              <w:keepNext w:val="0"/>
              <w:keepLines w:val="0"/>
              <w:widowControl/>
              <w:suppressLineNumbers w:val="0"/>
              <w:jc w:val="both"/>
              <w:textAlignment w:val="center"/>
              <w:rPr>
                <w:rStyle w:val="57"/>
                <w:lang w:val="en-US" w:eastAsia="zh-CN" w:bidi="ar"/>
              </w:rPr>
            </w:pPr>
            <w:r>
              <w:rPr>
                <w:rStyle w:val="57"/>
                <w:lang w:val="en-US" w:eastAsia="zh-CN" w:bidi="ar"/>
              </w:rPr>
              <w:t>进料宽度</w:t>
            </w:r>
            <w:r>
              <w:rPr>
                <w:rStyle w:val="56"/>
                <w:lang w:val="en-US" w:eastAsia="zh-CN" w:bidi="ar"/>
              </w:rPr>
              <w:t>730</w:t>
            </w:r>
            <w:r>
              <w:rPr>
                <w:rStyle w:val="57"/>
                <w:lang w:val="en-US" w:eastAsia="zh-CN" w:bidi="ar"/>
              </w:rPr>
              <w:t>毫米。</w:t>
            </w:r>
          </w:p>
          <w:p>
            <w:pPr>
              <w:keepNext w:val="0"/>
              <w:keepLines w:val="0"/>
              <w:widowControl/>
              <w:suppressLineNumbers w:val="0"/>
              <w:jc w:val="both"/>
              <w:textAlignment w:val="center"/>
              <w:rPr>
                <w:rStyle w:val="57"/>
                <w:lang w:val="en-US" w:eastAsia="zh-CN" w:bidi="ar"/>
              </w:rPr>
            </w:pPr>
            <w:r>
              <w:rPr>
                <w:rStyle w:val="57"/>
                <w:lang w:val="en-US" w:eastAsia="zh-CN" w:bidi="ar"/>
              </w:rPr>
              <w:t>驾驶室内自动磨刀。</w:t>
            </w:r>
          </w:p>
          <w:p>
            <w:pPr>
              <w:keepNext w:val="0"/>
              <w:keepLines w:val="0"/>
              <w:widowControl/>
              <w:suppressLineNumbers w:val="0"/>
              <w:jc w:val="both"/>
              <w:textAlignment w:val="center"/>
              <w:rPr>
                <w:rStyle w:val="57"/>
                <w:lang w:val="en-US" w:eastAsia="zh-CN" w:bidi="ar"/>
              </w:rPr>
            </w:pPr>
            <w:r>
              <w:rPr>
                <w:rStyle w:val="57"/>
                <w:lang w:val="en-US" w:eastAsia="zh-CN" w:bidi="ar"/>
              </w:rPr>
              <w:t>可从驾驶座上自动进行反切调整。</w:t>
            </w:r>
          </w:p>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Style w:val="57"/>
                <w:lang w:val="en-US" w:eastAsia="zh-CN" w:bidi="ar"/>
              </w:rPr>
              <w:t>预设定割茬高度控制</w:t>
            </w:r>
            <w:r>
              <w:rPr>
                <w:rStyle w:val="56"/>
                <w:lang w:val="en-US" w:eastAsia="zh-CN" w:bidi="ar"/>
              </w:rPr>
              <w:t>+CONTOUR</w:t>
            </w:r>
            <w:r>
              <w:rPr>
                <w:rStyle w:val="57"/>
                <w:lang w:val="en-US" w:eastAsia="zh-CN" w:bidi="ar"/>
              </w:rPr>
              <w:t>地形仿形。</w:t>
            </w:r>
          </w:p>
        </w:tc>
      </w:tr>
    </w:tbl>
    <w:p/>
    <w:p>
      <w:pPr>
        <w:pStyle w:val="2"/>
      </w:pPr>
    </w:p>
    <w:p>
      <w:pPr>
        <w:pStyle w:val="2"/>
      </w:pPr>
    </w:p>
    <w:p>
      <w:pPr>
        <w:pStyle w:val="2"/>
      </w:pPr>
    </w:p>
    <w:p>
      <w:pPr>
        <w:pStyle w:val="2"/>
      </w:pPr>
    </w:p>
    <w:p>
      <w:pPr>
        <w:pStyle w:val="2"/>
        <w:sectPr>
          <w:pgSz w:w="16838" w:h="11906" w:orient="landscape"/>
          <w:pgMar w:top="1083" w:right="1440" w:bottom="1276" w:left="1440" w:header="851" w:footer="992" w:gutter="0"/>
          <w:cols w:space="720" w:num="1"/>
          <w:docGrid w:type="lines" w:linePitch="314" w:charSpace="0"/>
        </w:sectPr>
      </w:pPr>
    </w:p>
    <w:p>
      <w:pPr>
        <w:pStyle w:val="4"/>
        <w:rPr>
          <w:sz w:val="36"/>
          <w:szCs w:val="36"/>
        </w:rPr>
      </w:pPr>
      <w:bookmarkStart w:id="189" w:name="_Toc61255127"/>
      <w:r>
        <w:rPr>
          <w:rFonts w:hint="eastAsia"/>
          <w:sz w:val="36"/>
          <w:szCs w:val="36"/>
        </w:rPr>
        <w:t xml:space="preserve">第六章 </w:t>
      </w:r>
      <w:r>
        <w:rPr>
          <w:sz w:val="36"/>
          <w:szCs w:val="36"/>
        </w:rPr>
        <w:t xml:space="preserve"> </w:t>
      </w:r>
      <w:r>
        <w:rPr>
          <w:rFonts w:hint="eastAsia"/>
          <w:sz w:val="36"/>
          <w:szCs w:val="36"/>
        </w:rPr>
        <w:t>投标文件格式</w:t>
      </w:r>
      <w:bookmarkEnd w:id="181"/>
      <w:bookmarkEnd w:id="182"/>
      <w:bookmarkEnd w:id="183"/>
      <w:bookmarkEnd w:id="184"/>
      <w:bookmarkEnd w:id="185"/>
      <w:bookmarkEnd w:id="186"/>
      <w:bookmarkEnd w:id="187"/>
      <w:bookmarkEnd w:id="188"/>
      <w:bookmarkEnd w:id="189"/>
    </w:p>
    <w:p/>
    <w:p>
      <w:pPr>
        <w:pStyle w:val="8"/>
      </w:pPr>
    </w:p>
    <w:p>
      <w:pPr>
        <w:pStyle w:val="8"/>
      </w:pPr>
    </w:p>
    <w:p>
      <w:pPr>
        <w:pStyle w:val="8"/>
      </w:pPr>
    </w:p>
    <w:p>
      <w:pPr>
        <w:pStyle w:val="8"/>
      </w:pPr>
    </w:p>
    <w:p>
      <w:pPr>
        <w:pStyle w:val="8"/>
      </w:pPr>
    </w:p>
    <w:p>
      <w:pPr>
        <w:snapToGrid w:val="0"/>
        <w:ind w:firstLine="1440" w:firstLineChars="450"/>
        <w:rPr>
          <w:rFonts w:ascii="宋体" w:hAnsi="宋体" w:cs="宋体"/>
          <w:color w:val="000000"/>
          <w:sz w:val="32"/>
          <w:szCs w:val="32"/>
        </w:rPr>
      </w:pPr>
      <w:r>
        <w:rPr>
          <w:rFonts w:ascii="宋体" w:hAnsi="宋体" w:cs="宋体"/>
          <w:color w:val="000000"/>
          <w:sz w:val="32"/>
          <w:szCs w:val="32"/>
          <w:u w:val="single"/>
        </w:rPr>
        <w:t xml:space="preserve">                               </w:t>
      </w:r>
      <w:r>
        <w:rPr>
          <w:rFonts w:ascii="宋体" w:hAnsi="宋体" w:cs="宋体"/>
          <w:sz w:val="32"/>
          <w:szCs w:val="32"/>
        </w:rPr>
        <w:t>（项目名称</w:t>
      </w:r>
      <w:r>
        <w:rPr>
          <w:rFonts w:hint="eastAsia" w:ascii="宋体" w:hAnsi="宋体" w:cs="宋体"/>
          <w:sz w:val="32"/>
          <w:szCs w:val="32"/>
          <w:lang w:eastAsia="zh-CN"/>
        </w:rPr>
        <w:t>、标段</w:t>
      </w:r>
      <w:r>
        <w:rPr>
          <w:rFonts w:ascii="宋体" w:hAnsi="宋体" w:cs="宋体"/>
          <w:sz w:val="32"/>
          <w:szCs w:val="32"/>
        </w:rPr>
        <w:t>）</w:t>
      </w:r>
    </w:p>
    <w:p>
      <w:pPr>
        <w:snapToGrid w:val="0"/>
        <w:ind w:firstLine="1920" w:firstLineChars="600"/>
        <w:rPr>
          <w:rFonts w:ascii="宋体" w:hAnsi="宋体" w:cs="宋体"/>
          <w:color w:val="000000"/>
          <w:sz w:val="32"/>
          <w:szCs w:val="32"/>
        </w:rPr>
      </w:pPr>
    </w:p>
    <w:p>
      <w:pPr>
        <w:snapToGrid w:val="0"/>
        <w:ind w:firstLine="1920" w:firstLineChars="600"/>
        <w:rPr>
          <w:rFonts w:ascii="宋体" w:hAnsi="宋体" w:cs="宋体"/>
          <w:color w:val="000000"/>
          <w:sz w:val="32"/>
          <w:szCs w:val="32"/>
        </w:rPr>
      </w:pPr>
    </w:p>
    <w:p>
      <w:pPr>
        <w:pStyle w:val="30"/>
        <w:rPr>
          <w:rFonts w:hAnsi="宋体"/>
        </w:rPr>
      </w:pPr>
    </w:p>
    <w:p>
      <w:pPr>
        <w:snapToGrid w:val="0"/>
        <w:ind w:firstLine="1920" w:firstLineChars="600"/>
        <w:rPr>
          <w:rFonts w:ascii="宋体" w:hAnsi="宋体" w:cs="宋体"/>
          <w:color w:val="000000"/>
          <w:sz w:val="32"/>
          <w:szCs w:val="32"/>
        </w:rPr>
      </w:pPr>
    </w:p>
    <w:p>
      <w:pPr>
        <w:jc w:val="center"/>
        <w:rPr>
          <w:rFonts w:ascii="宋体" w:hAnsi="宋体" w:cs="宋体"/>
          <w:b/>
          <w:bCs/>
          <w:sz w:val="72"/>
          <w:szCs w:val="72"/>
        </w:rPr>
      </w:pPr>
      <w:r>
        <w:rPr>
          <w:rFonts w:ascii="宋体" w:hAnsi="宋体" w:cs="宋体"/>
          <w:b/>
          <w:bCs/>
          <w:sz w:val="72"/>
          <w:szCs w:val="72"/>
        </w:rPr>
        <w:t>投标文件</w:t>
      </w:r>
    </w:p>
    <w:p>
      <w:pPr>
        <w:pStyle w:val="10"/>
        <w:ind w:firstLine="562"/>
      </w:pPr>
    </w:p>
    <w:p>
      <w:pPr>
        <w:jc w:val="center"/>
        <w:rPr>
          <w:rFonts w:ascii="宋体" w:hAnsi="宋体" w:cs="宋体"/>
          <w:b/>
          <w:bCs/>
          <w:sz w:val="32"/>
          <w:szCs w:val="32"/>
        </w:rPr>
      </w:pPr>
      <w:r>
        <w:rPr>
          <w:rFonts w:hint="eastAsia" w:ascii="宋体" w:hAnsi="宋体" w:cs="宋体"/>
          <w:b/>
          <w:bCs/>
          <w:sz w:val="32"/>
          <w:szCs w:val="32"/>
        </w:rPr>
        <w:t>采购</w:t>
      </w:r>
      <w:r>
        <w:rPr>
          <w:rFonts w:ascii="宋体" w:hAnsi="宋体" w:cs="宋体"/>
          <w:b/>
          <w:bCs/>
          <w:sz w:val="32"/>
          <w:szCs w:val="32"/>
        </w:rPr>
        <w:t>编号：兰财采字公开招-2022-1</w:t>
      </w:r>
      <w:r>
        <w:rPr>
          <w:rFonts w:hint="eastAsia" w:ascii="宋体" w:hAnsi="宋体" w:cs="宋体"/>
          <w:b/>
          <w:bCs/>
          <w:sz w:val="32"/>
          <w:szCs w:val="32"/>
          <w:lang w:val="en-US" w:eastAsia="zh-CN"/>
        </w:rPr>
        <w:t>7</w:t>
      </w:r>
      <w:r>
        <w:rPr>
          <w:rFonts w:ascii="宋体" w:hAnsi="宋体" w:cs="宋体"/>
          <w:b/>
          <w:bCs/>
          <w:sz w:val="32"/>
          <w:szCs w:val="32"/>
        </w:rPr>
        <w:t>2</w:t>
      </w:r>
    </w:p>
    <w:p>
      <w:pPr>
        <w:pStyle w:val="8"/>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ind w:firstLine="1680" w:firstLineChars="600"/>
        <w:rPr>
          <w:rFonts w:ascii="宋体" w:hAnsi="宋体" w:cs="宋体"/>
          <w:sz w:val="28"/>
          <w:szCs w:val="28"/>
        </w:rPr>
      </w:pPr>
      <w:r>
        <w:rPr>
          <w:rFonts w:ascii="宋体" w:hAnsi="宋体" w:cs="宋体"/>
          <w:sz w:val="28"/>
          <w:szCs w:val="28"/>
        </w:rPr>
        <w:t>供应商名称：</w:t>
      </w:r>
      <w:r>
        <w:rPr>
          <w:rFonts w:ascii="宋体" w:hAnsi="宋体" w:cs="宋体"/>
          <w:sz w:val="28"/>
          <w:szCs w:val="28"/>
          <w:u w:val="single"/>
        </w:rPr>
        <w:t xml:space="preserve">                         </w:t>
      </w:r>
      <w:r>
        <w:rPr>
          <w:rFonts w:ascii="宋体" w:hAnsi="宋体" w:cs="宋体"/>
          <w:sz w:val="28"/>
          <w:szCs w:val="28"/>
        </w:rPr>
        <w:t>（企业电子签章）</w:t>
      </w:r>
    </w:p>
    <w:p>
      <w:pPr>
        <w:ind w:firstLine="1680" w:firstLineChars="600"/>
        <w:rPr>
          <w:rFonts w:ascii="宋体" w:hAnsi="宋体" w:cs="宋体"/>
          <w:sz w:val="28"/>
          <w:szCs w:val="28"/>
        </w:rPr>
      </w:pPr>
      <w:r>
        <w:rPr>
          <w:rFonts w:ascii="宋体" w:hAnsi="宋体" w:cs="宋体"/>
          <w:sz w:val="28"/>
          <w:szCs w:val="28"/>
        </w:rPr>
        <w:t>法定代表人：</w:t>
      </w:r>
      <w:r>
        <w:rPr>
          <w:rFonts w:ascii="宋体" w:hAnsi="宋体" w:cs="宋体"/>
          <w:sz w:val="28"/>
          <w:szCs w:val="28"/>
          <w:u w:val="single"/>
        </w:rPr>
        <w:t xml:space="preserve">                         </w:t>
      </w:r>
      <w:r>
        <w:rPr>
          <w:rFonts w:ascii="宋体" w:hAnsi="宋体" w:cs="宋体"/>
          <w:sz w:val="28"/>
          <w:szCs w:val="28"/>
        </w:rPr>
        <w:t>（个人电子签章）</w:t>
      </w:r>
    </w:p>
    <w:p>
      <w:pPr>
        <w:ind w:firstLine="4200" w:firstLineChars="1500"/>
        <w:rPr>
          <w:rFonts w:ascii="宋体" w:hAnsi="宋体" w:cs="宋体"/>
          <w:sz w:val="28"/>
          <w:szCs w:val="28"/>
        </w:rPr>
      </w:pPr>
    </w:p>
    <w:p>
      <w:pPr>
        <w:ind w:firstLine="4200" w:firstLineChars="1500"/>
        <w:rPr>
          <w:rFonts w:ascii="宋体" w:hAnsi="宋体" w:cs="宋体"/>
          <w:sz w:val="28"/>
          <w:szCs w:val="28"/>
        </w:rPr>
      </w:pPr>
      <w:r>
        <w:rPr>
          <w:rFonts w:ascii="宋体" w:hAnsi="宋体" w:cs="宋体"/>
          <w:sz w:val="28"/>
          <w:szCs w:val="28"/>
        </w:rPr>
        <w:t>年     月     日</w:t>
      </w:r>
    </w:p>
    <w:p>
      <w:pPr>
        <w:pStyle w:val="30"/>
        <w:spacing w:line="360" w:lineRule="auto"/>
        <w:jc w:val="center"/>
        <w:rPr>
          <w:rFonts w:hint="eastAsia"/>
          <w:sz w:val="30"/>
          <w:szCs w:val="30"/>
        </w:rPr>
        <w:sectPr>
          <w:pgSz w:w="11906" w:h="16838"/>
          <w:pgMar w:top="1440" w:right="1083" w:bottom="1440" w:left="1276" w:header="851" w:footer="992" w:gutter="0"/>
          <w:cols w:space="720" w:num="1"/>
          <w:docGrid w:type="lines" w:linePitch="314" w:charSpace="0"/>
        </w:sectPr>
      </w:pPr>
    </w:p>
    <w:p>
      <w:pPr>
        <w:pStyle w:val="30"/>
        <w:spacing w:line="360" w:lineRule="auto"/>
        <w:jc w:val="center"/>
        <w:rPr>
          <w:sz w:val="30"/>
          <w:szCs w:val="30"/>
        </w:rPr>
      </w:pPr>
      <w:r>
        <w:rPr>
          <w:rFonts w:hint="eastAsia"/>
          <w:sz w:val="30"/>
          <w:szCs w:val="30"/>
        </w:rPr>
        <w:t>目录</w:t>
      </w:r>
    </w:p>
    <w:p>
      <w:pPr>
        <w:pStyle w:val="30"/>
        <w:spacing w:line="360" w:lineRule="auto"/>
      </w:pPr>
    </w:p>
    <w:p>
      <w:pPr>
        <w:pStyle w:val="30"/>
        <w:spacing w:line="360" w:lineRule="auto"/>
        <w:ind w:firstLine="482"/>
        <w:rPr>
          <w:rFonts w:hAnsi="宋体"/>
          <w:color w:val="auto"/>
          <w:kern w:val="2"/>
        </w:rPr>
      </w:pPr>
      <w:r>
        <w:rPr>
          <w:rFonts w:hint="eastAsia" w:hAnsi="宋体"/>
          <w:color w:val="auto"/>
          <w:kern w:val="2"/>
        </w:rPr>
        <w:t>一、投标函及投标函附录</w:t>
      </w:r>
    </w:p>
    <w:p>
      <w:pPr>
        <w:pStyle w:val="30"/>
        <w:spacing w:line="360" w:lineRule="auto"/>
        <w:ind w:firstLine="482"/>
        <w:rPr>
          <w:rFonts w:hAnsi="宋体"/>
          <w:color w:val="auto"/>
          <w:kern w:val="2"/>
        </w:rPr>
      </w:pPr>
      <w:r>
        <w:rPr>
          <w:rFonts w:hint="eastAsia" w:hAnsi="宋体"/>
          <w:color w:val="auto"/>
          <w:kern w:val="2"/>
        </w:rPr>
        <w:t>二、法定代表人身份证明</w:t>
      </w:r>
    </w:p>
    <w:p>
      <w:pPr>
        <w:pStyle w:val="30"/>
        <w:spacing w:line="360" w:lineRule="auto"/>
        <w:ind w:firstLine="482"/>
        <w:rPr>
          <w:rFonts w:hAnsi="宋体"/>
          <w:color w:val="auto"/>
          <w:kern w:val="2"/>
        </w:rPr>
      </w:pPr>
      <w:r>
        <w:rPr>
          <w:rFonts w:hint="eastAsia" w:hAnsi="宋体"/>
          <w:color w:val="auto"/>
          <w:kern w:val="2"/>
        </w:rPr>
        <w:t>三、授权委托书</w:t>
      </w:r>
    </w:p>
    <w:p>
      <w:pPr>
        <w:pStyle w:val="30"/>
        <w:spacing w:line="360" w:lineRule="auto"/>
        <w:ind w:firstLine="482"/>
        <w:rPr>
          <w:rFonts w:hAnsi="宋体"/>
          <w:color w:val="auto"/>
          <w:kern w:val="2"/>
        </w:rPr>
      </w:pPr>
      <w:r>
        <w:rPr>
          <w:rFonts w:hint="eastAsia" w:hAnsi="宋体"/>
          <w:color w:val="auto"/>
          <w:kern w:val="2"/>
        </w:rPr>
        <w:t>四、资格证明文件</w:t>
      </w:r>
    </w:p>
    <w:p>
      <w:pPr>
        <w:pStyle w:val="30"/>
        <w:spacing w:line="360" w:lineRule="auto"/>
        <w:ind w:firstLine="482"/>
        <w:rPr>
          <w:rFonts w:hAnsi="宋体"/>
          <w:color w:val="auto"/>
          <w:kern w:val="2"/>
        </w:rPr>
      </w:pPr>
      <w:r>
        <w:rPr>
          <w:rFonts w:hint="eastAsia" w:hAnsi="宋体"/>
          <w:color w:val="auto"/>
          <w:kern w:val="2"/>
        </w:rPr>
        <w:t>五、报价明细表</w:t>
      </w:r>
    </w:p>
    <w:p>
      <w:pPr>
        <w:pStyle w:val="30"/>
        <w:spacing w:line="360" w:lineRule="auto"/>
        <w:ind w:firstLine="482"/>
        <w:rPr>
          <w:rFonts w:hAnsi="宋体"/>
          <w:color w:val="auto"/>
          <w:kern w:val="2"/>
        </w:rPr>
      </w:pPr>
      <w:r>
        <w:rPr>
          <w:rFonts w:hint="eastAsia" w:hAnsi="宋体"/>
          <w:color w:val="auto"/>
          <w:kern w:val="2"/>
        </w:rPr>
        <w:t>六、项目实施方案</w:t>
      </w:r>
    </w:p>
    <w:p>
      <w:pPr>
        <w:pStyle w:val="30"/>
        <w:spacing w:line="360" w:lineRule="auto"/>
        <w:ind w:firstLine="482"/>
        <w:rPr>
          <w:rFonts w:hAnsi="宋体"/>
          <w:color w:val="auto"/>
          <w:kern w:val="2"/>
        </w:rPr>
      </w:pPr>
      <w:r>
        <w:rPr>
          <w:rFonts w:hint="eastAsia" w:hAnsi="宋体"/>
          <w:color w:val="auto"/>
          <w:kern w:val="2"/>
        </w:rPr>
        <w:t>七、售后服务承诺</w:t>
      </w:r>
    </w:p>
    <w:p>
      <w:pPr>
        <w:pStyle w:val="30"/>
        <w:spacing w:line="360" w:lineRule="auto"/>
        <w:ind w:firstLine="482"/>
        <w:rPr>
          <w:rFonts w:hAnsi="宋体"/>
          <w:color w:val="auto"/>
          <w:kern w:val="2"/>
        </w:rPr>
      </w:pPr>
      <w:r>
        <w:rPr>
          <w:rFonts w:hint="eastAsia" w:hAnsi="宋体"/>
          <w:color w:val="auto"/>
          <w:kern w:val="2"/>
        </w:rPr>
        <w:t>八、其他材料</w:t>
      </w:r>
    </w:p>
    <w:p>
      <w:pPr>
        <w:pStyle w:val="30"/>
      </w:pPr>
    </w:p>
    <w:p>
      <w:pPr>
        <w:pStyle w:val="30"/>
      </w:pPr>
    </w:p>
    <w:p>
      <w:pPr>
        <w:pStyle w:val="30"/>
        <w:jc w:val="center"/>
        <w:sectPr>
          <w:pgSz w:w="11906" w:h="16838"/>
          <w:pgMar w:top="1440" w:right="1083" w:bottom="1440" w:left="1276" w:header="851" w:footer="992" w:gutter="0"/>
          <w:cols w:space="720" w:num="1"/>
          <w:docGrid w:type="lines" w:linePitch="314" w:charSpace="0"/>
        </w:sectPr>
      </w:pPr>
      <w:r>
        <w:br w:type="page"/>
      </w:r>
    </w:p>
    <w:p>
      <w:pPr>
        <w:pStyle w:val="30"/>
        <w:jc w:val="center"/>
        <w:rPr>
          <w:b/>
          <w:sz w:val="32"/>
          <w:szCs w:val="32"/>
        </w:rPr>
      </w:pPr>
      <w:r>
        <w:rPr>
          <w:b/>
          <w:sz w:val="32"/>
          <w:szCs w:val="32"/>
        </w:rPr>
        <w:t>一、投标函及投标函附录</w:t>
      </w:r>
    </w:p>
    <w:p>
      <w:pPr>
        <w:pStyle w:val="30"/>
        <w:jc w:val="center"/>
        <w:rPr>
          <w:b/>
          <w:sz w:val="30"/>
          <w:szCs w:val="30"/>
        </w:rPr>
      </w:pPr>
      <w:r>
        <w:rPr>
          <w:b/>
          <w:sz w:val="30"/>
          <w:szCs w:val="30"/>
        </w:rPr>
        <w:t>（一）投标函</w:t>
      </w:r>
    </w:p>
    <w:p>
      <w:pPr>
        <w:spacing w:line="360" w:lineRule="auto"/>
        <w:rPr>
          <w:rFonts w:ascii="宋体" w:hAnsi="宋体"/>
          <w:sz w:val="24"/>
          <w:u w:val="single"/>
        </w:rPr>
      </w:pPr>
      <w:r>
        <w:rPr>
          <w:rFonts w:ascii="宋体" w:hAnsi="宋体"/>
          <w:sz w:val="24"/>
        </w:rPr>
        <w:t>致：</w:t>
      </w:r>
      <w:r>
        <w:rPr>
          <w:rFonts w:ascii="宋体" w:hAnsi="宋体"/>
          <w:sz w:val="24"/>
          <w:u w:val="single"/>
        </w:rPr>
        <w:t xml:space="preserve">（采购人）             </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1．我方已仔细研究了</w:t>
      </w:r>
      <w:r>
        <w:rPr>
          <w:rFonts w:hint="eastAsia" w:ascii="宋体" w:hAnsi="宋体" w:cs="宋体"/>
          <w:kern w:val="0"/>
          <w:sz w:val="24"/>
          <w:u w:val="single"/>
          <w:lang w:val="en-US" w:eastAsia="zh-CN"/>
        </w:rPr>
        <w:t xml:space="preserve">   </w:t>
      </w:r>
      <w:r>
        <w:rPr>
          <w:rFonts w:ascii="宋体" w:hAnsi="宋体" w:cs="宋体"/>
          <w:kern w:val="0"/>
          <w:sz w:val="24"/>
          <w:u w:val="single"/>
        </w:rPr>
        <w:t>（项目名称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hint="eastAsia" w:ascii="宋体" w:hAnsi="宋体" w:cs="宋体"/>
          <w:kern w:val="0"/>
          <w:sz w:val="24"/>
        </w:rPr>
        <w:t>采购</w:t>
      </w:r>
      <w:r>
        <w:rPr>
          <w:rFonts w:ascii="宋体" w:hAnsi="宋体" w:cs="宋体"/>
          <w:kern w:val="0"/>
          <w:sz w:val="24"/>
        </w:rPr>
        <w:t>文件的全部内容，</w:t>
      </w:r>
      <w:r>
        <w:rPr>
          <w:rFonts w:hint="eastAsia" w:ascii="宋体" w:hAnsi="宋体"/>
          <w:sz w:val="24"/>
        </w:rPr>
        <w:t>愿意以人民币大写</w:t>
      </w:r>
      <w:r>
        <w:rPr>
          <w:rFonts w:hint="eastAsia" w:ascii="宋体" w:hAnsi="宋体"/>
          <w:sz w:val="24"/>
          <w:u w:val="single"/>
        </w:rPr>
        <w:t xml:space="preserve">        </w:t>
      </w:r>
      <w:r>
        <w:rPr>
          <w:rFonts w:hint="eastAsia" w:ascii="宋体" w:hAnsi="宋体"/>
          <w:sz w:val="24"/>
        </w:rPr>
        <w:t>，小写</w:t>
      </w:r>
      <w:r>
        <w:rPr>
          <w:rFonts w:hint="eastAsia" w:ascii="宋体" w:hAnsi="宋体"/>
          <w:sz w:val="24"/>
          <w:u w:val="single"/>
        </w:rPr>
        <w:t xml:space="preserve">         </w:t>
      </w:r>
      <w:r>
        <w:rPr>
          <w:rFonts w:hint="eastAsia" w:ascii="宋体" w:hAnsi="宋体"/>
          <w:sz w:val="24"/>
        </w:rPr>
        <w:t>投标</w:t>
      </w:r>
      <w:r>
        <w:rPr>
          <w:rFonts w:ascii="宋体" w:hAnsi="宋体"/>
          <w:sz w:val="24"/>
        </w:rPr>
        <w:t>总</w:t>
      </w:r>
      <w:r>
        <w:rPr>
          <w:rFonts w:hint="eastAsia" w:ascii="宋体" w:hAnsi="宋体"/>
          <w:sz w:val="24"/>
        </w:rPr>
        <w:t>报价按合同约定实施完成该项目。</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2．我方承诺在投标有效期内不修改、撤销投标文件，投标有效期自投标截止之日起</w:t>
      </w:r>
      <w:r>
        <w:rPr>
          <w:rFonts w:ascii="宋体" w:hAnsi="宋体" w:cs="宋体"/>
          <w:kern w:val="0"/>
          <w:sz w:val="24"/>
          <w:u w:val="single"/>
        </w:rPr>
        <w:t xml:space="preserve">     </w:t>
      </w:r>
      <w:r>
        <w:rPr>
          <w:rFonts w:ascii="宋体" w:hAnsi="宋体" w:cs="宋体"/>
          <w:kern w:val="0"/>
          <w:sz w:val="24"/>
        </w:rPr>
        <w:t>日历天。</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3．如我方中标：</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(l)我方承诺在接到中标通知书后30天内未能或拒绝签订合同协议书，你单位有权另选中标单位。</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(2)随同本投标函递交的投标函附录属于合同文件的组成部分。</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(3)我方承诺按照</w:t>
      </w:r>
      <w:r>
        <w:rPr>
          <w:rFonts w:hint="eastAsia" w:ascii="宋体" w:hAnsi="宋体" w:cs="宋体"/>
          <w:kern w:val="0"/>
          <w:sz w:val="24"/>
        </w:rPr>
        <w:t>采购</w:t>
      </w:r>
      <w:r>
        <w:rPr>
          <w:rFonts w:ascii="宋体" w:hAnsi="宋体" w:cs="宋体"/>
          <w:kern w:val="0"/>
          <w:sz w:val="24"/>
        </w:rPr>
        <w:t>文件及合同专用条款规定承担相应费用。</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(4)我方承诺在合同约定的期限内完成并移交全部合同项目。</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lang w:val="en-US" w:eastAsia="zh-CN"/>
        </w:rPr>
        <w:t>(</w:t>
      </w:r>
      <w:r>
        <w:rPr>
          <w:rFonts w:hint="eastAsia"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rPr>
        <w:t>我方承诺愿按</w:t>
      </w:r>
      <w:r>
        <w:rPr>
          <w:rFonts w:hint="eastAsia" w:ascii="宋体" w:hAnsi="宋体" w:cs="宋体"/>
          <w:kern w:val="0"/>
          <w:sz w:val="24"/>
        </w:rPr>
        <w:t>采购</w:t>
      </w:r>
      <w:r>
        <w:rPr>
          <w:rFonts w:ascii="宋体" w:hAnsi="宋体" w:cs="宋体"/>
          <w:kern w:val="0"/>
          <w:sz w:val="24"/>
        </w:rPr>
        <w:t>文件的规定向采购代理机构缴纳代理服务费</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4．我方在此声明，所递交的投标文件及有关资料内容完整、真实和准确</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u w:val="single"/>
        </w:rPr>
        <w:t xml:space="preserve">                 </w:t>
      </w:r>
      <w:r>
        <w:rPr>
          <w:rFonts w:ascii="宋体" w:hAnsi="宋体" w:cs="宋体"/>
          <w:kern w:val="0"/>
          <w:sz w:val="24"/>
        </w:rPr>
        <w:t>（其他补充说明）。</w:t>
      </w:r>
    </w:p>
    <w:p>
      <w:pPr>
        <w:spacing w:line="360" w:lineRule="auto"/>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274" w:lineRule="exact"/>
        <w:ind w:firstLine="4080" w:firstLineChars="17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3120" w:firstLineChars="13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r>
        <w:rPr>
          <w:rFonts w:ascii="宋体" w:hAnsi="宋体" w:cs="宋体"/>
        </w:rPr>
        <w:t xml:space="preserve"> </w:t>
      </w:r>
    </w:p>
    <w:p>
      <w:pPr>
        <w:tabs>
          <w:tab w:val="left" w:pos="5620"/>
          <w:tab w:val="left" w:pos="6340"/>
          <w:tab w:val="left" w:pos="7060"/>
        </w:tabs>
        <w:spacing w:line="274" w:lineRule="exact"/>
        <w:ind w:firstLine="4080" w:firstLineChars="17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bookmarkStart w:id="190" w:name="_Toc252830644"/>
    </w:p>
    <w:p>
      <w:pPr>
        <w:pStyle w:val="30"/>
        <w:jc w:val="center"/>
        <w:rPr>
          <w:sz w:val="32"/>
          <w:szCs w:val="32"/>
        </w:rPr>
        <w:sectPr>
          <w:pgSz w:w="11906" w:h="16838"/>
          <w:pgMar w:top="1440" w:right="1083" w:bottom="1440" w:left="1276" w:header="851" w:footer="992" w:gutter="0"/>
          <w:cols w:space="720" w:num="1"/>
          <w:docGrid w:type="lines" w:linePitch="314" w:charSpace="0"/>
        </w:sectPr>
      </w:pPr>
      <w:r>
        <w:rPr>
          <w:sz w:val="32"/>
          <w:szCs w:val="32"/>
        </w:rPr>
        <w:br w:type="page"/>
      </w:r>
    </w:p>
    <w:p>
      <w:pPr>
        <w:pStyle w:val="30"/>
        <w:jc w:val="center"/>
        <w:rPr>
          <w:b/>
          <w:color w:val="FF0000"/>
          <w:sz w:val="30"/>
          <w:szCs w:val="30"/>
        </w:rPr>
      </w:pPr>
      <w:r>
        <w:rPr>
          <w:b/>
          <w:sz w:val="30"/>
          <w:szCs w:val="30"/>
        </w:rPr>
        <w:t>（二）投标函附录</w:t>
      </w:r>
    </w:p>
    <w:p>
      <w:pPr>
        <w:spacing w:line="480" w:lineRule="exact"/>
        <w:ind w:right="120"/>
        <w:jc w:val="center"/>
        <w:rPr>
          <w:rFonts w:ascii="宋体" w:hAnsi="宋体" w:cs="宋体"/>
          <w:b/>
          <w:kern w:val="0"/>
          <w:sz w:val="32"/>
          <w:szCs w:val="32"/>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2165" w:type="dxa"/>
            <w:tcBorders>
              <w:top w:val="doub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项目名称</w:t>
            </w:r>
          </w:p>
        </w:tc>
        <w:tc>
          <w:tcPr>
            <w:tcW w:w="7175" w:type="dxa"/>
            <w:tcBorders>
              <w:top w:val="doub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2165" w:type="dxa"/>
            <w:tcBorders>
              <w:top w:val="sing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供应商</w:t>
            </w:r>
          </w:p>
        </w:tc>
        <w:tc>
          <w:tcPr>
            <w:tcW w:w="7175" w:type="dxa"/>
            <w:tcBorders>
              <w:top w:val="sing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投标总报价</w:t>
            </w:r>
          </w:p>
        </w:tc>
        <w:tc>
          <w:tcPr>
            <w:tcW w:w="7175" w:type="dxa"/>
            <w:tcBorders>
              <w:right w:val="double" w:color="auto" w:sz="4" w:space="0"/>
            </w:tcBorders>
            <w:vAlign w:val="center"/>
          </w:tcPr>
          <w:p>
            <w:pPr>
              <w:adjustRightInd w:val="0"/>
              <w:snapToGrid w:val="0"/>
              <w:spacing w:line="480" w:lineRule="exact"/>
              <w:rPr>
                <w:rFonts w:ascii="宋体" w:hAnsi="宋体" w:cs="宋体"/>
                <w:sz w:val="24"/>
              </w:rPr>
            </w:pPr>
            <w:r>
              <w:rPr>
                <w:rFonts w:ascii="宋体" w:hAnsi="宋体" w:cs="宋体"/>
                <w:sz w:val="24"/>
              </w:rPr>
              <w:t>大写：</w:t>
            </w:r>
            <w:r>
              <w:rPr>
                <w:rFonts w:ascii="宋体" w:hAnsi="宋体" w:cs="宋体"/>
                <w:sz w:val="24"/>
                <w:u w:val="single"/>
              </w:rPr>
              <w:t xml:space="preserve">                     </w:t>
            </w:r>
          </w:p>
          <w:p>
            <w:pPr>
              <w:adjustRightInd w:val="0"/>
              <w:snapToGrid w:val="0"/>
              <w:spacing w:line="480" w:lineRule="exact"/>
              <w:rPr>
                <w:rFonts w:ascii="宋体" w:hAnsi="宋体" w:cs="宋体"/>
                <w:sz w:val="24"/>
              </w:rPr>
            </w:pPr>
            <w:r>
              <w:rPr>
                <w:rFonts w:ascii="宋体" w:hAnsi="宋体" w:cs="宋体"/>
                <w:sz w:val="24"/>
              </w:rPr>
              <w:t>小写：</w:t>
            </w:r>
            <w:r>
              <w:rPr>
                <w:rFonts w:ascii="宋体" w:hAnsi="宋体" w:cs="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交货地点</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r>
              <w:rPr>
                <w:rFonts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质量要求</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投标有效期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2165" w:type="dxa"/>
            <w:tcBorders>
              <w:left w:val="double" w:color="auto" w:sz="4" w:space="0"/>
              <w:bottom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备注</w:t>
            </w:r>
          </w:p>
        </w:tc>
        <w:tc>
          <w:tcPr>
            <w:tcW w:w="7175" w:type="dxa"/>
            <w:tcBorders>
              <w:bottom w:val="double" w:color="auto" w:sz="4" w:space="0"/>
              <w:right w:val="double" w:color="auto" w:sz="4" w:space="0"/>
            </w:tcBorders>
            <w:vAlign w:val="center"/>
          </w:tcPr>
          <w:p>
            <w:pPr>
              <w:adjustRightInd w:val="0"/>
              <w:snapToGrid w:val="0"/>
              <w:rPr>
                <w:rFonts w:ascii="宋体" w:hAnsi="宋体" w:cs="宋体"/>
                <w:sz w:val="24"/>
              </w:rPr>
            </w:pPr>
            <w:r>
              <w:rPr>
                <w:rFonts w:ascii="宋体" w:hAnsi="宋体" w:cs="宋体"/>
                <w:sz w:val="24"/>
              </w:rPr>
              <w:t xml:space="preserve">   </w:t>
            </w:r>
          </w:p>
        </w:tc>
      </w:tr>
    </w:tbl>
    <w:p>
      <w:pPr>
        <w:spacing w:line="480" w:lineRule="exact"/>
        <w:ind w:right="120"/>
        <w:jc w:val="center"/>
        <w:rPr>
          <w:rFonts w:ascii="宋体" w:hAnsi="宋体" w:cs="宋体"/>
          <w:b/>
          <w:kern w:val="0"/>
          <w:sz w:val="32"/>
          <w:szCs w:val="32"/>
        </w:rPr>
      </w:pPr>
    </w:p>
    <w:p>
      <w:pPr>
        <w:spacing w:line="480" w:lineRule="exact"/>
        <w:ind w:right="120"/>
        <w:jc w:val="center"/>
        <w:rPr>
          <w:rFonts w:ascii="宋体" w:hAnsi="宋体" w:cs="宋体"/>
          <w:b/>
          <w:kern w:val="0"/>
          <w:sz w:val="32"/>
          <w:szCs w:val="32"/>
        </w:rPr>
      </w:pPr>
    </w:p>
    <w:p>
      <w:pPr>
        <w:spacing w:line="360" w:lineRule="auto"/>
        <w:ind w:firstLine="4200" w:firstLineChars="1750"/>
        <w:rPr>
          <w:rFonts w:ascii="宋体" w:hAnsi="宋体" w:cs="宋体"/>
          <w:sz w:val="24"/>
        </w:rPr>
      </w:pPr>
      <w:r>
        <w:rPr>
          <w:rFonts w:ascii="宋体" w:hAnsi="宋体" w:cs="宋体"/>
          <w:sz w:val="24"/>
        </w:rPr>
        <w:t>供应商名称：</w:t>
      </w:r>
      <w:r>
        <w:rPr>
          <w:rFonts w:ascii="宋体" w:hAnsi="宋体" w:cs="宋体"/>
          <w:sz w:val="24"/>
          <w:u w:val="single"/>
        </w:rPr>
        <w:t xml:space="preserve">                 </w:t>
      </w:r>
      <w:r>
        <w:rPr>
          <w:rFonts w:ascii="宋体" w:hAnsi="宋体" w:cs="宋体"/>
          <w:sz w:val="24"/>
        </w:rPr>
        <w:t>（企业电子签章）</w:t>
      </w:r>
    </w:p>
    <w:p>
      <w:pPr>
        <w:spacing w:line="360" w:lineRule="auto"/>
        <w:ind w:firstLine="3360" w:firstLineChars="1400"/>
        <w:rPr>
          <w:rFonts w:ascii="宋体" w:hAnsi="宋体" w:cs="宋体"/>
          <w:sz w:val="24"/>
        </w:rPr>
      </w:pPr>
      <w:r>
        <w:rPr>
          <w:rFonts w:ascii="宋体" w:hAnsi="宋体" w:cs="宋体"/>
          <w:sz w:val="24"/>
        </w:rPr>
        <w:t>法定代表人或其委托代理人：_____（个人电子签章</w:t>
      </w:r>
      <w:r>
        <w:rPr>
          <w:rFonts w:hint="eastAsia" w:ascii="宋体" w:hAnsi="宋体" w:cs="宋体"/>
          <w:sz w:val="24"/>
        </w:rPr>
        <w:t>或签字</w:t>
      </w:r>
      <w:r>
        <w:rPr>
          <w:rFonts w:ascii="宋体" w:hAnsi="宋体" w:cs="宋体"/>
          <w:sz w:val="24"/>
        </w:rPr>
        <w:t>）</w:t>
      </w:r>
      <w:bookmarkStart w:id="191" w:name="_Toc340910912"/>
    </w:p>
    <w:p>
      <w:pPr>
        <w:spacing w:line="360" w:lineRule="auto"/>
        <w:ind w:firstLine="4200" w:firstLineChars="1750"/>
        <w:rPr>
          <w:rFonts w:ascii="宋体" w:hAnsi="宋体" w:cs="宋体"/>
          <w:sz w:val="24"/>
        </w:rPr>
      </w:pPr>
      <w:r>
        <w:rPr>
          <w:rFonts w:ascii="宋体" w:hAnsi="宋体" w:cs="宋体"/>
          <w:sz w:val="24"/>
        </w:rPr>
        <w:t>日</w:t>
      </w:r>
      <w:r>
        <w:rPr>
          <w:rFonts w:hint="eastAsia" w:ascii="宋体" w:hAnsi="宋体" w:cs="宋体"/>
          <w:sz w:val="24"/>
        </w:rPr>
        <w:t xml:space="preserve"> </w:t>
      </w:r>
      <w:r>
        <w:rPr>
          <w:rFonts w:ascii="宋体" w:hAnsi="宋体" w:cs="宋体"/>
          <w:sz w:val="24"/>
        </w:rPr>
        <w:t xml:space="preserve">    期：</w:t>
      </w:r>
      <w:r>
        <w:rPr>
          <w:rFonts w:hint="eastAsia" w:ascii="宋体" w:hAnsi="宋体" w:cs="宋体"/>
          <w:sz w:val="24"/>
          <w:u w:val="single"/>
        </w:rPr>
        <w:t xml:space="preserve"> </w:t>
      </w:r>
      <w:r>
        <w:rPr>
          <w:rFonts w:ascii="宋体" w:hAnsi="宋体" w:cs="宋体"/>
          <w:sz w:val="24"/>
          <w:u w:val="single"/>
        </w:rPr>
        <w:t xml:space="preserve">                                </w:t>
      </w:r>
    </w:p>
    <w:bookmarkEnd w:id="190"/>
    <w:bookmarkEnd w:id="191"/>
    <w:p>
      <w:pPr>
        <w:pStyle w:val="30"/>
        <w:jc w:val="center"/>
        <w:sectPr>
          <w:pgSz w:w="11906" w:h="16838"/>
          <w:pgMar w:top="1440" w:right="1083" w:bottom="1440" w:left="1276" w:header="851" w:footer="992" w:gutter="0"/>
          <w:cols w:space="720" w:num="1"/>
          <w:docGrid w:type="lines" w:linePitch="314" w:charSpace="0"/>
        </w:sectPr>
      </w:pPr>
      <w:r>
        <w:br w:type="page"/>
      </w:r>
    </w:p>
    <w:p>
      <w:pPr>
        <w:pStyle w:val="30"/>
        <w:jc w:val="center"/>
        <w:rPr>
          <w:b/>
          <w:sz w:val="32"/>
          <w:szCs w:val="32"/>
        </w:rPr>
      </w:pPr>
      <w:r>
        <w:rPr>
          <w:b/>
          <w:sz w:val="32"/>
          <w:szCs w:val="32"/>
        </w:rPr>
        <w:t>二、法定代表人身份证明</w:t>
      </w:r>
    </w:p>
    <w:p>
      <w:pPr>
        <w:pStyle w:val="30"/>
        <w:jc w:val="center"/>
        <w:rPr>
          <w:b/>
          <w:sz w:val="32"/>
          <w:szCs w:val="32"/>
        </w:rPr>
      </w:pPr>
    </w:p>
    <w:p>
      <w:pPr>
        <w:spacing w:line="360" w:lineRule="auto"/>
        <w:ind w:firstLine="720" w:firstLineChars="300"/>
        <w:rPr>
          <w:rFonts w:ascii="宋体" w:hAnsi="宋体" w:cs="宋体"/>
          <w:kern w:val="0"/>
          <w:sz w:val="24"/>
        </w:rPr>
      </w:pPr>
      <w:r>
        <w:rPr>
          <w:rFonts w:ascii="宋体" w:hAnsi="宋体" w:cs="宋体"/>
          <w:kern w:val="0"/>
          <w:sz w:val="24"/>
        </w:rPr>
        <w:t>供应商名称：</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u w:val="single"/>
        </w:rPr>
      </w:pPr>
      <w:r>
        <w:rPr>
          <w:rFonts w:ascii="宋体" w:hAnsi="宋体" w:cs="宋体"/>
          <w:kern w:val="0"/>
          <w:sz w:val="24"/>
        </w:rPr>
        <w:t>单位性质：</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地    址：</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成立时间：</w:t>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 xml:space="preserve">    </w:t>
      </w:r>
      <w:r>
        <w:rPr>
          <w:rFonts w:ascii="宋体" w:hAnsi="宋体" w:cs="宋体"/>
          <w:kern w:val="0"/>
          <w:sz w:val="24"/>
        </w:rPr>
        <w:t>日</w:t>
      </w:r>
    </w:p>
    <w:p>
      <w:pPr>
        <w:spacing w:line="360" w:lineRule="auto"/>
        <w:ind w:firstLine="720" w:firstLineChars="300"/>
        <w:rPr>
          <w:rFonts w:ascii="宋体" w:hAnsi="宋体" w:cs="宋体"/>
          <w:kern w:val="0"/>
          <w:sz w:val="24"/>
        </w:rPr>
      </w:pPr>
      <w:r>
        <w:rPr>
          <w:rFonts w:ascii="宋体" w:hAnsi="宋体" w:cs="宋体"/>
          <w:kern w:val="0"/>
          <w:sz w:val="24"/>
        </w:rPr>
        <w:t>经营期限：</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hint="eastAsia" w:ascii="宋体" w:hAnsi="宋体" w:cs="宋体"/>
          <w:kern w:val="0"/>
          <w:sz w:val="24"/>
        </w:rPr>
        <w:t>法人</w:t>
      </w:r>
      <w:r>
        <w:rPr>
          <w:rFonts w:ascii="宋体" w:hAnsi="宋体" w:cs="宋体"/>
          <w:kern w:val="0"/>
          <w:sz w:val="24"/>
        </w:rPr>
        <w:t>姓名：</w:t>
      </w:r>
      <w:r>
        <w:rPr>
          <w:rFonts w:ascii="宋体" w:hAnsi="宋体" w:cs="宋体"/>
          <w:kern w:val="0"/>
          <w:sz w:val="24"/>
          <w:u w:val="single"/>
        </w:rPr>
        <w:t xml:space="preserve">             </w:t>
      </w:r>
      <w:r>
        <w:rPr>
          <w:rFonts w:ascii="宋体" w:hAnsi="宋体" w:cs="宋体"/>
          <w:kern w:val="0"/>
          <w:sz w:val="24"/>
        </w:rPr>
        <w:t>性别：</w:t>
      </w:r>
      <w:r>
        <w:rPr>
          <w:rFonts w:ascii="宋体" w:hAnsi="宋体" w:cs="宋体"/>
          <w:kern w:val="0"/>
          <w:sz w:val="24"/>
          <w:u w:val="single"/>
        </w:rPr>
        <w:t xml:space="preserve">       </w:t>
      </w:r>
      <w:r>
        <w:rPr>
          <w:rFonts w:ascii="宋体" w:hAnsi="宋体" w:cs="宋体"/>
          <w:kern w:val="0"/>
          <w:sz w:val="24"/>
        </w:rPr>
        <w:t>年龄：</w:t>
      </w:r>
      <w:r>
        <w:rPr>
          <w:rFonts w:ascii="宋体" w:hAnsi="宋体" w:cs="宋体"/>
          <w:kern w:val="0"/>
          <w:sz w:val="24"/>
          <w:u w:val="single"/>
        </w:rPr>
        <w:t xml:space="preserve">     </w:t>
      </w:r>
      <w:r>
        <w:rPr>
          <w:rFonts w:ascii="宋体" w:hAnsi="宋体" w:cs="宋体"/>
          <w:kern w:val="0"/>
          <w:sz w:val="24"/>
        </w:rPr>
        <w:t>职务：</w:t>
      </w:r>
      <w:r>
        <w:rPr>
          <w:rFonts w:ascii="宋体" w:hAnsi="宋体" w:cs="宋体"/>
          <w:kern w:val="0"/>
          <w:sz w:val="24"/>
          <w:u w:val="single"/>
        </w:rPr>
        <w:t xml:space="preserve">          </w:t>
      </w:r>
      <w:r>
        <w:rPr>
          <w:rFonts w:ascii="宋体" w:hAnsi="宋体" w:cs="宋体"/>
          <w:kern w:val="0"/>
          <w:sz w:val="24"/>
        </w:rPr>
        <w:t xml:space="preserve">  </w:t>
      </w:r>
    </w:p>
    <w:p>
      <w:pPr>
        <w:spacing w:line="360" w:lineRule="auto"/>
        <w:ind w:firstLine="720" w:firstLineChars="300"/>
        <w:rPr>
          <w:rFonts w:ascii="宋体" w:hAnsi="宋体" w:cs="宋体"/>
          <w:kern w:val="0"/>
          <w:sz w:val="24"/>
          <w:u w:val="single"/>
        </w:rPr>
      </w:pPr>
      <w:r>
        <w:rPr>
          <w:rFonts w:ascii="宋体" w:hAnsi="宋体" w:cs="宋体"/>
          <w:kern w:val="0"/>
          <w:sz w:val="24"/>
        </w:rPr>
        <w:t>身份证号：</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ascii="宋体" w:hAnsi="宋体" w:cs="宋体"/>
          <w:kern w:val="0"/>
          <w:sz w:val="24"/>
        </w:rPr>
        <w:t xml:space="preserve">系 </w:t>
      </w:r>
      <w:r>
        <w:rPr>
          <w:rFonts w:ascii="宋体" w:hAnsi="宋体" w:cs="宋体"/>
          <w:kern w:val="0"/>
          <w:sz w:val="24"/>
          <w:u w:val="single"/>
        </w:rPr>
        <w:t xml:space="preserve">                         （供应商名称）</w:t>
      </w:r>
      <w:r>
        <w:rPr>
          <w:rFonts w:ascii="宋体" w:hAnsi="宋体" w:cs="宋体"/>
          <w:kern w:val="0"/>
          <w:sz w:val="24"/>
        </w:rPr>
        <w:t>的法定代表人。</w:t>
      </w:r>
    </w:p>
    <w:p>
      <w:pPr>
        <w:autoSpaceDE w:val="0"/>
        <w:autoSpaceDN w:val="0"/>
        <w:adjustRightInd w:val="0"/>
        <w:spacing w:line="420" w:lineRule="auto"/>
        <w:ind w:firstLine="480" w:firstLineChars="200"/>
        <w:jc w:val="left"/>
        <w:rPr>
          <w:rFonts w:ascii="宋体" w:hAnsi="宋体" w:cs="宋体"/>
          <w:kern w:val="0"/>
          <w:sz w:val="24"/>
        </w:rPr>
      </w:pPr>
    </w:p>
    <w:p>
      <w:pPr>
        <w:autoSpaceDE w:val="0"/>
        <w:autoSpaceDN w:val="0"/>
        <w:adjustRightInd w:val="0"/>
        <w:spacing w:line="420" w:lineRule="auto"/>
        <w:ind w:firstLine="480" w:firstLineChars="200"/>
        <w:jc w:val="left"/>
        <w:rPr>
          <w:rFonts w:ascii="宋体" w:hAnsi="宋体" w:cs="宋体"/>
          <w:kern w:val="0"/>
          <w:sz w:val="24"/>
        </w:rPr>
      </w:pPr>
      <w:r>
        <w:rPr>
          <w:rFonts w:ascii="宋体" w:hAnsi="宋体" w:cs="宋体"/>
          <w:kern w:val="0"/>
          <w:sz w:val="24"/>
        </w:rPr>
        <w:t xml:space="preserve">   特此证明。</w:t>
      </w: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center"/>
        <w:rPr>
          <w:rFonts w:ascii="宋体" w:hAnsi="宋体" w:cs="宋体"/>
          <w:kern w:val="0"/>
          <w:sz w:val="24"/>
        </w:rPr>
      </w:pPr>
      <w:r>
        <w:rPr>
          <w:rFonts w:ascii="宋体" w:hAnsi="宋体" w:cs="宋体"/>
          <w:kern w:val="0"/>
          <w:sz w:val="24"/>
        </w:rPr>
        <w:t xml:space="preserve">      供应商</w:t>
      </w:r>
      <w:r>
        <w:rPr>
          <w:rFonts w:hint="eastAsia" w:ascii="宋体" w:hAnsi="宋体" w:cs="宋体"/>
          <w:kern w:val="0"/>
          <w:sz w:val="24"/>
        </w:rPr>
        <w:t>名称</w:t>
      </w:r>
      <w:r>
        <w:rPr>
          <w:rFonts w:ascii="宋体" w:hAnsi="宋体" w:cs="宋体"/>
          <w:kern w:val="0"/>
          <w:sz w:val="24"/>
        </w:rPr>
        <w:t>：</w:t>
      </w:r>
      <w:r>
        <w:rPr>
          <w:rFonts w:ascii="宋体" w:hAnsi="宋体" w:cs="宋体"/>
          <w:kern w:val="0"/>
          <w:sz w:val="24"/>
          <w:u w:val="single"/>
        </w:rPr>
        <w:t xml:space="preserve">                  </w:t>
      </w:r>
      <w:r>
        <w:rPr>
          <w:rFonts w:ascii="宋体" w:hAnsi="宋体" w:cs="宋体"/>
          <w:kern w:val="0"/>
          <w:sz w:val="24"/>
        </w:rPr>
        <w:t>（企业电子签章）</w:t>
      </w: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right="480" w:firstLine="3084" w:firstLineChars="1285"/>
        <w:jc w:val="center"/>
        <w:rPr>
          <w:rFonts w:ascii="宋体" w:hAnsi="宋体" w:cs="宋体"/>
          <w:kern w:val="0"/>
          <w:sz w:val="24"/>
        </w:rPr>
      </w:pP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 xml:space="preserve"> 月</w:t>
      </w:r>
      <w:r>
        <w:rPr>
          <w:rFonts w:ascii="宋体" w:hAnsi="宋体" w:cs="宋体"/>
          <w:kern w:val="0"/>
          <w:sz w:val="24"/>
          <w:u w:val="single"/>
        </w:rPr>
        <w:t xml:space="preserve">    </w:t>
      </w:r>
      <w:r>
        <w:rPr>
          <w:rFonts w:ascii="宋体" w:hAnsi="宋体" w:cs="宋体"/>
          <w:kern w:val="0"/>
          <w:sz w:val="24"/>
        </w:rPr>
        <w:t>日</w:t>
      </w:r>
    </w:p>
    <w:p>
      <w:pPr>
        <w:autoSpaceDE w:val="0"/>
        <w:autoSpaceDN w:val="0"/>
        <w:adjustRightInd w:val="0"/>
        <w:spacing w:line="420" w:lineRule="auto"/>
        <w:ind w:right="480"/>
        <w:jc w:val="left"/>
        <w:rPr>
          <w:rFonts w:ascii="宋体" w:hAnsi="宋体" w:cs="宋体"/>
          <w:kern w:val="0"/>
          <w:szCs w:val="21"/>
        </w:rPr>
      </w:pPr>
      <w:r>
        <w:rPr>
          <w:rFonts w:ascii="宋体" w:hAnsi="宋体" w:cs="宋体"/>
          <w:kern w:val="0"/>
          <w:szCs w:val="21"/>
        </w:rPr>
        <w:t xml:space="preserve">       </w:t>
      </w:r>
    </w:p>
    <w:p>
      <w:pPr>
        <w:autoSpaceDE w:val="0"/>
        <w:autoSpaceDN w:val="0"/>
        <w:adjustRightInd w:val="0"/>
        <w:spacing w:line="420" w:lineRule="auto"/>
        <w:ind w:right="480"/>
        <w:jc w:val="left"/>
        <w:rPr>
          <w:rFonts w:ascii="宋体" w:hAnsi="宋体" w:cs="宋体"/>
          <w:kern w:val="0"/>
          <w:sz w:val="24"/>
        </w:rPr>
      </w:pPr>
      <w:r>
        <w:rPr>
          <w:rFonts w:ascii="宋体" w:hAnsi="宋体" w:cs="宋体"/>
          <w:kern w:val="0"/>
          <w:szCs w:val="21"/>
        </w:rPr>
        <w:t xml:space="preserve">     </w:t>
      </w:r>
      <w:r>
        <w:rPr>
          <w:rFonts w:ascii="宋体" w:hAnsi="宋体" w:cs="宋体"/>
          <w:kern w:val="0"/>
          <w:sz w:val="24"/>
        </w:rPr>
        <w:t xml:space="preserve">   注：附法定代表人身份证复印件。</w:t>
      </w:r>
    </w:p>
    <w:p>
      <w:pPr>
        <w:pStyle w:val="30"/>
        <w:jc w:val="center"/>
        <w:sectPr>
          <w:pgSz w:w="11906" w:h="16838"/>
          <w:pgMar w:top="1440" w:right="1083" w:bottom="1440" w:left="1276" w:header="851" w:footer="992" w:gutter="0"/>
          <w:cols w:space="720" w:num="1"/>
          <w:docGrid w:type="lines" w:linePitch="314" w:charSpace="0"/>
        </w:sectPr>
      </w:pPr>
      <w:r>
        <w:br w:type="page"/>
      </w:r>
    </w:p>
    <w:p>
      <w:pPr>
        <w:pStyle w:val="30"/>
        <w:jc w:val="center"/>
        <w:rPr>
          <w:b/>
          <w:sz w:val="32"/>
          <w:szCs w:val="32"/>
        </w:rPr>
      </w:pPr>
      <w:r>
        <w:rPr>
          <w:b/>
          <w:sz w:val="32"/>
          <w:szCs w:val="32"/>
        </w:rPr>
        <w:t>三、授权委托书</w:t>
      </w:r>
    </w:p>
    <w:p>
      <w:pPr>
        <w:pStyle w:val="30"/>
        <w:jc w:val="center"/>
        <w:rPr>
          <w:b/>
          <w:sz w:val="32"/>
          <w:szCs w:val="32"/>
        </w:rPr>
      </w:pPr>
    </w:p>
    <w:p>
      <w:pPr>
        <w:tabs>
          <w:tab w:val="left" w:pos="1680"/>
          <w:tab w:val="left" w:pos="3580"/>
          <w:tab w:val="left" w:pos="4100"/>
          <w:tab w:val="left" w:pos="8000"/>
        </w:tabs>
        <w:autoSpaceDE w:val="0"/>
        <w:autoSpaceDN w:val="0"/>
        <w:adjustRightInd w:val="0"/>
        <w:spacing w:line="360" w:lineRule="auto"/>
        <w:ind w:right="84" w:firstLine="480" w:firstLineChars="200"/>
        <w:rPr>
          <w:rFonts w:ascii="宋体" w:hAnsi="宋体" w:cs="宋体"/>
          <w:kern w:val="0"/>
          <w:sz w:val="24"/>
        </w:rPr>
      </w:pPr>
      <w:r>
        <w:rPr>
          <w:rFonts w:ascii="宋体" w:hAnsi="宋体" w:cs="宋体"/>
          <w:kern w:val="0"/>
          <w:sz w:val="24"/>
        </w:rPr>
        <w:t>本人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（姓名）系</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（供应商名称）的法定代表人，现委托</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 xml:space="preserve">（姓名、联系方式）为我方代理人。代理人根据授权，以我方名义签署、澄清、说明、补正、递交、撤回、 修改 </w:t>
      </w:r>
      <w:r>
        <w:rPr>
          <w:rFonts w:ascii="宋体" w:hAnsi="宋体" w:cs="宋体"/>
          <w:kern w:val="0"/>
          <w:sz w:val="24"/>
          <w:u w:val="single"/>
        </w:rPr>
        <w:t xml:space="preserve">                    （项目名称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ascii="宋体" w:hAnsi="宋体" w:cs="宋体"/>
          <w:kern w:val="0"/>
          <w:sz w:val="24"/>
        </w:rPr>
        <w:t>投标文件、签订合同和处理有关事宜，其法律后果由我方承担。</w:t>
      </w:r>
    </w:p>
    <w:p>
      <w:pPr>
        <w:tabs>
          <w:tab w:val="left" w:pos="8931"/>
        </w:tabs>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委托期限：</w:t>
      </w:r>
      <w:r>
        <w:rPr>
          <w:rFonts w:ascii="宋体" w:hAnsi="宋体" w:cs="宋体"/>
          <w:sz w:val="24"/>
          <w:u w:val="single"/>
        </w:rPr>
        <w:t>自投标截止之日起60日历天</w:t>
      </w:r>
      <w:r>
        <w:rPr>
          <w:rFonts w:ascii="宋体" w:hAnsi="宋体" w:cs="宋体"/>
          <w:kern w:val="0"/>
          <w:sz w:val="24"/>
        </w:rPr>
        <w:t xml:space="preserve"> </w:t>
      </w:r>
    </w:p>
    <w:p>
      <w:pPr>
        <w:tabs>
          <w:tab w:val="left" w:pos="2940"/>
        </w:tabs>
        <w:autoSpaceDE w:val="0"/>
        <w:autoSpaceDN w:val="0"/>
        <w:adjustRightInd w:val="0"/>
        <w:spacing w:line="360" w:lineRule="auto"/>
        <w:ind w:right="5352" w:firstLine="480" w:firstLineChars="200"/>
        <w:jc w:val="left"/>
        <w:rPr>
          <w:rFonts w:ascii="宋体" w:hAnsi="宋体" w:cs="宋体"/>
          <w:kern w:val="0"/>
          <w:sz w:val="24"/>
        </w:rPr>
      </w:pPr>
      <w:r>
        <w:rPr>
          <w:rFonts w:ascii="宋体" w:hAnsi="宋体" w:cs="宋体"/>
          <w:kern w:val="0"/>
          <w:sz w:val="24"/>
        </w:rPr>
        <w:t xml:space="preserve">代理人无转委托权。 </w:t>
      </w:r>
    </w:p>
    <w:p>
      <w:pPr>
        <w:tabs>
          <w:tab w:val="left" w:pos="2625"/>
        </w:tabs>
        <w:spacing w:line="360" w:lineRule="auto"/>
        <w:ind w:firstLine="482" w:firstLineChars="200"/>
        <w:rPr>
          <w:rFonts w:ascii="宋体" w:hAnsi="宋体" w:cs="宋体"/>
          <w:b/>
          <w:bCs/>
          <w:sz w:val="24"/>
        </w:rPr>
      </w:pPr>
      <w:r>
        <w:rPr>
          <w:rFonts w:ascii="宋体" w:hAnsi="宋体" w:cs="宋体"/>
          <w:b/>
          <w:bCs/>
          <w:sz w:val="24"/>
        </w:rPr>
        <w:t>附法定代表人身份证复印件及被授权代表身份证复印件</w:t>
      </w: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4440"/>
          <w:tab w:val="left" w:pos="46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供应商</w:t>
      </w:r>
      <w:r>
        <w:rPr>
          <w:rFonts w:hint="eastAsia" w:ascii="宋体" w:hAnsi="宋体" w:cs="宋体"/>
          <w:color w:val="000000"/>
          <w:kern w:val="0"/>
          <w:sz w:val="24"/>
        </w:rPr>
        <w:t>名称</w:t>
      </w:r>
      <w:r>
        <w:rPr>
          <w:rFonts w:ascii="宋体" w:hAnsi="宋体" w:cs="宋体"/>
          <w:color w:val="000000"/>
          <w:kern w:val="0"/>
          <w:sz w:val="24"/>
        </w:rPr>
        <w:t>：</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rPr>
        <w:t>（企业电子签章）</w:t>
      </w:r>
    </w:p>
    <w:p>
      <w:pPr>
        <w:tabs>
          <w:tab w:val="left" w:pos="4860"/>
          <w:tab w:val="left" w:pos="49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法定代表人：</w:t>
      </w:r>
      <w:r>
        <w:rPr>
          <w:rFonts w:ascii="宋体" w:hAnsi="宋体" w:cs="宋体"/>
          <w:color w:val="000000"/>
          <w:kern w:val="0"/>
          <w:sz w:val="24"/>
          <w:u w:val="single"/>
        </w:rPr>
        <w:t xml:space="preserve">                     </w:t>
      </w:r>
      <w:r>
        <w:rPr>
          <w:rFonts w:ascii="宋体" w:hAnsi="宋体" w:cs="宋体"/>
          <w:color w:val="000000"/>
          <w:kern w:val="0"/>
          <w:sz w:val="24"/>
        </w:rPr>
        <w:t>（个人电子签章）</w:t>
      </w:r>
    </w:p>
    <w:p>
      <w:pPr>
        <w:tabs>
          <w:tab w:val="left" w:pos="586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tabs>
          <w:tab w:val="left" w:pos="5040"/>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委托代理人：</w:t>
      </w:r>
      <w:r>
        <w:rPr>
          <w:rFonts w:ascii="宋体" w:hAnsi="宋体" w:cs="宋体"/>
          <w:color w:val="000000"/>
          <w:kern w:val="0"/>
          <w:sz w:val="24"/>
          <w:u w:val="single"/>
        </w:rPr>
        <w:t xml:space="preserve">                      </w:t>
      </w:r>
      <w:r>
        <w:rPr>
          <w:rFonts w:ascii="宋体" w:hAnsi="宋体" w:cs="宋体"/>
          <w:color w:val="000000"/>
          <w:kern w:val="0"/>
          <w:sz w:val="24"/>
        </w:rPr>
        <w:t>（签字或盖章）</w:t>
      </w:r>
    </w:p>
    <w:p>
      <w:pPr>
        <w:tabs>
          <w:tab w:val="left" w:pos="583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autoSpaceDE w:val="0"/>
        <w:autoSpaceDN w:val="0"/>
        <w:adjustRightInd w:val="0"/>
        <w:spacing w:before="14" w:line="520" w:lineRule="exact"/>
        <w:ind w:firstLine="480" w:firstLineChars="200"/>
        <w:jc w:val="right"/>
        <w:rPr>
          <w:rFonts w:ascii="宋体" w:hAnsi="宋体" w:cs="宋体"/>
          <w:color w:val="000000"/>
          <w:kern w:val="0"/>
          <w:sz w:val="24"/>
        </w:rPr>
      </w:pP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年</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月</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日</w:t>
      </w:r>
    </w:p>
    <w:p>
      <w:pPr>
        <w:autoSpaceDE w:val="0"/>
        <w:autoSpaceDN w:val="0"/>
        <w:adjustRightInd w:val="0"/>
        <w:spacing w:before="14" w:line="480" w:lineRule="exact"/>
        <w:ind w:firstLine="643" w:firstLineChars="200"/>
        <w:rPr>
          <w:rFonts w:ascii="宋体" w:hAnsi="宋体" w:cs="宋体"/>
          <w:b/>
          <w:bCs/>
          <w:sz w:val="32"/>
          <w:szCs w:val="32"/>
        </w:rPr>
      </w:pPr>
    </w:p>
    <w:p>
      <w:pPr>
        <w:pStyle w:val="8"/>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pStyle w:val="30"/>
        <w:jc w:val="center"/>
        <w:rPr>
          <w:rFonts w:hint="eastAsia"/>
          <w:b/>
          <w:sz w:val="32"/>
          <w:szCs w:val="32"/>
        </w:rPr>
        <w:sectPr>
          <w:pgSz w:w="11906" w:h="16838"/>
          <w:pgMar w:top="1440" w:right="1083" w:bottom="1440" w:left="1276" w:header="851" w:footer="992" w:gutter="0"/>
          <w:cols w:space="720" w:num="1"/>
          <w:docGrid w:type="lines" w:linePitch="314" w:charSpace="0"/>
        </w:sectPr>
      </w:pPr>
      <w:bookmarkStart w:id="192" w:name="_Toc15395"/>
      <w:bookmarkStart w:id="193" w:name="_Toc262483520"/>
      <w:bookmarkStart w:id="194" w:name="_Toc262746022"/>
      <w:bookmarkStart w:id="195" w:name="_Toc15183"/>
      <w:bookmarkStart w:id="196" w:name="_Toc26345"/>
      <w:bookmarkStart w:id="197" w:name="_Toc332961929"/>
      <w:bookmarkStart w:id="198" w:name="_Toc19755"/>
    </w:p>
    <w:p>
      <w:pPr>
        <w:pStyle w:val="30"/>
        <w:jc w:val="center"/>
        <w:rPr>
          <w:b/>
          <w:sz w:val="32"/>
          <w:szCs w:val="32"/>
        </w:rPr>
      </w:pPr>
      <w:r>
        <w:rPr>
          <w:rFonts w:hint="eastAsia"/>
          <w:b/>
          <w:sz w:val="32"/>
          <w:szCs w:val="32"/>
        </w:rPr>
        <w:t>四、资格证明文件</w:t>
      </w:r>
      <w:bookmarkEnd w:id="192"/>
      <w:bookmarkEnd w:id="193"/>
      <w:bookmarkEnd w:id="194"/>
      <w:bookmarkEnd w:id="195"/>
      <w:bookmarkEnd w:id="196"/>
      <w:bookmarkEnd w:id="197"/>
      <w:bookmarkEnd w:id="198"/>
    </w:p>
    <w:p>
      <w:pPr>
        <w:spacing w:line="480" w:lineRule="exact"/>
        <w:jc w:val="center"/>
        <w:rPr>
          <w:rFonts w:ascii="宋体" w:hAnsi="宋体" w:cs="宋体"/>
          <w:b/>
          <w:sz w:val="30"/>
          <w:szCs w:val="30"/>
        </w:rPr>
      </w:pPr>
      <w:r>
        <w:rPr>
          <w:rFonts w:ascii="宋体" w:hAnsi="宋体" w:cs="宋体"/>
          <w:b/>
          <w:sz w:val="30"/>
          <w:szCs w:val="30"/>
        </w:rPr>
        <w:t>（一）供应商基本情况表</w:t>
      </w:r>
    </w:p>
    <w:p>
      <w:pPr>
        <w:spacing w:line="480" w:lineRule="exact"/>
        <w:rPr>
          <w:rFonts w:ascii="宋体" w:hAnsi="宋体" w:cs="宋体"/>
          <w:b/>
          <w:sz w:val="32"/>
          <w:szCs w:val="32"/>
        </w:rPr>
      </w:pPr>
    </w:p>
    <w:tbl>
      <w:tblPr>
        <w:tblStyle w:val="22"/>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1080"/>
        <w:gridCol w:w="1800"/>
        <w:gridCol w:w="1408"/>
        <w:gridCol w:w="1019"/>
        <w:gridCol w:w="813"/>
        <w:gridCol w:w="1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供应商名称</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00" w:type="dxa"/>
            <w:vAlign w:val="center"/>
          </w:tcPr>
          <w:p>
            <w:pPr>
              <w:jc w:val="center"/>
              <w:rPr>
                <w:rFonts w:ascii="宋体" w:hAnsi="宋体" w:cs="宋体"/>
                <w:sz w:val="24"/>
              </w:rPr>
            </w:pPr>
            <w:r>
              <w:rPr>
                <w:rFonts w:ascii="宋体" w:hAnsi="宋体" w:cs="宋体"/>
                <w:sz w:val="24"/>
              </w:rPr>
              <w:t>注册地址</w:t>
            </w:r>
          </w:p>
        </w:tc>
        <w:tc>
          <w:tcPr>
            <w:tcW w:w="4288" w:type="dxa"/>
            <w:gridSpan w:val="3"/>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邮政编码</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2000" w:type="dxa"/>
            <w:vMerge w:val="restart"/>
            <w:vAlign w:val="center"/>
          </w:tcPr>
          <w:p>
            <w:pPr>
              <w:jc w:val="center"/>
              <w:rPr>
                <w:rFonts w:ascii="宋体" w:hAnsi="宋体" w:cs="宋体"/>
                <w:sz w:val="24"/>
              </w:rPr>
            </w:pPr>
            <w:r>
              <w:rPr>
                <w:rFonts w:ascii="宋体" w:hAnsi="宋体" w:cs="宋体"/>
                <w:sz w:val="24"/>
              </w:rPr>
              <w:t>联系方式</w:t>
            </w:r>
          </w:p>
        </w:tc>
        <w:tc>
          <w:tcPr>
            <w:tcW w:w="1080" w:type="dxa"/>
            <w:vAlign w:val="center"/>
          </w:tcPr>
          <w:p>
            <w:pPr>
              <w:jc w:val="center"/>
              <w:rPr>
                <w:rFonts w:ascii="宋体" w:hAnsi="宋体" w:cs="宋体"/>
                <w:sz w:val="24"/>
              </w:rPr>
            </w:pPr>
            <w:r>
              <w:rPr>
                <w:rFonts w:ascii="宋体" w:hAnsi="宋体" w:cs="宋体"/>
                <w:sz w:val="24"/>
              </w:rPr>
              <w:t>联系人</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电话</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Merge w:val="continue"/>
            <w:vAlign w:val="center"/>
          </w:tcPr>
          <w:p>
            <w:pPr>
              <w:jc w:val="center"/>
              <w:rPr>
                <w:rFonts w:ascii="宋体" w:hAnsi="宋体" w:cs="宋体"/>
                <w:sz w:val="24"/>
              </w:rPr>
            </w:pPr>
          </w:p>
        </w:tc>
        <w:tc>
          <w:tcPr>
            <w:tcW w:w="1080" w:type="dxa"/>
            <w:vAlign w:val="center"/>
          </w:tcPr>
          <w:p>
            <w:pPr>
              <w:jc w:val="center"/>
              <w:rPr>
                <w:rFonts w:ascii="宋体" w:hAnsi="宋体" w:cs="宋体"/>
                <w:sz w:val="24"/>
              </w:rPr>
            </w:pPr>
            <w:r>
              <w:rPr>
                <w:rFonts w:ascii="宋体" w:hAnsi="宋体" w:cs="宋体"/>
                <w:sz w:val="24"/>
              </w:rPr>
              <w:t>传真</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网址</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000" w:type="dxa"/>
            <w:vAlign w:val="center"/>
          </w:tcPr>
          <w:p>
            <w:pPr>
              <w:jc w:val="center"/>
              <w:rPr>
                <w:rFonts w:ascii="宋体" w:hAnsi="宋体" w:cs="宋体"/>
                <w:sz w:val="24"/>
              </w:rPr>
            </w:pPr>
            <w:r>
              <w:rPr>
                <w:rFonts w:ascii="宋体" w:hAnsi="宋体" w:cs="宋体"/>
                <w:sz w:val="24"/>
              </w:rPr>
              <w:t>法定代表人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技术负责人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2000" w:type="dxa"/>
            <w:vAlign w:val="center"/>
          </w:tcPr>
          <w:p>
            <w:pPr>
              <w:jc w:val="center"/>
              <w:rPr>
                <w:rFonts w:ascii="宋体" w:hAnsi="宋体" w:cs="宋体"/>
                <w:sz w:val="24"/>
              </w:rPr>
            </w:pPr>
            <w:r>
              <w:rPr>
                <w:rFonts w:ascii="宋体" w:hAnsi="宋体" w:cs="宋体"/>
                <w:sz w:val="24"/>
              </w:rPr>
              <w:t>成立时间</w:t>
            </w:r>
          </w:p>
        </w:tc>
        <w:tc>
          <w:tcPr>
            <w:tcW w:w="2880" w:type="dxa"/>
            <w:gridSpan w:val="2"/>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员工总人数：</w:t>
            </w:r>
          </w:p>
        </w:tc>
        <w:tc>
          <w:tcPr>
            <w:tcW w:w="3372" w:type="dxa"/>
            <w:gridSpan w:val="3"/>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营业执照号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注册资金</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开户银行</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2000" w:type="dxa"/>
            <w:vAlign w:val="center"/>
          </w:tcPr>
          <w:p>
            <w:pPr>
              <w:jc w:val="center"/>
              <w:rPr>
                <w:rFonts w:ascii="宋体" w:hAnsi="宋体" w:cs="宋体"/>
                <w:sz w:val="24"/>
              </w:rPr>
            </w:pPr>
            <w:r>
              <w:rPr>
                <w:rFonts w:ascii="宋体" w:hAnsi="宋体" w:cs="宋体"/>
                <w:sz w:val="24"/>
              </w:rPr>
              <w:t>账号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2000" w:type="dxa"/>
            <w:vAlign w:val="center"/>
          </w:tcPr>
          <w:p>
            <w:pPr>
              <w:jc w:val="center"/>
              <w:rPr>
                <w:rFonts w:ascii="宋体" w:hAnsi="宋体" w:cs="宋体"/>
                <w:sz w:val="24"/>
              </w:rPr>
            </w:pPr>
            <w:r>
              <w:rPr>
                <w:rFonts w:ascii="宋体" w:hAnsi="宋体" w:cs="宋体"/>
                <w:sz w:val="24"/>
              </w:rPr>
              <w:t>经营范围</w:t>
            </w:r>
          </w:p>
        </w:tc>
        <w:tc>
          <w:tcPr>
            <w:tcW w:w="7660" w:type="dxa"/>
            <w:gridSpan w:val="6"/>
            <w:vAlign w:val="center"/>
          </w:tcPr>
          <w:p>
            <w:pPr>
              <w:jc w:val="center"/>
              <w:rPr>
                <w:rFonts w:ascii="宋体" w:hAnsi="宋体" w:cs="宋体"/>
                <w:sz w:val="24"/>
              </w:rPr>
            </w:pPr>
          </w:p>
        </w:tc>
      </w:tr>
    </w:tbl>
    <w:p>
      <w:pPr>
        <w:pStyle w:val="6"/>
        <w:ind w:firstLine="480"/>
        <w:rPr>
          <w:rFonts w:ascii="宋体" w:hAnsi="宋体" w:cs="宋体"/>
          <w:color w:val="FF0000"/>
          <w:sz w:val="24"/>
          <w:szCs w:val="24"/>
        </w:rPr>
      </w:pPr>
    </w:p>
    <w:p>
      <w:pPr>
        <w:spacing w:line="480" w:lineRule="exact"/>
        <w:jc w:val="center"/>
        <w:rPr>
          <w:rFonts w:ascii="宋体" w:hAnsi="宋体" w:cs="宋体"/>
          <w:color w:val="FF0000"/>
          <w:sz w:val="24"/>
        </w:rPr>
      </w:pPr>
    </w:p>
    <w:p>
      <w:pPr>
        <w:spacing w:line="480" w:lineRule="exact"/>
        <w:jc w:val="center"/>
        <w:rPr>
          <w:rFonts w:ascii="宋体" w:hAnsi="宋体" w:cs="宋体"/>
          <w:color w:val="FF0000"/>
          <w:sz w:val="24"/>
        </w:rPr>
      </w:pPr>
    </w:p>
    <w:p>
      <w:pPr>
        <w:spacing w:line="274" w:lineRule="exact"/>
        <w:ind w:firstLine="3600" w:firstLineChars="15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p>
    <w:p>
      <w:pPr>
        <w:tabs>
          <w:tab w:val="left" w:pos="5620"/>
          <w:tab w:val="left" w:pos="6340"/>
          <w:tab w:val="left" w:pos="7060"/>
        </w:tabs>
        <w:spacing w:line="274" w:lineRule="exact"/>
        <w:ind w:firstLine="3600" w:firstLineChars="15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p>
    <w:p>
      <w:pPr>
        <w:pStyle w:val="30"/>
        <w:jc w:val="center"/>
        <w:rPr>
          <w:rFonts w:hint="eastAsia" w:hAnsi="宋体"/>
          <w:szCs w:val="32"/>
        </w:rPr>
        <w:sectPr>
          <w:pgSz w:w="11906" w:h="16838"/>
          <w:pgMar w:top="1440" w:right="1083" w:bottom="1440" w:left="1276" w:header="851" w:footer="992" w:gutter="0"/>
          <w:cols w:space="720" w:num="1"/>
          <w:docGrid w:type="lines" w:linePitch="314" w:charSpace="0"/>
        </w:sectPr>
      </w:pPr>
      <w:r>
        <w:rPr>
          <w:rFonts w:hint="eastAsia" w:hAnsi="宋体"/>
          <w:szCs w:val="32"/>
        </w:rPr>
        <w:br w:type="page"/>
      </w:r>
      <w:bookmarkStart w:id="199" w:name="_Toc262746026"/>
      <w:bookmarkStart w:id="200" w:name="_Toc332961933"/>
      <w:bookmarkStart w:id="201" w:name="_Toc12055"/>
      <w:bookmarkStart w:id="202" w:name="_Toc19310"/>
      <w:bookmarkStart w:id="203" w:name="_Toc7572"/>
      <w:bookmarkStart w:id="204" w:name="_Toc262483524"/>
      <w:bookmarkStart w:id="205" w:name="_Toc24479"/>
    </w:p>
    <w:p>
      <w:pPr>
        <w:pStyle w:val="30"/>
        <w:jc w:val="center"/>
        <w:rPr>
          <w:rFonts w:hAnsi="宋体"/>
          <w:b/>
          <w:bCs/>
          <w:sz w:val="30"/>
          <w:szCs w:val="30"/>
        </w:rPr>
      </w:pPr>
      <w:r>
        <w:rPr>
          <w:rFonts w:hint="eastAsia" w:hAnsi="宋体"/>
          <w:b/>
          <w:bCs/>
          <w:sz w:val="30"/>
          <w:szCs w:val="30"/>
        </w:rPr>
        <w:t>（二）供应商资格证明文件</w:t>
      </w:r>
      <w:bookmarkEnd w:id="199"/>
      <w:bookmarkEnd w:id="200"/>
      <w:bookmarkEnd w:id="201"/>
      <w:bookmarkEnd w:id="202"/>
      <w:bookmarkEnd w:id="203"/>
      <w:bookmarkEnd w:id="204"/>
      <w:bookmarkEnd w:id="205"/>
    </w:p>
    <w:p>
      <w:pPr>
        <w:spacing w:line="360" w:lineRule="auto"/>
        <w:ind w:firstLine="480" w:firstLineChars="200"/>
        <w:rPr>
          <w:rFonts w:ascii="宋体" w:hAnsi="宋体"/>
          <w:sz w:val="24"/>
        </w:rPr>
      </w:pPr>
      <w:bookmarkStart w:id="206" w:name="_Toc14362"/>
      <w:bookmarkStart w:id="207" w:name="_Toc30842"/>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w:t>
      </w:r>
    </w:p>
    <w:p>
      <w:pPr>
        <w:spacing w:line="360" w:lineRule="auto"/>
        <w:rPr>
          <w:rFonts w:ascii="宋体" w:hAnsi="宋体"/>
          <w:sz w:val="24"/>
        </w:rPr>
      </w:pPr>
      <w:r>
        <w:rPr>
          <w:rFonts w:hint="eastAsia" w:ascii="宋体" w:hAnsi="宋体"/>
          <w:sz w:val="24"/>
        </w:rPr>
        <w:t>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w:t>
      </w:r>
    </w:p>
    <w:p>
      <w:pPr>
        <w:spacing w:line="360" w:lineRule="auto"/>
        <w:rPr>
          <w:rFonts w:ascii="宋体" w:hAnsi="宋体"/>
          <w:sz w:val="24"/>
        </w:rPr>
      </w:pPr>
      <w:r>
        <w:rPr>
          <w:rFonts w:hint="eastAsia" w:ascii="宋体" w:hAnsi="宋体"/>
          <w:sz w:val="24"/>
        </w:rPr>
        <w:t>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pStyle w:val="10"/>
        <w:ind w:firstLine="562"/>
      </w:pPr>
    </w:p>
    <w:p>
      <w:pPr>
        <w:pStyle w:val="11"/>
        <w:ind w:left="5250"/>
      </w:pPr>
    </w:p>
    <w:p/>
    <w:p>
      <w:pPr>
        <w:autoSpaceDE w:val="0"/>
        <w:autoSpaceDN w:val="0"/>
        <w:adjustRightInd w:val="0"/>
        <w:snapToGrid w:val="0"/>
        <w:spacing w:line="360" w:lineRule="exact"/>
        <w:rPr>
          <w:rFonts w:ascii="宋体" w:hAnsi="宋体"/>
          <w:kern w:val="0"/>
          <w:sz w:val="24"/>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both"/>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sectPr>
          <w:pgSz w:w="11906" w:h="16838"/>
          <w:pgMar w:top="1440" w:right="1083" w:bottom="1440" w:left="1276" w:header="851" w:footer="992" w:gutter="0"/>
          <w:cols w:space="720" w:num="1"/>
          <w:docGrid w:type="lines" w:linePitch="314" w:charSpace="0"/>
        </w:sectPr>
      </w:pPr>
    </w:p>
    <w:p>
      <w:pPr>
        <w:autoSpaceDE w:val="0"/>
        <w:autoSpaceDN w:val="0"/>
        <w:adjustRightInd w:val="0"/>
        <w:snapToGrid w:val="0"/>
        <w:spacing w:line="360" w:lineRule="exact"/>
        <w:jc w:val="center"/>
        <w:rPr>
          <w:rFonts w:ascii="宋体" w:hAnsi="宋体" w:cs="宋体"/>
        </w:rPr>
      </w:pPr>
      <w:r>
        <w:rPr>
          <w:rFonts w:ascii="宋体" w:hAnsi="宋体" w:cs="宋体"/>
          <w:b/>
          <w:kern w:val="0"/>
          <w:sz w:val="30"/>
          <w:szCs w:val="30"/>
        </w:rPr>
        <w:t>（三）</w:t>
      </w:r>
      <w:r>
        <w:rPr>
          <w:rFonts w:ascii="宋体" w:hAnsi="宋体" w:cs="宋体"/>
          <w:b/>
          <w:sz w:val="30"/>
          <w:szCs w:val="30"/>
        </w:rPr>
        <w:t>反商业贿赂承诺书</w:t>
      </w:r>
      <w:bookmarkEnd w:id="206"/>
      <w:bookmarkEnd w:id="207"/>
    </w:p>
    <w:p>
      <w:pPr>
        <w:pStyle w:val="30"/>
        <w:rPr>
          <w:rFonts w:hAnsi="宋体"/>
        </w:rPr>
      </w:pPr>
    </w:p>
    <w:p>
      <w:pPr>
        <w:spacing w:line="360" w:lineRule="auto"/>
        <w:ind w:firstLine="480" w:firstLineChars="200"/>
        <w:rPr>
          <w:rFonts w:ascii="宋体" w:hAnsi="宋体" w:cs="宋体"/>
          <w:sz w:val="24"/>
        </w:rPr>
      </w:pPr>
      <w:bookmarkStart w:id="208" w:name="_Toc20346"/>
      <w:bookmarkStart w:id="209" w:name="_Toc24989"/>
      <w:r>
        <w:rPr>
          <w:rFonts w:ascii="宋体" w:hAnsi="宋体" w:cs="宋体"/>
          <w:sz w:val="24"/>
        </w:rPr>
        <w:t>我公司承诺：</w:t>
      </w:r>
      <w:bookmarkEnd w:id="208"/>
      <w:bookmarkEnd w:id="209"/>
    </w:p>
    <w:p>
      <w:pPr>
        <w:spacing w:line="360" w:lineRule="auto"/>
        <w:ind w:firstLine="480" w:firstLineChars="200"/>
        <w:rPr>
          <w:rFonts w:ascii="宋体" w:hAnsi="宋体" w:cs="宋体"/>
          <w:sz w:val="24"/>
        </w:rPr>
      </w:pPr>
      <w:bookmarkStart w:id="210" w:name="_Toc24819"/>
      <w:bookmarkStart w:id="211" w:name="_Toc10849"/>
      <w:r>
        <w:rPr>
          <w:rFonts w:ascii="宋体" w:hAnsi="宋体" w:cs="宋体"/>
          <w:sz w:val="24"/>
        </w:rPr>
        <w:t>在</w:t>
      </w:r>
      <w:r>
        <w:rPr>
          <w:rFonts w:hint="eastAsia" w:ascii="宋体" w:hAnsi="宋体" w:cs="宋体"/>
          <w:sz w:val="24"/>
          <w:u w:val="single"/>
        </w:rPr>
        <w:t xml:space="preserve"> </w:t>
      </w:r>
      <w:r>
        <w:rPr>
          <w:rFonts w:ascii="宋体" w:hAnsi="宋体" w:cs="宋体"/>
          <w:sz w:val="24"/>
          <w:u w:val="single"/>
        </w:rPr>
        <w:t xml:space="preserve">           （项目名称</w:t>
      </w:r>
      <w:r>
        <w:rPr>
          <w:rFonts w:hint="eastAsia" w:ascii="宋体" w:hAnsi="宋体" w:cs="宋体"/>
          <w:sz w:val="24"/>
          <w:u w:val="single"/>
          <w:lang w:eastAsia="zh-CN"/>
        </w:rPr>
        <w:t>、标段</w:t>
      </w:r>
      <w:r>
        <w:rPr>
          <w:rFonts w:ascii="宋体" w:hAnsi="宋体" w:cs="宋体"/>
          <w:sz w:val="24"/>
          <w:u w:val="single"/>
        </w:rPr>
        <w:t xml:space="preserve">） </w:t>
      </w:r>
      <w:r>
        <w:rPr>
          <w:rFonts w:ascii="宋体" w:hAnsi="宋体" w:cs="宋体"/>
          <w:sz w:val="24"/>
        </w:rPr>
        <w:t>投标活动中，我公司保证做到：</w:t>
      </w:r>
      <w:bookmarkEnd w:id="210"/>
      <w:bookmarkEnd w:id="211"/>
    </w:p>
    <w:p>
      <w:pPr>
        <w:spacing w:line="360" w:lineRule="auto"/>
        <w:ind w:firstLine="480" w:firstLineChars="200"/>
        <w:rPr>
          <w:rFonts w:ascii="宋体" w:hAnsi="宋体" w:cs="宋体"/>
          <w:sz w:val="24"/>
        </w:rPr>
      </w:pPr>
      <w:bookmarkStart w:id="212" w:name="_Toc28791"/>
      <w:bookmarkStart w:id="213" w:name="_Toc31445"/>
      <w:r>
        <w:rPr>
          <w:rFonts w:ascii="宋体" w:hAnsi="宋体" w:cs="宋体"/>
          <w:sz w:val="24"/>
        </w:rPr>
        <w:t>一、公平竞争参加本次招标活动。</w:t>
      </w:r>
      <w:bookmarkEnd w:id="212"/>
      <w:bookmarkEnd w:id="213"/>
    </w:p>
    <w:p>
      <w:pPr>
        <w:spacing w:line="360" w:lineRule="auto"/>
        <w:ind w:firstLine="480" w:firstLineChars="200"/>
        <w:rPr>
          <w:rFonts w:ascii="宋体" w:hAnsi="宋体" w:cs="宋体"/>
          <w:sz w:val="24"/>
        </w:rPr>
      </w:pPr>
      <w:bookmarkStart w:id="214" w:name="_Toc4016"/>
      <w:bookmarkStart w:id="215" w:name="_Toc6152"/>
      <w:r>
        <w:rPr>
          <w:rFonts w:ascii="宋体" w:hAnsi="宋体" w:cs="宋体"/>
          <w:sz w:val="24"/>
        </w:rPr>
        <w:t>二、杜绝任何形式的商业贿赂行为。不向国家工作人员、政府招标代理机构工作人员、评审专家及其亲属提供礼品礼金、有价证券、购物券、回扣、佣金、咨询费、劳务费、赞助费、宣传费、宴请；不为其报销各种消费凭证，不支付其旅游、娱乐等费用。</w:t>
      </w:r>
      <w:bookmarkEnd w:id="214"/>
      <w:bookmarkEnd w:id="215"/>
    </w:p>
    <w:p>
      <w:pPr>
        <w:spacing w:line="360" w:lineRule="auto"/>
        <w:ind w:firstLine="480" w:firstLineChars="200"/>
        <w:rPr>
          <w:rFonts w:ascii="宋体" w:hAnsi="宋体" w:cs="宋体"/>
          <w:sz w:val="24"/>
        </w:rPr>
      </w:pPr>
      <w:bookmarkStart w:id="216" w:name="_Toc27402"/>
      <w:bookmarkStart w:id="217" w:name="_Toc31052"/>
      <w:r>
        <w:rPr>
          <w:rFonts w:ascii="宋体" w:hAnsi="宋体" w:cs="宋体"/>
          <w:sz w:val="24"/>
        </w:rPr>
        <w:t>三、若出现上述行为，我公司及参与采购的工作人员愿意接受按照国家法律法规等有关规定给予的处罚。</w:t>
      </w:r>
      <w:bookmarkEnd w:id="216"/>
      <w:bookmarkEnd w:id="217"/>
    </w:p>
    <w:p>
      <w:pPr>
        <w:ind w:firstLine="560" w:firstLineChars="200"/>
        <w:rPr>
          <w:rFonts w:ascii="宋体" w:hAnsi="宋体" w:cs="宋体"/>
          <w:sz w:val="28"/>
          <w:szCs w:val="28"/>
        </w:rPr>
      </w:pPr>
    </w:p>
    <w:p>
      <w:pPr>
        <w:ind w:firstLine="560" w:firstLineChars="200"/>
        <w:rPr>
          <w:rFonts w:ascii="宋体" w:hAnsi="宋体" w:cs="宋体"/>
          <w:sz w:val="28"/>
          <w:szCs w:val="28"/>
        </w:rPr>
      </w:pPr>
    </w:p>
    <w:p>
      <w:pPr>
        <w:ind w:firstLine="560" w:firstLineChars="200"/>
        <w:rPr>
          <w:rFonts w:ascii="宋体" w:hAnsi="宋体" w:cs="宋体"/>
          <w:sz w:val="28"/>
          <w:szCs w:val="28"/>
        </w:rPr>
      </w:pPr>
    </w:p>
    <w:p>
      <w:pPr>
        <w:jc w:val="right"/>
        <w:rPr>
          <w:rFonts w:ascii="宋体" w:hAnsi="宋体" w:cs="宋体"/>
          <w:sz w:val="24"/>
        </w:rPr>
      </w:pPr>
      <w:r>
        <w:rPr>
          <w:rFonts w:ascii="宋体" w:hAnsi="宋体" w:cs="宋体"/>
          <w:sz w:val="24"/>
        </w:rPr>
        <w:t>供应商：</w:t>
      </w:r>
      <w:r>
        <w:rPr>
          <w:rFonts w:ascii="宋体" w:hAnsi="宋体" w:cs="宋体"/>
          <w:sz w:val="24"/>
          <w:u w:val="single"/>
        </w:rPr>
        <w:t xml:space="preserve">                    （</w:t>
      </w:r>
      <w:r>
        <w:rPr>
          <w:rFonts w:ascii="宋体" w:hAnsi="宋体" w:cs="宋体"/>
          <w:sz w:val="24"/>
        </w:rPr>
        <w:t>企业电子签章）</w:t>
      </w:r>
    </w:p>
    <w:p>
      <w:pPr>
        <w:ind w:firstLine="480" w:firstLineChars="200"/>
        <w:jc w:val="right"/>
        <w:rPr>
          <w:rFonts w:ascii="宋体" w:hAnsi="宋体" w:cs="宋体"/>
          <w:sz w:val="24"/>
        </w:rPr>
      </w:pPr>
    </w:p>
    <w:p>
      <w:pPr>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ind w:firstLine="560" w:firstLineChars="200"/>
        <w:jc w:val="left"/>
        <w:rPr>
          <w:rFonts w:ascii="宋体" w:hAnsi="宋体" w:cs="宋体"/>
          <w:sz w:val="28"/>
          <w:szCs w:val="28"/>
        </w:rPr>
      </w:pPr>
    </w:p>
    <w:p>
      <w:pPr>
        <w:autoSpaceDE w:val="0"/>
        <w:autoSpaceDN w:val="0"/>
        <w:adjustRightInd w:val="0"/>
        <w:spacing w:before="14" w:line="480" w:lineRule="exact"/>
        <w:ind w:firstLine="6720" w:firstLineChars="2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spacing w:line="360" w:lineRule="auto"/>
        <w:jc w:val="center"/>
        <w:rPr>
          <w:rFonts w:ascii="宋体" w:hAnsi="宋体" w:cs="宋体"/>
          <w:b/>
          <w:bCs/>
          <w:sz w:val="32"/>
          <w:szCs w:val="32"/>
        </w:rPr>
      </w:pPr>
    </w:p>
    <w:p>
      <w:pPr>
        <w:spacing w:line="360" w:lineRule="auto"/>
        <w:jc w:val="center"/>
        <w:rPr>
          <w:rFonts w:ascii="宋体" w:hAnsi="宋体" w:cs="宋体"/>
          <w:b/>
          <w:bCs/>
          <w:sz w:val="32"/>
          <w:szCs w:val="32"/>
        </w:rPr>
        <w:sectPr>
          <w:pgSz w:w="11906" w:h="16838"/>
          <w:pgMar w:top="1440" w:right="1083" w:bottom="1440" w:left="1276" w:header="851" w:footer="992" w:gutter="0"/>
          <w:cols w:space="720" w:num="1"/>
          <w:docGrid w:type="lines" w:linePitch="314" w:charSpace="0"/>
        </w:sectPr>
      </w:pPr>
    </w:p>
    <w:p>
      <w:pPr>
        <w:numPr>
          <w:ilvl w:val="0"/>
          <w:numId w:val="2"/>
        </w:numPr>
        <w:spacing w:line="360" w:lineRule="auto"/>
        <w:jc w:val="center"/>
        <w:rPr>
          <w:rFonts w:ascii="宋体" w:hAnsi="宋体" w:cs="宋体"/>
          <w:b/>
          <w:bCs/>
          <w:sz w:val="32"/>
          <w:szCs w:val="32"/>
        </w:rPr>
      </w:pPr>
      <w:r>
        <w:rPr>
          <w:rFonts w:ascii="宋体" w:hAnsi="宋体" w:cs="宋体"/>
          <w:b/>
          <w:bCs/>
          <w:sz w:val="32"/>
          <w:szCs w:val="32"/>
        </w:rPr>
        <w:t>报价明细表</w:t>
      </w:r>
      <w:bookmarkStart w:id="218" w:name="_Toc5862"/>
    </w:p>
    <w:p>
      <w:pPr>
        <w:numPr>
          <w:ilvl w:val="0"/>
          <w:numId w:val="0"/>
        </w:numPr>
        <w:spacing w:line="360" w:lineRule="auto"/>
        <w:jc w:val="center"/>
        <w:rPr>
          <w:rFonts w:ascii="宋体" w:hAnsi="宋体" w:cs="宋体"/>
          <w:b/>
          <w:bCs/>
          <w:sz w:val="24"/>
          <w:lang w:val="zh-CN"/>
        </w:rPr>
      </w:pPr>
      <w:r>
        <w:rPr>
          <w:rFonts w:hint="eastAsia" w:ascii="宋体" w:hAnsi="宋体" w:cs="宋体"/>
          <w:b/>
          <w:bCs/>
          <w:sz w:val="24"/>
          <w:lang w:val="zh-CN"/>
        </w:rPr>
        <w:t>采购货物报价明细表</w:t>
      </w:r>
      <w:bookmarkEnd w:id="218"/>
    </w:p>
    <w:p>
      <w:pPr>
        <w:pStyle w:val="10"/>
        <w:ind w:firstLine="562"/>
        <w:rPr>
          <w:lang w:val="zh-CN"/>
        </w:rPr>
      </w:pPr>
    </w:p>
    <w:tbl>
      <w:tblPr>
        <w:tblStyle w:val="2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851"/>
        <w:gridCol w:w="992"/>
        <w:gridCol w:w="992"/>
        <w:gridCol w:w="993"/>
        <w:gridCol w:w="1275"/>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62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序号</w:t>
            </w:r>
          </w:p>
        </w:tc>
        <w:tc>
          <w:tcPr>
            <w:tcW w:w="10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名称</w:t>
            </w:r>
          </w:p>
        </w:tc>
        <w:tc>
          <w:tcPr>
            <w:tcW w:w="8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ind w:firstLine="240" w:firstLineChars="100"/>
              <w:rPr>
                <w:rFonts w:ascii="宋体" w:hAnsi="宋体" w:cs="宋体"/>
                <w:color w:val="000000"/>
                <w:sz w:val="24"/>
              </w:rPr>
            </w:pPr>
            <w:r>
              <w:rPr>
                <w:rFonts w:hint="eastAsia" w:ascii="宋体" w:hAnsi="宋体" w:cs="宋体"/>
                <w:color w:val="000000"/>
                <w:sz w:val="24"/>
              </w:rPr>
              <w:t>型号</w:t>
            </w: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p>
            <w:pPr>
              <w:jc w:val="center"/>
              <w:rPr>
                <w:rFonts w:ascii="宋体" w:hAnsi="宋体" w:cs="宋体"/>
                <w:color w:val="000000"/>
                <w:sz w:val="24"/>
              </w:rPr>
            </w:pPr>
            <w:r>
              <w:rPr>
                <w:rFonts w:hint="eastAsia" w:ascii="宋体" w:hAnsi="宋体" w:cs="宋体"/>
                <w:color w:val="000000"/>
                <w:sz w:val="24"/>
              </w:rPr>
              <w:t>参数</w:t>
            </w:r>
          </w:p>
        </w:tc>
        <w:tc>
          <w:tcPr>
            <w:tcW w:w="99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单位</w:t>
            </w:r>
          </w:p>
        </w:tc>
        <w:tc>
          <w:tcPr>
            <w:tcW w:w="99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数量</w:t>
            </w:r>
          </w:p>
        </w:tc>
        <w:tc>
          <w:tcPr>
            <w:tcW w:w="127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 xml:space="preserve"> 单价（元）</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小计</w:t>
            </w:r>
            <w:r>
              <w:rPr>
                <w:rFonts w:ascii="宋体" w:hAnsi="宋体" w:cs="宋体"/>
                <w:color w:val="000000"/>
                <w:sz w:val="24"/>
              </w:rPr>
              <w:t>(</w:t>
            </w:r>
            <w:r>
              <w:rPr>
                <w:rFonts w:hint="eastAsia" w:ascii="宋体" w:hAnsi="宋体" w:cs="宋体"/>
                <w:color w:val="000000"/>
                <w:sz w:val="24"/>
              </w:rPr>
              <w:t>元)</w:t>
            </w:r>
          </w:p>
        </w:tc>
        <w:tc>
          <w:tcPr>
            <w:tcW w:w="15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6799" w:type="dxa"/>
            <w:gridSpan w:val="7"/>
            <w:tcBorders>
              <w:top w:val="single" w:color="auto" w:sz="4" w:space="0"/>
              <w:left w:val="single" w:color="auto" w:sz="4" w:space="0"/>
              <w:bottom w:val="single" w:color="auto" w:sz="4" w:space="0"/>
              <w:right w:val="single" w:color="auto" w:sz="4" w:space="0"/>
            </w:tcBorders>
          </w:tcPr>
          <w:p>
            <w:pPr>
              <w:ind w:right="1380"/>
              <w:rPr>
                <w:rFonts w:ascii="宋体" w:hAnsi="宋体" w:cs="宋体"/>
                <w:color w:val="000000"/>
                <w:sz w:val="24"/>
              </w:rPr>
            </w:pPr>
          </w:p>
          <w:p>
            <w:pPr>
              <w:ind w:right="1380" w:firstLine="4320" w:firstLineChars="1800"/>
              <w:rPr>
                <w:rFonts w:ascii="宋体" w:hAnsi="宋体" w:cs="宋体"/>
                <w:color w:val="000000"/>
                <w:sz w:val="24"/>
              </w:rPr>
            </w:pPr>
            <w:r>
              <w:rPr>
                <w:rFonts w:hint="eastAsia" w:ascii="宋体" w:hAnsi="宋体" w:cs="宋体"/>
                <w:color w:val="000000"/>
                <w:sz w:val="24"/>
              </w:rPr>
              <w:t>合计</w:t>
            </w: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bl>
    <w:p>
      <w:pPr>
        <w:spacing w:line="360" w:lineRule="auto"/>
        <w:jc w:val="left"/>
        <w:rPr>
          <w:rFonts w:ascii="宋体" w:hAnsi="宋体" w:cs="宋体"/>
          <w:sz w:val="24"/>
        </w:rPr>
      </w:pPr>
      <w:r>
        <w:rPr>
          <w:rFonts w:hint="eastAsia" w:ascii="宋体" w:hAnsi="宋体" w:cs="宋体"/>
          <w:sz w:val="24"/>
        </w:rPr>
        <w:t>备注：1、表中总报价包含产品的采购、安装调试以及相关的技术服务和各项税费等全部费用。</w:t>
      </w:r>
    </w:p>
    <w:p>
      <w:pPr>
        <w:spacing w:line="360" w:lineRule="auto"/>
        <w:jc w:val="left"/>
        <w:rPr>
          <w:rFonts w:ascii="宋体" w:hAnsi="宋体" w:cs="宋体"/>
          <w:sz w:val="24"/>
        </w:rPr>
      </w:pPr>
      <w:r>
        <w:rPr>
          <w:rFonts w:hint="eastAsia" w:ascii="宋体" w:hAnsi="宋体" w:cs="宋体"/>
          <w:sz w:val="24"/>
        </w:rPr>
        <w:t xml:space="preserve">    2、所有价格以人民币表示。</w:t>
      </w:r>
    </w:p>
    <w:p>
      <w:pPr>
        <w:spacing w:line="360" w:lineRule="auto"/>
        <w:jc w:val="left"/>
        <w:rPr>
          <w:rFonts w:ascii="宋体" w:hAnsi="宋体" w:cs="宋体"/>
          <w:sz w:val="24"/>
        </w:rPr>
      </w:pPr>
      <w:r>
        <w:rPr>
          <w:rFonts w:hint="eastAsia" w:ascii="宋体" w:hAnsi="宋体" w:cs="宋体"/>
          <w:sz w:val="24"/>
        </w:rPr>
        <w:t xml:space="preserve">    3.若总价与单价不符，以单价为准。</w:t>
      </w:r>
    </w:p>
    <w:p>
      <w:pPr>
        <w:spacing w:line="360" w:lineRule="auto"/>
        <w:ind w:firstLine="480" w:firstLineChars="200"/>
        <w:jc w:val="left"/>
        <w:rPr>
          <w:rFonts w:ascii="宋体" w:hAnsi="宋体" w:cs="宋体"/>
          <w:sz w:val="24"/>
        </w:rPr>
      </w:pPr>
      <w:r>
        <w:rPr>
          <w:rFonts w:hint="eastAsia" w:ascii="宋体" w:hAnsi="宋体" w:cs="宋体"/>
          <w:sz w:val="24"/>
        </w:rPr>
        <w:t>4.本页总合计与投标函、投标函附录中的投标报价应一致，若因不一致所造成的后果由供应商负责。</w:t>
      </w:r>
    </w:p>
    <w:p>
      <w:pPr>
        <w:spacing w:line="360" w:lineRule="auto"/>
        <w:ind w:firstLine="480" w:firstLineChars="200"/>
        <w:jc w:val="left"/>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本表格式可根据各供应商实际需要自行调整。</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spacing w:line="360" w:lineRule="auto"/>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b/>
          <w:bCs/>
          <w:snapToGrid w:val="0"/>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bookmarkStart w:id="219" w:name="_Toc25392"/>
    </w:p>
    <w:p>
      <w:pPr>
        <w:pStyle w:val="30"/>
        <w:jc w:val="center"/>
        <w:rPr>
          <w:b/>
          <w:bCs/>
          <w:snapToGrid w:val="0"/>
        </w:rPr>
      </w:pPr>
      <w:r>
        <w:rPr>
          <w:rFonts w:hint="eastAsia"/>
          <w:b/>
          <w:bCs/>
          <w:snapToGrid w:val="0"/>
        </w:rPr>
        <w:t>技术偏差表</w:t>
      </w:r>
      <w:bookmarkEnd w:id="219"/>
    </w:p>
    <w:tbl>
      <w:tblPr>
        <w:tblStyle w:val="22"/>
        <w:tblpPr w:leftFromText="180" w:rightFromText="180" w:vertAnchor="text" w:horzAnchor="page" w:tblpXSpec="center" w:tblpY="434"/>
        <w:tblOverlap w:val="never"/>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76"/>
        <w:gridCol w:w="1419"/>
        <w:gridCol w:w="1627"/>
        <w:gridCol w:w="1837"/>
        <w:gridCol w:w="1960"/>
        <w:gridCol w:w="122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28" w:hRule="exact"/>
        </w:trPr>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货物名称</w:t>
            </w:r>
          </w:p>
        </w:tc>
        <w:tc>
          <w:tcPr>
            <w:tcW w:w="1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生产厂家/产地/品牌</w:t>
            </w:r>
          </w:p>
        </w:tc>
        <w:tc>
          <w:tcPr>
            <w:tcW w:w="1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采购文件要求参数、规格要求</w:t>
            </w:r>
          </w:p>
        </w:tc>
        <w:tc>
          <w:tcPr>
            <w:tcW w:w="19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投标文件参数、规格</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偏差说明</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4"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bl>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备注：</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1、“偏差说明”栏中详细注明所投产品与采购文件要求有何不同，并说明其符合性。</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2、投标货物若存在偏差的必需如实填写本表，否则可能导致投标被废标的可能。</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3、无偏差的在偏差说明中写无偏差。</w:t>
      </w: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widowControl/>
        <w:kinsoku w:val="0"/>
        <w:autoSpaceDE w:val="0"/>
        <w:autoSpaceDN w:val="0"/>
        <w:spacing w:line="360" w:lineRule="auto"/>
        <w:textAlignment w:val="baseline"/>
        <w:rPr>
          <w:rFonts w:ascii="宋体" w:hAnsi="宋体" w:cs="宋体"/>
          <w:snapToGrid w:val="0"/>
          <w:color w:val="000000"/>
          <w:kern w:val="0"/>
          <w:szCs w:val="21"/>
        </w:rPr>
      </w:pPr>
    </w:p>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pStyle w:val="8"/>
      </w:pPr>
    </w:p>
    <w:p>
      <w:pPr>
        <w:spacing w:line="360" w:lineRule="auto"/>
        <w:ind w:right="960"/>
        <w:jc w:val="right"/>
        <w:rPr>
          <w:rFonts w:ascii="宋体" w:hAnsi="宋体" w:cs="宋体"/>
          <w:sz w:val="24"/>
        </w:rPr>
      </w:pPr>
      <w:bookmarkStart w:id="220" w:name="_Toc30356"/>
      <w:bookmarkStart w:id="221" w:name="_Toc12318"/>
      <w:bookmarkStart w:id="222" w:name="_Toc18755"/>
      <w:bookmarkStart w:id="223" w:name="_Toc5553"/>
      <w:bookmarkStart w:id="224" w:name="_Toc21418"/>
      <w:bookmarkStart w:id="225" w:name="_Toc2708"/>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Cs w:val="21"/>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bookmarkEnd w:id="220"/>
      <w:bookmarkEnd w:id="221"/>
      <w:bookmarkEnd w:id="222"/>
      <w:bookmarkEnd w:id="223"/>
      <w:bookmarkEnd w:id="224"/>
      <w:bookmarkEnd w:id="225"/>
    </w:p>
    <w:p>
      <w:pPr>
        <w:pStyle w:val="30"/>
        <w:jc w:val="center"/>
        <w:rPr>
          <w:rFonts w:hint="eastAsia"/>
          <w:b/>
          <w:bCs/>
          <w:sz w:val="32"/>
          <w:szCs w:val="32"/>
          <w:lang w:val="zh-CN"/>
        </w:rPr>
        <w:sectPr>
          <w:pgSz w:w="11910" w:h="16840"/>
          <w:pgMar w:top="1500" w:right="1380" w:bottom="1780" w:left="1580" w:header="0" w:footer="1595" w:gutter="0"/>
          <w:cols w:space="720" w:num="1"/>
        </w:sectPr>
      </w:pPr>
      <w:bookmarkStart w:id="226" w:name="_Toc19897"/>
      <w:bookmarkStart w:id="227" w:name="_Toc32374"/>
      <w:bookmarkStart w:id="228" w:name="_Toc20386"/>
      <w:bookmarkStart w:id="229" w:name="_Toc11300"/>
      <w:bookmarkStart w:id="230" w:name="_Toc25474"/>
      <w:bookmarkStart w:id="231" w:name="_Toc24481"/>
    </w:p>
    <w:p>
      <w:pPr>
        <w:pStyle w:val="30"/>
        <w:jc w:val="center"/>
        <w:rPr>
          <w:b/>
          <w:bCs/>
          <w:sz w:val="32"/>
          <w:szCs w:val="32"/>
          <w:lang w:val="zh-CN"/>
        </w:rPr>
      </w:pPr>
      <w:r>
        <w:rPr>
          <w:rFonts w:hint="eastAsia"/>
          <w:b/>
          <w:bCs/>
          <w:sz w:val="32"/>
          <w:szCs w:val="32"/>
          <w:lang w:val="zh-CN"/>
        </w:rPr>
        <w:t>六、</w:t>
      </w:r>
      <w:bookmarkEnd w:id="226"/>
      <w:bookmarkEnd w:id="227"/>
      <w:bookmarkEnd w:id="228"/>
      <w:bookmarkEnd w:id="229"/>
      <w:bookmarkEnd w:id="230"/>
      <w:r>
        <w:rPr>
          <w:rFonts w:hint="eastAsia"/>
          <w:b/>
          <w:bCs/>
          <w:sz w:val="32"/>
          <w:szCs w:val="32"/>
          <w:lang w:val="zh-CN"/>
        </w:rPr>
        <w:t>项目实施方案</w:t>
      </w:r>
      <w:bookmarkEnd w:id="231"/>
    </w:p>
    <w:p>
      <w:pPr>
        <w:autoSpaceDE w:val="0"/>
        <w:autoSpaceDN w:val="0"/>
        <w:rPr>
          <w:rFonts w:ascii="宋体" w:hAnsi="宋体" w:cs="宋体"/>
          <w:szCs w:val="21"/>
        </w:rPr>
      </w:pPr>
    </w:p>
    <w:p>
      <w:pPr>
        <w:autoSpaceDE w:val="0"/>
        <w:autoSpaceDN w:val="0"/>
        <w:jc w:val="center"/>
        <w:rPr>
          <w:rFonts w:ascii="宋体" w:hAnsi="宋体" w:cs="宋体"/>
          <w:sz w:val="24"/>
        </w:rPr>
      </w:pPr>
      <w:r>
        <w:rPr>
          <w:rFonts w:hint="eastAsia" w:ascii="宋体" w:hAnsi="宋体" w:cs="宋体"/>
          <w:sz w:val="24"/>
        </w:rPr>
        <w:t>评分办法中所要求的方案及其它相关资料等，格式自拟</w:t>
      </w:r>
    </w:p>
    <w:p>
      <w:pPr>
        <w:autoSpaceDE w:val="0"/>
        <w:autoSpaceDN w:val="0"/>
        <w:rPr>
          <w:rFonts w:ascii="宋体" w:hAnsi="宋体" w:cs="宋体"/>
          <w:szCs w:val="21"/>
        </w:rPr>
      </w:pPr>
    </w:p>
    <w:p>
      <w:pPr>
        <w:rPr>
          <w:rFonts w:ascii="宋体" w:hAnsi="宋体" w:cs="宋体"/>
          <w:b/>
          <w:bCs/>
          <w:szCs w:val="21"/>
        </w:rPr>
      </w:pPr>
    </w:p>
    <w:p>
      <w:pPr>
        <w:pStyle w:val="30"/>
        <w:jc w:val="center"/>
        <w:rPr>
          <w:b/>
          <w:bCs/>
          <w:sz w:val="32"/>
          <w:szCs w:val="32"/>
          <w:lang w:val="zh-CN"/>
        </w:rPr>
      </w:pPr>
      <w:r>
        <w:rPr>
          <w:rFonts w:hint="eastAsia"/>
          <w:szCs w:val="21"/>
        </w:rPr>
        <w:br w:type="page"/>
      </w:r>
      <w:bookmarkStart w:id="232" w:name="_Toc16571"/>
      <w:bookmarkStart w:id="233" w:name="_Toc6959"/>
      <w:bookmarkStart w:id="234" w:name="_Toc32339"/>
      <w:bookmarkStart w:id="235" w:name="_Toc3580"/>
      <w:bookmarkStart w:id="236" w:name="_Toc1265"/>
      <w:bookmarkStart w:id="237" w:name="_Toc4080"/>
      <w:r>
        <w:rPr>
          <w:rFonts w:hint="eastAsia"/>
          <w:b/>
          <w:bCs/>
          <w:sz w:val="32"/>
          <w:szCs w:val="32"/>
        </w:rPr>
        <w:t>七</w:t>
      </w:r>
      <w:r>
        <w:rPr>
          <w:rFonts w:hint="eastAsia"/>
          <w:b/>
          <w:bCs/>
          <w:sz w:val="32"/>
          <w:szCs w:val="32"/>
          <w:lang w:val="zh-CN"/>
        </w:rPr>
        <w:t>、</w:t>
      </w:r>
      <w:bookmarkEnd w:id="232"/>
      <w:bookmarkEnd w:id="233"/>
      <w:bookmarkEnd w:id="234"/>
      <w:bookmarkEnd w:id="235"/>
      <w:bookmarkEnd w:id="236"/>
      <w:bookmarkEnd w:id="237"/>
      <w:r>
        <w:rPr>
          <w:rFonts w:hint="eastAsia"/>
          <w:b/>
          <w:bCs/>
          <w:sz w:val="32"/>
          <w:szCs w:val="32"/>
          <w:lang w:val="zh-CN"/>
        </w:rPr>
        <w:t>售后服务承诺</w:t>
      </w:r>
    </w:p>
    <w:p>
      <w:pPr>
        <w:autoSpaceDE w:val="0"/>
        <w:autoSpaceDN w:val="0"/>
        <w:jc w:val="center"/>
        <w:rPr>
          <w:rFonts w:ascii="宋体" w:hAnsi="宋体" w:cs="宋体"/>
          <w:b/>
          <w:bCs/>
          <w:szCs w:val="21"/>
          <w:lang w:val="zh-CN"/>
        </w:rPr>
      </w:pPr>
    </w:p>
    <w:p>
      <w:pPr>
        <w:jc w:val="center"/>
        <w:rPr>
          <w:rFonts w:ascii="宋体" w:hAnsi="宋体"/>
          <w:bCs/>
          <w:kern w:val="0"/>
          <w:sz w:val="24"/>
        </w:rPr>
      </w:pPr>
      <w:r>
        <w:rPr>
          <w:rFonts w:hint="eastAsia" w:ascii="宋体" w:hAnsi="宋体"/>
          <w:bCs/>
          <w:kern w:val="0"/>
          <w:sz w:val="24"/>
        </w:rPr>
        <w:t>（格式自拟）</w:t>
      </w:r>
    </w:p>
    <w:p>
      <w:pPr>
        <w:jc w:val="center"/>
        <w:rPr>
          <w:rFonts w:ascii="宋体" w:hAnsi="宋体" w:cs="宋体"/>
          <w:b/>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30"/>
      </w:pPr>
    </w:p>
    <w:p>
      <w:pPr>
        <w:rPr>
          <w:rFonts w:ascii="宋体" w:hAnsi="宋体" w:cs="宋体"/>
          <w:szCs w:val="21"/>
        </w:rPr>
      </w:pPr>
    </w:p>
    <w:p>
      <w:pPr>
        <w:pStyle w:val="30"/>
        <w:jc w:val="center"/>
        <w:rPr>
          <w:b/>
          <w:bCs/>
          <w:sz w:val="32"/>
          <w:szCs w:val="32"/>
        </w:rPr>
      </w:pPr>
      <w:r>
        <w:rPr>
          <w:rFonts w:hint="eastAsia"/>
          <w:szCs w:val="21"/>
        </w:rPr>
        <w:br w:type="page"/>
      </w:r>
      <w:bookmarkStart w:id="238" w:name="_Toc24081"/>
      <w:bookmarkStart w:id="239" w:name="_Toc30431"/>
      <w:bookmarkStart w:id="240" w:name="_Toc13392"/>
      <w:bookmarkStart w:id="241" w:name="_Toc32158"/>
      <w:bookmarkStart w:id="242" w:name="_Toc993"/>
      <w:bookmarkStart w:id="243" w:name="_Toc16544"/>
      <w:r>
        <w:rPr>
          <w:rFonts w:hint="eastAsia"/>
          <w:b/>
          <w:bCs/>
          <w:sz w:val="32"/>
          <w:szCs w:val="32"/>
        </w:rPr>
        <w:t>八、其他资料</w:t>
      </w:r>
      <w:bookmarkEnd w:id="238"/>
      <w:bookmarkEnd w:id="239"/>
      <w:bookmarkEnd w:id="240"/>
      <w:bookmarkEnd w:id="241"/>
      <w:bookmarkEnd w:id="242"/>
      <w:bookmarkEnd w:id="243"/>
    </w:p>
    <w:p>
      <w:pPr>
        <w:tabs>
          <w:tab w:val="left" w:pos="360"/>
        </w:tabs>
        <w:autoSpaceDE w:val="0"/>
        <w:autoSpaceDN w:val="0"/>
        <w:adjustRightInd w:val="0"/>
        <w:snapToGrid w:val="0"/>
        <w:rPr>
          <w:rFonts w:ascii="宋体" w:hAnsi="宋体" w:cs="宋体"/>
          <w:szCs w:val="21"/>
        </w:rPr>
      </w:pPr>
    </w:p>
    <w:p>
      <w:pPr>
        <w:rPr>
          <w:rFonts w:ascii="宋体" w:hAnsi="宋体" w:cs="宋体"/>
          <w:szCs w:val="21"/>
        </w:rPr>
      </w:pPr>
    </w:p>
    <w:p>
      <w:pPr>
        <w:numPr>
          <w:ilvl w:val="0"/>
          <w:numId w:val="3"/>
        </w:numPr>
        <w:autoSpaceDE w:val="0"/>
        <w:autoSpaceDN w:val="0"/>
        <w:adjustRightInd w:val="0"/>
        <w:spacing w:line="360" w:lineRule="auto"/>
        <w:rPr>
          <w:rFonts w:ascii="宋体" w:hAnsi="宋体"/>
          <w:b/>
          <w:bCs/>
          <w:sz w:val="24"/>
        </w:rPr>
      </w:pPr>
      <w:r>
        <w:rPr>
          <w:rFonts w:hint="eastAsia" w:ascii="宋体" w:hAnsi="宋体"/>
          <w:b/>
          <w:bCs/>
          <w:sz w:val="24"/>
        </w:rPr>
        <w:t>承诺书</w:t>
      </w:r>
    </w:p>
    <w:p>
      <w:pPr>
        <w:spacing w:line="360" w:lineRule="auto"/>
        <w:ind w:left="420" w:leftChars="200"/>
        <w:rPr>
          <w:rFonts w:ascii="宋体" w:hAnsi="宋体"/>
          <w:sz w:val="24"/>
        </w:rPr>
      </w:pPr>
    </w:p>
    <w:p>
      <w:pPr>
        <w:spacing w:line="360" w:lineRule="auto"/>
        <w:ind w:left="420" w:leftChars="200"/>
        <w:jc w:val="center"/>
        <w:rPr>
          <w:rFonts w:ascii="宋体" w:hAnsi="宋体"/>
          <w:sz w:val="24"/>
        </w:rPr>
      </w:pPr>
      <w:r>
        <w:rPr>
          <w:rFonts w:hint="eastAsia" w:ascii="宋体" w:hAnsi="宋体"/>
          <w:sz w:val="24"/>
        </w:rPr>
        <w:t>承诺书</w:t>
      </w:r>
    </w:p>
    <w:p>
      <w:pPr>
        <w:spacing w:line="360" w:lineRule="auto"/>
        <w:ind w:left="315" w:leftChars="150" w:firstLine="480" w:firstLineChars="200"/>
        <w:rPr>
          <w:rFonts w:ascii="宋体" w:hAnsi="宋体"/>
          <w:sz w:val="24"/>
        </w:rPr>
      </w:pPr>
    </w:p>
    <w:p>
      <w:pPr>
        <w:spacing w:line="360" w:lineRule="auto"/>
        <w:ind w:left="315" w:leftChars="150" w:firstLine="480" w:firstLineChars="200"/>
        <w:rPr>
          <w:rFonts w:ascii="宋体" w:hAnsi="宋体"/>
          <w:sz w:val="24"/>
        </w:rPr>
      </w:pPr>
      <w:r>
        <w:rPr>
          <w:rFonts w:hint="eastAsia" w:ascii="宋体" w:hAnsi="宋体"/>
          <w:sz w:val="24"/>
        </w:rPr>
        <w:t>我公司承诺：我公司独立制作、修改和上传投标文件，并承担因“硬件特征码一致”所造成的不良后果。</w:t>
      </w: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pStyle w:val="40"/>
        <w:numPr>
          <w:ilvl w:val="0"/>
          <w:numId w:val="3"/>
        </w:numPr>
        <w:spacing w:line="360" w:lineRule="auto"/>
        <w:ind w:right="315" w:firstLineChars="0"/>
        <w:rPr>
          <w:rFonts w:ascii="宋体" w:hAnsi="宋体"/>
          <w:b/>
          <w:bCs/>
          <w:sz w:val="24"/>
        </w:rPr>
      </w:pPr>
      <w:r>
        <w:rPr>
          <w:rFonts w:hint="eastAsia" w:ascii="宋体" w:hAnsi="宋体"/>
          <w:b/>
          <w:bCs/>
          <w:sz w:val="24"/>
        </w:rPr>
        <w:t>无不良行为记录声明</w:t>
      </w:r>
    </w:p>
    <w:p>
      <w:pPr>
        <w:spacing w:line="360" w:lineRule="auto"/>
        <w:ind w:right="315"/>
        <w:jc w:val="center"/>
        <w:rPr>
          <w:rFonts w:ascii="宋体" w:hAnsi="宋体"/>
          <w:sz w:val="24"/>
        </w:rPr>
      </w:pPr>
      <w:r>
        <w:rPr>
          <w:rFonts w:hint="eastAsia" w:ascii="宋体" w:hAnsi="宋体"/>
          <w:sz w:val="24"/>
        </w:rPr>
        <w:t>无不良行为记录声明</w:t>
      </w:r>
    </w:p>
    <w:p>
      <w:pPr>
        <w:pStyle w:val="10"/>
        <w:ind w:firstLine="562"/>
      </w:pPr>
    </w:p>
    <w:p>
      <w:pPr>
        <w:spacing w:line="360" w:lineRule="auto"/>
        <w:ind w:right="315"/>
        <w:rPr>
          <w:rFonts w:ascii="宋体" w:hAnsi="宋体"/>
          <w:sz w:val="24"/>
        </w:rPr>
      </w:pPr>
      <w:r>
        <w:rPr>
          <w:rFonts w:hint="eastAsia" w:ascii="宋体" w:hAnsi="宋体"/>
          <w:sz w:val="24"/>
          <w:u w:val="single"/>
        </w:rPr>
        <w:t>（采购人名称）</w:t>
      </w:r>
      <w:r>
        <w:rPr>
          <w:rFonts w:hint="eastAsia" w:ascii="宋体" w:hAnsi="宋体"/>
          <w:sz w:val="24"/>
        </w:rPr>
        <w:t>：</w:t>
      </w:r>
    </w:p>
    <w:p>
      <w:pPr>
        <w:spacing w:line="360" w:lineRule="auto"/>
        <w:ind w:right="315" w:firstLine="480" w:firstLineChars="200"/>
        <w:rPr>
          <w:rFonts w:ascii="宋体" w:hAnsi="宋体"/>
          <w:sz w:val="24"/>
        </w:rPr>
      </w:pPr>
      <w:r>
        <w:rPr>
          <w:rFonts w:hint="eastAsia" w:ascii="宋体" w:hAnsi="宋体"/>
          <w:sz w:val="24"/>
        </w:rPr>
        <w:t>我公司在此声明 ：</w:t>
      </w:r>
    </w:p>
    <w:p>
      <w:pPr>
        <w:spacing w:line="360" w:lineRule="auto"/>
        <w:ind w:right="315" w:firstLine="480" w:firstLineChars="200"/>
        <w:rPr>
          <w:rFonts w:ascii="宋体" w:hAnsi="宋体"/>
          <w:sz w:val="24"/>
        </w:rPr>
      </w:pPr>
      <w:r>
        <w:rPr>
          <w:rFonts w:hint="eastAsia" w:ascii="宋体" w:hAnsi="宋体"/>
          <w:sz w:val="24"/>
        </w:rPr>
        <w:t>最近三年政府采购活动内无出现骗取中标或严重违约或重大质量问题事件发生。如有不实，自愿放弃投标资格并愿意承担因我方就此弄虚作假所引起的一切法律后果。</w:t>
      </w:r>
    </w:p>
    <w:p>
      <w:pPr>
        <w:pStyle w:val="10"/>
        <w:ind w:firstLine="562"/>
      </w:pPr>
    </w:p>
    <w:p>
      <w:pPr>
        <w:pStyle w:val="11"/>
        <w:ind w:left="5250"/>
      </w:pPr>
    </w:p>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760" w:firstLineChars="115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b/>
          <w:bCs/>
          <w:sz w:val="24"/>
        </w:rPr>
      </w:pPr>
      <w:r>
        <w:rPr>
          <w:rFonts w:ascii="宋体" w:hAnsi="宋体"/>
          <w:b/>
          <w:bCs/>
          <w:sz w:val="24"/>
        </w:rPr>
        <w:t>3</w:t>
      </w:r>
      <w:r>
        <w:rPr>
          <w:rFonts w:hint="eastAsia" w:ascii="宋体" w:hAnsi="宋体"/>
          <w:b/>
          <w:bCs/>
          <w:sz w:val="24"/>
        </w:rPr>
        <w:t>、供应商认为有必要的其他资料</w:t>
      </w:r>
    </w:p>
    <w:p>
      <w:pPr>
        <w:jc w:val="center"/>
        <w:rPr>
          <w:rFonts w:ascii="宋体" w:hAnsi="宋体" w:cs="宋体"/>
          <w:szCs w:val="21"/>
        </w:rPr>
      </w:pPr>
    </w:p>
    <w:p>
      <w:pPr>
        <w:rPr>
          <w:rFonts w:ascii="宋体" w:hAnsi="宋体" w:cs="宋体"/>
          <w:szCs w:val="21"/>
        </w:rPr>
      </w:pPr>
    </w:p>
    <w:p>
      <w:pPr>
        <w:pStyle w:val="30"/>
      </w:pPr>
    </w:p>
    <w:p>
      <w:pPr>
        <w:pStyle w:val="30"/>
      </w:pPr>
    </w:p>
    <w:p>
      <w:pPr>
        <w:pStyle w:val="30"/>
      </w:pPr>
    </w:p>
    <w:p>
      <w:pPr>
        <w:rPr>
          <w:rFonts w:ascii="宋体" w:hAnsi="宋体" w:cs="宋体"/>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line="360" w:lineRule="auto"/>
        <w:rPr>
          <w:rFonts w:ascii="宋体" w:hAnsi="宋体" w:cs="宋体"/>
          <w:b/>
          <w:bCs/>
          <w:kern w:val="44"/>
          <w:sz w:val="22"/>
          <w:szCs w:val="22"/>
          <w:lang w:bidi="ar"/>
        </w:rPr>
      </w:pPr>
    </w:p>
    <w:p>
      <w:pPr>
        <w:spacing w:line="360" w:lineRule="auto"/>
        <w:rPr>
          <w:rFonts w:ascii="宋体" w:hAnsi="宋体" w:cs="宋体"/>
          <w:b/>
          <w:bCs/>
          <w:kern w:val="44"/>
          <w:sz w:val="22"/>
          <w:szCs w:val="22"/>
          <w:lang w:bidi="ar"/>
        </w:rPr>
      </w:pPr>
    </w:p>
    <w:p>
      <w:pPr>
        <w:spacing w:line="360" w:lineRule="auto"/>
        <w:rPr>
          <w:rFonts w:ascii="宋体" w:hAnsi="宋体" w:cs="宋体"/>
          <w:kern w:val="44"/>
          <w:sz w:val="22"/>
          <w:szCs w:val="22"/>
        </w:rPr>
      </w:pPr>
      <w:r>
        <w:rPr>
          <w:rFonts w:hint="eastAsia" w:ascii="宋体" w:hAnsi="宋体" w:cs="宋体"/>
          <w:b/>
          <w:bCs/>
          <w:kern w:val="44"/>
          <w:sz w:val="22"/>
          <w:szCs w:val="22"/>
          <w:lang w:bidi="ar"/>
        </w:rPr>
        <w:t>附件1</w:t>
      </w:r>
      <w:r>
        <w:rPr>
          <w:rFonts w:hint="eastAsia" w:ascii="宋体" w:hAnsi="宋体" w:cs="宋体"/>
          <w:b/>
          <w:bCs/>
          <w:sz w:val="22"/>
          <w:szCs w:val="22"/>
          <w:lang w:bidi="ar"/>
        </w:rPr>
        <w:t>（符合政策要求，并申请按小型微型企业投标者提供，不符合者可不提供此附表）</w:t>
      </w:r>
      <w:r>
        <w:rPr>
          <w:rFonts w:hint="eastAsia" w:ascii="宋体" w:hAnsi="宋体" w:cs="宋体"/>
          <w:kern w:val="44"/>
          <w:sz w:val="22"/>
          <w:szCs w:val="22"/>
          <w:lang w:bidi="ar"/>
        </w:rPr>
        <w:t>：</w:t>
      </w:r>
    </w:p>
    <w:p>
      <w:pPr>
        <w:tabs>
          <w:tab w:val="left" w:pos="432"/>
        </w:tabs>
        <w:spacing w:after="340" w:line="360" w:lineRule="auto"/>
        <w:jc w:val="center"/>
        <w:outlineLvl w:val="9"/>
        <w:rPr>
          <w:rFonts w:hint="eastAsia" w:ascii="宋体" w:hAnsi="宋体" w:cs="宋体"/>
          <w:b/>
          <w:bCs w:val="0"/>
          <w:kern w:val="2"/>
          <w:sz w:val="24"/>
          <w:szCs w:val="24"/>
        </w:rPr>
      </w:pPr>
      <w:bookmarkStart w:id="244" w:name="_Toc28737"/>
      <w:bookmarkStart w:id="245" w:name="_Toc16214"/>
      <w:r>
        <w:rPr>
          <w:rFonts w:hint="eastAsia" w:ascii="宋体" w:hAnsi="宋体" w:cs="宋体"/>
          <w:b/>
          <w:bCs w:val="0"/>
          <w:kern w:val="2"/>
          <w:sz w:val="24"/>
          <w:szCs w:val="24"/>
        </w:rPr>
        <w:t>中小企业声明函（采购）</w:t>
      </w:r>
      <w:bookmarkEnd w:id="244"/>
      <w:bookmarkEnd w:id="245"/>
    </w:p>
    <w:p>
      <w:pPr>
        <w:spacing w:before="120" w:beforeLines="50" w:after="120" w:afterLines="50" w:line="360" w:lineRule="auto"/>
        <w:ind w:firstLine="480" w:firstLineChars="200"/>
        <w:rPr>
          <w:rFonts w:hint="eastAsia" w:ascii="宋体" w:hAnsi="宋体" w:cs="宋体"/>
          <w:kern w:val="0"/>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企业名称（企业电子签章）：</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日期：</w:t>
      </w:r>
    </w:p>
    <w:p>
      <w:pPr>
        <w:spacing w:line="360" w:lineRule="auto"/>
        <w:rPr>
          <w:rFonts w:hint="eastAsia" w:ascii="宋体" w:hAnsi="宋体" w:cs="宋体"/>
          <w:b/>
          <w:szCs w:val="20"/>
        </w:rPr>
      </w:pPr>
    </w:p>
    <w:p>
      <w:pPr>
        <w:spacing w:line="360" w:lineRule="auto"/>
        <w:rPr>
          <w:rFonts w:hint="eastAsia" w:ascii="宋体" w:hAnsi="宋体" w:cs="宋体"/>
          <w:b/>
        </w:rPr>
      </w:pPr>
      <w:r>
        <w:rPr>
          <w:rFonts w:hint="eastAsia" w:ascii="宋体" w:hAnsi="宋体" w:cs="宋体"/>
          <w:b/>
        </w:rPr>
        <w:t>注：1、从业人员、营业收入、资产总额填报上一年度数据，无上一年度数据的新成立企业可不填报。</w:t>
      </w:r>
    </w:p>
    <w:p>
      <w:pPr>
        <w:spacing w:line="360" w:lineRule="auto"/>
        <w:rPr>
          <w:rFonts w:hint="eastAsia" w:ascii="宋体" w:hAnsi="宋体" w:cs="宋体"/>
          <w:b/>
        </w:rPr>
      </w:pPr>
      <w:r>
        <w:rPr>
          <w:rFonts w:hint="eastAsia" w:ascii="宋体" w:hAnsi="宋体" w:cs="宋体"/>
          <w:b/>
        </w:rPr>
        <w:t>2、小微企业应能从国家市场监督管理总局所属的“小微企业名录”网站上能够查询到其基本信息。</w:t>
      </w:r>
    </w:p>
    <w:p>
      <w:pPr>
        <w:spacing w:line="360" w:lineRule="auto"/>
        <w:rPr>
          <w:rFonts w:hint="eastAsia" w:ascii="宋体" w:hAnsi="宋体" w:cs="宋体"/>
          <w:b/>
        </w:rPr>
      </w:pPr>
      <w:r>
        <w:rPr>
          <w:rFonts w:hint="eastAsia" w:ascii="宋体" w:hAnsi="宋体" w:cs="宋体"/>
          <w:b/>
        </w:rPr>
        <w:t>3、中标人的本声明函随中标结果同时公布，接受其他供应商和社会监督。</w:t>
      </w:r>
    </w:p>
    <w:p>
      <w:pPr>
        <w:spacing w:line="360" w:lineRule="auto"/>
        <w:rPr>
          <w:rFonts w:ascii="宋体" w:hAnsi="宋体" w:cs="宋体"/>
          <w:b/>
        </w:rPr>
        <w:sectPr>
          <w:pgSz w:w="11910" w:h="16840"/>
          <w:pgMar w:top="1500" w:right="1380" w:bottom="1780" w:left="1580" w:header="0" w:footer="1595" w:gutter="0"/>
          <w:cols w:space="720" w:num="1"/>
        </w:sectPr>
      </w:pPr>
    </w:p>
    <w:p>
      <w:pPr>
        <w:spacing w:line="360" w:lineRule="auto"/>
        <w:rPr>
          <w:rFonts w:hint="eastAsia" w:ascii="宋体" w:hAnsi="宋体" w:cs="宋体"/>
          <w:b/>
          <w:bCs/>
          <w:kern w:val="44"/>
          <w:sz w:val="22"/>
          <w:szCs w:val="22"/>
        </w:rPr>
      </w:pPr>
      <w:r>
        <w:rPr>
          <w:rFonts w:hint="eastAsia" w:ascii="宋体" w:hAnsi="宋体" w:cs="宋体"/>
          <w:b/>
          <w:bCs/>
          <w:kern w:val="44"/>
          <w:sz w:val="22"/>
          <w:szCs w:val="22"/>
          <w:lang w:bidi="ar"/>
        </w:rPr>
        <w:t>附件2</w:t>
      </w:r>
      <w:r>
        <w:rPr>
          <w:rFonts w:hint="eastAsia" w:ascii="宋体" w:hAnsi="宋体" w:cs="宋体"/>
          <w:b/>
          <w:bCs/>
          <w:sz w:val="22"/>
          <w:szCs w:val="22"/>
          <w:lang w:bidi="ar"/>
        </w:rPr>
        <w:t>（符合政策要求，并申请按残疾人福利性单位投标者提供，不符合者可不提供此附表）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4"/>
        </w:rPr>
      </w:pPr>
      <w:bookmarkStart w:id="246" w:name="OLE_LINK14"/>
      <w:bookmarkStart w:id="247" w:name="OLE_LINK13"/>
      <w:r>
        <w:rPr>
          <w:rFonts w:hint="eastAsia" w:ascii="宋体" w:hAnsi="宋体" w:cs="宋体"/>
          <w:b/>
          <w:bCs/>
          <w:sz w:val="24"/>
          <w:lang w:bidi="ar"/>
        </w:rPr>
        <w:t>残疾人福利性单位声明函</w:t>
      </w:r>
    </w:p>
    <w:bookmarkEnd w:id="246"/>
    <w:bookmarkEnd w:id="247"/>
    <w:p>
      <w:pPr>
        <w:spacing w:line="360" w:lineRule="auto"/>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cs="宋体"/>
          <w:sz w:val="24"/>
        </w:rPr>
      </w:pPr>
      <w:r>
        <w:rPr>
          <w:rFonts w:hint="eastAsia" w:ascii="宋体" w:hAnsi="宋体" w:cs="宋体"/>
          <w:sz w:val="24"/>
          <w:lang w:bidi="ar"/>
        </w:rPr>
        <w:t>本单位对上述声明的真实性负责。如有虚假，将依法承担相应责任。</w:t>
      </w: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4800" w:firstLineChars="2000"/>
        <w:rPr>
          <w:rFonts w:hint="eastAsia" w:ascii="宋体" w:hAnsi="宋体" w:cs="宋体"/>
          <w:sz w:val="24"/>
        </w:rPr>
      </w:pPr>
      <w:r>
        <w:rPr>
          <w:rFonts w:hint="eastAsia" w:ascii="宋体" w:hAnsi="宋体" w:cs="宋体"/>
          <w:sz w:val="24"/>
          <w:lang w:bidi="ar"/>
        </w:rPr>
        <w:t>单位名称（企业电子签章）：</w:t>
      </w:r>
    </w:p>
    <w:p>
      <w:pPr>
        <w:tabs>
          <w:tab w:val="left" w:pos="4860"/>
        </w:tabs>
        <w:spacing w:line="360" w:lineRule="auto"/>
        <w:ind w:firstLine="6960" w:firstLineChars="2900"/>
        <w:rPr>
          <w:rFonts w:hint="eastAsia" w:ascii="宋体" w:hAnsi="宋体" w:cs="宋体"/>
          <w:sz w:val="24"/>
        </w:rPr>
      </w:pPr>
      <w:r>
        <w:rPr>
          <w:rFonts w:hint="eastAsia" w:ascii="宋体" w:hAnsi="宋体" w:cs="宋体"/>
          <w:sz w:val="24"/>
          <w:lang w:bidi="ar"/>
        </w:rPr>
        <w:t>日  期：</w:t>
      </w:r>
    </w:p>
    <w:p>
      <w:pPr>
        <w:tabs>
          <w:tab w:val="left" w:pos="4860"/>
        </w:tabs>
        <w:spacing w:line="360" w:lineRule="auto"/>
        <w:ind w:firstLine="3600" w:firstLineChars="15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注：成交人的本声明函随成交结果同时公布，接受其他供应商和社会监督。</w:t>
      </w:r>
    </w:p>
    <w:p>
      <w:pPr>
        <w:spacing w:line="360" w:lineRule="auto"/>
        <w:rPr>
          <w:rFonts w:hint="eastAsia" w:ascii="宋体" w:hAnsi="宋体" w:cs="宋体"/>
          <w:b/>
          <w:bCs/>
          <w:kern w:val="44"/>
          <w:sz w:val="22"/>
          <w:szCs w:val="22"/>
        </w:rPr>
      </w:pPr>
      <w:r>
        <w:rPr>
          <w:rFonts w:hint="eastAsia" w:ascii="宋体" w:hAnsi="宋体" w:cs="宋体"/>
          <w:sz w:val="24"/>
          <w:lang w:bidi="ar"/>
        </w:rPr>
        <w:br w:type="page"/>
      </w:r>
      <w:r>
        <w:rPr>
          <w:rFonts w:hint="eastAsia" w:ascii="宋体" w:hAnsi="宋体" w:cs="宋体"/>
          <w:b/>
          <w:bCs/>
          <w:kern w:val="44"/>
          <w:sz w:val="22"/>
          <w:szCs w:val="22"/>
          <w:lang w:bidi="ar"/>
        </w:rPr>
        <w:t>附件3</w:t>
      </w:r>
      <w:r>
        <w:rPr>
          <w:rFonts w:hint="eastAsia" w:ascii="宋体" w:hAnsi="宋体" w:cs="宋体"/>
          <w:b/>
          <w:bCs/>
          <w:sz w:val="22"/>
          <w:szCs w:val="22"/>
          <w:lang w:bidi="ar"/>
        </w:rPr>
        <w:t>（符合政策要求，并申请按监狱企业投标者提供，不符合者可不提供此附表）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8"/>
          <w:szCs w:val="28"/>
        </w:rPr>
      </w:pPr>
      <w:r>
        <w:rPr>
          <w:rFonts w:hint="eastAsia" w:ascii="宋体" w:hAnsi="宋体" w:cs="宋体"/>
          <w:b/>
          <w:bCs/>
          <w:sz w:val="28"/>
          <w:szCs w:val="28"/>
          <w:lang w:bidi="ar"/>
        </w:rPr>
        <w:t>监狱企业证明</w:t>
      </w: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80" w:firstLineChars="200"/>
        <w:rPr>
          <w:rFonts w:hint="eastAsia" w:ascii="宋体" w:hAnsi="宋体" w:cs="宋体"/>
          <w:sz w:val="24"/>
        </w:rPr>
      </w:pPr>
      <w:r>
        <w:rPr>
          <w:rFonts w:hint="eastAsia" w:ascii="宋体" w:hAnsi="宋体" w:cs="宋体"/>
          <w:sz w:val="24"/>
          <w:lang w:bidi="ar"/>
        </w:rPr>
        <w:t>提供由省级以上监狱管理局、戒毒管理局（含新疆生产建设兵团）出具的属于监狱企业的证明文件。</w:t>
      </w:r>
    </w:p>
    <w:p>
      <w:pPr>
        <w:spacing w:line="360" w:lineRule="auto"/>
        <w:ind w:firstLine="440" w:firstLineChars="200"/>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rPr>
          <w:rFonts w:hint="eastAsia" w:ascii="宋体" w:hAnsi="宋体" w:cs="宋体"/>
          <w:kern w:val="44"/>
          <w:sz w:val="28"/>
          <w:szCs w:val="28"/>
        </w:rPr>
      </w:pPr>
      <w:r>
        <w:rPr>
          <w:rFonts w:hint="eastAsia" w:ascii="宋体" w:hAnsi="宋体" w:cs="宋体"/>
          <w:sz w:val="22"/>
          <w:szCs w:val="22"/>
          <w:lang w:bidi="ar"/>
        </w:rPr>
        <w:t>注：成交人的本监狱企业证明文件随成交结果同时公布，接受其他供应商和社会监督。</w:t>
      </w:r>
    </w:p>
    <w:p>
      <w:pPr>
        <w:tabs>
          <w:tab w:val="left" w:pos="2064"/>
        </w:tabs>
        <w:spacing w:line="360" w:lineRule="auto"/>
        <w:rPr>
          <w:rFonts w:hint="eastAsia" w:ascii="宋体" w:hAnsi="宋体" w:cs="宋体"/>
          <w:kern w:val="0"/>
          <w:sz w:val="32"/>
          <w:szCs w:val="32"/>
        </w:rPr>
      </w:pPr>
    </w:p>
    <w:p>
      <w:pPr>
        <w:spacing w:before="157" w:beforeLines="50" w:after="157" w:afterLines="50" w:line="360" w:lineRule="auto"/>
        <w:rPr>
          <w:rFonts w:ascii="宋体" w:hAnsi="宋体"/>
          <w:sz w:val="24"/>
        </w:rPr>
      </w:pPr>
    </w:p>
    <w:sectPr>
      <w:headerReference r:id="rId5" w:type="default"/>
      <w:footerReference r:id="rId6" w:type="default"/>
      <w:pgSz w:w="11906" w:h="16838"/>
      <w:pgMar w:top="1440" w:right="1083" w:bottom="1440" w:left="1276"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10"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兰考县自然资源局国土空间基础平台建设项目                              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8CEB9"/>
    <w:multiLevelType w:val="singleLevel"/>
    <w:tmpl w:val="9198CEB9"/>
    <w:lvl w:ilvl="0" w:tentative="0">
      <w:start w:val="5"/>
      <w:numFmt w:val="chineseCounting"/>
      <w:suff w:val="nothing"/>
      <w:lvlText w:val="%1、"/>
      <w:lvlJc w:val="left"/>
      <w:rPr>
        <w:rFonts w:hint="eastAsia"/>
      </w:rPr>
    </w:lvl>
  </w:abstractNum>
  <w:abstractNum w:abstractNumId="1">
    <w:nsid w:val="03284FAF"/>
    <w:multiLevelType w:val="multilevel"/>
    <w:tmpl w:val="03284FA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3YmQwZDliYTM1ZTQ4OTRlYzBmN2I4ZDU5NTM2NzMifQ=="/>
  </w:docVars>
  <w:rsids>
    <w:rsidRoot w:val="00397CC4"/>
    <w:rsid w:val="000023D6"/>
    <w:rsid w:val="00006D63"/>
    <w:rsid w:val="00007BDD"/>
    <w:rsid w:val="00010378"/>
    <w:rsid w:val="00020190"/>
    <w:rsid w:val="00023807"/>
    <w:rsid w:val="000321D2"/>
    <w:rsid w:val="00033D10"/>
    <w:rsid w:val="00034DAF"/>
    <w:rsid w:val="00035C5F"/>
    <w:rsid w:val="0006040C"/>
    <w:rsid w:val="00062125"/>
    <w:rsid w:val="00064859"/>
    <w:rsid w:val="0007472C"/>
    <w:rsid w:val="00080B27"/>
    <w:rsid w:val="0008237C"/>
    <w:rsid w:val="0009207B"/>
    <w:rsid w:val="00096B34"/>
    <w:rsid w:val="000A0B4E"/>
    <w:rsid w:val="000A17C0"/>
    <w:rsid w:val="000A2EDE"/>
    <w:rsid w:val="000A5AC2"/>
    <w:rsid w:val="000A7CEE"/>
    <w:rsid w:val="000B3E06"/>
    <w:rsid w:val="000C56AC"/>
    <w:rsid w:val="000C625C"/>
    <w:rsid w:val="000D2D46"/>
    <w:rsid w:val="000D55AF"/>
    <w:rsid w:val="000E0609"/>
    <w:rsid w:val="000E5A3A"/>
    <w:rsid w:val="000E6608"/>
    <w:rsid w:val="000F301E"/>
    <w:rsid w:val="000F3F18"/>
    <w:rsid w:val="001145E2"/>
    <w:rsid w:val="00115424"/>
    <w:rsid w:val="0012752F"/>
    <w:rsid w:val="00127A83"/>
    <w:rsid w:val="00137F04"/>
    <w:rsid w:val="00143BA5"/>
    <w:rsid w:val="00145E6B"/>
    <w:rsid w:val="00146C5F"/>
    <w:rsid w:val="00160EAB"/>
    <w:rsid w:val="00170761"/>
    <w:rsid w:val="00172EB9"/>
    <w:rsid w:val="00173C05"/>
    <w:rsid w:val="001745E0"/>
    <w:rsid w:val="00174F0C"/>
    <w:rsid w:val="00180876"/>
    <w:rsid w:val="00185FC4"/>
    <w:rsid w:val="00193BE9"/>
    <w:rsid w:val="001A0A15"/>
    <w:rsid w:val="001A455F"/>
    <w:rsid w:val="001A664A"/>
    <w:rsid w:val="001B075A"/>
    <w:rsid w:val="001B3398"/>
    <w:rsid w:val="001B646A"/>
    <w:rsid w:val="001C4897"/>
    <w:rsid w:val="001C5C8B"/>
    <w:rsid w:val="001D48EC"/>
    <w:rsid w:val="001E0C0F"/>
    <w:rsid w:val="001E3F81"/>
    <w:rsid w:val="001E461B"/>
    <w:rsid w:val="001E4A65"/>
    <w:rsid w:val="001E6B3A"/>
    <w:rsid w:val="00201011"/>
    <w:rsid w:val="002025FA"/>
    <w:rsid w:val="002077BD"/>
    <w:rsid w:val="002104BB"/>
    <w:rsid w:val="00210D6F"/>
    <w:rsid w:val="00211E35"/>
    <w:rsid w:val="0022171B"/>
    <w:rsid w:val="0022655E"/>
    <w:rsid w:val="00226F37"/>
    <w:rsid w:val="00233154"/>
    <w:rsid w:val="00234DA8"/>
    <w:rsid w:val="00234F93"/>
    <w:rsid w:val="00236A85"/>
    <w:rsid w:val="0024014C"/>
    <w:rsid w:val="0024153F"/>
    <w:rsid w:val="00243CE7"/>
    <w:rsid w:val="00246B13"/>
    <w:rsid w:val="00247304"/>
    <w:rsid w:val="0024740E"/>
    <w:rsid w:val="00251265"/>
    <w:rsid w:val="00252083"/>
    <w:rsid w:val="00254A3F"/>
    <w:rsid w:val="0025541F"/>
    <w:rsid w:val="00262266"/>
    <w:rsid w:val="00265BD7"/>
    <w:rsid w:val="0026651D"/>
    <w:rsid w:val="002673C5"/>
    <w:rsid w:val="002806B2"/>
    <w:rsid w:val="00283C07"/>
    <w:rsid w:val="00290565"/>
    <w:rsid w:val="00290599"/>
    <w:rsid w:val="00290DE1"/>
    <w:rsid w:val="00295B9C"/>
    <w:rsid w:val="002A1E71"/>
    <w:rsid w:val="002B0039"/>
    <w:rsid w:val="002B3E49"/>
    <w:rsid w:val="002B4B93"/>
    <w:rsid w:val="002C1691"/>
    <w:rsid w:val="002D020B"/>
    <w:rsid w:val="002D6658"/>
    <w:rsid w:val="002D71ED"/>
    <w:rsid w:val="002E4D85"/>
    <w:rsid w:val="002F4E57"/>
    <w:rsid w:val="002F5115"/>
    <w:rsid w:val="0030094C"/>
    <w:rsid w:val="00314357"/>
    <w:rsid w:val="0032244E"/>
    <w:rsid w:val="00322EA3"/>
    <w:rsid w:val="00323E86"/>
    <w:rsid w:val="00327517"/>
    <w:rsid w:val="00341488"/>
    <w:rsid w:val="00342587"/>
    <w:rsid w:val="00345B63"/>
    <w:rsid w:val="003463B1"/>
    <w:rsid w:val="00354F33"/>
    <w:rsid w:val="003550E1"/>
    <w:rsid w:val="003677D1"/>
    <w:rsid w:val="00373153"/>
    <w:rsid w:val="00373377"/>
    <w:rsid w:val="00375AAB"/>
    <w:rsid w:val="00391E6A"/>
    <w:rsid w:val="003960D4"/>
    <w:rsid w:val="00397CC4"/>
    <w:rsid w:val="003A2477"/>
    <w:rsid w:val="003A2D49"/>
    <w:rsid w:val="003A3BE5"/>
    <w:rsid w:val="003A5DFE"/>
    <w:rsid w:val="003A6D38"/>
    <w:rsid w:val="003B1466"/>
    <w:rsid w:val="003B2EAF"/>
    <w:rsid w:val="003B5709"/>
    <w:rsid w:val="003C3226"/>
    <w:rsid w:val="003D2E1C"/>
    <w:rsid w:val="003D3F18"/>
    <w:rsid w:val="003E7ADD"/>
    <w:rsid w:val="003F20DB"/>
    <w:rsid w:val="003F3D51"/>
    <w:rsid w:val="003F47FB"/>
    <w:rsid w:val="0040114F"/>
    <w:rsid w:val="004049C2"/>
    <w:rsid w:val="00406242"/>
    <w:rsid w:val="00414962"/>
    <w:rsid w:val="00415723"/>
    <w:rsid w:val="00424594"/>
    <w:rsid w:val="00433A1A"/>
    <w:rsid w:val="00440280"/>
    <w:rsid w:val="0044455E"/>
    <w:rsid w:val="004455AC"/>
    <w:rsid w:val="004502CF"/>
    <w:rsid w:val="004512F8"/>
    <w:rsid w:val="00452023"/>
    <w:rsid w:val="00453146"/>
    <w:rsid w:val="00453FCC"/>
    <w:rsid w:val="004649DE"/>
    <w:rsid w:val="0047772B"/>
    <w:rsid w:val="00481697"/>
    <w:rsid w:val="00492AA6"/>
    <w:rsid w:val="00494EFA"/>
    <w:rsid w:val="00495CDE"/>
    <w:rsid w:val="00497030"/>
    <w:rsid w:val="004A3767"/>
    <w:rsid w:val="004A69F0"/>
    <w:rsid w:val="004B44A3"/>
    <w:rsid w:val="004B7C1A"/>
    <w:rsid w:val="004C2C6D"/>
    <w:rsid w:val="004C2FF2"/>
    <w:rsid w:val="004C5EAE"/>
    <w:rsid w:val="004D2E90"/>
    <w:rsid w:val="004D3C7E"/>
    <w:rsid w:val="004D4218"/>
    <w:rsid w:val="004D6EC4"/>
    <w:rsid w:val="004E1E36"/>
    <w:rsid w:val="004E6909"/>
    <w:rsid w:val="005001F2"/>
    <w:rsid w:val="00510F45"/>
    <w:rsid w:val="005116D1"/>
    <w:rsid w:val="0051257C"/>
    <w:rsid w:val="0051338B"/>
    <w:rsid w:val="005153B7"/>
    <w:rsid w:val="00520EC9"/>
    <w:rsid w:val="0052206A"/>
    <w:rsid w:val="0052433B"/>
    <w:rsid w:val="005279E7"/>
    <w:rsid w:val="0053255E"/>
    <w:rsid w:val="005429D4"/>
    <w:rsid w:val="00545950"/>
    <w:rsid w:val="00556663"/>
    <w:rsid w:val="00556EB1"/>
    <w:rsid w:val="005606A8"/>
    <w:rsid w:val="00562073"/>
    <w:rsid w:val="00563F2D"/>
    <w:rsid w:val="00581C72"/>
    <w:rsid w:val="005902BF"/>
    <w:rsid w:val="00592352"/>
    <w:rsid w:val="005923D3"/>
    <w:rsid w:val="005A50A6"/>
    <w:rsid w:val="005A6764"/>
    <w:rsid w:val="005B3C3B"/>
    <w:rsid w:val="005B4155"/>
    <w:rsid w:val="005B68C7"/>
    <w:rsid w:val="005C3986"/>
    <w:rsid w:val="005C7843"/>
    <w:rsid w:val="005D01D9"/>
    <w:rsid w:val="005D1650"/>
    <w:rsid w:val="005D3AAE"/>
    <w:rsid w:val="005E0FF9"/>
    <w:rsid w:val="005E259C"/>
    <w:rsid w:val="005F38AD"/>
    <w:rsid w:val="005F57B6"/>
    <w:rsid w:val="005F7A69"/>
    <w:rsid w:val="005F7EC6"/>
    <w:rsid w:val="005F7ED7"/>
    <w:rsid w:val="006069F5"/>
    <w:rsid w:val="006113FE"/>
    <w:rsid w:val="006132A8"/>
    <w:rsid w:val="00613C25"/>
    <w:rsid w:val="0061572C"/>
    <w:rsid w:val="006174BC"/>
    <w:rsid w:val="00617C05"/>
    <w:rsid w:val="00624CFD"/>
    <w:rsid w:val="006353F2"/>
    <w:rsid w:val="006407D2"/>
    <w:rsid w:val="00641AEA"/>
    <w:rsid w:val="00647972"/>
    <w:rsid w:val="006544AC"/>
    <w:rsid w:val="00654C59"/>
    <w:rsid w:val="0065612F"/>
    <w:rsid w:val="006611BA"/>
    <w:rsid w:val="00663AA3"/>
    <w:rsid w:val="00664C33"/>
    <w:rsid w:val="00670678"/>
    <w:rsid w:val="00673B95"/>
    <w:rsid w:val="00673C7A"/>
    <w:rsid w:val="0067580E"/>
    <w:rsid w:val="00677D6E"/>
    <w:rsid w:val="0068034F"/>
    <w:rsid w:val="00682DF7"/>
    <w:rsid w:val="00686992"/>
    <w:rsid w:val="00693E15"/>
    <w:rsid w:val="00696088"/>
    <w:rsid w:val="00696F0E"/>
    <w:rsid w:val="006A0AD8"/>
    <w:rsid w:val="006B304F"/>
    <w:rsid w:val="006B7C54"/>
    <w:rsid w:val="006C56AB"/>
    <w:rsid w:val="006C5FCF"/>
    <w:rsid w:val="006C6CEF"/>
    <w:rsid w:val="006C7097"/>
    <w:rsid w:val="006D1089"/>
    <w:rsid w:val="006D602B"/>
    <w:rsid w:val="006E1548"/>
    <w:rsid w:val="006E1B99"/>
    <w:rsid w:val="006E338A"/>
    <w:rsid w:val="006E3AB8"/>
    <w:rsid w:val="006E7214"/>
    <w:rsid w:val="006E7B32"/>
    <w:rsid w:val="006F26E3"/>
    <w:rsid w:val="006F33EC"/>
    <w:rsid w:val="006F3B74"/>
    <w:rsid w:val="007063B3"/>
    <w:rsid w:val="00706C7D"/>
    <w:rsid w:val="0071084B"/>
    <w:rsid w:val="00711BE5"/>
    <w:rsid w:val="0071516B"/>
    <w:rsid w:val="00716B54"/>
    <w:rsid w:val="007212F6"/>
    <w:rsid w:val="00731A39"/>
    <w:rsid w:val="00733F8E"/>
    <w:rsid w:val="00734465"/>
    <w:rsid w:val="00734ABF"/>
    <w:rsid w:val="00736CC5"/>
    <w:rsid w:val="00740C5A"/>
    <w:rsid w:val="00750B30"/>
    <w:rsid w:val="00751A06"/>
    <w:rsid w:val="00754016"/>
    <w:rsid w:val="00762E70"/>
    <w:rsid w:val="007639ED"/>
    <w:rsid w:val="007642A3"/>
    <w:rsid w:val="007655C7"/>
    <w:rsid w:val="007658A7"/>
    <w:rsid w:val="00766C36"/>
    <w:rsid w:val="00766EF5"/>
    <w:rsid w:val="00770011"/>
    <w:rsid w:val="00770BC4"/>
    <w:rsid w:val="007747FE"/>
    <w:rsid w:val="00776224"/>
    <w:rsid w:val="007B4EF1"/>
    <w:rsid w:val="007B650E"/>
    <w:rsid w:val="007B70F1"/>
    <w:rsid w:val="007C1D02"/>
    <w:rsid w:val="007C7B28"/>
    <w:rsid w:val="007D1187"/>
    <w:rsid w:val="007D4876"/>
    <w:rsid w:val="007E0AAE"/>
    <w:rsid w:val="007E2052"/>
    <w:rsid w:val="007E2122"/>
    <w:rsid w:val="007E736F"/>
    <w:rsid w:val="007F0FB8"/>
    <w:rsid w:val="007F1609"/>
    <w:rsid w:val="007F1EAB"/>
    <w:rsid w:val="007F48BA"/>
    <w:rsid w:val="007F4B68"/>
    <w:rsid w:val="00801692"/>
    <w:rsid w:val="00806F91"/>
    <w:rsid w:val="008119DA"/>
    <w:rsid w:val="008139F0"/>
    <w:rsid w:val="00820B5A"/>
    <w:rsid w:val="0083313C"/>
    <w:rsid w:val="00834463"/>
    <w:rsid w:val="00840A86"/>
    <w:rsid w:val="00842633"/>
    <w:rsid w:val="0084748E"/>
    <w:rsid w:val="00847CC8"/>
    <w:rsid w:val="00851641"/>
    <w:rsid w:val="00852414"/>
    <w:rsid w:val="00856935"/>
    <w:rsid w:val="00860449"/>
    <w:rsid w:val="008625C7"/>
    <w:rsid w:val="00865A3B"/>
    <w:rsid w:val="00871F44"/>
    <w:rsid w:val="00872ECD"/>
    <w:rsid w:val="00873C73"/>
    <w:rsid w:val="00877343"/>
    <w:rsid w:val="00881520"/>
    <w:rsid w:val="008923F6"/>
    <w:rsid w:val="0089713F"/>
    <w:rsid w:val="00897B08"/>
    <w:rsid w:val="008A2156"/>
    <w:rsid w:val="008A61D8"/>
    <w:rsid w:val="008B3E9E"/>
    <w:rsid w:val="008B59A0"/>
    <w:rsid w:val="008C5392"/>
    <w:rsid w:val="008D1F1B"/>
    <w:rsid w:val="008D445C"/>
    <w:rsid w:val="008E2AF5"/>
    <w:rsid w:val="008E3A9B"/>
    <w:rsid w:val="008E4464"/>
    <w:rsid w:val="008F3C14"/>
    <w:rsid w:val="008F61F2"/>
    <w:rsid w:val="008F7FB0"/>
    <w:rsid w:val="009014A9"/>
    <w:rsid w:val="009066D6"/>
    <w:rsid w:val="00910028"/>
    <w:rsid w:val="0091150F"/>
    <w:rsid w:val="00913D37"/>
    <w:rsid w:val="00921F6E"/>
    <w:rsid w:val="009242D5"/>
    <w:rsid w:val="00924CF9"/>
    <w:rsid w:val="00925510"/>
    <w:rsid w:val="00927500"/>
    <w:rsid w:val="00931522"/>
    <w:rsid w:val="00936B39"/>
    <w:rsid w:val="00936DF8"/>
    <w:rsid w:val="00942A53"/>
    <w:rsid w:val="009446B3"/>
    <w:rsid w:val="0096024F"/>
    <w:rsid w:val="009604B7"/>
    <w:rsid w:val="009678BF"/>
    <w:rsid w:val="0097225F"/>
    <w:rsid w:val="009776E5"/>
    <w:rsid w:val="009806E3"/>
    <w:rsid w:val="00983784"/>
    <w:rsid w:val="00992EB7"/>
    <w:rsid w:val="009A0654"/>
    <w:rsid w:val="009A4781"/>
    <w:rsid w:val="009B2D18"/>
    <w:rsid w:val="009B5872"/>
    <w:rsid w:val="009C4A84"/>
    <w:rsid w:val="009C4B9E"/>
    <w:rsid w:val="009C6C71"/>
    <w:rsid w:val="009C718E"/>
    <w:rsid w:val="009C78F1"/>
    <w:rsid w:val="009C7DB8"/>
    <w:rsid w:val="009D540E"/>
    <w:rsid w:val="009E340E"/>
    <w:rsid w:val="009F506C"/>
    <w:rsid w:val="009F6686"/>
    <w:rsid w:val="00A00051"/>
    <w:rsid w:val="00A015C1"/>
    <w:rsid w:val="00A0425A"/>
    <w:rsid w:val="00A0603E"/>
    <w:rsid w:val="00A125D2"/>
    <w:rsid w:val="00A133F8"/>
    <w:rsid w:val="00A20252"/>
    <w:rsid w:val="00A20BCB"/>
    <w:rsid w:val="00A20DEA"/>
    <w:rsid w:val="00A330E5"/>
    <w:rsid w:val="00A35A3E"/>
    <w:rsid w:val="00A40A56"/>
    <w:rsid w:val="00A435C0"/>
    <w:rsid w:val="00A44E77"/>
    <w:rsid w:val="00A50E40"/>
    <w:rsid w:val="00A558EE"/>
    <w:rsid w:val="00A577C0"/>
    <w:rsid w:val="00A60595"/>
    <w:rsid w:val="00A67726"/>
    <w:rsid w:val="00A7135A"/>
    <w:rsid w:val="00A728CE"/>
    <w:rsid w:val="00A75C09"/>
    <w:rsid w:val="00A77383"/>
    <w:rsid w:val="00A8482F"/>
    <w:rsid w:val="00A91360"/>
    <w:rsid w:val="00A932EA"/>
    <w:rsid w:val="00A95C91"/>
    <w:rsid w:val="00AA073D"/>
    <w:rsid w:val="00AA2492"/>
    <w:rsid w:val="00AB1432"/>
    <w:rsid w:val="00AC6F27"/>
    <w:rsid w:val="00AD0E28"/>
    <w:rsid w:val="00AE0E1B"/>
    <w:rsid w:val="00AF108A"/>
    <w:rsid w:val="00AF577F"/>
    <w:rsid w:val="00B02D71"/>
    <w:rsid w:val="00B1256F"/>
    <w:rsid w:val="00B14395"/>
    <w:rsid w:val="00B226E9"/>
    <w:rsid w:val="00B27EAD"/>
    <w:rsid w:val="00B316ED"/>
    <w:rsid w:val="00B35460"/>
    <w:rsid w:val="00B40642"/>
    <w:rsid w:val="00B409B0"/>
    <w:rsid w:val="00B41534"/>
    <w:rsid w:val="00B50E92"/>
    <w:rsid w:val="00B576CE"/>
    <w:rsid w:val="00B57AED"/>
    <w:rsid w:val="00B57F02"/>
    <w:rsid w:val="00B62D0C"/>
    <w:rsid w:val="00B63DC9"/>
    <w:rsid w:val="00B71D95"/>
    <w:rsid w:val="00B749D7"/>
    <w:rsid w:val="00B80E6F"/>
    <w:rsid w:val="00B84107"/>
    <w:rsid w:val="00B84908"/>
    <w:rsid w:val="00B86E92"/>
    <w:rsid w:val="00B9199E"/>
    <w:rsid w:val="00B9728B"/>
    <w:rsid w:val="00BA2C6C"/>
    <w:rsid w:val="00BA2E22"/>
    <w:rsid w:val="00BA63E0"/>
    <w:rsid w:val="00BA729C"/>
    <w:rsid w:val="00BB0845"/>
    <w:rsid w:val="00BB0B3A"/>
    <w:rsid w:val="00BB70F0"/>
    <w:rsid w:val="00BC0807"/>
    <w:rsid w:val="00BC0A14"/>
    <w:rsid w:val="00BC7F39"/>
    <w:rsid w:val="00BD629A"/>
    <w:rsid w:val="00BE2595"/>
    <w:rsid w:val="00BE4213"/>
    <w:rsid w:val="00BE62F2"/>
    <w:rsid w:val="00BE7CAD"/>
    <w:rsid w:val="00C02FFD"/>
    <w:rsid w:val="00C03E22"/>
    <w:rsid w:val="00C06C1C"/>
    <w:rsid w:val="00C148E5"/>
    <w:rsid w:val="00C1788B"/>
    <w:rsid w:val="00C22CB9"/>
    <w:rsid w:val="00C26CD8"/>
    <w:rsid w:val="00C308BE"/>
    <w:rsid w:val="00C32889"/>
    <w:rsid w:val="00C36F93"/>
    <w:rsid w:val="00C435C5"/>
    <w:rsid w:val="00C45CF9"/>
    <w:rsid w:val="00C541FB"/>
    <w:rsid w:val="00C55635"/>
    <w:rsid w:val="00C67828"/>
    <w:rsid w:val="00C73980"/>
    <w:rsid w:val="00C73F6D"/>
    <w:rsid w:val="00C7480E"/>
    <w:rsid w:val="00C85AFF"/>
    <w:rsid w:val="00C90E76"/>
    <w:rsid w:val="00C91299"/>
    <w:rsid w:val="00C9233B"/>
    <w:rsid w:val="00CA06B1"/>
    <w:rsid w:val="00CA3DD7"/>
    <w:rsid w:val="00CA3FE8"/>
    <w:rsid w:val="00CB497F"/>
    <w:rsid w:val="00CB52F1"/>
    <w:rsid w:val="00CB714B"/>
    <w:rsid w:val="00CC05A4"/>
    <w:rsid w:val="00CC1DF8"/>
    <w:rsid w:val="00CC34AF"/>
    <w:rsid w:val="00CD31BB"/>
    <w:rsid w:val="00CD320F"/>
    <w:rsid w:val="00CD43C5"/>
    <w:rsid w:val="00CF1C0C"/>
    <w:rsid w:val="00D00AC7"/>
    <w:rsid w:val="00D00AD6"/>
    <w:rsid w:val="00D012DD"/>
    <w:rsid w:val="00D04CAC"/>
    <w:rsid w:val="00D04FBD"/>
    <w:rsid w:val="00D0687B"/>
    <w:rsid w:val="00D076DB"/>
    <w:rsid w:val="00D11371"/>
    <w:rsid w:val="00D1512D"/>
    <w:rsid w:val="00D21170"/>
    <w:rsid w:val="00D21D87"/>
    <w:rsid w:val="00D237D9"/>
    <w:rsid w:val="00D24C85"/>
    <w:rsid w:val="00D31E94"/>
    <w:rsid w:val="00D33AF2"/>
    <w:rsid w:val="00D42086"/>
    <w:rsid w:val="00D42537"/>
    <w:rsid w:val="00D44B5A"/>
    <w:rsid w:val="00D51FE0"/>
    <w:rsid w:val="00D547F5"/>
    <w:rsid w:val="00D608DE"/>
    <w:rsid w:val="00D60BB0"/>
    <w:rsid w:val="00D614F1"/>
    <w:rsid w:val="00D61523"/>
    <w:rsid w:val="00D635E1"/>
    <w:rsid w:val="00D64151"/>
    <w:rsid w:val="00D650EB"/>
    <w:rsid w:val="00D719B1"/>
    <w:rsid w:val="00D75ABB"/>
    <w:rsid w:val="00D77C3E"/>
    <w:rsid w:val="00D80B18"/>
    <w:rsid w:val="00D8192C"/>
    <w:rsid w:val="00D82E3D"/>
    <w:rsid w:val="00D90742"/>
    <w:rsid w:val="00D923DD"/>
    <w:rsid w:val="00D96E49"/>
    <w:rsid w:val="00DA2897"/>
    <w:rsid w:val="00DA2CF7"/>
    <w:rsid w:val="00DA2D11"/>
    <w:rsid w:val="00DA3178"/>
    <w:rsid w:val="00DA4BDC"/>
    <w:rsid w:val="00DA73E3"/>
    <w:rsid w:val="00DB01D9"/>
    <w:rsid w:val="00DB27C8"/>
    <w:rsid w:val="00DB4DF6"/>
    <w:rsid w:val="00DB5901"/>
    <w:rsid w:val="00DC0B7D"/>
    <w:rsid w:val="00DC2037"/>
    <w:rsid w:val="00DC21F9"/>
    <w:rsid w:val="00DC69EA"/>
    <w:rsid w:val="00DC710E"/>
    <w:rsid w:val="00DD1FCC"/>
    <w:rsid w:val="00DD5A67"/>
    <w:rsid w:val="00DE397A"/>
    <w:rsid w:val="00DE5146"/>
    <w:rsid w:val="00DE5FBD"/>
    <w:rsid w:val="00DE6230"/>
    <w:rsid w:val="00DE64D4"/>
    <w:rsid w:val="00DF49D8"/>
    <w:rsid w:val="00DF7A3B"/>
    <w:rsid w:val="00E01194"/>
    <w:rsid w:val="00E01677"/>
    <w:rsid w:val="00E16017"/>
    <w:rsid w:val="00E16153"/>
    <w:rsid w:val="00E2473D"/>
    <w:rsid w:val="00E2772A"/>
    <w:rsid w:val="00E3145D"/>
    <w:rsid w:val="00E32AB9"/>
    <w:rsid w:val="00E34961"/>
    <w:rsid w:val="00E34E9E"/>
    <w:rsid w:val="00E36775"/>
    <w:rsid w:val="00E37427"/>
    <w:rsid w:val="00E51137"/>
    <w:rsid w:val="00E559BC"/>
    <w:rsid w:val="00E55B6F"/>
    <w:rsid w:val="00E574D6"/>
    <w:rsid w:val="00E610D3"/>
    <w:rsid w:val="00E65D93"/>
    <w:rsid w:val="00E71600"/>
    <w:rsid w:val="00E72F9D"/>
    <w:rsid w:val="00E77766"/>
    <w:rsid w:val="00E83D7D"/>
    <w:rsid w:val="00E957EB"/>
    <w:rsid w:val="00E9640E"/>
    <w:rsid w:val="00EA477C"/>
    <w:rsid w:val="00EB0040"/>
    <w:rsid w:val="00EB184D"/>
    <w:rsid w:val="00EB274E"/>
    <w:rsid w:val="00EB5233"/>
    <w:rsid w:val="00EC1B62"/>
    <w:rsid w:val="00EC371E"/>
    <w:rsid w:val="00EE0E3E"/>
    <w:rsid w:val="00EE0F4B"/>
    <w:rsid w:val="00EE11B8"/>
    <w:rsid w:val="00EE38B1"/>
    <w:rsid w:val="00EE676A"/>
    <w:rsid w:val="00EE7713"/>
    <w:rsid w:val="00EF6983"/>
    <w:rsid w:val="00EF797D"/>
    <w:rsid w:val="00EF7A73"/>
    <w:rsid w:val="00F232AC"/>
    <w:rsid w:val="00F278EA"/>
    <w:rsid w:val="00F4265A"/>
    <w:rsid w:val="00F44721"/>
    <w:rsid w:val="00F4475C"/>
    <w:rsid w:val="00F52D71"/>
    <w:rsid w:val="00F553A8"/>
    <w:rsid w:val="00F60056"/>
    <w:rsid w:val="00F60B41"/>
    <w:rsid w:val="00F656F0"/>
    <w:rsid w:val="00F65A9B"/>
    <w:rsid w:val="00F70671"/>
    <w:rsid w:val="00F91C61"/>
    <w:rsid w:val="00F92E89"/>
    <w:rsid w:val="00F93B60"/>
    <w:rsid w:val="00F95886"/>
    <w:rsid w:val="00F9681E"/>
    <w:rsid w:val="00F96D18"/>
    <w:rsid w:val="00FA5372"/>
    <w:rsid w:val="00FA69A1"/>
    <w:rsid w:val="00FB2E17"/>
    <w:rsid w:val="00FC44B4"/>
    <w:rsid w:val="00FD024C"/>
    <w:rsid w:val="00FD16D4"/>
    <w:rsid w:val="00FD247C"/>
    <w:rsid w:val="00FE2549"/>
    <w:rsid w:val="00FE5786"/>
    <w:rsid w:val="00FE58CE"/>
    <w:rsid w:val="00FF34AB"/>
    <w:rsid w:val="00FF34C6"/>
    <w:rsid w:val="00FF45C4"/>
    <w:rsid w:val="01ED4106"/>
    <w:rsid w:val="02640559"/>
    <w:rsid w:val="03D42E2E"/>
    <w:rsid w:val="061037E0"/>
    <w:rsid w:val="067B38B7"/>
    <w:rsid w:val="0765096C"/>
    <w:rsid w:val="0ADD7F57"/>
    <w:rsid w:val="0BC92C42"/>
    <w:rsid w:val="0C2358D0"/>
    <w:rsid w:val="0D465C28"/>
    <w:rsid w:val="0E2D3866"/>
    <w:rsid w:val="11001706"/>
    <w:rsid w:val="12771554"/>
    <w:rsid w:val="13E86A02"/>
    <w:rsid w:val="13F2184D"/>
    <w:rsid w:val="14A27D52"/>
    <w:rsid w:val="14FE10D9"/>
    <w:rsid w:val="19955A14"/>
    <w:rsid w:val="1C9176B6"/>
    <w:rsid w:val="1D5B7C4F"/>
    <w:rsid w:val="1DB63878"/>
    <w:rsid w:val="201841D9"/>
    <w:rsid w:val="20665FED"/>
    <w:rsid w:val="2239018F"/>
    <w:rsid w:val="23764DDA"/>
    <w:rsid w:val="241301F3"/>
    <w:rsid w:val="24B30B11"/>
    <w:rsid w:val="259C7099"/>
    <w:rsid w:val="294A30C6"/>
    <w:rsid w:val="2AB303AA"/>
    <w:rsid w:val="2AD84E5C"/>
    <w:rsid w:val="2B57369B"/>
    <w:rsid w:val="2BB7625B"/>
    <w:rsid w:val="2BD97E9F"/>
    <w:rsid w:val="2DB20BCC"/>
    <w:rsid w:val="2F7C7F14"/>
    <w:rsid w:val="30731155"/>
    <w:rsid w:val="30971B8D"/>
    <w:rsid w:val="32E73748"/>
    <w:rsid w:val="33E006ED"/>
    <w:rsid w:val="342334D9"/>
    <w:rsid w:val="34B00BC9"/>
    <w:rsid w:val="36A91D74"/>
    <w:rsid w:val="38925F00"/>
    <w:rsid w:val="39FA6443"/>
    <w:rsid w:val="3D5E4F3B"/>
    <w:rsid w:val="3E4814EA"/>
    <w:rsid w:val="3F484EB9"/>
    <w:rsid w:val="3F4B0972"/>
    <w:rsid w:val="3FC71FC7"/>
    <w:rsid w:val="40095BA9"/>
    <w:rsid w:val="41004C87"/>
    <w:rsid w:val="426D552C"/>
    <w:rsid w:val="42845443"/>
    <w:rsid w:val="43EB1B46"/>
    <w:rsid w:val="441C7681"/>
    <w:rsid w:val="44446C38"/>
    <w:rsid w:val="477261B2"/>
    <w:rsid w:val="47FA5235"/>
    <w:rsid w:val="48084421"/>
    <w:rsid w:val="492D4D8B"/>
    <w:rsid w:val="4A3124AC"/>
    <w:rsid w:val="4A37714A"/>
    <w:rsid w:val="4C91685C"/>
    <w:rsid w:val="4E45105E"/>
    <w:rsid w:val="4F90367A"/>
    <w:rsid w:val="4FCE5F50"/>
    <w:rsid w:val="5044479D"/>
    <w:rsid w:val="51CE2237"/>
    <w:rsid w:val="52483D98"/>
    <w:rsid w:val="52E650D7"/>
    <w:rsid w:val="53FF37FC"/>
    <w:rsid w:val="54657F58"/>
    <w:rsid w:val="547277F2"/>
    <w:rsid w:val="555F7BDD"/>
    <w:rsid w:val="557C197B"/>
    <w:rsid w:val="57FB1E7B"/>
    <w:rsid w:val="584E2394"/>
    <w:rsid w:val="585B231A"/>
    <w:rsid w:val="58BD7536"/>
    <w:rsid w:val="58C47EF0"/>
    <w:rsid w:val="58E4675B"/>
    <w:rsid w:val="5A272E2C"/>
    <w:rsid w:val="5C2C297C"/>
    <w:rsid w:val="5D526DFF"/>
    <w:rsid w:val="5DA350A5"/>
    <w:rsid w:val="5DCD3CEB"/>
    <w:rsid w:val="5E283D71"/>
    <w:rsid w:val="5F50072F"/>
    <w:rsid w:val="61C3512C"/>
    <w:rsid w:val="629948A0"/>
    <w:rsid w:val="62EB1254"/>
    <w:rsid w:val="652E2D81"/>
    <w:rsid w:val="6554084E"/>
    <w:rsid w:val="6598361E"/>
    <w:rsid w:val="679F62A6"/>
    <w:rsid w:val="6852376A"/>
    <w:rsid w:val="694145F4"/>
    <w:rsid w:val="6B597608"/>
    <w:rsid w:val="6C6770B8"/>
    <w:rsid w:val="6CC44813"/>
    <w:rsid w:val="6E556D0A"/>
    <w:rsid w:val="6E802F39"/>
    <w:rsid w:val="6E954194"/>
    <w:rsid w:val="6EE67DB6"/>
    <w:rsid w:val="6F85087C"/>
    <w:rsid w:val="701B2694"/>
    <w:rsid w:val="704F058F"/>
    <w:rsid w:val="71C11019"/>
    <w:rsid w:val="726957EB"/>
    <w:rsid w:val="74624F35"/>
    <w:rsid w:val="74F5690C"/>
    <w:rsid w:val="7548217D"/>
    <w:rsid w:val="77242776"/>
    <w:rsid w:val="79083885"/>
    <w:rsid w:val="7EF94BA6"/>
    <w:rsid w:val="7EFF005D"/>
    <w:rsid w:val="7F0D636F"/>
    <w:rsid w:val="7FF1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34"/>
    <w:qFormat/>
    <w:uiPriority w:val="0"/>
    <w:pPr>
      <w:keepNext/>
      <w:widowControl/>
      <w:numPr>
        <w:ilvl w:val="0"/>
        <w:numId w:val="1"/>
      </w:numPr>
      <w:jc w:val="center"/>
      <w:outlineLvl w:val="0"/>
    </w:pPr>
    <w:rPr>
      <w:rFonts w:ascii="黑体" w:hAnsi="黑体"/>
      <w:b/>
      <w:kern w:val="0"/>
      <w:sz w:val="32"/>
      <w:szCs w:val="20"/>
    </w:rPr>
  </w:style>
  <w:style w:type="paragraph" w:styleId="4">
    <w:name w:val="heading 2"/>
    <w:basedOn w:val="1"/>
    <w:next w:val="1"/>
    <w:link w:val="35"/>
    <w:qFormat/>
    <w:uiPriority w:val="0"/>
    <w:pPr>
      <w:keepNext/>
      <w:keepLines/>
      <w:spacing w:before="260" w:after="260" w:line="416" w:lineRule="auto"/>
      <w:jc w:val="center"/>
      <w:outlineLvl w:val="1"/>
    </w:pPr>
    <w:rPr>
      <w:rFonts w:ascii="Arial" w:hAnsi="Arial"/>
      <w:b/>
      <w:bCs/>
      <w:sz w:val="28"/>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rPr>
      <w:rFonts w:ascii="Times New Roman" w:hAnsi="Times New Roman" w:cs="宋体"/>
      <w:kern w:val="0"/>
      <w:lang w:val="zh-CN"/>
    </w:rPr>
  </w:style>
  <w:style w:type="paragraph" w:styleId="6">
    <w:name w:val="Normal Indent"/>
    <w:basedOn w:val="1"/>
    <w:qFormat/>
    <w:uiPriority w:val="0"/>
    <w:pPr>
      <w:ind w:firstLine="420" w:firstLineChars="200"/>
    </w:pPr>
    <w:rPr>
      <w:rFonts w:cs="黑体"/>
      <w:szCs w:val="22"/>
    </w:rPr>
  </w:style>
  <w:style w:type="paragraph" w:styleId="7">
    <w:name w:val="annotation text"/>
    <w:basedOn w:val="1"/>
    <w:link w:val="39"/>
    <w:qFormat/>
    <w:uiPriority w:val="0"/>
    <w:pPr>
      <w:jc w:val="left"/>
    </w:pPr>
  </w:style>
  <w:style w:type="paragraph" w:styleId="8">
    <w:name w:val="Body Text"/>
    <w:basedOn w:val="1"/>
    <w:link w:val="31"/>
    <w:unhideWhenUsed/>
    <w:qFormat/>
    <w:uiPriority w:val="0"/>
    <w:pPr>
      <w:spacing w:after="120"/>
    </w:pPr>
  </w:style>
  <w:style w:type="paragraph" w:styleId="9">
    <w:name w:val="Body Text Indent"/>
    <w:basedOn w:val="1"/>
    <w:next w:val="10"/>
    <w:qFormat/>
    <w:uiPriority w:val="0"/>
    <w:pPr>
      <w:tabs>
        <w:tab w:val="left" w:pos="0"/>
      </w:tabs>
      <w:ind w:firstLine="540"/>
    </w:pPr>
    <w:rPr>
      <w:rFonts w:eastAsia="楷体_GB2312"/>
      <w:b/>
      <w:sz w:val="28"/>
    </w:rPr>
  </w:style>
  <w:style w:type="paragraph" w:styleId="10">
    <w:name w:val="Body Text First Indent 2"/>
    <w:basedOn w:val="9"/>
    <w:next w:val="11"/>
    <w:qFormat/>
    <w:uiPriority w:val="99"/>
    <w:pPr>
      <w:tabs>
        <w:tab w:val="left" w:pos="945"/>
        <w:tab w:val="left" w:pos="1155"/>
      </w:tabs>
      <w:ind w:firstLine="420" w:firstLineChars="200"/>
    </w:pPr>
  </w:style>
  <w:style w:type="paragraph" w:styleId="11">
    <w:name w:val="Date"/>
    <w:basedOn w:val="1"/>
    <w:next w:val="1"/>
    <w:qFormat/>
    <w:uiPriority w:val="99"/>
    <w:pPr>
      <w:ind w:left="100" w:leftChars="2500"/>
    </w:pPr>
  </w:style>
  <w:style w:type="paragraph" w:styleId="12">
    <w:name w:val="Plain Text"/>
    <w:basedOn w:val="1"/>
    <w:link w:val="28"/>
    <w:qFormat/>
    <w:uiPriority w:val="0"/>
    <w:rPr>
      <w:rFonts w:ascii="宋体" w:hAnsi="Courier New" w:cs="Courier New"/>
      <w:szCs w:val="21"/>
    </w:rPr>
  </w:style>
  <w:style w:type="paragraph" w:styleId="13">
    <w:name w:val="Balloon Text"/>
    <w:basedOn w:val="1"/>
    <w:link w:val="42"/>
    <w:semiHidden/>
    <w:unhideWhenUsed/>
    <w:qFormat/>
    <w:uiPriority w:val="99"/>
    <w:rPr>
      <w:sz w:val="18"/>
      <w:szCs w:val="18"/>
    </w:rPr>
  </w:style>
  <w:style w:type="paragraph" w:styleId="14">
    <w:name w:val="footer"/>
    <w:basedOn w:val="1"/>
    <w:link w:val="36"/>
    <w:qFormat/>
    <w:uiPriority w:val="0"/>
    <w:pPr>
      <w:tabs>
        <w:tab w:val="center" w:pos="4153"/>
        <w:tab w:val="right" w:pos="8306"/>
      </w:tabs>
      <w:snapToGrid w:val="0"/>
      <w:jc w:val="left"/>
    </w:pPr>
    <w:rPr>
      <w:sz w:val="18"/>
      <w:szCs w:val="18"/>
    </w:rPr>
  </w:style>
  <w:style w:type="paragraph" w:styleId="15">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List"/>
    <w:basedOn w:val="1"/>
    <w:qFormat/>
    <w:uiPriority w:val="0"/>
    <w:pPr>
      <w:ind w:left="420" w:hanging="420"/>
    </w:pPr>
    <w:rPr>
      <w:rFonts w:hint="eastAsia" w:ascii="Times New Roman" w:hAnsi="Times New Roman" w:eastAsia="楷体_GB2312"/>
      <w:sz w:val="32"/>
      <w:szCs w:val="20"/>
    </w:rPr>
  </w:style>
  <w:style w:type="paragraph" w:styleId="18">
    <w:name w:val="toc 2"/>
    <w:basedOn w:val="1"/>
    <w:next w:val="1"/>
    <w:unhideWhenUsed/>
    <w:qFormat/>
    <w:uiPriority w:val="39"/>
    <w:pPr>
      <w:ind w:left="420" w:leftChars="200"/>
    </w:pPr>
  </w:style>
  <w:style w:type="paragraph" w:styleId="19">
    <w:name w:val="Normal (Web)"/>
    <w:basedOn w:val="1"/>
    <w:qFormat/>
    <w:uiPriority w:val="0"/>
    <w:rPr>
      <w:rFonts w:eastAsia="仿宋_GB2312"/>
      <w:sz w:val="24"/>
      <w:szCs w:val="22"/>
    </w:rPr>
  </w:style>
  <w:style w:type="paragraph" w:styleId="20">
    <w:name w:val="annotation subject"/>
    <w:basedOn w:val="7"/>
    <w:next w:val="7"/>
    <w:link w:val="49"/>
    <w:semiHidden/>
    <w:unhideWhenUsed/>
    <w:qFormat/>
    <w:uiPriority w:val="99"/>
    <w:rPr>
      <w:b/>
      <w:bCs/>
    </w:rPr>
  </w:style>
  <w:style w:type="paragraph" w:styleId="21">
    <w:name w:val="Body Text First Indent"/>
    <w:basedOn w:val="8"/>
    <w:link w:val="32"/>
    <w:semiHidden/>
    <w:unhideWhenUsed/>
    <w:qFormat/>
    <w:uiPriority w:val="99"/>
    <w:pPr>
      <w:ind w:firstLine="420" w:firstLineChars="100"/>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Hyperlink"/>
    <w:qFormat/>
    <w:uiPriority w:val="99"/>
    <w:rPr>
      <w:color w:val="337AB7"/>
      <w:u w:val="none"/>
    </w:rPr>
  </w:style>
  <w:style w:type="character" w:styleId="27">
    <w:name w:val="annotation reference"/>
    <w:basedOn w:val="24"/>
    <w:semiHidden/>
    <w:unhideWhenUsed/>
    <w:qFormat/>
    <w:uiPriority w:val="99"/>
    <w:rPr>
      <w:sz w:val="21"/>
      <w:szCs w:val="21"/>
    </w:rPr>
  </w:style>
  <w:style w:type="character" w:customStyle="1" w:styleId="28">
    <w:name w:val="纯文本 字符"/>
    <w:basedOn w:val="24"/>
    <w:link w:val="12"/>
    <w:qFormat/>
    <w:uiPriority w:val="0"/>
    <w:rPr>
      <w:rFonts w:ascii="宋体" w:hAnsi="Courier New" w:eastAsia="宋体" w:cs="Courier New"/>
      <w:szCs w:val="21"/>
    </w:rPr>
  </w:style>
  <w:style w:type="character" w:customStyle="1" w:styleId="29">
    <w:name w:val="页眉 字符"/>
    <w:basedOn w:val="24"/>
    <w:link w:val="15"/>
    <w:qFormat/>
    <w:uiPriority w:val="0"/>
    <w:rPr>
      <w:rFonts w:ascii="Calibri" w:hAnsi="Calibri" w:eastAsia="宋体" w:cs="Times New Roman"/>
      <w:sz w:val="18"/>
      <w:szCs w:val="18"/>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1">
    <w:name w:val="正文文本 字符"/>
    <w:basedOn w:val="24"/>
    <w:link w:val="8"/>
    <w:semiHidden/>
    <w:qFormat/>
    <w:uiPriority w:val="99"/>
    <w:rPr>
      <w:rFonts w:ascii="Calibri" w:hAnsi="Calibri" w:eastAsia="宋体" w:cs="Times New Roman"/>
      <w:szCs w:val="24"/>
    </w:rPr>
  </w:style>
  <w:style w:type="character" w:customStyle="1" w:styleId="32">
    <w:name w:val="正文文本首行缩进 字符"/>
    <w:basedOn w:val="31"/>
    <w:link w:val="21"/>
    <w:semiHidden/>
    <w:qFormat/>
    <w:uiPriority w:val="99"/>
    <w:rPr>
      <w:rFonts w:ascii="Calibri" w:hAnsi="Calibri" w:eastAsia="宋体" w:cs="Times New Roman"/>
      <w:szCs w:val="24"/>
    </w:rPr>
  </w:style>
  <w:style w:type="paragraph" w:customStyle="1" w:styleId="33">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34">
    <w:name w:val="标题 1 字符"/>
    <w:basedOn w:val="24"/>
    <w:link w:val="3"/>
    <w:qFormat/>
    <w:uiPriority w:val="0"/>
    <w:rPr>
      <w:rFonts w:ascii="黑体" w:hAnsi="黑体" w:eastAsia="宋体" w:cs="Times New Roman"/>
      <w:b/>
      <w:kern w:val="0"/>
      <w:sz w:val="32"/>
      <w:szCs w:val="20"/>
    </w:rPr>
  </w:style>
  <w:style w:type="character" w:customStyle="1" w:styleId="35">
    <w:name w:val="标题 2 字符"/>
    <w:basedOn w:val="24"/>
    <w:link w:val="4"/>
    <w:qFormat/>
    <w:uiPriority w:val="0"/>
    <w:rPr>
      <w:rFonts w:ascii="Arial" w:hAnsi="Arial" w:eastAsia="宋体" w:cs="Times New Roman"/>
      <w:b/>
      <w:bCs/>
      <w:sz w:val="28"/>
      <w:szCs w:val="32"/>
    </w:rPr>
  </w:style>
  <w:style w:type="character" w:customStyle="1" w:styleId="36">
    <w:name w:val="页脚 字符"/>
    <w:basedOn w:val="24"/>
    <w:link w:val="14"/>
    <w:qFormat/>
    <w:uiPriority w:val="0"/>
    <w:rPr>
      <w:rFonts w:ascii="Calibri" w:hAnsi="Calibri" w:eastAsia="宋体" w:cs="Times New Roman"/>
      <w:sz w:val="18"/>
      <w:szCs w:val="18"/>
    </w:rPr>
  </w:style>
  <w:style w:type="paragraph" w:customStyle="1" w:styleId="37">
    <w:name w:val="表格文字左对齐"/>
    <w:basedOn w:val="1"/>
    <w:next w:val="1"/>
    <w:qFormat/>
    <w:uiPriority w:val="0"/>
    <w:pPr>
      <w:adjustRightInd w:val="0"/>
      <w:snapToGrid w:val="0"/>
      <w:jc w:val="center"/>
    </w:pPr>
    <w:rPr>
      <w:sz w:val="24"/>
    </w:rPr>
  </w:style>
  <w:style w:type="character" w:customStyle="1" w:styleId="38">
    <w:name w:val="标题 3 字符"/>
    <w:basedOn w:val="24"/>
    <w:link w:val="5"/>
    <w:qFormat/>
    <w:uiPriority w:val="0"/>
    <w:rPr>
      <w:rFonts w:ascii="Calibri" w:hAnsi="Calibri" w:eastAsia="宋体" w:cs="Times New Roman"/>
      <w:b/>
      <w:bCs/>
      <w:sz w:val="32"/>
      <w:szCs w:val="32"/>
    </w:rPr>
  </w:style>
  <w:style w:type="character" w:customStyle="1" w:styleId="39">
    <w:name w:val="批注文字 字符"/>
    <w:basedOn w:val="24"/>
    <w:link w:val="7"/>
    <w:qFormat/>
    <w:uiPriority w:val="0"/>
    <w:rPr>
      <w:rFonts w:ascii="Calibri" w:hAnsi="Calibri" w:eastAsia="宋体" w:cs="Times New Roman"/>
      <w:szCs w:val="24"/>
    </w:rPr>
  </w:style>
  <w:style w:type="paragraph" w:styleId="40">
    <w:name w:val="List Paragraph"/>
    <w:basedOn w:val="1"/>
    <w:qFormat/>
    <w:uiPriority w:val="34"/>
    <w:pPr>
      <w:ind w:firstLine="420" w:firstLineChars="200"/>
    </w:pPr>
  </w:style>
  <w:style w:type="character" w:customStyle="1" w:styleId="41">
    <w:name w:val="未处理的提及1"/>
    <w:basedOn w:val="24"/>
    <w:semiHidden/>
    <w:unhideWhenUsed/>
    <w:qFormat/>
    <w:uiPriority w:val="99"/>
    <w:rPr>
      <w:color w:val="605E5C"/>
      <w:shd w:val="clear" w:color="auto" w:fill="E1DFDD"/>
    </w:rPr>
  </w:style>
  <w:style w:type="character" w:customStyle="1" w:styleId="42">
    <w:name w:val="批注框文本 字符"/>
    <w:basedOn w:val="24"/>
    <w:link w:val="13"/>
    <w:semiHidden/>
    <w:qFormat/>
    <w:uiPriority w:val="99"/>
    <w:rPr>
      <w:rFonts w:ascii="Calibri" w:hAnsi="Calibri" w:eastAsia="宋体" w:cs="Times New Roman"/>
      <w:sz w:val="18"/>
      <w:szCs w:val="18"/>
    </w:rPr>
  </w:style>
  <w:style w:type="paragraph" w:customStyle="1" w:styleId="4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文档正文"/>
    <w:basedOn w:val="1"/>
    <w:qFormat/>
    <w:uiPriority w:val="0"/>
    <w:pPr>
      <w:adjustRightInd w:val="0"/>
      <w:spacing w:line="480" w:lineRule="atLeast"/>
      <w:ind w:firstLine="567"/>
      <w:textAlignment w:val="baseline"/>
    </w:pPr>
    <w:rPr>
      <w:rFonts w:hint="eastAsia" w:ascii="仿宋_GB2312" w:hAnsi="Times New Roman" w:eastAsia="仿宋_GB2312"/>
      <w:kern w:val="0"/>
      <w:sz w:val="28"/>
      <w:szCs w:val="20"/>
    </w:rPr>
  </w:style>
  <w:style w:type="character" w:customStyle="1" w:styleId="47">
    <w:name w:val="纯文本 字符1"/>
    <w:qFormat/>
    <w:locked/>
    <w:uiPriority w:val="0"/>
    <w:rPr>
      <w:rFonts w:ascii="宋体" w:hAnsi="Courier New"/>
      <w:sz w:val="21"/>
      <w:szCs w:val="21"/>
    </w:rPr>
  </w:style>
  <w:style w:type="paragraph" w:customStyle="1" w:styleId="48">
    <w:name w:val="WPSOffice手动目录 1"/>
    <w:qFormat/>
    <w:uiPriority w:val="0"/>
    <w:rPr>
      <w:rFonts w:ascii="Times New Roman" w:hAnsi="Times New Roman" w:eastAsia="宋体" w:cs="Times New Roman"/>
      <w:lang w:val="en-US" w:eastAsia="zh-CN" w:bidi="ar-SA"/>
    </w:rPr>
  </w:style>
  <w:style w:type="character" w:customStyle="1" w:styleId="49">
    <w:name w:val="批注主题 字符"/>
    <w:basedOn w:val="39"/>
    <w:link w:val="20"/>
    <w:semiHidden/>
    <w:qFormat/>
    <w:uiPriority w:val="99"/>
    <w:rPr>
      <w:rFonts w:ascii="Calibri" w:hAnsi="Calibri" w:eastAsia="宋体" w:cs="Times New Roman"/>
      <w:b/>
      <w:bCs/>
      <w:szCs w:val="24"/>
    </w:rPr>
  </w:style>
  <w:style w:type="paragraph" w:customStyle="1" w:styleId="50">
    <w:name w:val="p0"/>
    <w:basedOn w:val="1"/>
    <w:qFormat/>
    <w:uiPriority w:val="0"/>
    <w:pPr>
      <w:widowControl/>
    </w:pPr>
    <w:rPr>
      <w:rFonts w:ascii="Times New Roman" w:hAnsi="Times New Roman"/>
      <w:kern w:val="0"/>
      <w:szCs w:val="21"/>
    </w:rPr>
  </w:style>
  <w:style w:type="paragraph" w:customStyle="1" w:styleId="51">
    <w:name w:val="List Paragraph1"/>
    <w:basedOn w:val="1"/>
    <w:qFormat/>
    <w:uiPriority w:val="99"/>
    <w:pPr>
      <w:ind w:firstLine="420" w:firstLineChars="200"/>
    </w:pPr>
    <w:rPr>
      <w:szCs w:val="22"/>
    </w:rPr>
  </w:style>
  <w:style w:type="character" w:customStyle="1" w:styleId="52">
    <w:name w:val="NormalCharacter"/>
    <w:qFormat/>
    <w:uiPriority w:val="0"/>
    <w:rPr>
      <w:rFonts w:asciiTheme="minorHAnsi" w:hAnsiTheme="minorHAnsi" w:eastAsiaTheme="minorEastAsia" w:cstheme="minorBidi"/>
      <w:kern w:val="2"/>
      <w:sz w:val="21"/>
      <w:szCs w:val="22"/>
      <w:lang w:val="en-US" w:eastAsia="zh-CN" w:bidi="ar-SA"/>
    </w:rPr>
  </w:style>
  <w:style w:type="paragraph" w:customStyle="1" w:styleId="53">
    <w:name w:val="Table Paragraph"/>
    <w:basedOn w:val="1"/>
    <w:qFormat/>
    <w:uiPriority w:val="1"/>
    <w:rPr>
      <w:rFonts w:ascii="宋体" w:hAnsi="宋体" w:cs="宋体"/>
      <w:lang w:val="zh-CN" w:bidi="zh-CN"/>
    </w:rPr>
  </w:style>
  <w:style w:type="paragraph" w:customStyle="1" w:styleId="54">
    <w:name w:val="TOC Heading"/>
    <w:basedOn w:val="3"/>
    <w:next w:val="1"/>
    <w:unhideWhenUsed/>
    <w:qFormat/>
    <w:uiPriority w:val="39"/>
    <w:pPr>
      <w:keepLines/>
      <w:numPr>
        <w:numId w:val="0"/>
      </w:numPr>
      <w:tabs>
        <w:tab w:val="clear" w:pos="432"/>
      </w:tabs>
      <w:spacing w:before="240" w:line="259" w:lineRule="auto"/>
      <w:jc w:val="left"/>
      <w:outlineLvl w:val="9"/>
    </w:pPr>
    <w:rPr>
      <w:rFonts w:asciiTheme="majorHAnsi" w:hAnsiTheme="majorHAnsi" w:eastAsiaTheme="majorEastAsia" w:cstheme="majorBidi"/>
      <w:b w:val="0"/>
      <w:color w:val="2F5597" w:themeColor="accent1" w:themeShade="BF"/>
      <w:szCs w:val="32"/>
    </w:rPr>
  </w:style>
  <w:style w:type="paragraph" w:customStyle="1" w:styleId="55">
    <w:name w:val="无间隔1"/>
    <w:basedOn w:val="1"/>
    <w:qFormat/>
    <w:uiPriority w:val="1"/>
    <w:pPr>
      <w:widowControl/>
      <w:jc w:val="left"/>
    </w:pPr>
    <w:rPr>
      <w:rFonts w:ascii="宋体" w:hAnsi="宋体" w:cs="宋体"/>
      <w:kern w:val="0"/>
      <w:sz w:val="24"/>
    </w:rPr>
  </w:style>
  <w:style w:type="character" w:customStyle="1" w:styleId="56">
    <w:name w:val="font21"/>
    <w:basedOn w:val="24"/>
    <w:qFormat/>
    <w:uiPriority w:val="0"/>
    <w:rPr>
      <w:rFonts w:hint="default" w:ascii="Tahoma" w:hAnsi="Tahoma" w:eastAsia="Tahoma" w:cs="Tahoma"/>
      <w:color w:val="000000"/>
      <w:sz w:val="21"/>
      <w:szCs w:val="21"/>
      <w:u w:val="none"/>
    </w:rPr>
  </w:style>
  <w:style w:type="character" w:customStyle="1" w:styleId="57">
    <w:name w:val="font31"/>
    <w:basedOn w:val="24"/>
    <w:qFormat/>
    <w:uiPriority w:val="0"/>
    <w:rPr>
      <w:rFonts w:hint="eastAsia" w:ascii="宋体" w:hAnsi="宋体" w:eastAsia="宋体" w:cs="宋体"/>
      <w:color w:val="000000"/>
      <w:sz w:val="21"/>
      <w:szCs w:val="21"/>
      <w:u w:val="none"/>
    </w:rPr>
  </w:style>
  <w:style w:type="character" w:customStyle="1" w:styleId="58">
    <w:name w:val="font81"/>
    <w:basedOn w:val="24"/>
    <w:qFormat/>
    <w:uiPriority w:val="0"/>
    <w:rPr>
      <w:rFonts w:hint="default" w:ascii="Tahoma" w:hAnsi="Tahoma" w:eastAsia="Tahoma" w:cs="Tahoma"/>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2D4C-ABB0-4CE2-B0A1-BC9C35F99D6A}">
  <ds:schemaRefs/>
</ds:datastoreItem>
</file>

<file path=docProps/app.xml><?xml version="1.0" encoding="utf-8"?>
<Properties xmlns="http://schemas.openxmlformats.org/officeDocument/2006/extended-properties" xmlns:vt="http://schemas.openxmlformats.org/officeDocument/2006/docPropsVTypes">
  <Template>Normal</Template>
  <Pages>49</Pages>
  <Words>18566</Words>
  <Characters>19652</Characters>
  <Lines>165</Lines>
  <Paragraphs>46</Paragraphs>
  <TotalTime>26</TotalTime>
  <ScaleCrop>false</ScaleCrop>
  <LinksUpToDate>false</LinksUpToDate>
  <CharactersWithSpaces>20953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2020-12-20T12:13:00Z</dcterms:created>
  <dc:creator>河南保利招标咨询有限公司:赵敏</dc:creator>
  <cp:lastModifiedBy>丨丶欧阳菜菜</cp:lastModifiedBy>
  <cp:lastPrinted>2022-09-22T02:38:00Z</cp:lastPrinted>
  <dcterms:modified xsi:type="dcterms:W3CDTF">2022-11-28T03:34:26Z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EED20EAA6CD546AFBDB5609DFB3B290E</vt:lpwstr>
  </property>
</Properties>
</file>